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Table of Contents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60" w:after="6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60" w:after="60"/>
        <w:jc w:val="center"/>
        <w:rPr>
          <w:rFonts w:ascii="Times New Roman;serif" w:hAnsi="Times New Roman;serif"/>
          <w:b/>
          <w:color w:val="000000"/>
          <w:sz w:val="18"/>
        </w:rPr>
      </w:pPr>
      <w:r>
        <w:rPr>
          <w:rFonts w:ascii="Times New Roman;serif" w:hAnsi="Times New Roman;serif"/>
          <w:b/>
          <w:color w:val="000000"/>
          <w:sz w:val="18"/>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 xml:space="preserve">FORM 10-K </w:t>
      </w:r>
    </w:p>
    <w:p>
      <w:pPr>
        <w:pStyle w:val="TextBody"/>
        <w:bidi w:val="0"/>
        <w:spacing w:lineRule="auto" w:line="288" w:before="120" w:after="283"/>
        <w:jc w:val="left"/>
        <w:rPr>
          <w:rFonts w:ascii="Times New Roman;serif" w:hAnsi="Times New Roman;serif"/>
          <w:b/>
          <w:color w:val="000000"/>
          <w:sz w:val="18"/>
        </w:rPr>
      </w:pPr>
      <w:r>
        <w:rPr>
          <w:rFonts w:ascii="Times New Roman;serif" w:hAnsi="Times New Roman;serif"/>
          <w:b/>
          <w:color w:val="000000"/>
          <w:sz w:val="18"/>
        </w:rPr>
        <w:t>(Mark One)</w:t>
      </w:r>
    </w:p>
    <w:tbl>
      <w:tblPr>
        <w:tblW w:w="9386" w:type="dxa"/>
        <w:jc w:val="left"/>
        <w:tblInd w:w="0" w:type="dxa"/>
        <w:tblLayout w:type="fixed"/>
        <w:tblCellMar>
          <w:top w:w="28" w:type="dxa"/>
          <w:left w:w="28" w:type="dxa"/>
          <w:bottom w:w="28" w:type="dxa"/>
          <w:right w:w="28" w:type="dxa"/>
        </w:tblCellMar>
      </w:tblPr>
      <w:tblGrid>
        <w:gridCol w:w="124"/>
        <w:gridCol w:w="109"/>
        <w:gridCol w:w="109"/>
        <w:gridCol w:w="2648"/>
        <w:gridCol w:w="2648"/>
        <w:gridCol w:w="37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8" w:type="dxa"/>
            <w:tcBorders/>
            <w:vAlign w:val="center"/>
          </w:tcPr>
          <w:p>
            <w:pPr>
              <w:pStyle w:val="TableContents"/>
              <w:bidi w:val="0"/>
              <w:spacing w:before="0" w:after="283"/>
              <w:jc w:val="left"/>
              <w:rPr>
                <w:sz w:val="4"/>
                <w:szCs w:val="4"/>
              </w:rPr>
            </w:pPr>
            <w:r>
              <w:rPr>
                <w:sz w:val="4"/>
                <w:szCs w:val="4"/>
              </w:rPr>
            </w:r>
          </w:p>
        </w:tc>
        <w:tc>
          <w:tcPr>
            <w:tcW w:w="2648" w:type="dxa"/>
            <w:tcBorders/>
            <w:vAlign w:val="center"/>
          </w:tcPr>
          <w:p>
            <w:pPr>
              <w:pStyle w:val="TableContents"/>
              <w:bidi w:val="0"/>
              <w:spacing w:before="0" w:after="283"/>
              <w:jc w:val="left"/>
              <w:rPr>
                <w:sz w:val="4"/>
                <w:szCs w:val="4"/>
              </w:rPr>
            </w:pPr>
            <w:r>
              <w:rPr>
                <w:sz w:val="4"/>
                <w:szCs w:val="4"/>
              </w:rPr>
            </w:r>
          </w:p>
        </w:tc>
        <w:tc>
          <w:tcPr>
            <w:tcW w:w="37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ANNUAL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For the fiscal year ended December 31, 2025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or</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For the transition period from to</w:t>
      </w:r>
    </w:p>
    <w:p>
      <w:pPr>
        <w:pStyle w:val="TextBody"/>
        <w:bidi w:val="0"/>
        <w:spacing w:lineRule="auto" w:line="288" w:before="60" w:after="60"/>
        <w:jc w:val="center"/>
        <w:rPr>
          <w:rFonts w:ascii="Times New Roman;serif" w:hAnsi="Times New Roman;serif"/>
          <w:b/>
          <w:color w:val="000000"/>
          <w:sz w:val="18"/>
        </w:rPr>
      </w:pPr>
      <w:r>
        <w:rPr>
          <w:rFonts w:ascii="Times New Roman;serif" w:hAnsi="Times New Roman;serif"/>
          <w:b/>
          <w:color w:val="000000"/>
          <w:sz w:val="18"/>
        </w:rPr>
        <w:t xml:space="preserve">Commission File Number 001-36124 </w:t>
      </w:r>
    </w:p>
    <w:p>
      <w:pPr>
        <w:pStyle w:val="TextBody"/>
        <w:bidi w:val="0"/>
        <w:spacing w:lineRule="auto" w:line="288" w:before="60" w:after="60"/>
        <w:jc w:val="center"/>
        <w:rPr>
          <w:rFonts w:ascii="Times New Roman;serif" w:hAnsi="Times New Roman;serif"/>
          <w:b/>
          <w:color w:val="000000"/>
          <w:sz w:val="24"/>
        </w:rPr>
      </w:pPr>
      <w:r>
        <w:rPr>
          <w:rFonts w:ascii="Times New Roman;serif" w:hAnsi="Times New Roman;serif"/>
          <w:b/>
          <w:color w:val="000000"/>
          <w:sz w:val="24"/>
        </w:rPr>
        <w:t xml:space="preserve">Gaming and Leisure Properties, Inc. </w:t>
      </w:r>
    </w:p>
    <w:p>
      <w:pPr>
        <w:pStyle w:val="TextBody"/>
        <w:bidi w:val="0"/>
        <w:spacing w:lineRule="auto" w:line="288" w:before="60" w:after="6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tbl>
      <w:tblPr>
        <w:tblW w:w="4017" w:type="dxa"/>
        <w:jc w:val="center"/>
        <w:tblInd w:w="0" w:type="dxa"/>
        <w:tblLayout w:type="fixed"/>
        <w:tblCellMar>
          <w:top w:w="28" w:type="dxa"/>
          <w:left w:w="28" w:type="dxa"/>
          <w:bottom w:w="28" w:type="dxa"/>
          <w:right w:w="28" w:type="dxa"/>
        </w:tblCellMar>
      </w:tblPr>
      <w:tblGrid>
        <w:gridCol w:w="809"/>
        <w:gridCol w:w="711"/>
        <w:gridCol w:w="715"/>
        <w:gridCol w:w="109"/>
        <w:gridCol w:w="109"/>
        <w:gridCol w:w="109"/>
        <w:gridCol w:w="424"/>
        <w:gridCol w:w="424"/>
        <w:gridCol w:w="607"/>
      </w:tblGrid>
      <w:tr>
        <w:trPr/>
        <w:tc>
          <w:tcPr>
            <w:tcW w:w="80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Pennsylvania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46-2116489</w:t>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w:t>
              <w:br/>
              <w:t>Identification No.)</w:t>
            </w:r>
          </w:p>
        </w:tc>
      </w:tr>
    </w:tbl>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 xml:space="preserve">845 Berkshire Blvd., Suite 200 </w:t>
      </w:r>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 xml:space="preserve">Wyomissing, PA 19610 </w:t>
      </w:r>
    </w:p>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(Address of principal executive offices) (Zip Code)</w:t>
      </w:r>
    </w:p>
    <w:p>
      <w:pPr>
        <w:pStyle w:val="TextBody"/>
        <w:bidi w:val="0"/>
        <w:spacing w:lineRule="auto" w:line="288" w:before="60" w:after="60"/>
        <w:jc w:val="center"/>
        <w:rPr/>
      </w:pPr>
      <w:r>
        <w:rPr>
          <w:rFonts w:ascii="Times New Roman;serif" w:hAnsi="Times New Roman;serif"/>
          <w:b w:val="false"/>
          <w:color w:val="000000"/>
          <w:sz w:val="18"/>
        </w:rPr>
        <w:t xml:space="preserve">Registrant's telephone number, including area code: </w:t>
      </w:r>
      <w:r>
        <w:rPr>
          <w:rFonts w:ascii="Times New Roman;serif" w:hAnsi="Times New Roman;serif"/>
          <w:b/>
          <w:color w:val="000000"/>
          <w:sz w:val="18"/>
        </w:rPr>
        <w:t xml:space="preserve">610 401-2900 </w:t>
      </w:r>
    </w:p>
    <w:p>
      <w:pPr>
        <w:pStyle w:val="TextBody"/>
        <w:bidi w:val="0"/>
        <w:spacing w:lineRule="auto" w:line="288" w:before="60" w:after="60"/>
        <w:ind w:left="0" w:right="0" w:firstLine="585"/>
        <w:jc w:val="center"/>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8392" w:type="dxa"/>
        <w:jc w:val="center"/>
        <w:tblInd w:w="0" w:type="dxa"/>
        <w:tblLayout w:type="fixed"/>
        <w:tblCellMar>
          <w:top w:w="28" w:type="dxa"/>
          <w:left w:w="28" w:type="dxa"/>
          <w:bottom w:w="28" w:type="dxa"/>
          <w:right w:w="28" w:type="dxa"/>
        </w:tblCellMar>
      </w:tblPr>
      <w:tblGrid>
        <w:gridCol w:w="1074"/>
        <w:gridCol w:w="942"/>
        <w:gridCol w:w="954"/>
        <w:gridCol w:w="109"/>
        <w:gridCol w:w="109"/>
        <w:gridCol w:w="109"/>
        <w:gridCol w:w="484"/>
        <w:gridCol w:w="484"/>
        <w:gridCol w:w="486"/>
        <w:gridCol w:w="109"/>
        <w:gridCol w:w="109"/>
        <w:gridCol w:w="109"/>
        <w:gridCol w:w="970"/>
        <w:gridCol w:w="970"/>
        <w:gridCol w:w="1374"/>
      </w:tblGrid>
      <w:tr>
        <w:trPr/>
        <w:tc>
          <w:tcPr>
            <w:tcW w:w="1074"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29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par value $.01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GLPI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NASDAQ </w:t>
            </w:r>
          </w:p>
        </w:tc>
      </w:tr>
    </w:tbl>
    <w:p>
      <w:pPr>
        <w:pStyle w:val="TextBody"/>
        <w:bidi w:val="0"/>
        <w:spacing w:lineRule="auto" w:line="288" w:before="60" w:after="60"/>
        <w:jc w:val="center"/>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12(g) of the Act:</w:t>
      </w:r>
    </w:p>
    <w:p>
      <w:pPr>
        <w:pStyle w:val="TextBody"/>
        <w:bidi w:val="0"/>
        <w:spacing w:lineRule="auto" w:line="288" w:before="60" w:after="60"/>
        <w:jc w:val="center"/>
        <w:rPr>
          <w:rFonts w:ascii="Times New Roman;serif" w:hAnsi="Times New Roman;serif"/>
          <w:b/>
          <w:color w:val="000000"/>
          <w:sz w:val="16"/>
        </w:rPr>
      </w:pPr>
      <w:r>
        <w:rPr>
          <w:rFonts w:ascii="Times New Roman;serif" w:hAnsi="Times New Roman;serif"/>
          <w:b/>
          <w:color w:val="000000"/>
          <w:sz w:val="16"/>
        </w:rPr>
        <w:t>None</w:t>
      </w:r>
    </w:p>
    <w:p>
      <w:pPr>
        <w:pStyle w:val="TextBody"/>
        <w:bidi w:val="0"/>
        <w:spacing w:lineRule="auto" w:line="288" w:before="60" w:after="60"/>
        <w:ind w:left="0" w:right="0" w:firstLine="585"/>
        <w:jc w:val="left"/>
        <w:rPr/>
      </w:pPr>
      <w:r>
        <w:rPr>
          <w:rFonts w:ascii="Times New Roman;serif" w:hAnsi="Times New Roman;serif"/>
          <w:b w:val="false"/>
          <w:color w:val="000000"/>
          <w:sz w:val="16"/>
        </w:rPr>
        <w:t xml:space="preserve">Indicate by check mark if the registrant is a well-known seasoned issuer, as defined in Rule 405 of the Securities Act. Yes </w:t>
      </w:r>
      <w:r>
        <w:rPr>
          <w:color w:val="000000"/>
        </w:rPr>
        <w:t xml:space="preserve">☒   </w:t>
      </w:r>
      <w:r>
        <w:rPr>
          <w:rFonts w:ascii="Times New Roman;serif" w:hAnsi="Times New Roman;serif"/>
          <w:b w:val="false"/>
          <w:color w:val="000000"/>
          <w:sz w:val="16"/>
        </w:rPr>
        <w:t>No </w:t>
      </w:r>
      <w:r>
        <w:rPr>
          <w:color w:val="000000"/>
        </w:rPr>
        <w:t>☐</w:t>
      </w:r>
    </w:p>
    <w:p>
      <w:pPr>
        <w:pStyle w:val="TextBody"/>
        <w:bidi w:val="0"/>
        <w:spacing w:lineRule="auto" w:line="288" w:before="60" w:after="60"/>
        <w:ind w:left="0" w:right="0" w:firstLine="585"/>
        <w:jc w:val="left"/>
        <w:rPr/>
      </w:pPr>
      <w:r>
        <w:rPr>
          <w:rFonts w:ascii="Times New Roman;serif" w:hAnsi="Times New Roman;serif"/>
          <w:b w:val="false"/>
          <w:color w:val="000000"/>
          <w:sz w:val="16"/>
        </w:rPr>
        <w:t>Indicate by check mark if the registrant is not required to file reports pursuant to Section 13 or Section 15(d) of the Act. Yes </w:t>
      </w:r>
      <w:r>
        <w:rPr>
          <w:color w:val="000000"/>
        </w:rPr>
        <w:t>☐   </w:t>
      </w:r>
      <w:r>
        <w:rPr>
          <w:rFonts w:ascii="Times New Roman;serif" w:hAnsi="Times New Roman;serif"/>
          <w:b w:val="false"/>
          <w:color w:val="000000"/>
          <w:sz w:val="16"/>
        </w:rPr>
        <w:t xml:space="preserve">No </w:t>
      </w:r>
      <w:r>
        <w:rPr>
          <w:color w:val="000000"/>
        </w:rPr>
        <w:t>☒</w:t>
      </w:r>
    </w:p>
    <w:p>
      <w:pPr>
        <w:pStyle w:val="TextBody"/>
        <w:bidi w:val="0"/>
        <w:spacing w:lineRule="auto" w:line="288" w:before="60" w:after="60"/>
        <w:ind w:left="0" w:right="0" w:firstLine="585"/>
        <w:jc w:val="left"/>
        <w:rPr/>
      </w:pPr>
      <w:r>
        <w:rPr>
          <w:rFonts w:ascii="Times New Roman;serif" w:hAnsi="Times New Roman;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16"/>
        </w:rPr>
        <w:t>No </w:t>
      </w:r>
      <w:r>
        <w:rPr>
          <w:color w:val="000000"/>
        </w:rPr>
        <w:t>☐</w:t>
      </w:r>
    </w:p>
    <w:p>
      <w:pPr>
        <w:pStyle w:val="TextBody"/>
        <w:bidi w:val="0"/>
        <w:spacing w:lineRule="auto" w:line="288" w:before="60" w:after="60"/>
        <w:ind w:left="0" w:right="0" w:firstLine="585"/>
        <w:jc w:val="left"/>
        <w:rPr/>
      </w:pPr>
      <w:r>
        <w:rPr>
          <w:rFonts w:ascii="Times New Roman;serif" w:hAnsi="Times New Roman;serif"/>
          <w:b w:val="false"/>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16"/>
        </w:rPr>
        <w:t>No </w:t>
      </w:r>
      <w:r>
        <w:rPr>
          <w:color w:val="000000"/>
        </w:rPr>
        <w:t>☐</w:t>
      </w:r>
    </w:p>
    <w:p>
      <w:pPr>
        <w:pStyle w:val="TextBody"/>
        <w:bidi w:val="0"/>
        <w:spacing w:lineRule="auto" w:line="288" w:before="60" w:after="60"/>
        <w:ind w:left="0" w:right="0" w:firstLine="585"/>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6770" w:type="dxa"/>
        <w:jc w:val="center"/>
        <w:tblInd w:w="0" w:type="dxa"/>
        <w:tblLayout w:type="fixed"/>
        <w:tblCellMar>
          <w:top w:w="28" w:type="dxa"/>
          <w:left w:w="28" w:type="dxa"/>
          <w:bottom w:w="28" w:type="dxa"/>
          <w:right w:w="28" w:type="dxa"/>
        </w:tblCellMar>
      </w:tblPr>
      <w:tblGrid>
        <w:gridCol w:w="619"/>
        <w:gridCol w:w="544"/>
        <w:gridCol w:w="546"/>
        <w:gridCol w:w="109"/>
        <w:gridCol w:w="109"/>
        <w:gridCol w:w="109"/>
        <w:gridCol w:w="669"/>
        <w:gridCol w:w="669"/>
        <w:gridCol w:w="672"/>
        <w:gridCol w:w="109"/>
        <w:gridCol w:w="109"/>
        <w:gridCol w:w="109"/>
        <w:gridCol w:w="674"/>
        <w:gridCol w:w="674"/>
        <w:gridCol w:w="677"/>
        <w:gridCol w:w="109"/>
        <w:gridCol w:w="109"/>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Large 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630"/>
        <w:jc w:val="left"/>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60" w:after="60"/>
        <w:ind w:left="0" w:right="0" w:firstLine="630"/>
        <w:jc w:val="left"/>
        <w:rPr/>
      </w:pPr>
      <w:r>
        <w:rPr>
          <w:rFonts w:ascii="Times New Roman;serif" w:hAnsi="Times New Roman;serif"/>
          <w:b w:val="false"/>
          <w:color w:val="000000"/>
          <w:sz w:val="16"/>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w:t>
      </w:r>
    </w:p>
    <w:p>
      <w:pPr>
        <w:pStyle w:val="TextBody"/>
        <w:bidi w:val="0"/>
        <w:spacing w:lineRule="auto" w:line="288" w:before="0" w:after="0"/>
        <w:ind w:left="0" w:right="0" w:firstLine="630"/>
        <w:jc w:val="left"/>
        <w:rPr/>
      </w:pPr>
      <w:r>
        <w:rPr>
          <w:rFonts w:ascii="Times New Roman;serif" w:hAnsi="Times New Roman;serif"/>
          <w:b w:val="false"/>
          <w:color w:val="000000"/>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color w:val="000000"/>
        </w:rPr>
        <w:t>☐</w:t>
      </w:r>
    </w:p>
    <w:p>
      <w:pPr>
        <w:pStyle w:val="TextBody"/>
        <w:bidi w:val="0"/>
        <w:spacing w:lineRule="auto" w:line="288" w:before="0" w:after="0"/>
        <w:ind w:left="0" w:right="0" w:firstLine="630"/>
        <w:jc w:val="left"/>
        <w:rPr/>
      </w:pPr>
      <w:r>
        <w:rPr>
          <w:rFonts w:ascii="Times New Roman;serif" w:hAnsi="Times New Roman;serif"/>
          <w:b w:val="false"/>
          <w:color w:val="000000"/>
          <w:sz w:val="16"/>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color w:val="000000"/>
        </w:rPr>
        <w:t>☐</w:t>
      </w:r>
    </w:p>
    <w:p>
      <w:pPr>
        <w:pStyle w:val="TextBody"/>
        <w:bidi w:val="0"/>
        <w:spacing w:lineRule="auto" w:line="288" w:before="60" w:after="60"/>
        <w:ind w:left="0" w:right="0" w:firstLine="630"/>
        <w:jc w:val="left"/>
        <w:rPr/>
      </w:pPr>
      <w:r>
        <w:rPr>
          <w:rFonts w:ascii="Times New Roman;serif" w:hAnsi="Times New Roman;serif"/>
          <w:b w:val="false"/>
          <w:color w:val="000000"/>
          <w:sz w:val="16"/>
        </w:rPr>
        <w:t>Indicate by check mark whether the registrant is a shell company (as defined in Rule 12b-2 of the Exchange Act). Yes </w:t>
      </w:r>
      <w:r>
        <w:rPr>
          <w:color w:val="000000"/>
        </w:rPr>
        <w:t>☐   </w:t>
      </w:r>
      <w:r>
        <w:rPr>
          <w:rFonts w:ascii="Times New Roman;serif" w:hAnsi="Times New Roman;serif"/>
          <w:b w:val="false"/>
          <w:color w:val="000000"/>
          <w:sz w:val="16"/>
        </w:rPr>
        <w:t>No </w:t>
      </w:r>
      <w:r>
        <w:rPr>
          <w:color w:val="000000"/>
        </w:rPr>
        <w:t>☒</w:t>
      </w:r>
    </w:p>
    <w:p>
      <w:pPr>
        <w:pStyle w:val="TextBody"/>
        <w:bidi w:val="0"/>
        <w:spacing w:lineRule="auto" w:line="288" w:before="60" w:after="60"/>
        <w:ind w:left="0" w:right="0" w:firstLine="585"/>
        <w:jc w:val="left"/>
        <w:rPr>
          <w:rFonts w:ascii="Times New Roman;serif" w:hAnsi="Times New Roman;serif"/>
          <w:b w:val="false"/>
          <w:color w:val="000000"/>
          <w:sz w:val="16"/>
        </w:rPr>
      </w:pPr>
      <w:r>
        <w:rPr>
          <w:rFonts w:ascii="Times New Roman;serif" w:hAnsi="Times New Roman;serif"/>
          <w:b w:val="false"/>
          <w:color w:val="000000"/>
          <w:sz w:val="16"/>
        </w:rPr>
        <w:t>As of June 30, 2025 (the last business day of the registrant's most recently completed second fiscal quarter), the aggregate market value of the voting common stock held by non-affiliates of the registrant was approximately $12.7 billion. Such aggregate market value was computed by reference to the closing price of the common stock as reported on the NASDAQ Global Select Market on June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Table of Contents</w:t>
      </w:r>
    </w:p>
    <w:p>
      <w:pPr>
        <w:pStyle w:val="TextBody"/>
        <w:bidi w:val="0"/>
        <w:spacing w:lineRule="auto" w:line="288" w:before="60" w:after="60"/>
        <w:ind w:left="0" w:right="0" w:firstLine="585"/>
        <w:jc w:val="left"/>
        <w:rPr>
          <w:rFonts w:ascii="Times New Roman;serif" w:hAnsi="Times New Roman;serif"/>
          <w:b w:val="false"/>
          <w:color w:val="000000"/>
          <w:sz w:val="16"/>
        </w:rPr>
      </w:pPr>
      <w:r>
        <w:rPr>
          <w:rFonts w:ascii="Times New Roman;serif" w:hAnsi="Times New Roman;serif"/>
          <w:b w:val="false"/>
          <w:color w:val="000000"/>
          <w:sz w:val="16"/>
        </w:rPr>
        <w:t>The number of shares of the registrant's common stock outstanding as of February 11, 2026 was 283,221,841.</w:t>
      </w:r>
    </w:p>
    <w:p>
      <w:pPr>
        <w:pStyle w:val="TextBody"/>
        <w:bidi w:val="0"/>
        <w:spacing w:lineRule="auto" w:line="288" w:before="60" w:after="60"/>
        <w:jc w:val="center"/>
        <w:rPr>
          <w:rFonts w:ascii="Times New Roman;serif" w:hAnsi="Times New Roman;serif"/>
          <w:b/>
          <w:color w:val="000000"/>
          <w:sz w:val="16"/>
        </w:rPr>
      </w:pPr>
      <w:r>
        <w:rPr>
          <w:rFonts w:ascii="Times New Roman;serif" w:hAnsi="Times New Roman;serif"/>
          <w:b/>
          <w:color w:val="000000"/>
          <w:sz w:val="16"/>
        </w:rPr>
        <w:t>DOCUMENTS INCORPORATED BY REFERENCE</w:t>
      </w:r>
    </w:p>
    <w:p>
      <w:pPr>
        <w:pStyle w:val="TextBody"/>
        <w:bidi w:val="0"/>
        <w:spacing w:lineRule="auto" w:line="288" w:before="60" w:after="60"/>
        <w:ind w:left="0" w:right="0" w:firstLine="630"/>
        <w:jc w:val="left"/>
        <w:rPr>
          <w:rFonts w:ascii="Times New Roman;serif" w:hAnsi="Times New Roman;serif"/>
          <w:b w:val="false"/>
          <w:color w:val="000000"/>
          <w:sz w:val="16"/>
        </w:rPr>
      </w:pPr>
      <w:r>
        <w:rPr>
          <w:rFonts w:ascii="Times New Roman;serif" w:hAnsi="Times New Roman;serif"/>
          <w:b w:val="false"/>
          <w:color w:val="000000"/>
          <w:sz w:val="16"/>
        </w:rPr>
        <w:t>Portions of the registrant's definitive proxy statement for its 2026 annual meeting of shareholders (when it is filed) will be incorporated by reference into Part III of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Table of Contents</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297"/>
        <w:gridCol w:w="261"/>
        <w:gridCol w:w="263"/>
        <w:gridCol w:w="3041"/>
        <w:gridCol w:w="2919"/>
        <w:gridCol w:w="2910"/>
        <w:gridCol w:w="149"/>
        <w:gridCol w:w="149"/>
        <w:gridCol w:w="216"/>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041" w:type="dxa"/>
            <w:tcBorders/>
            <w:vAlign w:val="center"/>
          </w:tcPr>
          <w:p>
            <w:pPr>
              <w:pStyle w:val="TableContents"/>
              <w:bidi w:val="0"/>
              <w:spacing w:before="0" w:after="283"/>
              <w:jc w:val="left"/>
              <w:rPr>
                <w:sz w:val="4"/>
                <w:szCs w:val="4"/>
              </w:rPr>
            </w:pPr>
            <w:r>
              <w:rPr>
                <w:sz w:val="4"/>
                <w:szCs w:val="4"/>
              </w:rPr>
            </w:r>
          </w:p>
        </w:tc>
        <w:tc>
          <w:tcPr>
            <w:tcW w:w="2919" w:type="dxa"/>
            <w:tcBorders/>
            <w:vAlign w:val="center"/>
          </w:tcPr>
          <w:p>
            <w:pPr>
              <w:pStyle w:val="TableContents"/>
              <w:bidi w:val="0"/>
              <w:spacing w:before="0" w:after="283"/>
              <w:jc w:val="left"/>
              <w:rPr>
                <w:sz w:val="4"/>
                <w:szCs w:val="4"/>
              </w:rPr>
            </w:pPr>
            <w:r>
              <w:rPr>
                <w:sz w:val="4"/>
                <w:szCs w:val="4"/>
              </w:rPr>
            </w:r>
          </w:p>
        </w:tc>
        <w:tc>
          <w:tcPr>
            <w:tcW w:w="291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969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c8212c3f09540629591953dc41512eb_13">
              <w:r>
                <w:rPr>
                  <w:rStyle w:val="InternetLink"/>
                  <w:rFonts w:ascii="Times New Roman;serif" w:hAnsi="Times New Roman;serif"/>
                  <w:b/>
                  <w:color w:val="0000FF"/>
                  <w:sz w:val="20"/>
                  <w:u w:val="single"/>
                </w:rPr>
                <w:t>PART I</w:t>
              </w:r>
            </w:hyperlink>
          </w:p>
        </w:tc>
        <w:tc>
          <w:tcPr>
            <w:tcW w:w="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8212c3f09540629591953dc41512eb_16">
              <w:r>
                <w:rPr>
                  <w:rStyle w:val="InternetLink"/>
                  <w:rFonts w:ascii="Times New Roman;serif" w:hAnsi="Times New Roman;serif"/>
                  <w:b w:val="false"/>
                  <w:color w:val="0000FF"/>
                  <w:sz w:val="20"/>
                  <w:u w:val="single"/>
                </w:rPr>
                <w:t>ITEM 1.</w:t>
              </w:r>
            </w:hyperlink>
          </w:p>
        </w:tc>
        <w:tc>
          <w:tcPr>
            <w:tcW w:w="88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8212c3f09540629591953dc41512eb_16">
              <w:r>
                <w:rPr>
                  <w:rStyle w:val="InternetLink"/>
                  <w:rFonts w:ascii="Times New Roman;serif" w:hAnsi="Times New Roman;serif"/>
                  <w:b w:val="false"/>
                  <w:color w:val="0000FF"/>
                  <w:sz w:val="20"/>
                  <w:u w:val="single"/>
                </w:rPr>
                <w:t>BUSINESS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c8212c3f09540629591953dc41512eb_16">
              <w:r>
                <w:rPr>
                  <w:rStyle w:val="InternetLink"/>
                  <w:rFonts w:ascii="Times New Roman;serif" w:hAnsi="Times New Roman;serif"/>
                  <w:b w:val="false"/>
                  <w:color w:val="0000FF"/>
                  <w:sz w:val="20"/>
                  <w:u w:val="single"/>
                </w:rPr>
                <w:t>3</w:t>
              </w:r>
            </w:hyperlink>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8212c3f09540629591953dc41512eb_19">
              <w:r>
                <w:rPr>
                  <w:rStyle w:val="InternetLink"/>
                  <w:rFonts w:ascii="Times New Roman;serif" w:hAnsi="Times New Roman;serif"/>
                  <w:b w:val="false"/>
                  <w:color w:val="0000FF"/>
                  <w:sz w:val="20"/>
                  <w:u w:val="single"/>
                </w:rPr>
                <w:t>ITEM 1A.</w:t>
              </w:r>
            </w:hyperlink>
          </w:p>
        </w:tc>
        <w:tc>
          <w:tcPr>
            <w:tcW w:w="88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8212c3f09540629591953dc41512eb_19">
              <w:r>
                <w:rPr>
                  <w:rStyle w:val="InternetLink"/>
                  <w:rFonts w:ascii="Times New Roman;serif" w:hAnsi="Times New Roman;serif"/>
                  <w:b w:val="false"/>
                  <w:color w:val="0000FF"/>
                  <w:sz w:val="20"/>
                  <w:u w:val="single"/>
                </w:rPr>
                <w:t>RISK FACTORS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c8212c3f09540629591953dc41512eb_19">
              <w:r>
                <w:rPr>
                  <w:rStyle w:val="InternetLink"/>
                  <w:rFonts w:ascii="Times New Roman;serif" w:hAnsi="Times New Roman;serif"/>
                  <w:b w:val="false"/>
                  <w:color w:val="0000FF"/>
                  <w:sz w:val="20"/>
                  <w:u w:val="single"/>
                </w:rPr>
                <w:t>30</w:t>
              </w:r>
            </w:hyperlink>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8212c3f09540629591953dc41512eb_22">
              <w:r>
                <w:rPr>
                  <w:rStyle w:val="InternetLink"/>
                  <w:rFonts w:ascii="Times New Roman;serif" w:hAnsi="Times New Roman;serif"/>
                  <w:b w:val="false"/>
                  <w:color w:val="0000FF"/>
                  <w:sz w:val="20"/>
                  <w:u w:val="single"/>
                </w:rPr>
                <w:t>ITEM 1B.</w:t>
              </w:r>
            </w:hyperlink>
          </w:p>
        </w:tc>
        <w:tc>
          <w:tcPr>
            <w:tcW w:w="88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8212c3f09540629591953dc41512eb_22">
              <w:r>
                <w:rPr>
                  <w:rStyle w:val="InternetLink"/>
                  <w:rFonts w:ascii="Times New Roman;serif" w:hAnsi="Times New Roman;serif"/>
                  <w:b w:val="false"/>
                  <w:color w:val="0000FF"/>
                  <w:sz w:val="20"/>
                  <w:u w:val="single"/>
                </w:rPr>
                <w:t>UNRESOLVED STAFF COMMENTS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c8212c3f09540629591953dc41512eb_22">
              <w:r>
                <w:rPr>
                  <w:rStyle w:val="InternetLink"/>
                  <w:rFonts w:ascii="Times New Roman;serif" w:hAnsi="Times New Roman;serif"/>
                  <w:b w:val="false"/>
                  <w:color w:val="0000FF"/>
                  <w:sz w:val="20"/>
                  <w:u w:val="single"/>
                </w:rPr>
                <w:t>43</w:t>
              </w:r>
            </w:hyperlink>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8212c3f09540629591953dc41512eb_25">
              <w:r>
                <w:rPr>
                  <w:rStyle w:val="InternetLink"/>
                  <w:rFonts w:ascii="Times New Roman;serif" w:hAnsi="Times New Roman;serif"/>
                  <w:b w:val="false"/>
                  <w:color w:val="0000FF"/>
                  <w:sz w:val="20"/>
                  <w:u w:val="single"/>
                </w:rPr>
                <w:t>ITEM 1C.</w:t>
              </w:r>
            </w:hyperlink>
          </w:p>
        </w:tc>
        <w:tc>
          <w:tcPr>
            <w:tcW w:w="88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8212c3f09540629591953dc41512eb_25">
              <w:r>
                <w:rPr>
                  <w:rStyle w:val="InternetLink"/>
                  <w:rFonts w:ascii="Times New Roman;serif" w:hAnsi="Times New Roman;serif"/>
                  <w:b w:val="false"/>
                  <w:color w:val="0000FF"/>
                  <w:sz w:val="20"/>
                  <w:u w:val="single"/>
                </w:rPr>
                <w:t>CYBERSECURITY</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c8212c3f09540629591953dc41512eb_22">
              <w:r>
                <w:rPr>
                  <w:rStyle w:val="InternetLink"/>
                  <w:rFonts w:ascii="Times New Roman;serif" w:hAnsi="Times New Roman;serif"/>
                  <w:b w:val="false"/>
                  <w:color w:val="0000FF"/>
                  <w:sz w:val="20"/>
                  <w:u w:val="single"/>
                </w:rPr>
                <w:t>43</w:t>
              </w:r>
            </w:hyperlink>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8212c3f09540629591953dc41512eb_28">
              <w:r>
                <w:rPr>
                  <w:rStyle w:val="InternetLink"/>
                  <w:rFonts w:ascii="Times New Roman;serif" w:hAnsi="Times New Roman;serif"/>
                  <w:b w:val="false"/>
                  <w:color w:val="0000FF"/>
                  <w:sz w:val="20"/>
                  <w:u w:val="single"/>
                </w:rPr>
                <w:t>ITEM 2.</w:t>
              </w:r>
            </w:hyperlink>
          </w:p>
        </w:tc>
        <w:tc>
          <w:tcPr>
            <w:tcW w:w="88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8212c3f09540629591953dc41512eb_28">
              <w:r>
                <w:rPr>
                  <w:rStyle w:val="InternetLink"/>
                  <w:rFonts w:ascii="Times New Roman;serif" w:hAnsi="Times New Roman;serif"/>
                  <w:b w:val="false"/>
                  <w:color w:val="0000FF"/>
                  <w:sz w:val="20"/>
                  <w:u w:val="single"/>
                </w:rPr>
                <w:t>PROPERTIES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c8212c3f09540629591953dc41512eb_28">
              <w:r>
                <w:rPr>
                  <w:rStyle w:val="InternetLink"/>
                  <w:rFonts w:ascii="Times New Roman;serif" w:hAnsi="Times New Roman;serif"/>
                  <w:b w:val="false"/>
                  <w:color w:val="0000FF"/>
                  <w:sz w:val="20"/>
                  <w:u w:val="single"/>
                </w:rPr>
                <w:t>44</w:t>
              </w:r>
            </w:hyperlink>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8212c3f09540629591953dc41512eb_31">
              <w:r>
                <w:rPr>
                  <w:rStyle w:val="InternetLink"/>
                  <w:rFonts w:ascii="Times New Roman;serif" w:hAnsi="Times New Roman;serif"/>
                  <w:b w:val="false"/>
                  <w:color w:val="0000FF"/>
                  <w:sz w:val="20"/>
                  <w:u w:val="single"/>
                </w:rPr>
                <w:t>ITEM 3.</w:t>
              </w:r>
            </w:hyperlink>
          </w:p>
        </w:tc>
        <w:tc>
          <w:tcPr>
            <w:tcW w:w="88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8212c3f09540629591953dc41512eb_31">
              <w:r>
                <w:rPr>
                  <w:rStyle w:val="InternetLink"/>
                  <w:rFonts w:ascii="Times New Roman;serif" w:hAnsi="Times New Roman;serif"/>
                  <w:b w:val="false"/>
                  <w:color w:val="0000FF"/>
                  <w:sz w:val="20"/>
                  <w:u w:val="single"/>
                </w:rPr>
                <w:t>LEGAL PROCEEDINGS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c8212c3f09540629591953dc41512eb_31">
              <w:r>
                <w:rPr>
                  <w:rStyle w:val="InternetLink"/>
                  <w:rFonts w:ascii="Times New Roman;serif" w:hAnsi="Times New Roman;serif"/>
                  <w:b w:val="false"/>
                  <w:color w:val="0000FF"/>
                  <w:sz w:val="20"/>
                  <w:u w:val="single"/>
                </w:rPr>
                <w:t>44</w:t>
              </w:r>
            </w:hyperlink>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8212c3f09540629591953dc41512eb_34">
              <w:r>
                <w:rPr>
                  <w:rStyle w:val="InternetLink"/>
                  <w:rFonts w:ascii="Times New Roman;serif" w:hAnsi="Times New Roman;serif"/>
                  <w:b w:val="false"/>
                  <w:color w:val="0000FF"/>
                  <w:sz w:val="20"/>
                  <w:u w:val="single"/>
                </w:rPr>
                <w:t>ITEM 4.</w:t>
              </w:r>
            </w:hyperlink>
          </w:p>
        </w:tc>
        <w:tc>
          <w:tcPr>
            <w:tcW w:w="88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8212c3f09540629591953dc41512eb_34">
              <w:r>
                <w:rPr>
                  <w:rStyle w:val="InternetLink"/>
                  <w:rFonts w:ascii="Times New Roman;serif" w:hAnsi="Times New Roman;serif"/>
                  <w:b w:val="false"/>
                  <w:color w:val="0000FF"/>
                  <w:sz w:val="20"/>
                  <w:u w:val="single"/>
                </w:rPr>
                <w:t>MINE SAFETY DISCLOSURES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c8212c3f09540629591953dc41512eb_34">
              <w:r>
                <w:rPr>
                  <w:rStyle w:val="InternetLink"/>
                  <w:rFonts w:ascii="Times New Roman;serif" w:hAnsi="Times New Roman;serif"/>
                  <w:b w:val="false"/>
                  <w:color w:val="0000FF"/>
                  <w:sz w:val="20"/>
                  <w:u w:val="single"/>
                </w:rPr>
                <w:t>44</w:t>
              </w:r>
            </w:hyperlink>
          </w:p>
        </w:tc>
      </w:tr>
      <w:tr>
        <w:trPr/>
        <w:tc>
          <w:tcPr>
            <w:tcW w:w="969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c8212c3f09540629591953dc41512eb_37">
              <w:r>
                <w:rPr>
                  <w:rStyle w:val="InternetLink"/>
                  <w:rFonts w:ascii="Times New Roman;serif" w:hAnsi="Times New Roman;serif"/>
                  <w:b/>
                  <w:color w:val="0000FF"/>
                  <w:sz w:val="20"/>
                  <w:u w:val="single"/>
                </w:rPr>
                <w:t>PART II</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8212c3f09540629591953dc41512eb_40">
              <w:r>
                <w:rPr>
                  <w:rStyle w:val="InternetLink"/>
                  <w:rFonts w:ascii="Times New Roman;serif" w:hAnsi="Times New Roman;serif"/>
                  <w:b w:val="false"/>
                  <w:color w:val="0000FF"/>
                  <w:sz w:val="20"/>
                  <w:u w:val="single"/>
                </w:rPr>
                <w:t>ITEM 5.</w:t>
              </w:r>
            </w:hyperlink>
          </w:p>
        </w:tc>
        <w:tc>
          <w:tcPr>
            <w:tcW w:w="88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8212c3f09540629591953dc41512eb_40">
              <w:r>
                <w:rPr>
                  <w:rStyle w:val="InternetLink"/>
                  <w:rFonts w:ascii="Times New Roman;serif" w:hAnsi="Times New Roman;serif"/>
                  <w:b w:val="false"/>
                  <w:color w:val="0000FF"/>
                  <w:sz w:val="20"/>
                  <w:u w:val="single"/>
                </w:rPr>
                <w:t>MARKET FOR REGISTRANT'S COMMON EQUITY, RELATED SHAREHOLDER MATTERS AND ISSUER PURCHASES OF EQUITY SECURITIES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c8212c3f09540629591953dc41512eb_40">
              <w:r>
                <w:rPr>
                  <w:rStyle w:val="InternetLink"/>
                  <w:rFonts w:ascii="Times New Roman;serif" w:hAnsi="Times New Roman;serif"/>
                  <w:b w:val="false"/>
                  <w:color w:val="0000FF"/>
                  <w:sz w:val="20"/>
                  <w:u w:val="single"/>
                </w:rPr>
                <w:t>45</w:t>
              </w:r>
            </w:hyperlink>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ITEM 6.</w:t>
            </w:r>
          </w:p>
        </w:tc>
        <w:tc>
          <w:tcPr>
            <w:tcW w:w="88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8212c3f09540629591953dc41512eb_43">
              <w:r>
                <w:rPr>
                  <w:rStyle w:val="InternetLink"/>
                  <w:rFonts w:ascii="Times New Roman;serif" w:hAnsi="Times New Roman;serif"/>
                  <w:b w:val="false"/>
                  <w:color w:val="0000FF"/>
                  <w:sz w:val="20"/>
                  <w:u w:val="single"/>
                </w:rPr>
                <w:t>RESERVED</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c8212c3f09540629591953dc41512eb_43">
              <w:r>
                <w:rPr>
                  <w:rStyle w:val="InternetLink"/>
                  <w:rFonts w:ascii="Times New Roman;serif" w:hAnsi="Times New Roman;serif"/>
                  <w:b w:val="false"/>
                  <w:color w:val="0000FF"/>
                  <w:sz w:val="20"/>
                  <w:u w:val="single"/>
                </w:rPr>
                <w:t>45</w:t>
              </w:r>
            </w:hyperlink>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8212c3f09540629591953dc41512eb_46">
              <w:r>
                <w:rPr>
                  <w:rStyle w:val="InternetLink"/>
                  <w:rFonts w:ascii="Times New Roman;serif" w:hAnsi="Times New Roman;serif"/>
                  <w:b w:val="false"/>
                  <w:color w:val="0000FF"/>
                  <w:sz w:val="20"/>
                  <w:u w:val="single"/>
                </w:rPr>
                <w:t>ITEM 7.</w:t>
              </w:r>
            </w:hyperlink>
          </w:p>
        </w:tc>
        <w:tc>
          <w:tcPr>
            <w:tcW w:w="88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8212c3f09540629591953dc41512eb_46">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c8212c3f09540629591953dc41512eb_46">
              <w:r>
                <w:rPr>
                  <w:rStyle w:val="InternetLink"/>
                  <w:rFonts w:ascii="Times New Roman;serif" w:hAnsi="Times New Roman;serif"/>
                  <w:b w:val="false"/>
                  <w:color w:val="0000FF"/>
                  <w:sz w:val="20"/>
                  <w:u w:val="single"/>
                </w:rPr>
                <w:t>45</w:t>
              </w:r>
            </w:hyperlink>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8212c3f09540629591953dc41512eb_61">
              <w:r>
                <w:rPr>
                  <w:rStyle w:val="InternetLink"/>
                  <w:rFonts w:ascii="Times New Roman;serif" w:hAnsi="Times New Roman;serif"/>
                  <w:b w:val="false"/>
                  <w:color w:val="0000FF"/>
                  <w:sz w:val="20"/>
                  <w:u w:val="single"/>
                </w:rPr>
                <w:t>ITEM 7A.</w:t>
              </w:r>
            </w:hyperlink>
          </w:p>
        </w:tc>
        <w:tc>
          <w:tcPr>
            <w:tcW w:w="88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8212c3f09540629591953dc41512eb_61">
              <w:r>
                <w:rPr>
                  <w:rStyle w:val="InternetLink"/>
                  <w:rFonts w:ascii="Times New Roman;serif" w:hAnsi="Times New Roman;serif"/>
                  <w:b w:val="false"/>
                  <w:color w:val="0000FF"/>
                  <w:sz w:val="20"/>
                  <w:u w:val="single"/>
                </w:rPr>
                <w:t>QUANTITATIVE AND QUALITATIVE DISCLOSURES ABOUT MARKET RISK</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c8212c3f09540629591953dc41512eb_61">
              <w:r>
                <w:rPr>
                  <w:rStyle w:val="InternetLink"/>
                  <w:rFonts w:ascii="Times New Roman;serif" w:hAnsi="Times New Roman;serif"/>
                  <w:b w:val="false"/>
                  <w:color w:val="0000FF"/>
                  <w:sz w:val="20"/>
                  <w:u w:val="single"/>
                </w:rPr>
                <w:t>63</w:t>
              </w:r>
            </w:hyperlink>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8212c3f09540629591953dc41512eb_64">
              <w:r>
                <w:rPr>
                  <w:rStyle w:val="InternetLink"/>
                  <w:rFonts w:ascii="Times New Roman;serif" w:hAnsi="Times New Roman;serif"/>
                  <w:b w:val="false"/>
                  <w:color w:val="0000FF"/>
                  <w:sz w:val="20"/>
                  <w:u w:val="single"/>
                </w:rPr>
                <w:t>ITEM 8.</w:t>
              </w:r>
            </w:hyperlink>
          </w:p>
        </w:tc>
        <w:tc>
          <w:tcPr>
            <w:tcW w:w="88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8212c3f09540629591953dc41512eb_64">
              <w:r>
                <w:rPr>
                  <w:rStyle w:val="InternetLink"/>
                  <w:rFonts w:ascii="Times New Roman;serif" w:hAnsi="Times New Roman;serif"/>
                  <w:b w:val="false"/>
                  <w:color w:val="0000FF"/>
                  <w:sz w:val="20"/>
                  <w:u w:val="single"/>
                </w:rPr>
                <w:t>FINANCIAL STATEMENTS AND SUPPLEMENTARY DATA</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c8212c3f09540629591953dc41512eb_64">
              <w:r>
                <w:rPr>
                  <w:rStyle w:val="InternetLink"/>
                  <w:rFonts w:ascii="Times New Roman;serif" w:hAnsi="Times New Roman;serif"/>
                  <w:b w:val="false"/>
                  <w:color w:val="0000FF"/>
                  <w:sz w:val="20"/>
                  <w:u w:val="single"/>
                </w:rPr>
                <w:t>64</w:t>
              </w:r>
            </w:hyperlink>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8212c3f09540629591953dc41512eb_151">
              <w:r>
                <w:rPr>
                  <w:rStyle w:val="InternetLink"/>
                  <w:rFonts w:ascii="Times New Roman;serif" w:hAnsi="Times New Roman;serif"/>
                  <w:b w:val="false"/>
                  <w:color w:val="0000FF"/>
                  <w:sz w:val="20"/>
                  <w:u w:val="single"/>
                </w:rPr>
                <w:t>ITEM 9.</w:t>
              </w:r>
            </w:hyperlink>
          </w:p>
        </w:tc>
        <w:tc>
          <w:tcPr>
            <w:tcW w:w="88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8212c3f09540629591953dc41512eb_151">
              <w:r>
                <w:rPr>
                  <w:rStyle w:val="InternetLink"/>
                  <w:rFonts w:ascii="Times New Roman;serif" w:hAnsi="Times New Roman;serif"/>
                  <w:b w:val="false"/>
                  <w:color w:val="0000FF"/>
                  <w:sz w:val="20"/>
                  <w:u w:val="single"/>
                </w:rPr>
                <w:t>CHANGES IN AND DISAGREEMENTS WITH ACCOUNTANTS ON ACCOUNTING AND FINANCIAL DISCLOSURE</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c8212c3f09540629591953dc41512eb_151">
              <w:r>
                <w:rPr>
                  <w:rStyle w:val="InternetLink"/>
                  <w:rFonts w:ascii="Times New Roman;serif" w:hAnsi="Times New Roman;serif"/>
                  <w:b w:val="false"/>
                  <w:color w:val="0000FF"/>
                  <w:sz w:val="20"/>
                  <w:u w:val="single"/>
                </w:rPr>
                <w:t>111</w:t>
              </w:r>
            </w:hyperlink>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8212c3f09540629591953dc41512eb_154">
              <w:r>
                <w:rPr>
                  <w:rStyle w:val="InternetLink"/>
                  <w:rFonts w:ascii="Times New Roman;serif" w:hAnsi="Times New Roman;serif"/>
                  <w:b w:val="false"/>
                  <w:color w:val="0000FF"/>
                  <w:sz w:val="20"/>
                  <w:u w:val="single"/>
                </w:rPr>
                <w:t>ITEM 9A.</w:t>
              </w:r>
            </w:hyperlink>
          </w:p>
        </w:tc>
        <w:tc>
          <w:tcPr>
            <w:tcW w:w="88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8212c3f09540629591953dc41512eb_154">
              <w:r>
                <w:rPr>
                  <w:rStyle w:val="InternetLink"/>
                  <w:rFonts w:ascii="Times New Roman;serif" w:hAnsi="Times New Roman;serif"/>
                  <w:b w:val="false"/>
                  <w:color w:val="0000FF"/>
                  <w:sz w:val="20"/>
                  <w:u w:val="single"/>
                </w:rPr>
                <w:t>CONTROLS AND PROCEDURES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c8212c3f09540629591953dc41512eb_154">
              <w:r>
                <w:rPr>
                  <w:rStyle w:val="InternetLink"/>
                  <w:rFonts w:ascii="Times New Roman;serif" w:hAnsi="Times New Roman;serif"/>
                  <w:b w:val="false"/>
                  <w:color w:val="0000FF"/>
                  <w:sz w:val="20"/>
                  <w:u w:val="single"/>
                </w:rPr>
                <w:t>111</w:t>
              </w:r>
            </w:hyperlink>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8212c3f09540629591953dc41512eb_157">
              <w:r>
                <w:rPr>
                  <w:rStyle w:val="InternetLink"/>
                  <w:rFonts w:ascii="Times New Roman;serif" w:hAnsi="Times New Roman;serif"/>
                  <w:b w:val="false"/>
                  <w:color w:val="0000FF"/>
                  <w:sz w:val="20"/>
                  <w:u w:val="single"/>
                </w:rPr>
                <w:t>ITEM 9B.</w:t>
              </w:r>
            </w:hyperlink>
          </w:p>
        </w:tc>
        <w:tc>
          <w:tcPr>
            <w:tcW w:w="88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8212c3f09540629591953dc41512eb_157">
              <w:r>
                <w:rPr>
                  <w:rStyle w:val="InternetLink"/>
                  <w:rFonts w:ascii="Times New Roman;serif" w:hAnsi="Times New Roman;serif"/>
                  <w:b w:val="false"/>
                  <w:color w:val="0000FF"/>
                  <w:sz w:val="20"/>
                  <w:u w:val="single"/>
                </w:rPr>
                <w:t>OTHER INFORMATION</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c8212c3f09540629591953dc41512eb_157">
              <w:r>
                <w:rPr>
                  <w:rStyle w:val="InternetLink"/>
                  <w:rFonts w:ascii="Times New Roman;serif" w:hAnsi="Times New Roman;serif"/>
                  <w:b w:val="false"/>
                  <w:color w:val="0000FF"/>
                  <w:sz w:val="20"/>
                  <w:u w:val="single"/>
                </w:rPr>
                <w:t>113</w:t>
              </w:r>
            </w:hyperlink>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8212c3f09540629591953dc41512eb_160">
              <w:r>
                <w:rPr>
                  <w:rStyle w:val="InternetLink"/>
                  <w:rFonts w:ascii="Times New Roman;serif" w:hAnsi="Times New Roman;serif"/>
                  <w:b w:val="false"/>
                  <w:color w:val="0000FF"/>
                  <w:sz w:val="20"/>
                  <w:u w:val="single"/>
                </w:rPr>
                <w:t>ITEM 9C.</w:t>
              </w:r>
            </w:hyperlink>
          </w:p>
        </w:tc>
        <w:tc>
          <w:tcPr>
            <w:tcW w:w="88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8212c3f09540629591953dc41512eb_160">
              <w:r>
                <w:rPr>
                  <w:rStyle w:val="InternetLink"/>
                  <w:rFonts w:ascii="Times New Roman;serif" w:hAnsi="Times New Roman;serif"/>
                  <w:b w:val="false"/>
                  <w:color w:val="0000FF"/>
                  <w:sz w:val="20"/>
                  <w:u w:val="single"/>
                </w:rPr>
                <w:t>DISCLOSURE REGARDING FOREIGN JURISDICTIONS THAT PREVENT INSPECTIONS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c8212c3f09540629591953dc41512eb_160">
              <w:r>
                <w:rPr>
                  <w:rStyle w:val="InternetLink"/>
                  <w:rFonts w:ascii="Times New Roman;serif" w:hAnsi="Times New Roman;serif"/>
                  <w:b w:val="false"/>
                  <w:color w:val="0000FF"/>
                  <w:sz w:val="20"/>
                  <w:u w:val="single"/>
                </w:rPr>
                <w:t>113</w:t>
              </w:r>
            </w:hyperlink>
          </w:p>
        </w:tc>
      </w:tr>
      <w:tr>
        <w:trPr/>
        <w:tc>
          <w:tcPr>
            <w:tcW w:w="969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c8212c3f09540629591953dc41512eb_163">
              <w:r>
                <w:rPr>
                  <w:rStyle w:val="InternetLink"/>
                  <w:rFonts w:ascii="Times New Roman;serif" w:hAnsi="Times New Roman;serif"/>
                  <w:b/>
                  <w:color w:val="0000FF"/>
                  <w:sz w:val="20"/>
                  <w:u w:val="single"/>
                </w:rPr>
                <w:t>PART III</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8212c3f09540629591953dc41512eb_166">
              <w:r>
                <w:rPr>
                  <w:rStyle w:val="InternetLink"/>
                  <w:rFonts w:ascii="Times New Roman;serif" w:hAnsi="Times New Roman;serif"/>
                  <w:b w:val="false"/>
                  <w:color w:val="0000FF"/>
                  <w:sz w:val="20"/>
                  <w:u w:val="single"/>
                </w:rPr>
                <w:t>ITEM 10.</w:t>
              </w:r>
            </w:hyperlink>
          </w:p>
        </w:tc>
        <w:tc>
          <w:tcPr>
            <w:tcW w:w="88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8212c3f09540629591953dc41512eb_166">
              <w:r>
                <w:rPr>
                  <w:rStyle w:val="InternetLink"/>
                  <w:rFonts w:ascii="Times New Roman;serif" w:hAnsi="Times New Roman;serif"/>
                  <w:b w:val="false"/>
                  <w:color w:val="0000FF"/>
                  <w:sz w:val="20"/>
                  <w:u w:val="single"/>
                </w:rPr>
                <w:t>DIRECTORS, EXECUTIVE OFFICERS AND CORPORATE GOVERNANCE</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c8212c3f09540629591953dc41512eb_166">
              <w:r>
                <w:rPr>
                  <w:rStyle w:val="InternetLink"/>
                  <w:rFonts w:ascii="Times New Roman;serif" w:hAnsi="Times New Roman;serif"/>
                  <w:b w:val="false"/>
                  <w:color w:val="0000FF"/>
                  <w:sz w:val="20"/>
                  <w:u w:val="single"/>
                </w:rPr>
                <w:t>114</w:t>
              </w:r>
            </w:hyperlink>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8212c3f09540629591953dc41512eb_169">
              <w:r>
                <w:rPr>
                  <w:rStyle w:val="InternetLink"/>
                  <w:rFonts w:ascii="Times New Roman;serif" w:hAnsi="Times New Roman;serif"/>
                  <w:b w:val="false"/>
                  <w:color w:val="0000FF"/>
                  <w:sz w:val="20"/>
                  <w:u w:val="single"/>
                </w:rPr>
                <w:t>ITEM 11.</w:t>
              </w:r>
            </w:hyperlink>
          </w:p>
        </w:tc>
        <w:tc>
          <w:tcPr>
            <w:tcW w:w="88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8212c3f09540629591953dc41512eb_169">
              <w:r>
                <w:rPr>
                  <w:rStyle w:val="InternetLink"/>
                  <w:rFonts w:ascii="Times New Roman;serif" w:hAnsi="Times New Roman;serif"/>
                  <w:b w:val="false"/>
                  <w:color w:val="0000FF"/>
                  <w:sz w:val="20"/>
                  <w:u w:val="single"/>
                </w:rPr>
                <w:t>EXECUTIVE COMPENSATION</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c8212c3f09540629591953dc41512eb_169">
              <w:r>
                <w:rPr>
                  <w:rStyle w:val="InternetLink"/>
                  <w:rFonts w:ascii="Times New Roman;serif" w:hAnsi="Times New Roman;serif"/>
                  <w:b w:val="false"/>
                  <w:color w:val="0000FF"/>
                  <w:sz w:val="20"/>
                  <w:u w:val="single"/>
                </w:rPr>
                <w:t>114</w:t>
              </w:r>
            </w:hyperlink>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8212c3f09540629591953dc41512eb_172">
              <w:r>
                <w:rPr>
                  <w:rStyle w:val="InternetLink"/>
                  <w:rFonts w:ascii="Times New Roman;serif" w:hAnsi="Times New Roman;serif"/>
                  <w:b w:val="false"/>
                  <w:color w:val="0000FF"/>
                  <w:sz w:val="20"/>
                  <w:u w:val="single"/>
                </w:rPr>
                <w:t>ITEM 12.</w:t>
              </w:r>
            </w:hyperlink>
          </w:p>
        </w:tc>
        <w:tc>
          <w:tcPr>
            <w:tcW w:w="88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8212c3f09540629591953dc41512eb_172">
              <w:r>
                <w:rPr>
                  <w:rStyle w:val="InternetLink"/>
                  <w:rFonts w:ascii="Times New Roman;serif" w:hAnsi="Times New Roman;serif"/>
                  <w:b w:val="false"/>
                  <w:color w:val="0000FF"/>
                  <w:sz w:val="20"/>
                  <w:u w:val="single"/>
                </w:rPr>
                <w:t>SECURITY OWNERSHIP OF CERTAIN BENEFICIAL OWNERS AND MANAGEMENT AND RELATED STOCKHOLDERS MATTERS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c8212c3f09540629591953dc41512eb_172">
              <w:r>
                <w:rPr>
                  <w:rStyle w:val="InternetLink"/>
                  <w:rFonts w:ascii="Times New Roman;serif" w:hAnsi="Times New Roman;serif"/>
                  <w:b w:val="false"/>
                  <w:color w:val="0000FF"/>
                  <w:sz w:val="20"/>
                  <w:u w:val="single"/>
                </w:rPr>
                <w:t>114</w:t>
              </w:r>
            </w:hyperlink>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8212c3f09540629591953dc41512eb_175">
              <w:r>
                <w:rPr>
                  <w:rStyle w:val="InternetLink"/>
                  <w:rFonts w:ascii="Times New Roman;serif" w:hAnsi="Times New Roman;serif"/>
                  <w:b w:val="false"/>
                  <w:color w:val="0000FF"/>
                  <w:sz w:val="20"/>
                  <w:u w:val="single"/>
                </w:rPr>
                <w:t>ITEM 13.</w:t>
              </w:r>
            </w:hyperlink>
          </w:p>
        </w:tc>
        <w:tc>
          <w:tcPr>
            <w:tcW w:w="88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8212c3f09540629591953dc41512eb_175">
              <w:r>
                <w:rPr>
                  <w:rStyle w:val="InternetLink"/>
                  <w:rFonts w:ascii="Times New Roman;serif" w:hAnsi="Times New Roman;serif"/>
                  <w:b w:val="false"/>
                  <w:color w:val="0000FF"/>
                  <w:sz w:val="20"/>
                  <w:u w:val="single"/>
                </w:rPr>
                <w:t>CERTAIN RELATIONSHIPS AND RELATED TRANSACTIONS AND DIRECTOR INDEPENDENCE</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c8212c3f09540629591953dc41512eb_175">
              <w:r>
                <w:rPr>
                  <w:rStyle w:val="InternetLink"/>
                  <w:rFonts w:ascii="Times New Roman;serif" w:hAnsi="Times New Roman;serif"/>
                  <w:b w:val="false"/>
                  <w:color w:val="0000FF"/>
                  <w:sz w:val="20"/>
                  <w:u w:val="single"/>
                </w:rPr>
                <w:t>114</w:t>
              </w:r>
            </w:hyperlink>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8212c3f09540629591953dc41512eb_178">
              <w:r>
                <w:rPr>
                  <w:rStyle w:val="InternetLink"/>
                  <w:rFonts w:ascii="Times New Roman;serif" w:hAnsi="Times New Roman;serif"/>
                  <w:b w:val="false"/>
                  <w:color w:val="0000FF"/>
                  <w:sz w:val="20"/>
                  <w:u w:val="single"/>
                </w:rPr>
                <w:t>ITEM 14.</w:t>
              </w:r>
            </w:hyperlink>
          </w:p>
        </w:tc>
        <w:tc>
          <w:tcPr>
            <w:tcW w:w="88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8212c3f09540629591953dc41512eb_178">
              <w:r>
                <w:rPr>
                  <w:rStyle w:val="InternetLink"/>
                  <w:rFonts w:ascii="Times New Roman;serif" w:hAnsi="Times New Roman;serif"/>
                  <w:b w:val="false"/>
                  <w:color w:val="0000FF"/>
                  <w:sz w:val="20"/>
                  <w:u w:val="single"/>
                </w:rPr>
                <w:t>PRINCIPAL ACCOUNTING FEES AND SERVICES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c8212c3f09540629591953dc41512eb_178">
              <w:r>
                <w:rPr>
                  <w:rStyle w:val="InternetLink"/>
                  <w:rFonts w:ascii="Times New Roman;serif" w:hAnsi="Times New Roman;serif"/>
                  <w:b w:val="false"/>
                  <w:color w:val="0000FF"/>
                  <w:sz w:val="20"/>
                  <w:u w:val="single"/>
                </w:rPr>
                <w:t>114</w:t>
              </w:r>
            </w:hyperlink>
          </w:p>
        </w:tc>
      </w:tr>
      <w:tr>
        <w:trPr/>
        <w:tc>
          <w:tcPr>
            <w:tcW w:w="969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c8212c3f09540629591953dc41512eb_181">
              <w:r>
                <w:rPr>
                  <w:rStyle w:val="InternetLink"/>
                  <w:rFonts w:ascii="Times New Roman;serif" w:hAnsi="Times New Roman;serif"/>
                  <w:b/>
                  <w:color w:val="0000FF"/>
                  <w:sz w:val="20"/>
                  <w:u w:val="single"/>
                </w:rPr>
                <w:t>PART IV</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8212c3f09540629591953dc41512eb_184">
              <w:r>
                <w:rPr>
                  <w:rStyle w:val="InternetLink"/>
                  <w:rFonts w:ascii="Times New Roman;serif" w:hAnsi="Times New Roman;serif"/>
                  <w:b w:val="false"/>
                  <w:color w:val="0000FF"/>
                  <w:sz w:val="20"/>
                  <w:u w:val="single"/>
                </w:rPr>
                <w:t>ITEM 15.</w:t>
              </w:r>
            </w:hyperlink>
          </w:p>
        </w:tc>
        <w:tc>
          <w:tcPr>
            <w:tcW w:w="88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8212c3f09540629591953dc41512eb_184">
              <w:r>
                <w:rPr>
                  <w:rStyle w:val="InternetLink"/>
                  <w:rFonts w:ascii="Times New Roman;serif" w:hAnsi="Times New Roman;serif"/>
                  <w:b w:val="false"/>
                  <w:color w:val="0000FF"/>
                  <w:sz w:val="20"/>
                  <w:u w:val="single"/>
                </w:rPr>
                <w:t>EXHIBITS AND FINANCIAL STATEMENT SCHEDULE</w:t>
              </w:r>
            </w:hyperlink>
            <w:r>
              <w:rPr>
                <w:rFonts w:ascii="Times New Roman;serif" w:hAnsi="Times New Roman;serif"/>
                <w:b w:val="false"/>
                <w:color w:val="000000"/>
                <w:sz w:val="20"/>
              </w:rPr>
              <w:t>S</w:t>
            </w:r>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c8212c3f09540629591953dc41512eb_184">
              <w:r>
                <w:rPr>
                  <w:rStyle w:val="InternetLink"/>
                  <w:rFonts w:ascii="Times New Roman;serif" w:hAnsi="Times New Roman;serif"/>
                  <w:b w:val="false"/>
                  <w:color w:val="0000FF"/>
                  <w:sz w:val="20"/>
                  <w:u w:val="single"/>
                </w:rPr>
                <w:t>115</w:t>
              </w:r>
            </w:hyperlink>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8212c3f09540629591953dc41512eb_187">
              <w:r>
                <w:rPr>
                  <w:rStyle w:val="InternetLink"/>
                  <w:rFonts w:ascii="Times New Roman;serif" w:hAnsi="Times New Roman;serif"/>
                  <w:b w:val="false"/>
                  <w:color w:val="0000FF"/>
                  <w:sz w:val="20"/>
                  <w:u w:val="single"/>
                </w:rPr>
                <w:t>ITEM 16.</w:t>
              </w:r>
            </w:hyperlink>
          </w:p>
        </w:tc>
        <w:tc>
          <w:tcPr>
            <w:tcW w:w="8870" w:type="dxa"/>
            <w:gridSpan w:val="3"/>
            <w:tcBorders/>
            <w:tcMar>
              <w:top w:w="0" w:type="dxa"/>
              <w:left w:w="0" w:type="dxa"/>
              <w:bottom w:w="0" w:type="dxa"/>
              <w:right w:w="0" w:type="dxa"/>
            </w:tcMar>
            <w:vAlign w:val="center"/>
          </w:tcPr>
          <w:p>
            <w:pPr>
              <w:pStyle w:val="TableContents"/>
              <w:bidi w:val="0"/>
              <w:spacing w:lineRule="auto" w:line="240" w:before="160" w:after="160"/>
              <w:jc w:val="left"/>
              <w:rPr/>
            </w:pPr>
            <w:hyperlink w:anchor="i1c8212c3f09540629591953dc41512eb_187">
              <w:r>
                <w:rPr>
                  <w:rStyle w:val="InternetLink"/>
                  <w:rFonts w:ascii="Times New Roman;serif" w:hAnsi="Times New Roman;serif"/>
                  <w:b w:val="false"/>
                  <w:color w:val="0000FF"/>
                  <w:sz w:val="20"/>
                  <w:u w:val="single"/>
                </w:rPr>
                <w:t>FORM 10-K SUMMARY</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c8212c3f09540629591953dc41512eb_187">
              <w:r>
                <w:rPr>
                  <w:rStyle w:val="InternetLink"/>
                  <w:rFonts w:ascii="Times New Roman;serif" w:hAnsi="Times New Roman;serif"/>
                  <w:b w:val="false"/>
                  <w:color w:val="0000FF"/>
                  <w:sz w:val="20"/>
                  <w:u w:val="single"/>
                </w:rPr>
                <w:t>115</w:t>
              </w:r>
            </w:hyperlink>
          </w:p>
        </w:tc>
      </w:tr>
      <w:tr>
        <w:trPr/>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0" w:type="dxa"/>
            <w:gridSpan w:val="3"/>
            <w:tcBorders/>
            <w:tcMar>
              <w:top w:w="0" w:type="dxa"/>
              <w:left w:w="0" w:type="dxa"/>
              <w:bottom w:w="0" w:type="dxa"/>
              <w:right w:w="0" w:type="dxa"/>
            </w:tcMar>
            <w:vAlign w:val="center"/>
          </w:tcPr>
          <w:p>
            <w:pPr>
              <w:pStyle w:val="TableContents"/>
              <w:bidi w:val="0"/>
              <w:spacing w:lineRule="auto" w:line="240" w:before="160" w:after="160"/>
              <w:jc w:val="left"/>
              <w:rPr/>
            </w:pPr>
            <w:hyperlink w:anchor="i1c8212c3f09540629591953dc41512eb_190">
              <w:r>
                <w:rPr>
                  <w:rStyle w:val="InternetLink"/>
                  <w:rFonts w:ascii="Times New Roman;serif" w:hAnsi="Times New Roman;serif"/>
                  <w:b w:val="false"/>
                  <w:color w:val="0000FF"/>
                  <w:sz w:val="20"/>
                  <w:u w:val="single"/>
                </w:rPr>
                <w:t>EXHIBIT INDEX</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c8212c3f09540629591953dc41512eb_190">
              <w:r>
                <w:rPr>
                  <w:rStyle w:val="InternetLink"/>
                  <w:rFonts w:ascii="Times New Roman;serif" w:hAnsi="Times New Roman;serif"/>
                  <w:b w:val="false"/>
                  <w:color w:val="0000FF"/>
                  <w:sz w:val="20"/>
                  <w:u w:val="single"/>
                </w:rPr>
                <w:t>116</w:t>
              </w:r>
            </w:hyperlink>
          </w:p>
        </w:tc>
      </w:tr>
      <w:tr>
        <w:trPr/>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8212c3f09540629591953dc41512eb_193">
              <w:r>
                <w:rPr>
                  <w:rStyle w:val="InternetLink"/>
                  <w:rFonts w:ascii="Times New Roman;serif" w:hAnsi="Times New Roman;serif"/>
                  <w:b w:val="false"/>
                  <w:color w:val="0000FF"/>
                  <w:sz w:val="20"/>
                  <w:u w:val="single"/>
                </w:rPr>
                <w:t>SIGNATURES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c8212c3f09540629591953dc41512eb_193">
              <w:r>
                <w:rPr>
                  <w:rStyle w:val="InternetLink"/>
                  <w:rFonts w:ascii="Times New Roman;serif" w:hAnsi="Times New Roman;serif"/>
                  <w:b w:val="false"/>
                  <w:color w:val="0000FF"/>
                  <w:sz w:val="20"/>
                  <w:u w:val="single"/>
                </w:rPr>
                <w:t>122</w:t>
              </w:r>
            </w:hyperlink>
          </w:p>
        </w:tc>
      </w:tr>
      <w:tr>
        <w:trPr/>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Table of Contents</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IMPORTANT FACTORS REGARDING FORWARD-LOOKING STATEMENTS</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Forward-looking statements in this document are subject to known and unknown risks, uncertainties and other factors that may cause actual results, performance or achievements of Gaming and Leisure Properties, Inc. ("GLPI") and its subsidiaries (collectively with GLPI, the "Company") to be materially different from any future results, performance or achievements expressed or implied by such forward-looking statements. Forward-looking statements include information concerning the Company's business strategy, plans, goals and objectives.</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Forward-looking statements in this document include, but are not limited to, statements regarding our ability to grow our portfolio of gaming facilities. In addition, statements preceded by, followed by or that otherwise include the words "believes," "expects," "anticipates," "intends," "projects," "estimates," "plans," "may increase," "may fluctuate," and similar expressions or future or conditional verbs such as "will," "should," "would," "may" and "could" are generally forward-looking in nature and not historical facts. You should understand that the following important factors could affect future results and could cause actual results to differ materially from those expressed in such forward-looking statements: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our partner’s ability to successfully complete construction of various casino projects currently under development for which we have agreed to provide construction development funding, including the Bally's Chicago Casino Resort ("Bally’s Chicago"), and the ability and willingness of our partners to meet and/or perform their respective obligations under the applicable construction financing and/or development documents;</w:t>
      </w:r>
    </w:p>
    <w:p>
      <w:pPr>
        <w:pStyle w:val="TextBody"/>
        <w:bidi w:val="0"/>
        <w:spacing w:lineRule="auto" w:line="247" w:before="160" w:after="160"/>
        <w:ind w:left="0" w:right="0" w:hanging="360"/>
        <w:jc w:val="both"/>
        <w:rPr/>
      </w:pPr>
      <w:r>
        <w:rPr>
          <w:color w:val="000000"/>
        </w:rPr>
        <w:t>•</w:t>
      </w:r>
      <w:r>
        <w:rPr>
          <w:rFonts w:ascii="Times New Roman;serif" w:hAnsi="Times New Roman;serif"/>
          <w:b w:val="false"/>
          <w:color w:val="000000"/>
          <w:sz w:val="20"/>
        </w:rPr>
        <w:t>the impact that higher inflation and interest rates and uncertainty with respect to the future state of the economy could have on discretionary consumer spending, including the casino operations of our tenants;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unforeseen consequences related to United States ("U.S.") government economic, monetary or trade policies and stimulus packages on inflation rates, interest rates and economic growth;</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ability of our tenants to maintain the financial strength and liquidity necessary to satisfy their respective obligations and liabilities to third parties, including, without limitation, to satisfy obligations under their existing credit facilities and other indebtedness;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availability of and the ability to identify suitable and attractive acquisition and development opportunities and the ability to acquire and lease the respective properties on favorable terms;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degree and nature of our competition;</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ability to receive, or delays in obtaining, the regulatory approvals required to own our properties, or other delays or impediments to completing our planned acquisitions or projects;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potential of a new pandemic or similar national health crisis, including its effect on the ability or desire of people to gather in large groups (including in casinos), which could impact our financial results, operations, outlooks, plans, goals, growth, cash flows, liquidity, and stock price;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maintain our status as a real estate investment trust ("REIT"), given the highly technical and complex Internal Revenue Code (the "Code") provisions for which only limited judicial and administrative authorities exist, where even a technical or inadvertent violation could jeopardize REIT qualification and where requirements may depend in part on the actions of third parties over which the Company has no control or only limited influence;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satisfy certain asset, income, organizational, distribution, shareholder ownership and other requirements on a continuing basis in order for the Company to maintain its REIT status;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ability and willingness of our tenants and other third parties to meet and/or perform their obligations under their respective contractual arrangements with us, including lease and note requirements and in some cases, their obligations to indemnify, defend and hold us harmless from and against various claims, litigation and liabilities;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ability of our tenants to comply with laws, rules and regulations in the operation of our properties, to deliver high quality services, to attract and retain qualified personnel and to attract customers;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ability to generate sufficient cash flows to service and comply with financial covenants under our outstanding indebtedness;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Table of Contents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access capital through debt and equity markets in amounts and at rates and costs acceptable to GLPI, including for the satisfaction of our funding commitments to the extent drawn by our partners, acquisitions or refinancings due to maturities;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with respect to our tenant funding commitments, the amounts drawn and the timing of these draws may be different than what the Company assumed;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adverse changes in our credit rating;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availability of qualified personnel and our ability to retain our key management personnel;</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the U.S. tax law and other federal, state or local laws or regulations, whether or not specific to real estate, REITs or the gaming, lodging or hospitality industries;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accounting standards;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impact of weather or climate events or conditions, natural disasters, acts of terrorism and other international hostilities, war (including the current conflict between Russia and Ukraine and conflicts in the Middle East) or political instability;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risk that the historical financial statements included herein do not reflect what the business, financial position or results of operations of GLPI may be in the future;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other risks inherent in the real estate business, including potential liability relating to environmental matters and illiquidity of real estate investments; and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additional factors discussed in the sections entitled "Risk Factors" and "Management's Discussion and Analysis of Financial Condition and Results of Operations" in this report.</w:t>
      </w:r>
    </w:p>
    <w:p>
      <w:pPr>
        <w:pStyle w:val="TextBody"/>
        <w:bidi w:val="0"/>
        <w:spacing w:before="0" w:after="0"/>
        <w:jc w:val="both"/>
        <w:rPr/>
      </w:pPr>
      <w:r>
        <w:rPr/>
      </w:r>
    </w:p>
    <w:p>
      <w:pPr>
        <w:pStyle w:val="TextBody"/>
        <w:bidi w:val="0"/>
        <w:spacing w:lineRule="auto" w:line="288" w:before="160" w:after="16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Other unknown or unpredictable factors may also cause actual results to differ materially from those projected by the forward-looking statements. Most of these factors are difficult to anticipate and are generally beyond the control of the Company.</w:t>
      </w:r>
    </w:p>
    <w:p>
      <w:pPr>
        <w:pStyle w:val="TextBody"/>
        <w:bidi w:val="0"/>
        <w:spacing w:lineRule="auto" w:line="288" w:before="160" w:after="16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You should consider the areas of risk described above, as well as those set forth under the heading "Risk Factors," in connection with considering any forward-looking statements that may be made by the Company generally. The Company does not undertake any obligation to release publicly any revisions to any forward-looking statements, to report events or to report the occurrence of unanticipated events unless required to do so by law.</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Table of Contents</w:t>
      </w:r>
    </w:p>
    <w:p>
      <w:pPr>
        <w:pStyle w:val="TextBody"/>
        <w:bidi w:val="0"/>
        <w:spacing w:lineRule="auto" w:line="288" w:before="16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this Annual Report on Form 10-K, the terms "we," "us," "our," the "Company" and "GLPI" refer to Gaming and Leisure Properties, Inc. and its subsidiaries, unless the context indicates otherwise.</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ITEM 1.    BUSINESS</w:t>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GLPI is a self-administered and self-managed Pennsylvania REIT. GLPI was incorporated on February 13, 2013, as a wholly-owned subsidiary of PENN Entertainment, Inc., formerly known as Penn National Gaming, Inc. (NASDAQ: PENN) ("PENN"). On November 1, 2013, PENN contributed to the Company, through a series of internal corporate restructurings, substantially all of the assets and liabilities associated with PENN's real property interests and real estate development business, as well as the assets and liabilities of Hollywood Casino Baton Rouge and Hollywood Casino Perryville (which are referred to as the "TRS Properties") and then spun-off GLPI to holders of PENN's common and preferred stock in a tax-free distribution (the "Spin-Off"). </w:t>
      </w:r>
    </w:p>
    <w:p>
      <w:pPr>
        <w:pStyle w:val="TextBody"/>
        <w:bidi w:val="0"/>
        <w:spacing w:lineRule="auto" w:line="276" w:before="1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Since 2021, the Company has been structured as an umbrella partnership REIT under which substantially all of its business is conducted through GLP Capital, L.P. ("GLP Capital"), the day-to-day management of which is exclusively controlled by GLPI. GLPI has no material assets other than its investment in GLP Capital. GLPI issues equity from time to time and is obligated to contribute the net proceeds from those offerings to GLP Capital. As of December 31, 2025, GLPI owned 97.1% of the outstanding units of GLP Capital with the remaining units owned by third party limited partners who (directly or through affiliates) contributed properties to GLP Capital in exchange for consideration that was partially funded through the issuance of operating partnership units ("OP Units") and holders of long term incentive plan units ("LTIP Units"). The OP Units and LTIP Units once vested are exchangeable on a one for one basis for common shares of the Company. The Company's common stock is listed on the NASDAQ under the ticker symbol GLPI.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All debt of the Company, including revolving credit facilities, term loans and senior unsecured notes, is incurred by GLP Capital and its subsidiaries. GLPI has fully and unconditionally guaranteed all of the Company's outstanding debt obligations.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seeks to provide an opportunity to invest in the growth opportunities afforded by the gaming industry, with the stability and cash flow opportunities of a REIT. GLPI’s primary business consists of acquiring, financing, and owning real estate property to be leased to gaming operators in triple-net lease arrangements. The Company also extends loans that produce fixed or variable returns which may convert into leased rent upon project completion or stabilization. </w:t>
      </w:r>
    </w:p>
    <w:p>
      <w:pPr>
        <w:pStyle w:val="TextBody"/>
        <w:bidi w:val="0"/>
        <w:spacing w:lineRule="auto" w:line="288" w:before="1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GLPI's portfolio consisted of interests in 69 gaming and related facilities, including the real property associated with 34 gaming and related facilities operated by PENN, the real property associated with 6 gaming and related facilities operated by Caesars Entertainment (NASDAQ: CZR) ("Caesars"), the real property associated with 4 gaming and related facilities operated by Boyd Gaming Corporation (NYSE: BYD) ("Boyd"), the real property associated with 15 gaming and related facilities operated by Bally's Corporation (NYSE: BALY) ("Bally's") and 1 facility under development namely Bally's Chicago, the real property associated with 3 gaming and related facilities operated by The Cordish Companies ("Cordish"), 1 gaming facility managed by a subsidiary of Hard Rock International ("Hard Rock"), 4 gaming and related facilities operated by Strategic Gaming Management, LLC ("Strategic") and 1 gaming and related facility operated by American Racing &amp; Entertainment, LLC ("American Racing"). These facilities, including our corporate headquarters building, are geographically diversified across 20 states and we own over 5,600 acres and lease approximately 1,000 acres. As of December 31, 2025, our properties were 100% occupied. GLPI expects to continue growing its portfolio by pursuing opportunities to acquire or develop additional gaming facilities to lease to gaming operators under prudent terms. </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Our Competitive Strengths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the following competitive strengths will contribute significantly to our success: </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Geographically Diverse Property Portfolio</w:t>
      </w:r>
    </w:p>
    <w:p>
      <w:pPr>
        <w:pStyle w:val="TextBody"/>
        <w:bidi w:val="0"/>
        <w:spacing w:lineRule="auto" w:line="288" w:before="1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seek to expand our portfolio by working with multiple tenants in different jurisdictions. We are focused primarily on regional gaming markets where customers are less dependent on air travel and where demand has historically been resilient. As of December 31, 2025, our portfolio consisted of 69 gaming and related facilities. Our portfolio, including our corporate headquarters building, is comprised of approximately 6,600 acres of land and is broadly diversified by location across 20 states which we expect to expand to 22 states our recently announced transactions in California and Virginia. We expect that our geographic diversification will limit the effect of a decline in any one regional market on our overall performance.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Table of Contents</w:t>
      </w: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 xml:space="preserve">Financially Secure Tenants </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Approximately 97% of our cash rent comes from five of the company's tenants, PENN, Caesars, Boyd, Cordish and Bally's, that are leading, diversified, multi-jurisdictional owners and managers of gaming and pari-mutuel properties and established gaming providers. With the exception of Cordish, all of the aforementioned tenants are publicly traded companies that are subject to the informational filing requirements of the Securities Exchange Act of 1934, as amended, and are required to file periodic reports on Form 10-K and Form 10-Q and current reports on Form 8-K with the Securities and Exchange Commission ("SEC"). Readers are directed to PENN's, Caesars, Boyd's and Bally's respective websites for further financial information on these companies. </w:t>
      </w: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Long-Term, Triple-Net Lease Structure</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real estate properties are leased under long-term triple-net leases guaranteed by our tenants, pursuant to which the tenant is responsible for all facility maintenance, insurance required in connection with the leased properties and the business conducted on the leased properties, including coverage of the landlord's interests, taxes levied on or with respect to the leased properties (other than taxes on our income) and all utilities and other services necessary or appropriate for the leased properties and the business conducted on the leased properties. Our leases include fixed escalators, escalators that are subject to the attainment of certain rent coverage ratios and other contractual rent growth features such as those linked to the Consumer Price Index ("CPI") with floors and ceilings.</w:t>
      </w: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 xml:space="preserve">Resilient Regional Gaming Characteristics </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asset portfolio is composed primarily of regional, drive-to gaming properties rather than destination resorts. Historically, regional gaming properties have demonstrated lower performance volatility as compared to destination resort casinos. Additionally, given lower capex burdens, regional gaming assets often prove to be more stable cash flowing assets when compared to destination resorts, under similar rent structure dynamics. Furthermore, we believe that the recession resulting from the COVID-19 pandemic has illustrated the resiliency of the regional gaming market. In spite of all our properties being mandated to close during mid-March 2020, the Company received all contractual rents, inclusive of rent credits, due in 2020. We believe that our assets should generate substantial cash flows well into the future for both ourselves and our tenants. </w:t>
      </w: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 xml:space="preserve">Embedded growth through funding commitments </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grows through contractual escalations in our leases as well as acquisitions and fundings for development projects. Since January 1, 2024, we have completed transactions totaling $3.7 billion. See footnote 11 in the Notes to the financial statements for listing of the various funding commitments that are expected to contribute to future growth opportunities for the Company. </w:t>
      </w: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Flexible UPREIT Structure and disciplined capital allocation</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operate through an umbrella partnership, commonly referred to as an UPREIT structure, in which substantially all of our properties and assets are held by GLP Capital or by subsidiaries of GLP Capital. Conducting business through GLP Capital allows us flexibility in the manner in which we structure and acquire properties. In particular, an UPREIT structure may provide the ability to acquire additional properties from sellers in exchange for limited partnership units, which provides property owners the opportunity to defer the tax consequences that would otherwise arise from a sale of their real properties and other assets to us. As a result, this structure may potentially facilitate our acquisition of assets in a more efficient manner and may allow us to acquire assets that the owner would otherwise be unwilling to sell because of tax considerations. We believe that this flexibility may provide us an advantage in seeking future acquisitions. </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target accretive acquisitions and investments funded with a mix of debt and equity, while maintaining a conservative balance sheet and a credit profile supportive of investment-grade ratings.</w:t>
      </w: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Experienced and Committed Management Team</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management team has extensive gaming and real estate experience. Peter M. Carlino, our chief executive officer, has more than 30 years of experience in the acquisition and development of gaming facilities and other real estate projects. Through years of public company experience, our management team also has extensive experience accessing both debt and equity capital markets to fund growth and maintain a flexible capital structure.</w:t>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Table of Contents</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Property and lease information</w:t>
      </w:r>
    </w:p>
    <w:p>
      <w:pPr>
        <w:pStyle w:val="TextBody"/>
        <w:bidi w:val="0"/>
        <w:spacing w:lineRule="auto" w:line="268" w:before="1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At December 31, 2025, the Company had the following leases in place with various tenants: </w:t>
      </w:r>
    </w:p>
    <w:p>
      <w:pPr>
        <w:pStyle w:val="TextBody"/>
        <w:bidi w:val="0"/>
        <w:spacing w:lineRule="auto" w:line="268" w:before="16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PENN Leases and Boyd Leases</w:t>
      </w:r>
    </w:p>
    <w:p>
      <w:pPr>
        <w:pStyle w:val="TextBody"/>
        <w:bidi w:val="0"/>
        <w:spacing w:lineRule="auto" w:line="268" w:before="1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1, 2023, the Company amended its original master lease with PENN (the "Amended Penn Master Lease") to transfer five properties to a new master lease (the "PENN 2023 Master Lease"). Both of these leases are triple-net leases, the terms of which expire on October 31, 2033, with no purchase options, followed by three remaining 5-year renewal options (exercisable by the tenant) on the same terms and conditions. </w:t>
      </w:r>
    </w:p>
    <w:p>
      <w:pPr>
        <w:pStyle w:val="TextBody"/>
        <w:bidi w:val="0"/>
        <w:spacing w:lineRule="auto" w:line="268" w:before="1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April 2016, the Company acquired substantially all of the real estate assets of Pinnacle Entertainment, Inc. ("Pinnacle") and leased these assets back to Pinnacle, under a triple-net lease, the term of which expires April 30, 2031, with no purchase option, followed by four remaining 5-year renewal options (exercisable by the tenant) on the same terms and conditions (the "Pinnacle Master Lease"). </w:t>
      </w:r>
    </w:p>
    <w:p>
      <w:pPr>
        <w:pStyle w:val="TextBody"/>
        <w:bidi w:val="0"/>
        <w:spacing w:lineRule="auto" w:line="268" w:before="1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15, 2018, the Company completed transactions with PENN, Pinnacle and Boyd to accommodate PENN's acquisition of the majority of Pinnacle's operations, pursuant to a definitive agreement and plan of merger between PENN and Pinnacle, dated December 17, 2017 (the "PENN-Pinnacle Merger"). Concurrent with the PENN-Pinnacle Merger, the Company amended the Pinnacle Master Lease to allow for the sale of the operating assets of Ameristar Casino Hotel Kansas City, Ameristar Casino Resort Spa St. Charles and Belterra Casino Resort from Pinnacle to Boyd (the "Amended Pinnacle Master Lease") and entered into a new unitary triple-net lease with Boyd (the "Boyd Master Lease") for these properties on terms similar to the Company's Amended Pinnacle Master Lease. </w:t>
      </w:r>
    </w:p>
    <w:p>
      <w:pPr>
        <w:pStyle w:val="TextBody"/>
        <w:bidi w:val="0"/>
        <w:spacing w:lineRule="auto" w:line="268" w:before="1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also purchased the real estate assets of Plainridge Park Casino ("Plainridge Park") from PENN and added this property to the Amended Pinnacle Master Lease. The Amended Pinnacle Master Lease was assumed by PENN at the consummation of the PENN-Pinnacle Merger. </w:t>
      </w:r>
    </w:p>
    <w:p>
      <w:pPr>
        <w:pStyle w:val="TextBody"/>
        <w:bidi w:val="0"/>
        <w:spacing w:lineRule="auto" w:line="268" w:before="160" w:after="283"/>
        <w:ind w:left="0" w:right="0" w:firstLine="720"/>
        <w:jc w:val="both"/>
        <w:rPr/>
      </w:pPr>
      <w:r>
        <w:rPr>
          <w:rFonts w:ascii="Times New Roman;serif" w:hAnsi="Times New Roman;serif"/>
          <w:b w:val="false"/>
          <w:color w:val="000000"/>
          <w:sz w:val="20"/>
        </w:rPr>
        <w:t>The Company also entered into a mortgage loan agreement with Boyd in connection with Boyd's acquisition of Belterra Park Gaming &amp; Entertainment Center ("Belterra Park"), whereby the Company loaned Boyd $57.7 million (the "Belterra Park Loan"). In May 2020, the Company acquired the real estate of Belterra Park in satisfaction of the Belterra Park Loan, subject to a long-term lease (the "Belterra Park Lease") with a Boyd affiliate operating the property.</w:t>
      </w:r>
      <w:r>
        <w:rPr>
          <w:color w:val="000000"/>
        </w:rPr>
        <w:t xml:space="preserve"> </w:t>
      </w:r>
      <w:r>
        <w:rPr>
          <w:rFonts w:ascii="Times New Roman;serif" w:hAnsi="Times New Roman;serif"/>
          <w:b w:val="false"/>
          <w:color w:val="000000"/>
          <w:sz w:val="20"/>
        </w:rPr>
        <w:t xml:space="preserve">The Belterra Park Lease rent terms are consistent with the Boyd Master Lease. </w:t>
      </w:r>
    </w:p>
    <w:p>
      <w:pPr>
        <w:pStyle w:val="TextBody"/>
        <w:bidi w:val="0"/>
        <w:spacing w:lineRule="auto" w:line="268" w:before="1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1, 2020, the Company acquired the land under PENN's gaming facility under construction in Morgantown, Pennsylvania. The Company is leasing the land back to an affiliate of PENN for an initial term of 20 years with no purchase option, followed by six 5-year renewal options exercisable by the tenant (the "Morgantown Lease"). </w:t>
      </w:r>
    </w:p>
    <w:p>
      <w:pPr>
        <w:pStyle w:val="TextBody"/>
        <w:bidi w:val="0"/>
        <w:spacing w:lineRule="auto" w:line="268" w:before="16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Bally's Leases</w:t>
      </w:r>
    </w:p>
    <w:p>
      <w:pPr>
        <w:pStyle w:val="TextBody"/>
        <w:bidi w:val="0"/>
        <w:spacing w:lineRule="auto" w:line="268" w:before="1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several leases and development agreements with Bally's. The first lease was entered into on June 3, 2021 and subsequent to this date the lease was amended to add several additional real estate assets of Bally's to it (the "Bally's Master Lease"). </w:t>
      </w:r>
    </w:p>
    <w:p>
      <w:pPr>
        <w:pStyle w:val="TextBody"/>
        <w:bidi w:val="0"/>
        <w:spacing w:lineRule="auto" w:line="268" w:before="1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September 26, 2022, Bally’s acquired both GLPI’s building assets and PENN's outstanding equity interests in Tropicana Las Vegas for an aggregate cash acquisition price, net of fees and expenses, of approximately $145 million. GLPI retained ownership of the land and concurrently entered into a ground lease with Bally's for an initial term of 50 years (with a maximum term of 99 years inclusive of tenant renewal options) (as amended, the "Tropicana Las Vegas Lease").</w:t>
      </w:r>
    </w:p>
    <w:p>
      <w:pPr>
        <w:pStyle w:val="TextBody"/>
        <w:bidi w:val="0"/>
        <w:spacing w:lineRule="auto" w:line="268" w:before="1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11, 2024, the Company assumed the ground lease for the real estate of the Bally's Chicago site between the existing third party and Bally's for approximately $250 million. The ground lease was amended such that the Company receives initial annual rent of $20 million. In July 2025, the Company entered into a development agreement for Bally's Chicago and amended the existing land lease to include the building improvements (the "Bally's Chicago Lease"). </w:t>
      </w:r>
    </w:p>
    <w:p>
      <w:pPr>
        <w:pStyle w:val="TextBody"/>
        <w:bidi w:val="0"/>
        <w:spacing w:lineRule="auto" w:line="268" w:before="1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December 16, 2024, the Company completed the acquisition of the real property assets of both Bally’s Kansas City Casino and Bally’s Shreveport Casino &amp; Hotel. The two properties are in a master lease that is cross-defaulted with the existing Bally’s Master Lease ("Bally's Master Lease II"). Effective July 1, 2025, the DraftKings at Casino Queen and The Queen Baton Rouge properties in the Casino Queen Master Lease (defined below) were transferred to Bally's Master Lease II. Additionally, annual rental income of $28.9 million was reallocated from the Casino Queen Master Lease to Bally's Master Lease II.</w:t>
      </w:r>
    </w:p>
    <w:p>
      <w:pPr>
        <w:pStyle w:val="TextBody"/>
        <w:bidi w:val="0"/>
        <w:spacing w:lineRule="auto" w:line="268" w:before="1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7, 2025, Bally's completed its merger transactions with Standard General L.P. and its affiliates, and pursuant to the terms of a definitive merger agreement, among other changes resulting from the merger, The Queen Casino &amp; Entertainment ("Casino Queen") became a subsidiary of Bally's. The Company has a master lease with Casino Queen which became effective December 17, 2021 (as amended, the "Casino Queen Master Lease"). Effective July 1, 2025, the DraftKings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Table of Contents</w:t>
      </w:r>
    </w:p>
    <w:p>
      <w:pPr>
        <w:pStyle w:val="TextBody"/>
        <w:bidi w:val="0"/>
        <w:spacing w:lineRule="auto" w:line="26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at Casino Queen and The Queen Baton Rouge properties in the Casino Queen Master Lease were moved to Bally's Master Lease II as previously discussed above. </w:t>
      </w:r>
    </w:p>
    <w:p>
      <w:pPr>
        <w:pStyle w:val="TextBody"/>
        <w:bidi w:val="0"/>
        <w:spacing w:lineRule="auto" w:line="268" w:before="16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Caesars Leases</w:t>
      </w:r>
    </w:p>
    <w:p>
      <w:pPr>
        <w:pStyle w:val="TextBody"/>
        <w:bidi w:val="0"/>
        <w:spacing w:lineRule="auto" w:line="268" w:before="1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1, 2018, the Company entered into a master lease with Caesars, which expires on September 30, 2038, with no purchase option, with four separate renewal options of 5 years each, exercisable at the tenant's option, on the same terms and conditions (as amended, the "Amended and Restated Caesars Master Lease"). </w:t>
      </w:r>
    </w:p>
    <w:p>
      <w:pPr>
        <w:pStyle w:val="TextBody"/>
        <w:bidi w:val="0"/>
        <w:spacing w:lineRule="auto" w:line="268" w:before="1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a single property lease with Caesars for the real estate assets of Horseshoe St. Louis (the "Horseshoe St. Louis Lease") which became effective on September 29, 2020, with no purchase option, whose initial term expires on October 31, 2033, with four separate renewal options of five years each, exercisable at the tenant's option. </w:t>
      </w:r>
    </w:p>
    <w:p>
      <w:pPr>
        <w:pStyle w:val="TextBody"/>
        <w:bidi w:val="0"/>
        <w:spacing w:lineRule="auto" w:line="268" w:before="16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Cordish Leases</w:t>
      </w:r>
    </w:p>
    <w:p>
      <w:pPr>
        <w:pStyle w:val="TextBody"/>
        <w:bidi w:val="0"/>
        <w:spacing w:lineRule="auto" w:line="268" w:before="1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29, 2021, the Company completed its acquisition of the real property assets of Live! Casino &amp; Hotel Maryland and entered into a single asset lease for the property (the "Maryland Live! Lease"). On March 1, 2022, the Company completed its acquisition of the real estate assets of Live! Casino &amp; Hotel Philadelphia and Live! Casino Pittsburgh and leased back the real estate to Cordish pursuant to a new triple net master lease with Cordish (as amended from time to time, the "Pennsylvania Live! Master Lease"). </w:t>
      </w:r>
    </w:p>
    <w:p>
      <w:pPr>
        <w:pStyle w:val="TextBody"/>
        <w:bidi w:val="0"/>
        <w:spacing w:lineRule="auto" w:line="268" w:before="16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Rockford Lease</w:t>
      </w:r>
    </w:p>
    <w:p>
      <w:pPr>
        <w:pStyle w:val="TextBody"/>
        <w:bidi w:val="0"/>
        <w:spacing w:lineRule="auto" w:line="268" w:before="1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29, 2023, the Company acquired the land associated with a casino development project in Rockford, IL, that opened in late August 2024 and is managed by a subsidiary of Hard Rock, from an affiliate of 815 Entertainment LLC ("815 Entertainment"). Simultaneously with the land acquisition, GLPI entered into a ground lease with 815 Entertainment for a 99-year term (the "Rockford Lease"). </w:t>
      </w:r>
    </w:p>
    <w:p>
      <w:pPr>
        <w:pStyle w:val="TextBody"/>
        <w:bidi w:val="0"/>
        <w:spacing w:lineRule="auto" w:line="268" w:before="16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Tioga Downs Lease</w:t>
      </w:r>
    </w:p>
    <w:p>
      <w:pPr>
        <w:pStyle w:val="TextBody"/>
        <w:bidi w:val="0"/>
        <w:spacing w:lineRule="auto" w:line="268" w:before="1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6, 2024, the Company acquired the real estate assets of Tioga Downs Casino Resort ("Tioga Downs") in Nichols, New York from American Racing. Simultaneous with the acquisition, GLPI and American Racing entered into a triple-net lease agreement for an initial 30-year term, with no purchase option, followed by two renewal options of 10 years each and a third renewal option of approximately 12 years and ten months (the "Tioga Downs Lease"). </w:t>
      </w:r>
    </w:p>
    <w:p>
      <w:pPr>
        <w:pStyle w:val="TextBody"/>
        <w:bidi w:val="0"/>
        <w:spacing w:lineRule="auto" w:line="268" w:before="16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Strategic Gaming Leases</w:t>
      </w:r>
    </w:p>
    <w:p>
      <w:pPr>
        <w:pStyle w:val="TextBody"/>
        <w:bidi w:val="0"/>
        <w:spacing w:lineRule="auto" w:line="268" w:before="1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May 16, 2024, the Company acquired the real estate assets of Silverado Franklin Hotel &amp; Gaming Complex ("Silverado"), the Deadwood Mountain Grand ("DMG") casino, and Baldini's Casino ("Baldini's") from Strategic. Simultaneous with the acquisition, GLP Capital and affiliates of Strategic entered into two cross-defaulted triple-net lease agreements, each for an initial 25-year term with no purchase option and two ten-year renewal periods (exercisable by the tenant) (the "Strategic Gaming Leases"). On October 15, 2025, the Company acquired the real estate assets of Sunland Park Racetrack and Casino ("Sunland Park") in Sunland Park, New Mexico for $183.75 million. The property was added to the Strategic Gaming Leases and annual rent was increased by $15.0 million.</w:t>
      </w:r>
    </w:p>
    <w:p>
      <w:pPr>
        <w:pStyle w:val="TextBody"/>
        <w:bidi w:val="0"/>
        <w:spacing w:lineRule="auto" w:line="268" w:before="16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Key terms of leases</w:t>
      </w:r>
    </w:p>
    <w:p>
      <w:pPr>
        <w:pStyle w:val="TextBody"/>
        <w:bidi w:val="0"/>
        <w:spacing w:lineRule="auto" w:line="268" w:before="1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disclosed the following key terms of its Master Leases and Single Property Leases in the tables below, along with the properties within each lease at December 31, 2025. We believe the following key terms are important for users of our financial statements to understand. </w:t>
      </w:r>
    </w:p>
    <w:p>
      <w:pPr>
        <w:pStyle w:val="TextBody"/>
        <w:bidi w:val="0"/>
        <w:spacing w:before="0" w:after="0"/>
        <w:ind w:left="0" w:right="0" w:firstLine="72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 xml:space="preserve">The Coverage ratio is a defined term in each respective lease agreement with our tenants and represents the ratio of Adjusted EBITDAR to rent expense for the properties contained within each lease. Adjusted EBITDAR is defined in each respective lease but is generally consistent with the Company's definition of Adjusted EBITDA as described in the </w:t>
      </w:r>
      <w:r>
        <w:rPr>
          <w:rFonts w:ascii="Times New Roman;serif" w:hAnsi="Times New Roman;serif"/>
          <w:b w:val="false"/>
          <w:i/>
          <w:color w:val="000000"/>
          <w:sz w:val="20"/>
        </w:rPr>
        <w:t>Results of Operations</w:t>
      </w:r>
      <w:r>
        <w:rPr>
          <w:color w:val="000000"/>
        </w:rPr>
        <w:t xml:space="preserve"> </w:t>
      </w:r>
      <w:r>
        <w:rPr>
          <w:rFonts w:ascii="Times New Roman;serif" w:hAnsi="Times New Roman;serif"/>
          <w:b w:val="false"/>
          <w:color w:val="000000"/>
          <w:sz w:val="20"/>
        </w:rPr>
        <w:t xml:space="preserve">section of this </w:t>
      </w:r>
      <w:r>
        <w:rPr>
          <w:rFonts w:ascii="Times New Roman;serif" w:hAnsi="Times New Roman;serif"/>
          <w:b w:val="false"/>
          <w:i/>
          <w:color w:val="000000"/>
          <w:sz w:val="20"/>
        </w:rPr>
        <w:t>Management Discussion and Analysis,</w:t>
      </w:r>
      <w:r>
        <w:rPr>
          <w:color w:val="000000"/>
        </w:rPr>
        <w:t xml:space="preserve"> </w:t>
      </w:r>
      <w:r>
        <w:rPr>
          <w:rFonts w:ascii="Times New Roman;serif" w:hAnsi="Times New Roman;serif"/>
          <w:b w:val="false"/>
          <w:color w:val="000000"/>
          <w:sz w:val="20"/>
        </w:rPr>
        <w:t>plus rent expense paid to GLPI.</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 xml:space="preserve">Certain leases have a Minimum Escalator Coverage Ratio Governor as disclosed below. Before a rent escalation of up to 2% on the building base rent component of each lease can occur, the minimum coverage ratio for these leases needs to be 1.8 to 1 for the applicable lease year. </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 xml:space="preserve">The reported Coverage ratios below with respect to our tenants' rent coverage over the trailing twelve months were provided by our tenants for the most recently available time period. GLPI has not independently verified the accuracy of the tenants' information and therefore makes no representation as to its accuracy. Rent coverage ratios are not reported for ground leases, leases with development projects or on leases that have been in effect for less than twelve months.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Table of Contents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Amended PENN Master Lease, the Amended Pinnacle Master Lease, the Boyd Master Lease, and the Belterra Park Lease each include (i) a fixed rent component, a portion of which escalates annually by up to 2% if specified rent coverage thresholds are met, and (ii) a percentage rent component tied to property performance. The percentage rent component is recalculated periodically, every five years for the Amended PENN Master Lease and every two years for the other leases, based on 4% of the average annual net revenues of the applicable facilities in excess of a contractually defined baseline, subject to certain floors.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846"/>
        <w:gridCol w:w="743"/>
        <w:gridCol w:w="756"/>
        <w:gridCol w:w="623"/>
        <w:gridCol w:w="623"/>
        <w:gridCol w:w="593"/>
        <w:gridCol w:w="423"/>
        <w:gridCol w:w="397"/>
        <w:gridCol w:w="338"/>
        <w:gridCol w:w="687"/>
        <w:gridCol w:w="687"/>
        <w:gridCol w:w="1501"/>
        <w:gridCol w:w="495"/>
        <w:gridCol w:w="495"/>
        <w:gridCol w:w="511"/>
        <w:gridCol w:w="109"/>
        <w:gridCol w:w="109"/>
        <w:gridCol w:w="109"/>
        <w:gridCol w:w="160"/>
      </w:tblGrid>
      <w:tr>
        <w:trPr/>
        <w:tc>
          <w:tcPr>
            <w:tcW w:w="846"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9718" w:type="dxa"/>
            <w:gridSpan w:val="15"/>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Master Leases</w:t>
            </w:r>
          </w:p>
        </w:tc>
        <w:tc>
          <w:tcPr>
            <w:tcW w:w="487" w:type="dxa"/>
            <w:gridSpan w:val="4"/>
            <w:tcBorders/>
          </w:tcPr>
          <w:p>
            <w:pPr>
              <w:pStyle w:val="TableContents"/>
              <w:bidi w:val="0"/>
              <w:spacing w:before="0" w:after="283"/>
              <w:jc w:val="left"/>
              <w:rPr>
                <w:sz w:val="4"/>
                <w:szCs w:val="4"/>
              </w:rPr>
            </w:pPr>
            <w:r>
              <w:rPr>
                <w:sz w:val="4"/>
                <w:szCs w:val="4"/>
              </w:rPr>
            </w:r>
          </w:p>
        </w:tc>
      </w:tr>
      <w:tr>
        <w:trPr/>
        <w:tc>
          <w:tcPr>
            <w:tcW w:w="23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7"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Penn 2023 Master Lease</w:t>
            </w:r>
          </w:p>
        </w:tc>
        <w:tc>
          <w:tcPr>
            <w:tcW w:w="4376"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Amended Penn Master Lease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gridSpan w:val="2"/>
            <w:tcBorders/>
          </w:tcPr>
          <w:p>
            <w:pPr>
              <w:pStyle w:val="TableContents"/>
              <w:bidi w:val="0"/>
              <w:spacing w:before="0" w:after="283"/>
              <w:jc w:val="left"/>
              <w:rPr>
                <w:sz w:val="4"/>
                <w:szCs w:val="4"/>
              </w:rPr>
            </w:pPr>
            <w:r>
              <w:rPr>
                <w:sz w:val="4"/>
                <w:szCs w:val="4"/>
              </w:rPr>
            </w:r>
          </w:p>
        </w:tc>
      </w:tr>
      <w:tr>
        <w:trPr/>
        <w:tc>
          <w:tcPr>
            <w:tcW w:w="2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Operator</w:t>
            </w:r>
          </w:p>
        </w:tc>
        <w:tc>
          <w:tcPr>
            <w:tcW w:w="2997"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PENN</w:t>
            </w:r>
          </w:p>
        </w:tc>
        <w:tc>
          <w:tcPr>
            <w:tcW w:w="437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PENN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Properties</w:t>
            </w:r>
          </w:p>
        </w:tc>
        <w:tc>
          <w:tcPr>
            <w:tcW w:w="1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Hollywood Casino Aurora</w:t>
            </w:r>
          </w:p>
        </w:tc>
        <w:tc>
          <w:tcPr>
            <w:tcW w:w="1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Aurora, IL</w:t>
            </w:r>
          </w:p>
        </w:tc>
        <w:tc>
          <w:tcPr>
            <w:tcW w:w="2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Hollywood Casino Lawrenceburg</w:t>
            </w:r>
          </w:p>
        </w:tc>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Lawrenceburg, 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Hollywood Casino Joliet</w:t>
            </w:r>
          </w:p>
        </w:tc>
        <w:tc>
          <w:tcPr>
            <w:tcW w:w="1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Joliet, IL</w:t>
            </w:r>
          </w:p>
        </w:tc>
        <w:tc>
          <w:tcPr>
            <w:tcW w:w="2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Argosy Casino Alton</w:t>
            </w:r>
          </w:p>
        </w:tc>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Alton, IL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Hollywood Casino Toledo</w:t>
            </w:r>
          </w:p>
        </w:tc>
        <w:tc>
          <w:tcPr>
            <w:tcW w:w="1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Toledo, OH</w:t>
            </w:r>
          </w:p>
        </w:tc>
        <w:tc>
          <w:tcPr>
            <w:tcW w:w="2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Hollywood Casino at Charles Town Races</w:t>
            </w:r>
          </w:p>
        </w:tc>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Charles Town, WV</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Hollywood Casino Columbus</w:t>
            </w:r>
          </w:p>
        </w:tc>
        <w:tc>
          <w:tcPr>
            <w:tcW w:w="1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Columbus, OH</w:t>
            </w:r>
          </w:p>
        </w:tc>
        <w:tc>
          <w:tcPr>
            <w:tcW w:w="2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Hollywood Casino at Penn National Race Course</w:t>
            </w:r>
          </w:p>
        </w:tc>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Grantville, PA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 Resort</w:t>
            </w:r>
          </w:p>
        </w:tc>
        <w:tc>
          <w:tcPr>
            <w:tcW w:w="1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Henderson, NV</w:t>
            </w:r>
          </w:p>
        </w:tc>
        <w:tc>
          <w:tcPr>
            <w:tcW w:w="2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Hollywood Casino Bangor</w:t>
            </w:r>
          </w:p>
        </w:tc>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Bangor, 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Hollywood Casino at the Meadows</w:t>
            </w:r>
          </w:p>
        </w:tc>
        <w:tc>
          <w:tcPr>
            <w:tcW w:w="1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Washington, PA</w:t>
            </w:r>
          </w:p>
        </w:tc>
        <w:tc>
          <w:tcPr>
            <w:tcW w:w="2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Zia Park Casino</w:t>
            </w:r>
          </w:p>
        </w:tc>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Hobbs, 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Hollywood Casino Perryville</w:t>
            </w:r>
          </w:p>
        </w:tc>
        <w:tc>
          <w:tcPr>
            <w:tcW w:w="1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Perryville, MD</w:t>
            </w:r>
          </w:p>
        </w:tc>
        <w:tc>
          <w:tcPr>
            <w:tcW w:w="2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Hollywood Casino Gulf Coast</w:t>
            </w:r>
          </w:p>
        </w:tc>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Bay St. Louis, 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Argosy Casino Riverside</w:t>
            </w:r>
          </w:p>
        </w:tc>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Riverside, MO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Hollywood Casino Tunica</w:t>
            </w:r>
          </w:p>
        </w:tc>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Tunica, 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Boomtown Biloxi</w:t>
            </w:r>
          </w:p>
        </w:tc>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Biloxi, 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Hollywood Casino St. Louis</w:t>
            </w:r>
          </w:p>
        </w:tc>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Maryland Heights, MO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Hollywood Gaming Casino at Dayton Raceway</w:t>
            </w:r>
          </w:p>
        </w:tc>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Dayton, OH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Hollywood Gaming Casino at Mahoning Valley Race Track</w:t>
            </w:r>
          </w:p>
        </w:tc>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Youngstown, OH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1st Jackpot Casino</w:t>
            </w:r>
          </w:p>
        </w:tc>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Tunica, 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Commencement Date</w:t>
            </w:r>
          </w:p>
        </w:tc>
        <w:tc>
          <w:tcPr>
            <w:tcW w:w="1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1/1/2023</w:t>
            </w:r>
          </w:p>
        </w:tc>
        <w:tc>
          <w:tcPr>
            <w:tcW w:w="1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11/1/2013</w:t>
            </w:r>
          </w:p>
        </w:tc>
        <w:tc>
          <w:tcPr>
            <w:tcW w:w="1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 Expiration Date</w:t>
            </w:r>
          </w:p>
        </w:tc>
        <w:tc>
          <w:tcPr>
            <w:tcW w:w="1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10/31/2033</w:t>
            </w:r>
          </w:p>
        </w:tc>
        <w:tc>
          <w:tcPr>
            <w:tcW w:w="1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10/31/2033</w:t>
            </w:r>
          </w:p>
        </w:tc>
        <w:tc>
          <w:tcPr>
            <w:tcW w:w="1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Remaining Renewal Terms</w:t>
            </w:r>
          </w:p>
        </w:tc>
        <w:tc>
          <w:tcPr>
            <w:tcW w:w="1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(3x5 years)</w:t>
            </w:r>
          </w:p>
        </w:tc>
        <w:tc>
          <w:tcPr>
            <w:tcW w:w="1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(3x5 years)</w:t>
            </w:r>
          </w:p>
        </w:tc>
        <w:tc>
          <w:tcPr>
            <w:tcW w:w="1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Guarantee</w:t>
            </w:r>
          </w:p>
        </w:tc>
        <w:tc>
          <w:tcPr>
            <w:tcW w:w="1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Yes</w:t>
            </w:r>
          </w:p>
        </w:tc>
        <w:tc>
          <w:tcPr>
            <w:tcW w:w="1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Yes</w:t>
            </w:r>
          </w:p>
        </w:tc>
        <w:tc>
          <w:tcPr>
            <w:tcW w:w="1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Master Lease with Cross Collateralization</w:t>
            </w:r>
          </w:p>
        </w:tc>
        <w:tc>
          <w:tcPr>
            <w:tcW w:w="1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Yes</w:t>
            </w:r>
          </w:p>
        </w:tc>
        <w:tc>
          <w:tcPr>
            <w:tcW w:w="1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Yes</w:t>
            </w:r>
          </w:p>
        </w:tc>
        <w:tc>
          <w:tcPr>
            <w:tcW w:w="1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Technical Default Landlord Protection</w:t>
            </w:r>
          </w:p>
        </w:tc>
        <w:tc>
          <w:tcPr>
            <w:tcW w:w="1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Yes</w:t>
            </w:r>
          </w:p>
        </w:tc>
        <w:tc>
          <w:tcPr>
            <w:tcW w:w="1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Yes</w:t>
            </w:r>
          </w:p>
        </w:tc>
        <w:tc>
          <w:tcPr>
            <w:tcW w:w="1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Default Adjusted Revenue to Rent Coverage</w:t>
            </w:r>
          </w:p>
        </w:tc>
        <w:tc>
          <w:tcPr>
            <w:tcW w:w="1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Competitive Radius Landlord Protection</w:t>
            </w:r>
          </w:p>
        </w:tc>
        <w:tc>
          <w:tcPr>
            <w:tcW w:w="1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Yes</w:t>
            </w:r>
          </w:p>
        </w:tc>
        <w:tc>
          <w:tcPr>
            <w:tcW w:w="1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Yes</w:t>
            </w:r>
          </w:p>
        </w:tc>
        <w:tc>
          <w:tcPr>
            <w:tcW w:w="1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Escalator Details</w:t>
            </w:r>
          </w:p>
        </w:tc>
        <w:tc>
          <w:tcPr>
            <w:tcW w:w="1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Yearly Base Rent Escalator Maximum</w:t>
            </w:r>
          </w:p>
        </w:tc>
        <w:tc>
          <w:tcPr>
            <w:tcW w:w="18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8"/>
              </w:rPr>
              <w:t xml:space="preserve">1.5% </w:t>
            </w:r>
            <w:r>
              <w:rPr>
                <w:rFonts w:ascii="Times New Roman;serif" w:hAnsi="Times New Roman;serif"/>
                <w:b w:val="false"/>
                <w:color w:val="000000"/>
                <w:sz w:val="12"/>
              </w:rPr>
              <w:t>(1)</w:t>
            </w:r>
          </w:p>
        </w:tc>
        <w:tc>
          <w:tcPr>
            <w:tcW w:w="1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Coverage ratio at September 30, 2025</w:t>
            </w:r>
          </w:p>
        </w:tc>
        <w:tc>
          <w:tcPr>
            <w:tcW w:w="1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w:t>
            </w:r>
          </w:p>
        </w:tc>
        <w:tc>
          <w:tcPr>
            <w:tcW w:w="1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w:t>
            </w:r>
          </w:p>
        </w:tc>
        <w:tc>
          <w:tcPr>
            <w:tcW w:w="1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Minimum Escalator Coverage Governor</w:t>
            </w:r>
          </w:p>
        </w:tc>
        <w:tc>
          <w:tcPr>
            <w:tcW w:w="1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1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Yearly Anniversary for Realization</w:t>
            </w:r>
          </w:p>
        </w:tc>
        <w:tc>
          <w:tcPr>
            <w:tcW w:w="1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November</w:t>
            </w:r>
          </w:p>
        </w:tc>
        <w:tc>
          <w:tcPr>
            <w:tcW w:w="1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November</w:t>
            </w:r>
          </w:p>
        </w:tc>
        <w:tc>
          <w:tcPr>
            <w:tcW w:w="1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Percentage Rent Reset Details</w:t>
            </w:r>
          </w:p>
        </w:tc>
        <w:tc>
          <w:tcPr>
            <w:tcW w:w="1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Reset Frequency</w:t>
            </w:r>
          </w:p>
        </w:tc>
        <w:tc>
          <w:tcPr>
            <w:tcW w:w="1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1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years</w:t>
            </w:r>
          </w:p>
        </w:tc>
        <w:tc>
          <w:tcPr>
            <w:tcW w:w="1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Next Reset</w:t>
            </w:r>
          </w:p>
        </w:tc>
        <w:tc>
          <w:tcPr>
            <w:tcW w:w="1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1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Nov-28</w:t>
            </w:r>
          </w:p>
        </w:tc>
        <w:tc>
          <w:tcPr>
            <w:tcW w:w="1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60" w:after="283"/>
        <w:ind w:left="0" w:right="0" w:hanging="720"/>
        <w:jc w:val="both"/>
        <w:rPr/>
      </w:pPr>
      <w:r>
        <w:rPr>
          <w:rFonts w:ascii="Times New Roman;serif" w:hAnsi="Times New Roman;serif"/>
          <w:b w:val="false"/>
          <w:color w:val="000000"/>
          <w:sz w:val="13"/>
        </w:rPr>
        <w:t>(1)</w:t>
      </w:r>
      <w:r>
        <w:rPr>
          <w:color w:val="000000"/>
        </w:rPr>
        <w:t>    </w:t>
      </w:r>
      <w:r>
        <w:rPr>
          <w:rFonts w:ascii="Times New Roman;serif" w:hAnsi="Times New Roman;serif"/>
          <w:b w:val="false"/>
          <w:color w:val="000000"/>
          <w:sz w:val="20"/>
        </w:rPr>
        <w:t xml:space="preserve">In addition to the annual escalation, a one-time annualized increase of $1.4 million occurs on November 1, 2027.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Table of Contents</w:t>
      </w:r>
    </w:p>
    <w:tbl>
      <w:tblPr>
        <w:tblW w:w="10205" w:type="dxa"/>
        <w:jc w:val="left"/>
        <w:tblInd w:w="0" w:type="dxa"/>
        <w:tblLayout w:type="fixed"/>
        <w:tblCellMar>
          <w:top w:w="28" w:type="dxa"/>
          <w:left w:w="28" w:type="dxa"/>
          <w:bottom w:w="28" w:type="dxa"/>
          <w:right w:w="28" w:type="dxa"/>
        </w:tblCellMar>
      </w:tblPr>
      <w:tblGrid>
        <w:gridCol w:w="855"/>
        <w:gridCol w:w="751"/>
        <w:gridCol w:w="763"/>
        <w:gridCol w:w="639"/>
        <w:gridCol w:w="529"/>
        <w:gridCol w:w="1172"/>
        <w:gridCol w:w="476"/>
        <w:gridCol w:w="399"/>
        <w:gridCol w:w="322"/>
        <w:gridCol w:w="891"/>
        <w:gridCol w:w="891"/>
        <w:gridCol w:w="895"/>
        <w:gridCol w:w="377"/>
        <w:gridCol w:w="377"/>
        <w:gridCol w:w="378"/>
        <w:gridCol w:w="109"/>
        <w:gridCol w:w="109"/>
        <w:gridCol w:w="109"/>
        <w:gridCol w:w="163"/>
      </w:tblGrid>
      <w:tr>
        <w:trPr/>
        <w:tc>
          <w:tcPr>
            <w:tcW w:w="855"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9715" w:type="dxa"/>
            <w:gridSpan w:val="15"/>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Master Leases</w:t>
            </w:r>
          </w:p>
        </w:tc>
        <w:tc>
          <w:tcPr>
            <w:tcW w:w="490" w:type="dxa"/>
            <w:gridSpan w:val="4"/>
            <w:tcBorders/>
          </w:tcPr>
          <w:p>
            <w:pPr>
              <w:pStyle w:val="TableContents"/>
              <w:bidi w:val="0"/>
              <w:spacing w:before="0" w:after="283"/>
              <w:jc w:val="left"/>
              <w:rPr>
                <w:sz w:val="4"/>
                <w:szCs w:val="4"/>
              </w:rPr>
            </w:pPr>
            <w:r>
              <w:rPr>
                <w:sz w:val="4"/>
                <w:szCs w:val="4"/>
              </w:rPr>
            </w:r>
          </w:p>
        </w:tc>
      </w:tr>
      <w:tr>
        <w:trPr/>
        <w:tc>
          <w:tcPr>
            <w:tcW w:w="23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7"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Amended Pinnacle Master Lease</w:t>
            </w:r>
          </w:p>
        </w:tc>
        <w:tc>
          <w:tcPr>
            <w:tcW w:w="3809"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Bally's Master Lease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gridSpan w:val="2"/>
            <w:tcBorders/>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Operator</w:t>
            </w:r>
          </w:p>
        </w:tc>
        <w:tc>
          <w:tcPr>
            <w:tcW w:w="3537"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PENN</w:t>
            </w:r>
          </w:p>
        </w:tc>
        <w:tc>
          <w:tcPr>
            <w:tcW w:w="380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Bally's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Properties</w:t>
            </w:r>
          </w:p>
        </w:tc>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Ameristar Black Hawk</w:t>
            </w:r>
          </w:p>
        </w:tc>
        <w:tc>
          <w:tcPr>
            <w:tcW w:w="1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Black Hawk, CO</w:t>
            </w:r>
          </w:p>
        </w:tc>
        <w:tc>
          <w:tcPr>
            <w:tcW w:w="2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Bally's Evansville</w:t>
            </w:r>
          </w:p>
        </w:tc>
        <w:tc>
          <w:tcPr>
            <w:tcW w:w="1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Evansville, 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Ameristar East Chicago</w:t>
            </w:r>
          </w:p>
        </w:tc>
        <w:tc>
          <w:tcPr>
            <w:tcW w:w="1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East Chicago, IN</w:t>
            </w:r>
          </w:p>
        </w:tc>
        <w:tc>
          <w:tcPr>
            <w:tcW w:w="2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Bally's Dover Casino Resort</w:t>
            </w:r>
          </w:p>
        </w:tc>
        <w:tc>
          <w:tcPr>
            <w:tcW w:w="1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Dover, DE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Ameristar Council Bluffs</w:t>
            </w:r>
          </w:p>
        </w:tc>
        <w:tc>
          <w:tcPr>
            <w:tcW w:w="1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Council Bluffs, IA</w:t>
            </w:r>
          </w:p>
        </w:tc>
        <w:tc>
          <w:tcPr>
            <w:tcW w:w="2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Black Hawk (Black Hawk North, West and East casinos)</w:t>
            </w:r>
          </w:p>
        </w:tc>
        <w:tc>
          <w:tcPr>
            <w:tcW w:w="1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Black Hawk, CO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L'Auberge Baton Rouge</w:t>
            </w:r>
          </w:p>
        </w:tc>
        <w:tc>
          <w:tcPr>
            <w:tcW w:w="1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Baton Rouge, LA</w:t>
            </w:r>
          </w:p>
        </w:tc>
        <w:tc>
          <w:tcPr>
            <w:tcW w:w="2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Quad Cities Casino &amp; Hotel</w:t>
            </w:r>
          </w:p>
        </w:tc>
        <w:tc>
          <w:tcPr>
            <w:tcW w:w="1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Rock Island, IL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Boomtown Bossier City</w:t>
            </w:r>
          </w:p>
        </w:tc>
        <w:tc>
          <w:tcPr>
            <w:tcW w:w="1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Bossier City, LA</w:t>
            </w:r>
          </w:p>
        </w:tc>
        <w:tc>
          <w:tcPr>
            <w:tcW w:w="2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Bally's Tiverton Hotel &amp; Casino</w:t>
            </w:r>
          </w:p>
        </w:tc>
        <w:tc>
          <w:tcPr>
            <w:tcW w:w="1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Tiverton, RI</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L'Auberge Lake Charles</w:t>
            </w:r>
          </w:p>
        </w:tc>
        <w:tc>
          <w:tcPr>
            <w:tcW w:w="1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Lake Charles, LA</w:t>
            </w:r>
          </w:p>
        </w:tc>
        <w:tc>
          <w:tcPr>
            <w:tcW w:w="2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Hard Rock Casino and Hotel Biloxi</w:t>
            </w:r>
          </w:p>
        </w:tc>
        <w:tc>
          <w:tcPr>
            <w:tcW w:w="1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Biloxi, 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Boomtown New Orleans</w:t>
            </w:r>
          </w:p>
        </w:tc>
        <w:tc>
          <w:tcPr>
            <w:tcW w:w="1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New Orleans, LA</w:t>
            </w:r>
          </w:p>
        </w:tc>
        <w:tc>
          <w:tcPr>
            <w:tcW w:w="2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Ameristar Vicksburg</w:t>
            </w:r>
          </w:p>
        </w:tc>
        <w:tc>
          <w:tcPr>
            <w:tcW w:w="1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Vicksburg, MS</w:t>
            </w:r>
          </w:p>
        </w:tc>
        <w:tc>
          <w:tcPr>
            <w:tcW w:w="2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River City Casino &amp; Hotel</w:t>
            </w:r>
          </w:p>
        </w:tc>
        <w:tc>
          <w:tcPr>
            <w:tcW w:w="1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 Louis, MO</w:t>
            </w:r>
          </w:p>
        </w:tc>
        <w:tc>
          <w:tcPr>
            <w:tcW w:w="2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Jackpot Properties (Cactus Petes and Horseshu)</w:t>
            </w:r>
          </w:p>
        </w:tc>
        <w:tc>
          <w:tcPr>
            <w:tcW w:w="1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Jackpot, NV</w:t>
            </w:r>
          </w:p>
        </w:tc>
        <w:tc>
          <w:tcPr>
            <w:tcW w:w="2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Plainridge Park Casino</w:t>
            </w:r>
          </w:p>
        </w:tc>
        <w:tc>
          <w:tcPr>
            <w:tcW w:w="1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Plainville, MA</w:t>
            </w:r>
          </w:p>
        </w:tc>
        <w:tc>
          <w:tcPr>
            <w:tcW w:w="2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vAlign w:val="center"/>
          </w:tcPr>
          <w:p>
            <w:pPr>
              <w:pStyle w:val="TableContents"/>
              <w:bidi w:val="0"/>
              <w:spacing w:before="0" w:after="283"/>
              <w:jc w:val="left"/>
              <w:rPr>
                <w:sz w:val="4"/>
                <w:szCs w:val="4"/>
              </w:rPr>
            </w:pPr>
            <w:r>
              <w:rPr>
                <w:sz w:val="4"/>
                <w:szCs w:val="4"/>
              </w:rPr>
            </w:r>
          </w:p>
        </w:tc>
        <w:tc>
          <w:tcPr>
            <w:tcW w:w="2340"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267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vAlign w:val="center"/>
          </w:tcPr>
          <w:p>
            <w:pPr>
              <w:pStyle w:val="TableContents"/>
              <w:bidi w:val="0"/>
              <w:spacing w:before="0" w:after="283"/>
              <w:jc w:val="left"/>
              <w:rPr>
                <w:sz w:val="4"/>
                <w:szCs w:val="4"/>
              </w:rPr>
            </w:pPr>
            <w:r>
              <w:rPr>
                <w:sz w:val="4"/>
                <w:szCs w:val="4"/>
              </w:rPr>
            </w:r>
          </w:p>
        </w:tc>
        <w:tc>
          <w:tcPr>
            <w:tcW w:w="2340"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267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Commencement Date</w:t>
            </w:r>
          </w:p>
        </w:tc>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4/28/2016</w:t>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6/3/2021</w:t>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 Expiration Date</w:t>
            </w:r>
          </w:p>
        </w:tc>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4/30/2031</w:t>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6/2/2036</w:t>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Remaining Renewal Terms</w:t>
            </w:r>
          </w:p>
        </w:tc>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(4x5 years)</w:t>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(4x5 years)</w:t>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Guarantee</w:t>
            </w:r>
          </w:p>
        </w:tc>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Yes</w:t>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Yes</w:t>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Master Lease with Cross Collateralization</w:t>
            </w:r>
          </w:p>
        </w:tc>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Yes</w:t>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Yes</w:t>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Technical Default Landlord Protection</w:t>
            </w:r>
          </w:p>
        </w:tc>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Yes</w:t>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Yes</w:t>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Default Adjusted Revenue to Rent Coverage</w:t>
            </w:r>
          </w:p>
        </w:tc>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 (1)</w:t>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Competitive Radius Landlord Protection</w:t>
            </w:r>
          </w:p>
        </w:tc>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Yes</w:t>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Yes</w:t>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Escalator Details</w:t>
            </w:r>
          </w:p>
        </w:tc>
        <w:tc>
          <w:tcPr>
            <w:tcW w:w="2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Yearly Base Rent Escalator Maximum</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1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Coverage ratio at September 30, 2025</w:t>
            </w:r>
          </w:p>
        </w:tc>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8"/>
              </w:rPr>
              <w:t>1.69</w:t>
            </w:r>
            <w:r>
              <w:rPr>
                <w:color w:val="000000"/>
              </w:rPr>
              <w:t xml:space="preserve"> </w:t>
            </w:r>
            <w:r>
              <w:rPr>
                <w:rFonts w:ascii="Times New Roman;serif" w:hAnsi="Times New Roman;serif"/>
                <w:b w:val="false"/>
                <w:color w:val="000000"/>
                <w:sz w:val="12"/>
              </w:rPr>
              <w:t>(3)</w:t>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w:t>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Minimum Escalator Coverage Governor</w:t>
            </w:r>
          </w:p>
        </w:tc>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Yearly Anniversary for Realization</w:t>
            </w:r>
          </w:p>
        </w:tc>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May</w:t>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June</w:t>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Percentage Rent Reset Details</w:t>
            </w:r>
          </w:p>
        </w:tc>
        <w:tc>
          <w:tcPr>
            <w:tcW w:w="2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Reset Frequency</w:t>
            </w:r>
          </w:p>
        </w:tc>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years</w:t>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Next Reset</w:t>
            </w:r>
          </w:p>
        </w:tc>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May 2026</w:t>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60" w:after="283"/>
        <w:ind w:left="0" w:right="0" w:hanging="720"/>
        <w:jc w:val="both"/>
        <w:rPr/>
      </w:pPr>
      <w:r>
        <w:rPr>
          <w:rFonts w:ascii="Times New Roman;serif" w:hAnsi="Times New Roman;serif"/>
          <w:b w:val="false"/>
          <w:color w:val="000000"/>
          <w:sz w:val="13"/>
        </w:rPr>
        <w:t>(1)    </w:t>
      </w:r>
      <w:r>
        <w:rPr>
          <w:rFonts w:ascii="Times New Roman;serif" w:hAnsi="Times New Roman;serif"/>
          <w:b w:val="false"/>
          <w:color w:val="000000"/>
          <w:sz w:val="20"/>
        </w:rPr>
        <w:t xml:space="preserve">If the tenant's parent's net leverage is greater than 5.5 to 1, then the adjusted revenue to rent coverage for the last two consecutive test periods must be at least 1.35. If the tenant's parent's net leverage is equal to or less than 5.5 to 1, then the ratio shall be reduced to 1.2. </w:t>
      </w:r>
    </w:p>
    <w:p>
      <w:pPr>
        <w:pStyle w:val="TextBody"/>
        <w:bidi w:val="0"/>
        <w:spacing w:lineRule="auto" w:line="276" w:before="160" w:after="283"/>
        <w:ind w:left="0" w:right="0" w:hanging="720"/>
        <w:jc w:val="both"/>
        <w:rPr/>
      </w:pPr>
      <w:r>
        <w:rPr>
          <w:rFonts w:ascii="Times New Roman;serif" w:hAnsi="Times New Roman;serif"/>
          <w:b w:val="false"/>
          <w:color w:val="000000"/>
          <w:sz w:val="13"/>
        </w:rPr>
        <w:t>(2)    </w:t>
      </w:r>
      <w:r>
        <w:rPr>
          <w:rFonts w:ascii="Times New Roman;serif" w:hAnsi="Times New Roman;serif"/>
          <w:b w:val="false"/>
          <w:color w:val="000000"/>
          <w:sz w:val="20"/>
        </w:rPr>
        <w:t xml:space="preserve">If the CPI increase is at least 0.5% for any lease year, then the rent shall increase by the greater of 1% of the rent as of the immediately preceding lease year and the CPI increase capped at 2%. If the CPI is less than 0.5% for such lease year, then the rent shall not increase for such lease year. </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13"/>
        </w:rPr>
        <w:t>(3)    </w:t>
      </w:r>
      <w:r>
        <w:rPr>
          <w:rFonts w:ascii="Times New Roman;serif" w:hAnsi="Times New Roman;serif"/>
          <w:b w:val="false"/>
          <w:color w:val="000000"/>
          <w:sz w:val="20"/>
        </w:rPr>
        <w:t xml:space="preserve">Coverage ratio for escalation purposes excludes adjusted revenue and rent attributable to the Plainridge Park facility as well as certain other fixed rent amounts. </w:t>
      </w:r>
    </w:p>
    <w:p>
      <w:pPr>
        <w:pStyle w:val="TextBody"/>
        <w:bidi w:val="0"/>
        <w:spacing w:before="160" w:after="283"/>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Table of Contents</w:t>
      </w:r>
    </w:p>
    <w:tbl>
      <w:tblPr>
        <w:tblW w:w="10205" w:type="dxa"/>
        <w:jc w:val="left"/>
        <w:tblInd w:w="0" w:type="dxa"/>
        <w:tblLayout w:type="fixed"/>
        <w:tblCellMar>
          <w:top w:w="28" w:type="dxa"/>
          <w:left w:w="28" w:type="dxa"/>
          <w:bottom w:w="28" w:type="dxa"/>
          <w:right w:w="28" w:type="dxa"/>
        </w:tblCellMar>
      </w:tblPr>
      <w:tblGrid>
        <w:gridCol w:w="1088"/>
        <w:gridCol w:w="955"/>
        <w:gridCol w:w="972"/>
        <w:gridCol w:w="810"/>
        <w:gridCol w:w="781"/>
        <w:gridCol w:w="760"/>
        <w:gridCol w:w="455"/>
        <w:gridCol w:w="443"/>
        <w:gridCol w:w="411"/>
        <w:gridCol w:w="593"/>
        <w:gridCol w:w="589"/>
        <w:gridCol w:w="559"/>
        <w:gridCol w:w="444"/>
        <w:gridCol w:w="444"/>
        <w:gridCol w:w="412"/>
        <w:gridCol w:w="109"/>
        <w:gridCol w:w="109"/>
        <w:gridCol w:w="109"/>
        <w:gridCol w:w="162"/>
      </w:tblGrid>
      <w:tr>
        <w:trPr/>
        <w:tc>
          <w:tcPr>
            <w:tcW w:w="1088"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9716" w:type="dxa"/>
            <w:gridSpan w:val="15"/>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Master Leases</w:t>
            </w:r>
          </w:p>
        </w:tc>
        <w:tc>
          <w:tcPr>
            <w:tcW w:w="489" w:type="dxa"/>
            <w:gridSpan w:val="4"/>
            <w:tcBorders/>
          </w:tcPr>
          <w:p>
            <w:pPr>
              <w:pStyle w:val="TableContents"/>
              <w:bidi w:val="0"/>
              <w:spacing w:before="0" w:after="283"/>
              <w:jc w:val="left"/>
              <w:rPr>
                <w:sz w:val="4"/>
                <w:szCs w:val="4"/>
              </w:rPr>
            </w:pPr>
            <w:r>
              <w:rPr>
                <w:sz w:val="4"/>
                <w:szCs w:val="4"/>
              </w:rPr>
            </w:r>
          </w:p>
        </w:tc>
      </w:tr>
      <w:tr>
        <w:trPr/>
        <w:tc>
          <w:tcPr>
            <w:tcW w:w="30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0"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Bally's Master Lease II</w:t>
            </w:r>
          </w:p>
        </w:tc>
        <w:tc>
          <w:tcPr>
            <w:tcW w:w="3041"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Casino Queen Master Lease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gridSpan w:val="2"/>
            <w:tcBorders/>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Operator</w:t>
            </w:r>
          </w:p>
        </w:tc>
        <w:tc>
          <w:tcPr>
            <w:tcW w:w="3660"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Bally's</w:t>
            </w:r>
          </w:p>
        </w:tc>
        <w:tc>
          <w:tcPr>
            <w:tcW w:w="304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Bally's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Properties</w:t>
            </w:r>
          </w:p>
        </w:tc>
        <w:tc>
          <w:tcPr>
            <w:tcW w:w="2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Bally's Kansas City</w:t>
            </w:r>
          </w:p>
        </w:tc>
        <w:tc>
          <w:tcPr>
            <w:tcW w:w="1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Kansas City, MO</w:t>
            </w:r>
          </w:p>
        </w:tc>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Casino Queen Marquette</w:t>
            </w:r>
          </w:p>
        </w:tc>
        <w:tc>
          <w:tcPr>
            <w:tcW w:w="1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Marquette, IA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Bally's Shreveport Casino &amp; Hotel</w:t>
            </w:r>
          </w:p>
        </w:tc>
        <w:tc>
          <w:tcPr>
            <w:tcW w:w="1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Shreveport, LA</w:t>
            </w:r>
          </w:p>
        </w:tc>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Bally's Baton Rouge</w:t>
            </w:r>
          </w:p>
        </w:tc>
        <w:tc>
          <w:tcPr>
            <w:tcW w:w="1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Baton Rouge, LA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Draft Kings at Casino Queen (4)</w:t>
            </w:r>
          </w:p>
        </w:tc>
        <w:tc>
          <w:tcPr>
            <w:tcW w:w="1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East St. Louis, IL</w:t>
            </w:r>
          </w:p>
        </w:tc>
        <w:tc>
          <w:tcPr>
            <w:tcW w:w="1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 Queen Baton Rouge (4)</w:t>
            </w:r>
          </w:p>
        </w:tc>
        <w:tc>
          <w:tcPr>
            <w:tcW w:w="1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Baton Rouge, LA</w:t>
            </w:r>
          </w:p>
        </w:tc>
        <w:tc>
          <w:tcPr>
            <w:tcW w:w="1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vAlign w:val="center"/>
          </w:tcPr>
          <w:p>
            <w:pPr>
              <w:pStyle w:val="TableContents"/>
              <w:bidi w:val="0"/>
              <w:spacing w:before="0" w:after="283"/>
              <w:jc w:val="left"/>
              <w:rPr>
                <w:sz w:val="4"/>
                <w:szCs w:val="4"/>
              </w:rPr>
            </w:pPr>
            <w:r>
              <w:rPr>
                <w:sz w:val="4"/>
                <w:szCs w:val="4"/>
              </w:rPr>
            </w:r>
          </w:p>
        </w:tc>
        <w:tc>
          <w:tcPr>
            <w:tcW w:w="2351"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1741"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Commencement Date</w:t>
            </w:r>
          </w:p>
        </w:tc>
        <w:tc>
          <w:tcPr>
            <w:tcW w:w="2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12/16/2024</w:t>
            </w:r>
          </w:p>
        </w:tc>
        <w:tc>
          <w:tcPr>
            <w:tcW w:w="1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12/17/2021</w:t>
            </w:r>
          </w:p>
        </w:tc>
        <w:tc>
          <w:tcPr>
            <w:tcW w:w="13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 Expiration Date</w:t>
            </w:r>
          </w:p>
        </w:tc>
        <w:tc>
          <w:tcPr>
            <w:tcW w:w="2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12/15/2039</w:t>
            </w:r>
          </w:p>
        </w:tc>
        <w:tc>
          <w:tcPr>
            <w:tcW w:w="1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12/31/2036</w:t>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Remaining Renewal Terms</w:t>
            </w:r>
          </w:p>
        </w:tc>
        <w:tc>
          <w:tcPr>
            <w:tcW w:w="2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(4x5 years)</w:t>
            </w:r>
          </w:p>
        </w:tc>
        <w:tc>
          <w:tcPr>
            <w:tcW w:w="1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(4x5 years)</w:t>
            </w:r>
          </w:p>
        </w:tc>
        <w:tc>
          <w:tcPr>
            <w:tcW w:w="13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Guarantee</w:t>
            </w:r>
          </w:p>
        </w:tc>
        <w:tc>
          <w:tcPr>
            <w:tcW w:w="2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Yes</w:t>
            </w:r>
          </w:p>
        </w:tc>
        <w:tc>
          <w:tcPr>
            <w:tcW w:w="1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Master Lease with Cross Collateralization</w:t>
            </w:r>
          </w:p>
        </w:tc>
        <w:tc>
          <w:tcPr>
            <w:tcW w:w="2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Yes</w:t>
            </w:r>
          </w:p>
        </w:tc>
        <w:tc>
          <w:tcPr>
            <w:tcW w:w="1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Yes</w:t>
            </w:r>
          </w:p>
        </w:tc>
        <w:tc>
          <w:tcPr>
            <w:tcW w:w="13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Technical Default Landlord Protection</w:t>
            </w:r>
          </w:p>
        </w:tc>
        <w:tc>
          <w:tcPr>
            <w:tcW w:w="2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Yes</w:t>
            </w:r>
          </w:p>
        </w:tc>
        <w:tc>
          <w:tcPr>
            <w:tcW w:w="1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Yes</w:t>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Default Adjusted Revenue to Rent Coverage</w:t>
            </w:r>
          </w:p>
        </w:tc>
        <w:tc>
          <w:tcPr>
            <w:tcW w:w="2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8"/>
              </w:rPr>
              <w:t>1.35</w:t>
            </w:r>
            <w:r>
              <w:rPr>
                <w:color w:val="000000"/>
              </w:rPr>
              <w:t xml:space="preserve"> </w:t>
            </w:r>
            <w:r>
              <w:rPr>
                <w:rFonts w:ascii="Times New Roman;serif" w:hAnsi="Times New Roman;serif"/>
                <w:b w:val="false"/>
                <w:color w:val="000000"/>
                <w:sz w:val="12"/>
              </w:rPr>
              <w:t>(1)</w:t>
            </w:r>
          </w:p>
        </w:tc>
        <w:tc>
          <w:tcPr>
            <w:tcW w:w="1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8"/>
              </w:rPr>
              <w:t>1.35</w:t>
            </w:r>
            <w:r>
              <w:rPr>
                <w:color w:val="000000"/>
              </w:rPr>
              <w:t xml:space="preserve"> </w:t>
            </w:r>
            <w:r>
              <w:rPr>
                <w:rFonts w:ascii="Times New Roman;serif" w:hAnsi="Times New Roman;serif"/>
                <w:b w:val="false"/>
                <w:color w:val="000000"/>
                <w:sz w:val="12"/>
              </w:rPr>
              <w:t>(1)</w:t>
            </w:r>
          </w:p>
        </w:tc>
        <w:tc>
          <w:tcPr>
            <w:tcW w:w="13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Competitive Radius Landlord Protection</w:t>
            </w:r>
          </w:p>
        </w:tc>
        <w:tc>
          <w:tcPr>
            <w:tcW w:w="2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Yes</w:t>
            </w:r>
          </w:p>
        </w:tc>
        <w:tc>
          <w:tcPr>
            <w:tcW w:w="1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Yes</w:t>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Escalator Details</w:t>
            </w:r>
          </w:p>
        </w:tc>
        <w:tc>
          <w:tcPr>
            <w:tcW w:w="2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Yearly Base Rent Escalator Maximum</w:t>
            </w:r>
          </w:p>
        </w:tc>
        <w:tc>
          <w:tcPr>
            <w:tcW w:w="2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Coverage ratio at September 30, 2025</w:t>
            </w:r>
          </w:p>
        </w:tc>
        <w:tc>
          <w:tcPr>
            <w:tcW w:w="2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w:t>
            </w:r>
          </w:p>
        </w:tc>
        <w:tc>
          <w:tcPr>
            <w:tcW w:w="1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13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Minimum Escalator Coverage Governor</w:t>
            </w:r>
          </w:p>
        </w:tc>
        <w:tc>
          <w:tcPr>
            <w:tcW w:w="2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1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Yearly Anniversary for Realization</w:t>
            </w:r>
          </w:p>
        </w:tc>
        <w:tc>
          <w:tcPr>
            <w:tcW w:w="2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December</w:t>
            </w:r>
          </w:p>
        </w:tc>
        <w:tc>
          <w:tcPr>
            <w:tcW w:w="1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December</w:t>
            </w:r>
          </w:p>
        </w:tc>
        <w:tc>
          <w:tcPr>
            <w:tcW w:w="13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Percentage Rent Reset Details</w:t>
            </w:r>
          </w:p>
        </w:tc>
        <w:tc>
          <w:tcPr>
            <w:tcW w:w="2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Reset Frequency</w:t>
            </w:r>
          </w:p>
        </w:tc>
        <w:tc>
          <w:tcPr>
            <w:tcW w:w="2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1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13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Next Reset</w:t>
            </w:r>
          </w:p>
        </w:tc>
        <w:tc>
          <w:tcPr>
            <w:tcW w:w="2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1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60" w:after="160"/>
        <w:ind w:left="0" w:right="0" w:hanging="720"/>
        <w:jc w:val="both"/>
        <w:rPr/>
      </w:pPr>
      <w:r>
        <w:rPr>
          <w:rFonts w:ascii="Times New Roman;serif" w:hAnsi="Times New Roman;serif"/>
          <w:b w:val="false"/>
          <w:color w:val="000000"/>
          <w:sz w:val="13"/>
        </w:rPr>
        <w:t>(1)    </w:t>
      </w:r>
      <w:r>
        <w:rPr>
          <w:rFonts w:ascii="Times New Roman;serif" w:hAnsi="Times New Roman;serif"/>
          <w:b w:val="false"/>
          <w:color w:val="000000"/>
          <w:sz w:val="20"/>
        </w:rPr>
        <w:t xml:space="preserve">If the tenant's parent's net leverage is greater than 5.5 to 1, then the adjusted revenue to rent coverage for the last two consecutive test periods must be at least 1.35. If the tenant's parent's net leverage is equal to or less than 5.5 to 1, then the ratio shall be reduced to 1.2. For the Casino Queen Master Lease the test begins on the first anniversary after both development projects are completed and open to the public. </w:t>
      </w:r>
    </w:p>
    <w:p>
      <w:pPr>
        <w:pStyle w:val="TextBody"/>
        <w:bidi w:val="0"/>
        <w:spacing w:lineRule="auto" w:line="276" w:before="160" w:after="283"/>
        <w:ind w:left="0" w:right="0" w:hanging="720"/>
        <w:jc w:val="both"/>
        <w:rPr/>
      </w:pPr>
      <w:r>
        <w:rPr>
          <w:rFonts w:ascii="Times New Roman;serif" w:hAnsi="Times New Roman;serif"/>
          <w:b w:val="false"/>
          <w:color w:val="000000"/>
          <w:sz w:val="13"/>
        </w:rPr>
        <w:t>(2)    </w:t>
      </w:r>
      <w:r>
        <w:rPr>
          <w:rFonts w:ascii="Times New Roman;serif" w:hAnsi="Times New Roman;serif"/>
          <w:b w:val="false"/>
          <w:color w:val="000000"/>
          <w:sz w:val="20"/>
        </w:rPr>
        <w:t xml:space="preserve">If the CPI increase is at least 0.5% for any lease year, then the rent shall increase by the greater of 1% of the rent as of the immediately preceding lease year and the CPI increase capped at 2%. If the CPI is less than 0.5% for such lease year, then the rent shall not increase for such lease year. </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13"/>
        </w:rPr>
        <w:t>(3)    </w:t>
      </w:r>
      <w:r>
        <w:rPr>
          <w:rFonts w:ascii="Times New Roman;serif" w:hAnsi="Times New Roman;serif"/>
          <w:b w:val="false"/>
          <w:color w:val="000000"/>
          <w:sz w:val="20"/>
        </w:rPr>
        <w:t xml:space="preserve">Rent increases by 0.5% for the first six years. Beginning in the seventh lease year through the remainder of the lease term, if the CPI increases by at least 0.25% for any lease year then annual rent shall be increased by 1.25%, and if the CPI is less than 0.25% then rent will remain unchanged for such lease year. </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13"/>
        </w:rPr>
        <w:t>(4)    </w:t>
      </w:r>
      <w:r>
        <w:rPr>
          <w:rFonts w:ascii="Times New Roman;serif" w:hAnsi="Times New Roman;serif"/>
          <w:b w:val="false"/>
          <w:color w:val="000000"/>
          <w:sz w:val="20"/>
        </w:rPr>
        <w:t xml:space="preserve">Effective July 1, 2025, these properties were transferred to Bally's Master II and the associated annual rental income of $28.9 million was reallocated from the Casino Queen Master Lease to Bally's Master Lease II. The Bally's Master Lease II rent coverage ratio has been restated on a proforma basis. </w:t>
      </w:r>
    </w:p>
    <w:p>
      <w:pPr>
        <w:pStyle w:val="TextBody"/>
        <w:bidi w:val="0"/>
        <w:spacing w:before="0" w:after="0"/>
        <w:ind w:left="0" w:right="0" w:hanging="720"/>
        <w:jc w:val="both"/>
        <w:rPr/>
      </w:pPr>
      <w:r>
        <w:rPr/>
      </w:r>
    </w:p>
    <w:p>
      <w:pPr>
        <w:pStyle w:val="TextBody"/>
        <w:bidi w:val="0"/>
        <w:spacing w:lineRule="auto" w:line="268" w:before="0" w:after="0"/>
        <w:ind w:left="0" w:right="0" w:hanging="720"/>
        <w:jc w:val="both"/>
        <w:rPr/>
      </w:pPr>
      <w:r>
        <w:rPr>
          <w:rFonts w:ascii="Times New Roman;serif" w:hAnsi="Times New Roman;serif"/>
          <w:b w:val="false"/>
          <w:color w:val="000000"/>
          <w:sz w:val="13"/>
        </w:rPr>
        <w:t>(5)    </w:t>
      </w:r>
      <w:r>
        <w:rPr>
          <w:rFonts w:ascii="Times New Roman;serif" w:hAnsi="Times New Roman;serif"/>
          <w:b w:val="false"/>
          <w:color w:val="000000"/>
          <w:sz w:val="20"/>
        </w:rPr>
        <w:t xml:space="preserve">If a default were to occur under the Casino Queen Master Lease, the Company has the right under the terms of the lease to elect to amend Bally’s Master Lease II and place the assets into it, which carries a corporate guarantee. </w:t>
      </w:r>
    </w:p>
    <w:p>
      <w:pPr>
        <w:pStyle w:val="TextBody"/>
        <w:bidi w:val="0"/>
        <w:spacing w:before="160" w:after="1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Table of Contents</w:t>
      </w:r>
    </w:p>
    <w:tbl>
      <w:tblPr>
        <w:tblW w:w="10205" w:type="dxa"/>
        <w:jc w:val="left"/>
        <w:tblInd w:w="0" w:type="dxa"/>
        <w:tblLayout w:type="fixed"/>
        <w:tblCellMar>
          <w:top w:w="28" w:type="dxa"/>
          <w:left w:w="28" w:type="dxa"/>
          <w:bottom w:w="28" w:type="dxa"/>
          <w:right w:w="28" w:type="dxa"/>
        </w:tblCellMar>
      </w:tblPr>
      <w:tblGrid>
        <w:gridCol w:w="1104"/>
        <w:gridCol w:w="969"/>
        <w:gridCol w:w="986"/>
        <w:gridCol w:w="392"/>
        <w:gridCol w:w="374"/>
        <w:gridCol w:w="861"/>
        <w:gridCol w:w="433"/>
        <w:gridCol w:w="433"/>
        <w:gridCol w:w="436"/>
        <w:gridCol w:w="695"/>
        <w:gridCol w:w="651"/>
        <w:gridCol w:w="651"/>
        <w:gridCol w:w="604"/>
        <w:gridCol w:w="556"/>
        <w:gridCol w:w="571"/>
        <w:gridCol w:w="109"/>
        <w:gridCol w:w="109"/>
        <w:gridCol w:w="109"/>
        <w:gridCol w:w="162"/>
      </w:tblGrid>
      <w:tr>
        <w:trPr/>
        <w:tc>
          <w:tcPr>
            <w:tcW w:w="1104"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9716" w:type="dxa"/>
            <w:gridSpan w:val="15"/>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Master Leases</w:t>
            </w:r>
          </w:p>
        </w:tc>
        <w:tc>
          <w:tcPr>
            <w:tcW w:w="489" w:type="dxa"/>
            <w:gridSpan w:val="4"/>
            <w:tcBorders/>
          </w:tcPr>
          <w:p>
            <w:pPr>
              <w:pStyle w:val="TableContents"/>
              <w:bidi w:val="0"/>
              <w:spacing w:before="0" w:after="283"/>
              <w:jc w:val="left"/>
              <w:rPr>
                <w:sz w:val="4"/>
                <w:szCs w:val="4"/>
              </w:rPr>
            </w:pPr>
            <w:r>
              <w:rPr>
                <w:sz w:val="4"/>
                <w:szCs w:val="4"/>
              </w:rPr>
            </w:r>
          </w:p>
        </w:tc>
      </w:tr>
      <w:tr>
        <w:trPr/>
        <w:tc>
          <w:tcPr>
            <w:tcW w:w="30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9"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Boyd Master Lease</w:t>
            </w:r>
          </w:p>
        </w:tc>
        <w:tc>
          <w:tcPr>
            <w:tcW w:w="3728"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Caesars Amended and Restated Master Lease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gridSpan w:val="2"/>
            <w:tcBorders/>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Operator</w:t>
            </w:r>
          </w:p>
        </w:tc>
        <w:tc>
          <w:tcPr>
            <w:tcW w:w="292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Boyd</w:t>
            </w:r>
          </w:p>
        </w:tc>
        <w:tc>
          <w:tcPr>
            <w:tcW w:w="3728"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Caesars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Properties</w:t>
            </w:r>
          </w:p>
        </w:tc>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Belterra Casino Resort</w:t>
            </w:r>
          </w:p>
        </w:tc>
        <w:tc>
          <w:tcPr>
            <w:tcW w:w="1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Florence, IN</w:t>
            </w:r>
          </w:p>
        </w:tc>
        <w:tc>
          <w:tcPr>
            <w:tcW w:w="1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Tropicana Atlantic City</w:t>
            </w:r>
          </w:p>
        </w:tc>
        <w:tc>
          <w:tcPr>
            <w:tcW w:w="1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Atlantic City, NJ</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Ameristar Kansas City</w:t>
            </w:r>
          </w:p>
        </w:tc>
        <w:tc>
          <w:tcPr>
            <w:tcW w:w="1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Kansas City, MO</w:t>
            </w:r>
          </w:p>
        </w:tc>
        <w:tc>
          <w:tcPr>
            <w:tcW w:w="1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Tropicana Laughlin</w:t>
            </w:r>
          </w:p>
        </w:tc>
        <w:tc>
          <w:tcPr>
            <w:tcW w:w="1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Laughlin, NV</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Ameristar St. Charles</w:t>
            </w:r>
          </w:p>
        </w:tc>
        <w:tc>
          <w:tcPr>
            <w:tcW w:w="1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 Charles, MO</w:t>
            </w:r>
          </w:p>
        </w:tc>
        <w:tc>
          <w:tcPr>
            <w:tcW w:w="1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Trop Casino Greenville</w:t>
            </w:r>
          </w:p>
        </w:tc>
        <w:tc>
          <w:tcPr>
            <w:tcW w:w="1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Greenville, 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Isle Casino Hotel Bettendorf</w:t>
            </w:r>
          </w:p>
        </w:tc>
        <w:tc>
          <w:tcPr>
            <w:tcW w:w="1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Bettendorf, IA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Isle Casino Hotel Waterloo</w:t>
            </w:r>
          </w:p>
        </w:tc>
        <w:tc>
          <w:tcPr>
            <w:tcW w:w="1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Waterloo, IA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Commencement Date</w:t>
            </w:r>
          </w:p>
        </w:tc>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10/15/2018</w:t>
            </w:r>
          </w:p>
        </w:tc>
        <w:tc>
          <w:tcPr>
            <w:tcW w:w="13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10/1/2018</w:t>
            </w:r>
          </w:p>
        </w:tc>
        <w:tc>
          <w:tcPr>
            <w:tcW w:w="17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 Expiration Date</w:t>
            </w:r>
          </w:p>
        </w:tc>
        <w:tc>
          <w:tcPr>
            <w:tcW w:w="1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4/30/2031</w:t>
            </w:r>
          </w:p>
        </w:tc>
        <w:tc>
          <w:tcPr>
            <w:tcW w:w="13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9/30/2038</w:t>
            </w:r>
          </w:p>
        </w:tc>
        <w:tc>
          <w:tcPr>
            <w:tcW w:w="17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Remaining Renewal Terms</w:t>
            </w:r>
          </w:p>
        </w:tc>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(4x5 years)</w:t>
            </w:r>
          </w:p>
        </w:tc>
        <w:tc>
          <w:tcPr>
            <w:tcW w:w="13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(4x5 years)</w:t>
            </w:r>
          </w:p>
        </w:tc>
        <w:tc>
          <w:tcPr>
            <w:tcW w:w="17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Guarantee</w:t>
            </w:r>
          </w:p>
        </w:tc>
        <w:tc>
          <w:tcPr>
            <w:tcW w:w="1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No</w:t>
            </w:r>
          </w:p>
        </w:tc>
        <w:tc>
          <w:tcPr>
            <w:tcW w:w="13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Yes</w:t>
            </w:r>
          </w:p>
        </w:tc>
        <w:tc>
          <w:tcPr>
            <w:tcW w:w="17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Master Lease with Cross Collateralization</w:t>
            </w:r>
          </w:p>
        </w:tc>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Yes</w:t>
            </w:r>
          </w:p>
        </w:tc>
        <w:tc>
          <w:tcPr>
            <w:tcW w:w="13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Yes</w:t>
            </w:r>
          </w:p>
        </w:tc>
        <w:tc>
          <w:tcPr>
            <w:tcW w:w="17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Technical Default Landlord Protection</w:t>
            </w:r>
          </w:p>
        </w:tc>
        <w:tc>
          <w:tcPr>
            <w:tcW w:w="1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Yes</w:t>
            </w:r>
          </w:p>
        </w:tc>
        <w:tc>
          <w:tcPr>
            <w:tcW w:w="13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Yes</w:t>
            </w:r>
          </w:p>
        </w:tc>
        <w:tc>
          <w:tcPr>
            <w:tcW w:w="17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Default Adjusted Revenue to Rent Coverage</w:t>
            </w:r>
          </w:p>
        </w:tc>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3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7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Competitive Radius Landlord Protection</w:t>
            </w:r>
          </w:p>
        </w:tc>
        <w:tc>
          <w:tcPr>
            <w:tcW w:w="1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Yes</w:t>
            </w:r>
          </w:p>
        </w:tc>
        <w:tc>
          <w:tcPr>
            <w:tcW w:w="13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Yes</w:t>
            </w:r>
          </w:p>
        </w:tc>
        <w:tc>
          <w:tcPr>
            <w:tcW w:w="17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Escalator Details</w:t>
            </w:r>
          </w:p>
        </w:tc>
        <w:tc>
          <w:tcPr>
            <w:tcW w:w="1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Yearly Base Rent Escalator Maximum</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8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3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8"/>
              </w:rPr>
              <w:t xml:space="preserve">1.75% </w:t>
            </w:r>
            <w:r>
              <w:rPr>
                <w:rFonts w:ascii="Times New Roman;serif" w:hAnsi="Times New Roman;serif"/>
                <w:b w:val="false"/>
                <w:color w:val="000000"/>
                <w:sz w:val="12"/>
              </w:rPr>
              <w:t>(1)</w:t>
            </w:r>
          </w:p>
        </w:tc>
        <w:tc>
          <w:tcPr>
            <w:tcW w:w="17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Coverage ratio at September 30, 2025</w:t>
            </w:r>
          </w:p>
        </w:tc>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w:t>
            </w:r>
          </w:p>
        </w:tc>
        <w:tc>
          <w:tcPr>
            <w:tcW w:w="13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w:t>
            </w:r>
          </w:p>
        </w:tc>
        <w:tc>
          <w:tcPr>
            <w:tcW w:w="17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Minimum Escalator Coverage Governor</w:t>
            </w:r>
          </w:p>
        </w:tc>
        <w:tc>
          <w:tcPr>
            <w:tcW w:w="1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3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17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Yearly Anniversary for Realization</w:t>
            </w:r>
          </w:p>
        </w:tc>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May</w:t>
            </w:r>
          </w:p>
        </w:tc>
        <w:tc>
          <w:tcPr>
            <w:tcW w:w="13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October</w:t>
            </w:r>
          </w:p>
        </w:tc>
        <w:tc>
          <w:tcPr>
            <w:tcW w:w="17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Percentage Rent Reset Details</w:t>
            </w:r>
          </w:p>
        </w:tc>
        <w:tc>
          <w:tcPr>
            <w:tcW w:w="1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Reset Frequency</w:t>
            </w:r>
          </w:p>
        </w:tc>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years</w:t>
            </w:r>
          </w:p>
        </w:tc>
        <w:tc>
          <w:tcPr>
            <w:tcW w:w="13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17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Next Reset</w:t>
            </w:r>
          </w:p>
        </w:tc>
        <w:tc>
          <w:tcPr>
            <w:tcW w:w="1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May 2026</w:t>
            </w:r>
          </w:p>
        </w:tc>
        <w:tc>
          <w:tcPr>
            <w:tcW w:w="13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17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1627"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c>
          <w:tcPr>
            <w:tcW w:w="1997" w:type="dxa"/>
            <w:gridSpan w:val="3"/>
            <w:tcBorders/>
            <w:vAlign w:val="center"/>
          </w:tcPr>
          <w:p>
            <w:pPr>
              <w:pStyle w:val="TableContents"/>
              <w:bidi w:val="0"/>
              <w:spacing w:before="0" w:after="283"/>
              <w:jc w:val="left"/>
              <w:rPr>
                <w:sz w:val="4"/>
                <w:szCs w:val="4"/>
              </w:rPr>
            </w:pPr>
            <w:r>
              <w:rPr>
                <w:sz w:val="4"/>
                <w:szCs w:val="4"/>
              </w:rPr>
            </w:r>
          </w:p>
        </w:tc>
        <w:tc>
          <w:tcPr>
            <w:tcW w:w="17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1627"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c>
          <w:tcPr>
            <w:tcW w:w="1997" w:type="dxa"/>
            <w:gridSpan w:val="3"/>
            <w:tcBorders/>
            <w:vAlign w:val="center"/>
          </w:tcPr>
          <w:p>
            <w:pPr>
              <w:pStyle w:val="TableContents"/>
              <w:bidi w:val="0"/>
              <w:spacing w:before="0" w:after="283"/>
              <w:jc w:val="left"/>
              <w:rPr>
                <w:sz w:val="4"/>
                <w:szCs w:val="4"/>
              </w:rPr>
            </w:pPr>
            <w:r>
              <w:rPr>
                <w:sz w:val="4"/>
                <w:szCs w:val="4"/>
              </w:rPr>
            </w:r>
          </w:p>
        </w:tc>
        <w:tc>
          <w:tcPr>
            <w:tcW w:w="17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1627"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c>
          <w:tcPr>
            <w:tcW w:w="1997" w:type="dxa"/>
            <w:gridSpan w:val="3"/>
            <w:tcBorders/>
            <w:vAlign w:val="center"/>
          </w:tcPr>
          <w:p>
            <w:pPr>
              <w:pStyle w:val="TableContents"/>
              <w:bidi w:val="0"/>
              <w:spacing w:before="0" w:after="283"/>
              <w:jc w:val="left"/>
              <w:rPr>
                <w:sz w:val="4"/>
                <w:szCs w:val="4"/>
              </w:rPr>
            </w:pPr>
            <w:r>
              <w:rPr>
                <w:sz w:val="4"/>
                <w:szCs w:val="4"/>
              </w:rPr>
            </w:r>
          </w:p>
        </w:tc>
        <w:tc>
          <w:tcPr>
            <w:tcW w:w="17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1627"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c>
          <w:tcPr>
            <w:tcW w:w="1997" w:type="dxa"/>
            <w:gridSpan w:val="3"/>
            <w:tcBorders/>
            <w:vAlign w:val="center"/>
          </w:tcPr>
          <w:p>
            <w:pPr>
              <w:pStyle w:val="TableContents"/>
              <w:bidi w:val="0"/>
              <w:spacing w:before="0" w:after="283"/>
              <w:jc w:val="left"/>
              <w:rPr>
                <w:sz w:val="4"/>
                <w:szCs w:val="4"/>
              </w:rPr>
            </w:pPr>
            <w:r>
              <w:rPr>
                <w:sz w:val="4"/>
                <w:szCs w:val="4"/>
              </w:rPr>
            </w:r>
          </w:p>
        </w:tc>
        <w:tc>
          <w:tcPr>
            <w:tcW w:w="17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1627"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c>
          <w:tcPr>
            <w:tcW w:w="1997" w:type="dxa"/>
            <w:gridSpan w:val="3"/>
            <w:tcBorders/>
            <w:vAlign w:val="center"/>
          </w:tcPr>
          <w:p>
            <w:pPr>
              <w:pStyle w:val="TableContents"/>
              <w:bidi w:val="0"/>
              <w:spacing w:before="0" w:after="283"/>
              <w:jc w:val="left"/>
              <w:rPr>
                <w:sz w:val="4"/>
                <w:szCs w:val="4"/>
              </w:rPr>
            </w:pPr>
            <w:r>
              <w:rPr>
                <w:sz w:val="4"/>
                <w:szCs w:val="4"/>
              </w:rPr>
            </w:r>
          </w:p>
        </w:tc>
        <w:tc>
          <w:tcPr>
            <w:tcW w:w="17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1627"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c>
          <w:tcPr>
            <w:tcW w:w="1997" w:type="dxa"/>
            <w:gridSpan w:val="3"/>
            <w:tcBorders/>
            <w:vAlign w:val="center"/>
          </w:tcPr>
          <w:p>
            <w:pPr>
              <w:pStyle w:val="TableContents"/>
              <w:bidi w:val="0"/>
              <w:spacing w:before="0" w:after="283"/>
              <w:jc w:val="left"/>
              <w:rPr>
                <w:sz w:val="4"/>
                <w:szCs w:val="4"/>
              </w:rPr>
            </w:pPr>
            <w:r>
              <w:rPr>
                <w:sz w:val="4"/>
                <w:szCs w:val="4"/>
              </w:rPr>
            </w:r>
          </w:p>
        </w:tc>
        <w:tc>
          <w:tcPr>
            <w:tcW w:w="17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1627"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c>
          <w:tcPr>
            <w:tcW w:w="1997" w:type="dxa"/>
            <w:gridSpan w:val="3"/>
            <w:tcBorders/>
            <w:vAlign w:val="center"/>
          </w:tcPr>
          <w:p>
            <w:pPr>
              <w:pStyle w:val="TableContents"/>
              <w:bidi w:val="0"/>
              <w:spacing w:before="0" w:after="283"/>
              <w:jc w:val="left"/>
              <w:rPr>
                <w:sz w:val="4"/>
                <w:szCs w:val="4"/>
              </w:rPr>
            </w:pPr>
            <w:r>
              <w:rPr>
                <w:sz w:val="4"/>
                <w:szCs w:val="4"/>
              </w:rPr>
            </w:r>
          </w:p>
        </w:tc>
        <w:tc>
          <w:tcPr>
            <w:tcW w:w="17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60" w:after="160"/>
        <w:ind w:left="0" w:right="0" w:hanging="720"/>
        <w:jc w:val="both"/>
        <w:rPr/>
      </w:pPr>
      <w:r>
        <w:rPr>
          <w:rFonts w:ascii="Times New Roman;serif" w:hAnsi="Times New Roman;serif"/>
          <w:b w:val="false"/>
          <w:color w:val="000000"/>
          <w:sz w:val="13"/>
        </w:rPr>
        <w:t>(1)</w:t>
      </w:r>
      <w:r>
        <w:rPr>
          <w:color w:val="000000"/>
        </w:rPr>
        <w:t>    </w:t>
      </w:r>
      <w:r>
        <w:rPr>
          <w:rFonts w:ascii="Times New Roman;serif" w:hAnsi="Times New Roman;serif"/>
          <w:b w:val="false"/>
          <w:color w:val="000000"/>
          <w:sz w:val="20"/>
        </w:rPr>
        <w:t xml:space="preserve">Building base rent will be increased by 1.75% in the 7th and 8th lease year and 2% in the 9th lease year and each year thereafter.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Table of Contents</w:t>
      </w:r>
    </w:p>
    <w:tbl>
      <w:tblPr>
        <w:tblW w:w="10205" w:type="dxa"/>
        <w:jc w:val="left"/>
        <w:tblInd w:w="0" w:type="dxa"/>
        <w:tblLayout w:type="fixed"/>
        <w:tblCellMar>
          <w:top w:w="28" w:type="dxa"/>
          <w:left w:w="28" w:type="dxa"/>
          <w:bottom w:w="28" w:type="dxa"/>
          <w:right w:w="28" w:type="dxa"/>
        </w:tblCellMar>
      </w:tblPr>
      <w:tblGrid>
        <w:gridCol w:w="947"/>
        <w:gridCol w:w="831"/>
        <w:gridCol w:w="845"/>
        <w:gridCol w:w="512"/>
        <w:gridCol w:w="481"/>
        <w:gridCol w:w="1050"/>
        <w:gridCol w:w="408"/>
        <w:gridCol w:w="408"/>
        <w:gridCol w:w="397"/>
        <w:gridCol w:w="886"/>
        <w:gridCol w:w="869"/>
        <w:gridCol w:w="798"/>
        <w:gridCol w:w="448"/>
        <w:gridCol w:w="448"/>
        <w:gridCol w:w="389"/>
        <w:gridCol w:w="109"/>
        <w:gridCol w:w="109"/>
        <w:gridCol w:w="109"/>
        <w:gridCol w:w="161"/>
      </w:tblGrid>
      <w:tr>
        <w:trPr/>
        <w:tc>
          <w:tcPr>
            <w:tcW w:w="947"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9717" w:type="dxa"/>
            <w:gridSpan w:val="15"/>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Master Leases</w:t>
            </w:r>
          </w:p>
        </w:tc>
        <w:tc>
          <w:tcPr>
            <w:tcW w:w="488" w:type="dxa"/>
            <w:gridSpan w:val="4"/>
            <w:tcBorders/>
          </w:tcPr>
          <w:p>
            <w:pPr>
              <w:pStyle w:val="TableContents"/>
              <w:bidi w:val="0"/>
              <w:spacing w:before="0" w:after="283"/>
              <w:jc w:val="left"/>
              <w:rPr>
                <w:sz w:val="4"/>
                <w:szCs w:val="4"/>
              </w:rPr>
            </w:pPr>
            <w:r>
              <w:rPr>
                <w:sz w:val="4"/>
                <w:szCs w:val="4"/>
              </w:rPr>
            </w:r>
          </w:p>
        </w:tc>
      </w:tr>
      <w:tr>
        <w:trPr/>
        <w:tc>
          <w:tcPr>
            <w:tcW w:w="26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Pennsylvania Live! Master Lease</w:t>
            </w:r>
          </w:p>
        </w:tc>
        <w:tc>
          <w:tcPr>
            <w:tcW w:w="3838"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Strategic Gaming Leases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gridSpan w:val="2"/>
            <w:tcBorders/>
          </w:tcPr>
          <w:p>
            <w:pPr>
              <w:pStyle w:val="TableContents"/>
              <w:bidi w:val="0"/>
              <w:spacing w:before="0" w:after="283"/>
              <w:jc w:val="left"/>
              <w:rPr>
                <w:sz w:val="4"/>
                <w:szCs w:val="4"/>
              </w:rPr>
            </w:pPr>
            <w:r>
              <w:rPr>
                <w:sz w:val="4"/>
                <w:szCs w:val="4"/>
              </w:rPr>
            </w:r>
          </w:p>
        </w:tc>
      </w:tr>
      <w:tr>
        <w:trPr/>
        <w:tc>
          <w:tcPr>
            <w:tcW w:w="2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Operator</w:t>
            </w:r>
          </w:p>
        </w:tc>
        <w:tc>
          <w:tcPr>
            <w:tcW w:w="325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Cordish</w:t>
            </w:r>
          </w:p>
        </w:tc>
        <w:tc>
          <w:tcPr>
            <w:tcW w:w="3838"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Strategic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Properties</w:t>
            </w:r>
          </w:p>
        </w:tc>
        <w:tc>
          <w:tcPr>
            <w:tcW w:w="2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Live! Casino &amp; Hotel Philadelphia</w:t>
            </w:r>
          </w:p>
        </w:tc>
        <w:tc>
          <w:tcPr>
            <w:tcW w:w="1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Philadelphia, PA</w:t>
            </w:r>
          </w:p>
        </w:tc>
        <w:tc>
          <w:tcPr>
            <w:tcW w:w="2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Silverado Franklin Hotel &amp; Gaming Complex</w:t>
            </w:r>
          </w:p>
        </w:tc>
        <w:tc>
          <w:tcPr>
            <w:tcW w:w="1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Deadwood, SD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Live! Casino Pittsburgh</w:t>
            </w:r>
          </w:p>
        </w:tc>
        <w:tc>
          <w:tcPr>
            <w:tcW w:w="1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Greensburg, PA</w:t>
            </w:r>
          </w:p>
        </w:tc>
        <w:tc>
          <w:tcPr>
            <w:tcW w:w="2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Deadwood Mountain Grand Casino</w:t>
            </w:r>
          </w:p>
        </w:tc>
        <w:tc>
          <w:tcPr>
            <w:tcW w:w="1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Deadwood, SD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Baldini's Casino</w:t>
            </w:r>
          </w:p>
        </w:tc>
        <w:tc>
          <w:tcPr>
            <w:tcW w:w="1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Sparks, NV</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Sunland Park Racetrack and Casino</w:t>
            </w:r>
          </w:p>
        </w:tc>
        <w:tc>
          <w:tcPr>
            <w:tcW w:w="1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Sunland Park, 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23" w:type="dxa"/>
            <w:gridSpan w:val="3"/>
            <w:tcBorders/>
            <w:vAlign w:val="center"/>
          </w:tcPr>
          <w:p>
            <w:pPr>
              <w:pStyle w:val="TableContents"/>
              <w:bidi w:val="0"/>
              <w:spacing w:before="0" w:after="283"/>
              <w:jc w:val="left"/>
              <w:rPr>
                <w:sz w:val="4"/>
                <w:szCs w:val="4"/>
              </w:rPr>
            </w:pPr>
            <w:r>
              <w:rPr>
                <w:sz w:val="4"/>
                <w:szCs w:val="4"/>
              </w:rPr>
            </w:r>
          </w:p>
        </w:tc>
        <w:tc>
          <w:tcPr>
            <w:tcW w:w="2043"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2553"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Commencement Date</w:t>
            </w:r>
          </w:p>
        </w:tc>
        <w:tc>
          <w:tcPr>
            <w:tcW w:w="2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3/1/2022</w:t>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5/16/2024</w:t>
            </w:r>
          </w:p>
        </w:tc>
        <w:tc>
          <w:tcPr>
            <w:tcW w:w="1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 Expiration Date</w:t>
            </w:r>
          </w:p>
        </w:tc>
        <w:tc>
          <w:tcPr>
            <w:tcW w:w="2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2/28/2061</w:t>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5/31/2049</w:t>
            </w:r>
          </w:p>
        </w:tc>
        <w:tc>
          <w:tcPr>
            <w:tcW w:w="1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Remaining Renewal Terms</w:t>
            </w:r>
          </w:p>
        </w:tc>
        <w:tc>
          <w:tcPr>
            <w:tcW w:w="2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(1x11 years, 1x10 years)</w:t>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(2x10 years)</w:t>
            </w:r>
          </w:p>
        </w:tc>
        <w:tc>
          <w:tcPr>
            <w:tcW w:w="1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Guarantee</w:t>
            </w:r>
          </w:p>
        </w:tc>
        <w:tc>
          <w:tcPr>
            <w:tcW w:w="2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No</w:t>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Yes</w:t>
            </w:r>
          </w:p>
        </w:tc>
        <w:tc>
          <w:tcPr>
            <w:tcW w:w="1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Master Lease with Cross Collateralization</w:t>
            </w:r>
          </w:p>
        </w:tc>
        <w:tc>
          <w:tcPr>
            <w:tcW w:w="2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Yes</w:t>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Yes</w:t>
            </w:r>
          </w:p>
        </w:tc>
        <w:tc>
          <w:tcPr>
            <w:tcW w:w="1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Technical Default Landlord Protection</w:t>
            </w:r>
          </w:p>
        </w:tc>
        <w:tc>
          <w:tcPr>
            <w:tcW w:w="2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Yes</w:t>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Yes</w:t>
            </w:r>
          </w:p>
        </w:tc>
        <w:tc>
          <w:tcPr>
            <w:tcW w:w="1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Default Adjusted Revenue to Rent Coverage</w:t>
            </w:r>
          </w:p>
        </w:tc>
        <w:tc>
          <w:tcPr>
            <w:tcW w:w="2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8"/>
              </w:rPr>
              <w:t>1.4</w:t>
            </w:r>
            <w:r>
              <w:rPr>
                <w:color w:val="000000"/>
              </w:rPr>
              <w:t xml:space="preserve"> </w:t>
            </w:r>
            <w:r>
              <w:rPr>
                <w:rFonts w:ascii="Times New Roman;serif" w:hAnsi="Times New Roman;serif"/>
                <w:b w:val="false"/>
                <w:color w:val="000000"/>
                <w:sz w:val="12"/>
              </w:rPr>
              <w:t>(2)</w:t>
            </w:r>
          </w:p>
        </w:tc>
        <w:tc>
          <w:tcPr>
            <w:tcW w:w="1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Competitive Radius Landlord Protection</w:t>
            </w:r>
          </w:p>
        </w:tc>
        <w:tc>
          <w:tcPr>
            <w:tcW w:w="2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Yes</w:t>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Yes</w:t>
            </w:r>
          </w:p>
        </w:tc>
        <w:tc>
          <w:tcPr>
            <w:tcW w:w="1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Escalator Details</w:t>
            </w:r>
          </w:p>
        </w:tc>
        <w:tc>
          <w:tcPr>
            <w:tcW w:w="2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Yearly Base Rent Escalator Maximum</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1.75 </w:t>
            </w:r>
          </w:p>
        </w:tc>
        <w:tc>
          <w:tcPr>
            <w:tcW w:w="10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8"/>
              </w:rPr>
              <w:t>2%</w:t>
            </w:r>
            <w:r>
              <w:rPr>
                <w:color w:val="000000"/>
              </w:rPr>
              <w:t xml:space="preserve"> </w:t>
            </w:r>
            <w:r>
              <w:rPr>
                <w:rFonts w:ascii="Times New Roman;serif" w:hAnsi="Times New Roman;serif"/>
                <w:b w:val="false"/>
                <w:color w:val="000000"/>
                <w:sz w:val="12"/>
              </w:rPr>
              <w:t>(2)</w:t>
            </w:r>
          </w:p>
        </w:tc>
        <w:tc>
          <w:tcPr>
            <w:tcW w:w="1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Coverage ratio at September 30, 2025</w:t>
            </w:r>
          </w:p>
        </w:tc>
        <w:tc>
          <w:tcPr>
            <w:tcW w:w="2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w:t>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8"/>
              </w:rPr>
              <w:t xml:space="preserve">1.84 </w:t>
            </w:r>
            <w:r>
              <w:rPr>
                <w:rFonts w:ascii="Times New Roman;serif" w:hAnsi="Times New Roman;serif"/>
                <w:b w:val="false"/>
                <w:color w:val="000000"/>
                <w:sz w:val="12"/>
              </w:rPr>
              <w:t>(3)</w:t>
            </w:r>
          </w:p>
        </w:tc>
        <w:tc>
          <w:tcPr>
            <w:tcW w:w="1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Minimum Escalator Coverage Governor</w:t>
            </w:r>
          </w:p>
        </w:tc>
        <w:tc>
          <w:tcPr>
            <w:tcW w:w="2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1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Yearly Anniversary for Realization</w:t>
            </w:r>
          </w:p>
        </w:tc>
        <w:tc>
          <w:tcPr>
            <w:tcW w:w="2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March</w:t>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June</w:t>
            </w:r>
          </w:p>
        </w:tc>
        <w:tc>
          <w:tcPr>
            <w:tcW w:w="1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Percentage Rent Reset Details</w:t>
            </w:r>
          </w:p>
        </w:tc>
        <w:tc>
          <w:tcPr>
            <w:tcW w:w="2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Reset Frequency</w:t>
            </w:r>
          </w:p>
        </w:tc>
        <w:tc>
          <w:tcPr>
            <w:tcW w:w="2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1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Next Reset</w:t>
            </w:r>
          </w:p>
        </w:tc>
        <w:tc>
          <w:tcPr>
            <w:tcW w:w="2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1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23" w:type="dxa"/>
            <w:gridSpan w:val="3"/>
            <w:tcBorders/>
            <w:vAlign w:val="center"/>
          </w:tcPr>
          <w:p>
            <w:pPr>
              <w:pStyle w:val="TableContents"/>
              <w:bidi w:val="0"/>
              <w:spacing w:before="0" w:after="283"/>
              <w:jc w:val="left"/>
              <w:rPr>
                <w:sz w:val="4"/>
                <w:szCs w:val="4"/>
              </w:rPr>
            </w:pPr>
            <w:r>
              <w:rPr>
                <w:sz w:val="4"/>
                <w:szCs w:val="4"/>
              </w:rPr>
            </w:r>
          </w:p>
        </w:tc>
        <w:tc>
          <w:tcPr>
            <w:tcW w:w="2043"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2553"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23" w:type="dxa"/>
            <w:gridSpan w:val="3"/>
            <w:tcBorders/>
            <w:vAlign w:val="center"/>
          </w:tcPr>
          <w:p>
            <w:pPr>
              <w:pStyle w:val="TableContents"/>
              <w:bidi w:val="0"/>
              <w:spacing w:before="0" w:after="283"/>
              <w:jc w:val="left"/>
              <w:rPr>
                <w:sz w:val="4"/>
                <w:szCs w:val="4"/>
              </w:rPr>
            </w:pPr>
            <w:r>
              <w:rPr>
                <w:sz w:val="4"/>
                <w:szCs w:val="4"/>
              </w:rPr>
            </w:r>
          </w:p>
        </w:tc>
        <w:tc>
          <w:tcPr>
            <w:tcW w:w="2043"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2553"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23" w:type="dxa"/>
            <w:gridSpan w:val="3"/>
            <w:tcBorders/>
            <w:vAlign w:val="center"/>
          </w:tcPr>
          <w:p>
            <w:pPr>
              <w:pStyle w:val="TableContents"/>
              <w:bidi w:val="0"/>
              <w:spacing w:before="0" w:after="283"/>
              <w:jc w:val="left"/>
              <w:rPr>
                <w:sz w:val="4"/>
                <w:szCs w:val="4"/>
              </w:rPr>
            </w:pPr>
            <w:r>
              <w:rPr>
                <w:sz w:val="4"/>
                <w:szCs w:val="4"/>
              </w:rPr>
            </w:r>
          </w:p>
        </w:tc>
        <w:tc>
          <w:tcPr>
            <w:tcW w:w="2043"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2553"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23" w:type="dxa"/>
            <w:gridSpan w:val="3"/>
            <w:tcBorders/>
            <w:vAlign w:val="center"/>
          </w:tcPr>
          <w:p>
            <w:pPr>
              <w:pStyle w:val="TableContents"/>
              <w:bidi w:val="0"/>
              <w:spacing w:before="0" w:after="283"/>
              <w:jc w:val="left"/>
              <w:rPr>
                <w:sz w:val="4"/>
                <w:szCs w:val="4"/>
              </w:rPr>
            </w:pPr>
            <w:r>
              <w:rPr>
                <w:sz w:val="4"/>
                <w:szCs w:val="4"/>
              </w:rPr>
            </w:r>
          </w:p>
        </w:tc>
        <w:tc>
          <w:tcPr>
            <w:tcW w:w="2043"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2553"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23" w:type="dxa"/>
            <w:gridSpan w:val="3"/>
            <w:tcBorders/>
            <w:vAlign w:val="center"/>
          </w:tcPr>
          <w:p>
            <w:pPr>
              <w:pStyle w:val="TableContents"/>
              <w:bidi w:val="0"/>
              <w:spacing w:before="0" w:after="283"/>
              <w:jc w:val="left"/>
              <w:rPr>
                <w:sz w:val="4"/>
                <w:szCs w:val="4"/>
              </w:rPr>
            </w:pPr>
            <w:r>
              <w:rPr>
                <w:sz w:val="4"/>
                <w:szCs w:val="4"/>
              </w:rPr>
            </w:r>
          </w:p>
        </w:tc>
        <w:tc>
          <w:tcPr>
            <w:tcW w:w="2043"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2553"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60" w:after="160"/>
        <w:ind w:left="0" w:right="0" w:hanging="720"/>
        <w:jc w:val="left"/>
        <w:rPr/>
      </w:pPr>
      <w:r>
        <w:rPr>
          <w:rFonts w:ascii="Times New Roman;serif" w:hAnsi="Times New Roman;serif"/>
          <w:b w:val="false"/>
          <w:color w:val="000000"/>
          <w:sz w:val="13"/>
        </w:rPr>
        <w:t>(1)</w:t>
      </w:r>
      <w:r>
        <w:rPr>
          <w:color w:val="000000"/>
        </w:rPr>
        <w:t>    </w:t>
      </w:r>
      <w:r>
        <w:rPr>
          <w:rFonts w:ascii="Times New Roman;serif" w:hAnsi="Times New Roman;serif"/>
          <w:b w:val="false"/>
          <w:color w:val="000000"/>
          <w:sz w:val="20"/>
        </w:rPr>
        <w:t xml:space="preserve">Consists of two leases that are cross collateralized and co-terminus with each other. </w:t>
      </w:r>
    </w:p>
    <w:p>
      <w:pPr>
        <w:pStyle w:val="TextBody"/>
        <w:bidi w:val="0"/>
        <w:spacing w:lineRule="auto" w:line="276" w:before="160" w:after="283"/>
        <w:ind w:left="0" w:right="0" w:hanging="720"/>
        <w:jc w:val="both"/>
        <w:rPr/>
      </w:pPr>
      <w:r>
        <w:rPr>
          <w:rFonts w:ascii="Times New Roman;serif" w:hAnsi="Times New Roman;serif"/>
          <w:b w:val="false"/>
          <w:color w:val="000000"/>
          <w:sz w:val="13"/>
        </w:rPr>
        <w:t>(2)    </w:t>
      </w:r>
      <w:r>
        <w:rPr>
          <w:rFonts w:ascii="Times New Roman;serif" w:hAnsi="Times New Roman;serif"/>
          <w:b w:val="false"/>
          <w:color w:val="000000"/>
          <w:sz w:val="20"/>
        </w:rPr>
        <w:t xml:space="preserve">The default adjusted revenue to rent coverage declines to 1.25 if the tenant's adjusted revenues total $75 million or more. Annual rent escalates at 2% beginning in year three of the lease and in year 11 escalates based on the greater of 2% or CPI, capped at 2.5%. </w:t>
      </w:r>
    </w:p>
    <w:p>
      <w:pPr>
        <w:pStyle w:val="TextBody"/>
        <w:bidi w:val="0"/>
        <w:spacing w:lineRule="auto" w:line="276" w:before="160" w:after="283"/>
        <w:ind w:left="0" w:right="0" w:hanging="720"/>
        <w:jc w:val="both"/>
        <w:rPr/>
      </w:pPr>
      <w:r>
        <w:rPr>
          <w:rFonts w:ascii="Times New Roman;serif" w:hAnsi="Times New Roman;serif"/>
          <w:b w:val="false"/>
          <w:color w:val="000000"/>
          <w:sz w:val="13"/>
        </w:rPr>
        <w:t>(3)    </w:t>
      </w:r>
      <w:r>
        <w:rPr>
          <w:rFonts w:ascii="Times New Roman;serif" w:hAnsi="Times New Roman;serif"/>
          <w:b w:val="false"/>
          <w:color w:val="000000"/>
          <w:sz w:val="20"/>
        </w:rPr>
        <w:t xml:space="preserve">Coverage ratio above is proforma for the acquisition of the real estate assets of Sunland Park which closed on October 15, 2025. </w:t>
      </w:r>
    </w:p>
    <w:p>
      <w:pPr>
        <w:pStyle w:val="TextBody"/>
        <w:bidi w:val="0"/>
        <w:spacing w:before="160" w:after="1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Table of Contents</w:t>
      </w:r>
    </w:p>
    <w:tbl>
      <w:tblPr>
        <w:tblW w:w="10205" w:type="dxa"/>
        <w:jc w:val="left"/>
        <w:tblInd w:w="0" w:type="dxa"/>
        <w:tblLayout w:type="fixed"/>
        <w:tblCellMar>
          <w:top w:w="28" w:type="dxa"/>
          <w:left w:w="28" w:type="dxa"/>
          <w:bottom w:w="28" w:type="dxa"/>
          <w:right w:w="28" w:type="dxa"/>
        </w:tblCellMar>
      </w:tblPr>
      <w:tblGrid>
        <w:gridCol w:w="874"/>
        <w:gridCol w:w="767"/>
        <w:gridCol w:w="780"/>
        <w:gridCol w:w="873"/>
        <w:gridCol w:w="849"/>
        <w:gridCol w:w="750"/>
        <w:gridCol w:w="524"/>
        <w:gridCol w:w="524"/>
        <w:gridCol w:w="526"/>
        <w:gridCol w:w="623"/>
        <w:gridCol w:w="623"/>
        <w:gridCol w:w="625"/>
        <w:gridCol w:w="640"/>
        <w:gridCol w:w="536"/>
        <w:gridCol w:w="528"/>
        <w:gridCol w:w="163"/>
      </w:tblGrid>
      <w:tr>
        <w:trPr/>
        <w:tc>
          <w:tcPr>
            <w:tcW w:w="87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0042" w:type="dxa"/>
            <w:gridSpan w:val="15"/>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Single Property Leases</w:t>
            </w:r>
          </w:p>
        </w:tc>
        <w:tc>
          <w:tcPr>
            <w:tcW w:w="163" w:type="dxa"/>
            <w:tcBorders/>
          </w:tcPr>
          <w:p>
            <w:pPr>
              <w:pStyle w:val="TableContents"/>
              <w:bidi w:val="0"/>
              <w:spacing w:before="0" w:after="283"/>
              <w:jc w:val="left"/>
              <w:rPr>
                <w:sz w:val="4"/>
                <w:szCs w:val="4"/>
              </w:rPr>
            </w:pPr>
            <w:r>
              <w:rPr>
                <w:sz w:val="4"/>
                <w:szCs w:val="4"/>
              </w:rPr>
            </w:r>
          </w:p>
        </w:tc>
      </w:tr>
      <w:tr>
        <w:trPr/>
        <w:tc>
          <w:tcPr>
            <w:tcW w:w="24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Belterra Park Lease</w:t>
            </w:r>
          </w:p>
        </w:tc>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Horseshoe St Louis Lease</w:t>
            </w:r>
          </w:p>
        </w:tc>
        <w:tc>
          <w:tcPr>
            <w:tcW w:w="1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Morgantown Lease</w:t>
            </w:r>
          </w:p>
        </w:tc>
        <w:tc>
          <w:tcPr>
            <w:tcW w:w="17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MD Live! Lease</w:t>
            </w:r>
          </w:p>
        </w:tc>
        <w:tc>
          <w:tcPr>
            <w:tcW w:w="163" w:type="dxa"/>
            <w:tcBorders/>
            <w:vAlign w:val="center"/>
          </w:tcPr>
          <w:p>
            <w:pPr>
              <w:pStyle w:val="TableContents"/>
              <w:bidi w:val="0"/>
              <w:spacing w:before="0" w:after="283"/>
              <w:jc w:val="left"/>
              <w:rPr>
                <w:sz w:val="4"/>
                <w:szCs w:val="4"/>
              </w:rPr>
            </w:pPr>
            <w:r>
              <w:rPr>
                <w:sz w:val="4"/>
                <w:szCs w:val="4"/>
              </w:rPr>
            </w:r>
          </w:p>
        </w:tc>
      </w:tr>
      <w:tr>
        <w:trPr/>
        <w:tc>
          <w:tcPr>
            <w:tcW w:w="2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Operator</w:t>
            </w:r>
          </w:p>
        </w:tc>
        <w:tc>
          <w:tcPr>
            <w:tcW w:w="2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Boyd</w:t>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Caesars</w:t>
            </w:r>
          </w:p>
        </w:tc>
        <w:tc>
          <w:tcPr>
            <w:tcW w:w="1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PENN</w:t>
            </w:r>
          </w:p>
        </w:tc>
        <w:tc>
          <w:tcPr>
            <w:tcW w:w="1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Cordish</w:t>
            </w:r>
          </w:p>
        </w:tc>
        <w:tc>
          <w:tcPr>
            <w:tcW w:w="163" w:type="dxa"/>
            <w:tcBorders/>
            <w:vAlign w:val="center"/>
          </w:tcPr>
          <w:p>
            <w:pPr>
              <w:pStyle w:val="TableContents"/>
              <w:bidi w:val="0"/>
              <w:spacing w:before="0" w:after="283"/>
              <w:jc w:val="left"/>
              <w:rPr>
                <w:sz w:val="4"/>
                <w:szCs w:val="4"/>
              </w:rPr>
            </w:pPr>
            <w:r>
              <w:rPr>
                <w:sz w:val="4"/>
                <w:szCs w:val="4"/>
              </w:rPr>
            </w:r>
          </w:p>
        </w:tc>
      </w:tr>
      <w:tr>
        <w:trPr/>
        <w:tc>
          <w:tcPr>
            <w:tcW w:w="2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Properties</w:t>
            </w:r>
          </w:p>
        </w:tc>
        <w:tc>
          <w:tcPr>
            <w:tcW w:w="2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Belterra Park Gaming &amp; Entertainment Center</w:t>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Horseshoe St. Louis</w:t>
            </w:r>
          </w:p>
        </w:tc>
        <w:tc>
          <w:tcPr>
            <w:tcW w:w="1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Hollywood Casino Morgantown</w:t>
            </w:r>
          </w:p>
        </w:tc>
        <w:tc>
          <w:tcPr>
            <w:tcW w:w="1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Live! Casino &amp; Hotel Maryland</w:t>
            </w:r>
          </w:p>
        </w:tc>
        <w:tc>
          <w:tcPr>
            <w:tcW w:w="163" w:type="dxa"/>
            <w:tcBorders/>
            <w:vAlign w:val="center"/>
          </w:tcPr>
          <w:p>
            <w:pPr>
              <w:pStyle w:val="TableContents"/>
              <w:bidi w:val="0"/>
              <w:spacing w:before="0" w:after="283"/>
              <w:jc w:val="left"/>
              <w:rPr>
                <w:sz w:val="4"/>
                <w:szCs w:val="4"/>
              </w:rPr>
            </w:pPr>
            <w:r>
              <w:rPr>
                <w:sz w:val="4"/>
                <w:szCs w:val="4"/>
              </w:rPr>
            </w:r>
          </w:p>
        </w:tc>
      </w:tr>
      <w:tr>
        <w:trPr/>
        <w:tc>
          <w:tcPr>
            <w:tcW w:w="2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Cincinnati, OH</w:t>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 Louis, MO</w:t>
            </w:r>
          </w:p>
        </w:tc>
        <w:tc>
          <w:tcPr>
            <w:tcW w:w="1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Morgantown, PA</w:t>
            </w:r>
          </w:p>
        </w:tc>
        <w:tc>
          <w:tcPr>
            <w:tcW w:w="1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Hanover, MD</w:t>
            </w:r>
          </w:p>
        </w:tc>
        <w:tc>
          <w:tcPr>
            <w:tcW w:w="163" w:type="dxa"/>
            <w:tcBorders/>
            <w:vAlign w:val="center"/>
          </w:tcPr>
          <w:p>
            <w:pPr>
              <w:pStyle w:val="TableContents"/>
              <w:bidi w:val="0"/>
              <w:spacing w:before="0" w:after="283"/>
              <w:jc w:val="left"/>
              <w:rPr>
                <w:sz w:val="4"/>
                <w:szCs w:val="4"/>
              </w:rPr>
            </w:pPr>
            <w:r>
              <w:rPr>
                <w:sz w:val="4"/>
                <w:szCs w:val="4"/>
              </w:rPr>
            </w:r>
          </w:p>
        </w:tc>
      </w:tr>
      <w:tr>
        <w:trPr/>
        <w:tc>
          <w:tcPr>
            <w:tcW w:w="2421" w:type="dxa"/>
            <w:gridSpan w:val="3"/>
            <w:tcBorders/>
            <w:vAlign w:val="center"/>
          </w:tcPr>
          <w:p>
            <w:pPr>
              <w:pStyle w:val="TableContents"/>
              <w:bidi w:val="0"/>
              <w:spacing w:before="0" w:after="283"/>
              <w:jc w:val="left"/>
              <w:rPr>
                <w:sz w:val="4"/>
                <w:szCs w:val="4"/>
              </w:rPr>
            </w:pPr>
            <w:r>
              <w:rPr>
                <w:sz w:val="4"/>
                <w:szCs w:val="4"/>
              </w:rPr>
            </w:r>
          </w:p>
        </w:tc>
        <w:tc>
          <w:tcPr>
            <w:tcW w:w="2472"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1871" w:type="dxa"/>
            <w:gridSpan w:val="3"/>
            <w:tcBorders/>
            <w:vAlign w:val="center"/>
          </w:tcPr>
          <w:p>
            <w:pPr>
              <w:pStyle w:val="TableContents"/>
              <w:bidi w:val="0"/>
              <w:spacing w:before="0" w:after="283"/>
              <w:jc w:val="left"/>
              <w:rPr>
                <w:sz w:val="4"/>
                <w:szCs w:val="4"/>
              </w:rPr>
            </w:pPr>
            <w:r>
              <w:rPr>
                <w:sz w:val="4"/>
                <w:szCs w:val="4"/>
              </w:rPr>
            </w:r>
          </w:p>
        </w:tc>
        <w:tc>
          <w:tcPr>
            <w:tcW w:w="1704"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Commencement Date</w:t>
            </w:r>
          </w:p>
        </w:tc>
        <w:tc>
          <w:tcPr>
            <w:tcW w:w="2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10/15/2018</w:t>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9/29/2020</w:t>
            </w:r>
          </w:p>
        </w:tc>
        <w:tc>
          <w:tcPr>
            <w:tcW w:w="1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10/1/2020</w:t>
            </w:r>
          </w:p>
        </w:tc>
        <w:tc>
          <w:tcPr>
            <w:tcW w:w="1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12/29/2021</w:t>
            </w:r>
          </w:p>
        </w:tc>
        <w:tc>
          <w:tcPr>
            <w:tcW w:w="163" w:type="dxa"/>
            <w:tcBorders/>
            <w:vAlign w:val="center"/>
          </w:tcPr>
          <w:p>
            <w:pPr>
              <w:pStyle w:val="TableContents"/>
              <w:bidi w:val="0"/>
              <w:spacing w:before="0" w:after="283"/>
              <w:jc w:val="left"/>
              <w:rPr>
                <w:sz w:val="4"/>
                <w:szCs w:val="4"/>
              </w:rPr>
            </w:pPr>
            <w:r>
              <w:rPr>
                <w:sz w:val="4"/>
                <w:szCs w:val="4"/>
              </w:rPr>
            </w:r>
          </w:p>
        </w:tc>
      </w:tr>
      <w:tr>
        <w:trPr/>
        <w:tc>
          <w:tcPr>
            <w:tcW w:w="2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 Expiration Date</w:t>
            </w:r>
          </w:p>
        </w:tc>
        <w:tc>
          <w:tcPr>
            <w:tcW w:w="2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04/30/2031</w:t>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10/31/2033</w:t>
            </w:r>
          </w:p>
        </w:tc>
        <w:tc>
          <w:tcPr>
            <w:tcW w:w="1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10/31/2040</w:t>
            </w:r>
          </w:p>
        </w:tc>
        <w:tc>
          <w:tcPr>
            <w:tcW w:w="1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12/31/2060</w:t>
            </w:r>
          </w:p>
        </w:tc>
        <w:tc>
          <w:tcPr>
            <w:tcW w:w="163" w:type="dxa"/>
            <w:tcBorders/>
            <w:vAlign w:val="center"/>
          </w:tcPr>
          <w:p>
            <w:pPr>
              <w:pStyle w:val="TableContents"/>
              <w:bidi w:val="0"/>
              <w:spacing w:before="0" w:after="283"/>
              <w:jc w:val="left"/>
              <w:rPr>
                <w:sz w:val="4"/>
                <w:szCs w:val="4"/>
              </w:rPr>
            </w:pPr>
            <w:r>
              <w:rPr>
                <w:sz w:val="4"/>
                <w:szCs w:val="4"/>
              </w:rPr>
            </w:r>
          </w:p>
        </w:tc>
      </w:tr>
      <w:tr>
        <w:trPr/>
        <w:tc>
          <w:tcPr>
            <w:tcW w:w="2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Remaining Renewal Terms</w:t>
            </w:r>
          </w:p>
        </w:tc>
        <w:tc>
          <w:tcPr>
            <w:tcW w:w="2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 (4x5 years)</w:t>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 (4x5 years)</w:t>
            </w:r>
          </w:p>
        </w:tc>
        <w:tc>
          <w:tcPr>
            <w:tcW w:w="1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30 (6x5 years)</w:t>
            </w:r>
          </w:p>
        </w:tc>
        <w:tc>
          <w:tcPr>
            <w:tcW w:w="1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21 (1x11 years, 1x10 years)</w:t>
            </w:r>
          </w:p>
        </w:tc>
        <w:tc>
          <w:tcPr>
            <w:tcW w:w="163" w:type="dxa"/>
            <w:tcBorders/>
            <w:vAlign w:val="center"/>
          </w:tcPr>
          <w:p>
            <w:pPr>
              <w:pStyle w:val="TableContents"/>
              <w:bidi w:val="0"/>
              <w:spacing w:before="0" w:after="283"/>
              <w:jc w:val="left"/>
              <w:rPr>
                <w:sz w:val="4"/>
                <w:szCs w:val="4"/>
              </w:rPr>
            </w:pPr>
            <w:r>
              <w:rPr>
                <w:sz w:val="4"/>
                <w:szCs w:val="4"/>
              </w:rPr>
            </w:r>
          </w:p>
        </w:tc>
      </w:tr>
      <w:tr>
        <w:trPr/>
        <w:tc>
          <w:tcPr>
            <w:tcW w:w="2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Guarantee</w:t>
            </w:r>
          </w:p>
        </w:tc>
        <w:tc>
          <w:tcPr>
            <w:tcW w:w="2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w:t>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Yes</w:t>
            </w:r>
          </w:p>
        </w:tc>
        <w:tc>
          <w:tcPr>
            <w:tcW w:w="1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Yes</w:t>
            </w:r>
          </w:p>
        </w:tc>
        <w:tc>
          <w:tcPr>
            <w:tcW w:w="1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w:t>
            </w:r>
          </w:p>
        </w:tc>
        <w:tc>
          <w:tcPr>
            <w:tcW w:w="163" w:type="dxa"/>
            <w:tcBorders/>
            <w:vAlign w:val="center"/>
          </w:tcPr>
          <w:p>
            <w:pPr>
              <w:pStyle w:val="TableContents"/>
              <w:bidi w:val="0"/>
              <w:spacing w:before="0" w:after="283"/>
              <w:jc w:val="left"/>
              <w:rPr>
                <w:sz w:val="4"/>
                <w:szCs w:val="4"/>
              </w:rPr>
            </w:pPr>
            <w:r>
              <w:rPr>
                <w:sz w:val="4"/>
                <w:szCs w:val="4"/>
              </w:rPr>
            </w:r>
          </w:p>
        </w:tc>
      </w:tr>
      <w:tr>
        <w:trPr/>
        <w:tc>
          <w:tcPr>
            <w:tcW w:w="2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Technical Default Landlord Protection</w:t>
            </w:r>
          </w:p>
        </w:tc>
        <w:tc>
          <w:tcPr>
            <w:tcW w:w="2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Yes</w:t>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Yes</w:t>
            </w:r>
          </w:p>
        </w:tc>
        <w:tc>
          <w:tcPr>
            <w:tcW w:w="1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Yes</w:t>
            </w:r>
          </w:p>
        </w:tc>
        <w:tc>
          <w:tcPr>
            <w:tcW w:w="1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Yes</w:t>
            </w:r>
          </w:p>
        </w:tc>
        <w:tc>
          <w:tcPr>
            <w:tcW w:w="163" w:type="dxa"/>
            <w:tcBorders/>
            <w:vAlign w:val="center"/>
          </w:tcPr>
          <w:p>
            <w:pPr>
              <w:pStyle w:val="TableContents"/>
              <w:bidi w:val="0"/>
              <w:spacing w:before="0" w:after="283"/>
              <w:jc w:val="left"/>
              <w:rPr>
                <w:sz w:val="4"/>
                <w:szCs w:val="4"/>
              </w:rPr>
            </w:pPr>
            <w:r>
              <w:rPr>
                <w:sz w:val="4"/>
                <w:szCs w:val="4"/>
              </w:rPr>
            </w:r>
          </w:p>
        </w:tc>
      </w:tr>
      <w:tr>
        <w:trPr/>
        <w:tc>
          <w:tcPr>
            <w:tcW w:w="2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Default Adjusted Revenue to Rent Coverage</w:t>
            </w:r>
          </w:p>
        </w:tc>
        <w:tc>
          <w:tcPr>
            <w:tcW w:w="2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1.4</w:t>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w:t>
            </w:r>
          </w:p>
        </w:tc>
        <w:tc>
          <w:tcPr>
            <w:tcW w:w="1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1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1.4</w:t>
            </w:r>
          </w:p>
        </w:tc>
        <w:tc>
          <w:tcPr>
            <w:tcW w:w="163" w:type="dxa"/>
            <w:tcBorders/>
            <w:vAlign w:val="center"/>
          </w:tcPr>
          <w:p>
            <w:pPr>
              <w:pStyle w:val="TableContents"/>
              <w:bidi w:val="0"/>
              <w:spacing w:before="0" w:after="283"/>
              <w:jc w:val="left"/>
              <w:rPr>
                <w:sz w:val="4"/>
                <w:szCs w:val="4"/>
              </w:rPr>
            </w:pPr>
            <w:r>
              <w:rPr>
                <w:sz w:val="4"/>
                <w:szCs w:val="4"/>
              </w:rPr>
            </w:r>
          </w:p>
        </w:tc>
      </w:tr>
      <w:tr>
        <w:trPr/>
        <w:tc>
          <w:tcPr>
            <w:tcW w:w="2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Competitive Radius Landlord Protection</w:t>
            </w:r>
          </w:p>
        </w:tc>
        <w:tc>
          <w:tcPr>
            <w:tcW w:w="2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Yes</w:t>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Yes</w:t>
            </w:r>
          </w:p>
        </w:tc>
        <w:tc>
          <w:tcPr>
            <w:tcW w:w="1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1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Yes</w:t>
            </w:r>
          </w:p>
        </w:tc>
        <w:tc>
          <w:tcPr>
            <w:tcW w:w="163" w:type="dxa"/>
            <w:tcBorders/>
            <w:vAlign w:val="center"/>
          </w:tcPr>
          <w:p>
            <w:pPr>
              <w:pStyle w:val="TableContents"/>
              <w:bidi w:val="0"/>
              <w:spacing w:before="0" w:after="283"/>
              <w:jc w:val="left"/>
              <w:rPr>
                <w:sz w:val="4"/>
                <w:szCs w:val="4"/>
              </w:rPr>
            </w:pPr>
            <w:r>
              <w:rPr>
                <w:sz w:val="4"/>
                <w:szCs w:val="4"/>
              </w:rPr>
            </w:r>
          </w:p>
        </w:tc>
      </w:tr>
      <w:tr>
        <w:trPr/>
        <w:tc>
          <w:tcPr>
            <w:tcW w:w="2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Escalator Details</w:t>
            </w:r>
          </w:p>
        </w:tc>
        <w:tc>
          <w:tcPr>
            <w:tcW w:w="24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Yearly Base Rent Escalator Maximum</w:t>
            </w:r>
          </w:p>
        </w:tc>
        <w:tc>
          <w:tcPr>
            <w:tcW w:w="2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w:t>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 xml:space="preserve">1.25% </w:t>
            </w:r>
            <w:r>
              <w:rPr>
                <w:rFonts w:ascii="Times New Roman;serif" w:hAnsi="Times New Roman;serif"/>
                <w:b w:val="false"/>
                <w:color w:val="000000"/>
                <w:sz w:val="12"/>
              </w:rPr>
              <w:t>(1)</w:t>
            </w:r>
            <w:r>
              <w:rPr>
                <w:color w:val="000000"/>
              </w:rPr>
              <w:t xml:space="preserve"> </w:t>
            </w:r>
          </w:p>
        </w:tc>
        <w:tc>
          <w:tcPr>
            <w:tcW w:w="18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 xml:space="preserve">1.25% </w:t>
            </w:r>
            <w:r>
              <w:rPr>
                <w:rFonts w:ascii="Times New Roman;serif" w:hAnsi="Times New Roman;serif"/>
                <w:b w:val="false"/>
                <w:color w:val="000000"/>
                <w:sz w:val="12"/>
              </w:rPr>
              <w:t>(2)</w:t>
            </w:r>
            <w:r>
              <w:rPr>
                <w:color w:val="000000"/>
              </w:rPr>
              <w:t xml:space="preserve"> </w:t>
            </w:r>
          </w:p>
        </w:tc>
        <w:tc>
          <w:tcPr>
            <w:tcW w:w="1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1.75%</w:t>
            </w:r>
          </w:p>
        </w:tc>
        <w:tc>
          <w:tcPr>
            <w:tcW w:w="163" w:type="dxa"/>
            <w:tcBorders/>
            <w:vAlign w:val="center"/>
          </w:tcPr>
          <w:p>
            <w:pPr>
              <w:pStyle w:val="TableContents"/>
              <w:bidi w:val="0"/>
              <w:spacing w:before="0" w:after="283"/>
              <w:jc w:val="left"/>
              <w:rPr>
                <w:sz w:val="4"/>
                <w:szCs w:val="4"/>
              </w:rPr>
            </w:pPr>
            <w:r>
              <w:rPr>
                <w:sz w:val="4"/>
                <w:szCs w:val="4"/>
              </w:rPr>
            </w:r>
          </w:p>
        </w:tc>
      </w:tr>
      <w:tr>
        <w:trPr/>
        <w:tc>
          <w:tcPr>
            <w:tcW w:w="2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Coverage ratio at September 30, 2025</w:t>
            </w:r>
          </w:p>
        </w:tc>
        <w:tc>
          <w:tcPr>
            <w:tcW w:w="2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3.06</w:t>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1.98</w:t>
            </w:r>
          </w:p>
        </w:tc>
        <w:tc>
          <w:tcPr>
            <w:tcW w:w="1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1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3.50</w:t>
            </w:r>
          </w:p>
        </w:tc>
        <w:tc>
          <w:tcPr>
            <w:tcW w:w="163" w:type="dxa"/>
            <w:tcBorders/>
            <w:vAlign w:val="center"/>
          </w:tcPr>
          <w:p>
            <w:pPr>
              <w:pStyle w:val="TableContents"/>
              <w:bidi w:val="0"/>
              <w:spacing w:before="0" w:after="283"/>
              <w:jc w:val="left"/>
              <w:rPr>
                <w:sz w:val="4"/>
                <w:szCs w:val="4"/>
              </w:rPr>
            </w:pPr>
            <w:r>
              <w:rPr>
                <w:sz w:val="4"/>
                <w:szCs w:val="4"/>
              </w:rPr>
            </w:r>
          </w:p>
        </w:tc>
      </w:tr>
      <w:tr>
        <w:trPr/>
        <w:tc>
          <w:tcPr>
            <w:tcW w:w="2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Minimum Escalator Coverage Governor</w:t>
            </w:r>
          </w:p>
        </w:tc>
        <w:tc>
          <w:tcPr>
            <w:tcW w:w="2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1.8</w:t>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1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1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163" w:type="dxa"/>
            <w:tcBorders/>
            <w:vAlign w:val="center"/>
          </w:tcPr>
          <w:p>
            <w:pPr>
              <w:pStyle w:val="TableContents"/>
              <w:bidi w:val="0"/>
              <w:spacing w:before="0" w:after="283"/>
              <w:jc w:val="left"/>
              <w:rPr>
                <w:sz w:val="4"/>
                <w:szCs w:val="4"/>
              </w:rPr>
            </w:pPr>
            <w:r>
              <w:rPr>
                <w:sz w:val="4"/>
                <w:szCs w:val="4"/>
              </w:rPr>
            </w:r>
          </w:p>
        </w:tc>
      </w:tr>
      <w:tr>
        <w:trPr/>
        <w:tc>
          <w:tcPr>
            <w:tcW w:w="2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Yearly Anniversary for Realization</w:t>
            </w:r>
          </w:p>
        </w:tc>
        <w:tc>
          <w:tcPr>
            <w:tcW w:w="2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w:t>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October</w:t>
            </w:r>
          </w:p>
        </w:tc>
        <w:tc>
          <w:tcPr>
            <w:tcW w:w="1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w:t>
            </w:r>
          </w:p>
        </w:tc>
        <w:tc>
          <w:tcPr>
            <w:tcW w:w="1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January</w:t>
            </w:r>
          </w:p>
        </w:tc>
        <w:tc>
          <w:tcPr>
            <w:tcW w:w="163" w:type="dxa"/>
            <w:tcBorders/>
            <w:vAlign w:val="center"/>
          </w:tcPr>
          <w:p>
            <w:pPr>
              <w:pStyle w:val="TableContents"/>
              <w:bidi w:val="0"/>
              <w:spacing w:before="0" w:after="283"/>
              <w:jc w:val="left"/>
              <w:rPr>
                <w:sz w:val="4"/>
                <w:szCs w:val="4"/>
              </w:rPr>
            </w:pPr>
            <w:r>
              <w:rPr>
                <w:sz w:val="4"/>
                <w:szCs w:val="4"/>
              </w:rPr>
            </w:r>
          </w:p>
        </w:tc>
      </w:tr>
      <w:tr>
        <w:trPr/>
        <w:tc>
          <w:tcPr>
            <w:tcW w:w="2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Percentage Rent Reset Details</w:t>
            </w:r>
          </w:p>
        </w:tc>
        <w:tc>
          <w:tcPr>
            <w:tcW w:w="24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Reset Frequency</w:t>
            </w:r>
          </w:p>
        </w:tc>
        <w:tc>
          <w:tcPr>
            <w:tcW w:w="2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 years</w:t>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1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1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163" w:type="dxa"/>
            <w:tcBorders/>
            <w:vAlign w:val="center"/>
          </w:tcPr>
          <w:p>
            <w:pPr>
              <w:pStyle w:val="TableContents"/>
              <w:bidi w:val="0"/>
              <w:spacing w:before="0" w:after="283"/>
              <w:jc w:val="left"/>
              <w:rPr>
                <w:sz w:val="4"/>
                <w:szCs w:val="4"/>
              </w:rPr>
            </w:pPr>
            <w:r>
              <w:rPr>
                <w:sz w:val="4"/>
                <w:szCs w:val="4"/>
              </w:rPr>
            </w:r>
          </w:p>
        </w:tc>
      </w:tr>
      <w:tr>
        <w:trPr/>
        <w:tc>
          <w:tcPr>
            <w:tcW w:w="2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Next Reset</w:t>
            </w:r>
          </w:p>
        </w:tc>
        <w:tc>
          <w:tcPr>
            <w:tcW w:w="2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2026</w:t>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1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1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163" w:type="dxa"/>
            <w:tcBorders/>
            <w:vAlign w:val="center"/>
          </w:tcPr>
          <w:p>
            <w:pPr>
              <w:pStyle w:val="TableContents"/>
              <w:bidi w:val="0"/>
              <w:spacing w:before="0" w:after="283"/>
              <w:jc w:val="left"/>
              <w:rPr>
                <w:sz w:val="4"/>
                <w:szCs w:val="4"/>
              </w:rPr>
            </w:pPr>
            <w:r>
              <w:rPr>
                <w:sz w:val="4"/>
                <w:szCs w:val="4"/>
              </w:rPr>
            </w:r>
          </w:p>
        </w:tc>
      </w:tr>
      <w:tr>
        <w:trPr/>
        <w:tc>
          <w:tcPr>
            <w:tcW w:w="2421" w:type="dxa"/>
            <w:gridSpan w:val="3"/>
            <w:tcBorders/>
            <w:vAlign w:val="center"/>
          </w:tcPr>
          <w:p>
            <w:pPr>
              <w:pStyle w:val="TableContents"/>
              <w:bidi w:val="0"/>
              <w:spacing w:before="0" w:after="283"/>
              <w:jc w:val="left"/>
              <w:rPr>
                <w:sz w:val="4"/>
                <w:szCs w:val="4"/>
              </w:rPr>
            </w:pPr>
            <w:r>
              <w:rPr>
                <w:sz w:val="4"/>
                <w:szCs w:val="4"/>
              </w:rPr>
            </w:r>
          </w:p>
        </w:tc>
        <w:tc>
          <w:tcPr>
            <w:tcW w:w="2472"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1871" w:type="dxa"/>
            <w:gridSpan w:val="3"/>
            <w:tcBorders/>
            <w:vAlign w:val="center"/>
          </w:tcPr>
          <w:p>
            <w:pPr>
              <w:pStyle w:val="TableContents"/>
              <w:bidi w:val="0"/>
              <w:spacing w:before="0" w:after="283"/>
              <w:jc w:val="left"/>
              <w:rPr>
                <w:sz w:val="4"/>
                <w:szCs w:val="4"/>
              </w:rPr>
            </w:pPr>
            <w:r>
              <w:rPr>
                <w:sz w:val="4"/>
                <w:szCs w:val="4"/>
              </w:rPr>
            </w:r>
          </w:p>
        </w:tc>
        <w:tc>
          <w:tcPr>
            <w:tcW w:w="1704"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hanging="720"/>
        <w:jc w:val="both"/>
        <w:rPr/>
      </w:pPr>
      <w:r>
        <w:rPr>
          <w:rFonts w:ascii="Times New Roman;serif" w:hAnsi="Times New Roman;serif"/>
          <w:b w:val="false"/>
          <w:color w:val="000000"/>
          <w:sz w:val="13"/>
        </w:rPr>
        <w:t>(1)    </w:t>
      </w:r>
      <w:r>
        <w:rPr>
          <w:rFonts w:ascii="Times New Roman;serif" w:hAnsi="Times New Roman;serif"/>
          <w:b w:val="false"/>
          <w:color w:val="000000"/>
          <w:sz w:val="20"/>
        </w:rPr>
        <w:t xml:space="preserve">For the second through fifth lease years, after which time the annual escalation becomes 1.75% for the 6th and 7th lease years and then 2% for the remaining term of the lease. </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13"/>
        </w:rPr>
        <w:t>(2)    </w:t>
      </w:r>
      <w:r>
        <w:rPr>
          <w:rFonts w:ascii="Times New Roman;serif" w:hAnsi="Times New Roman;serif"/>
          <w:b w:val="false"/>
          <w:color w:val="000000"/>
          <w:sz w:val="20"/>
        </w:rPr>
        <w:t xml:space="preserve">If the CPI increase is at least 0.5% for any lease year, the rent for such lease year shall increase by 1.25% of rent as of the immediately preceding lease year, and if the CPI increase is less than 0.5% for such lease year, then the rent shall not increase for such lease year. </w:t>
      </w:r>
    </w:p>
    <w:p>
      <w:pPr>
        <w:pStyle w:val="TextBody"/>
        <w:bidi w:val="0"/>
        <w:spacing w:before="160" w:after="1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Table of Contents</w:t>
      </w:r>
    </w:p>
    <w:tbl>
      <w:tblPr>
        <w:tblW w:w="10205" w:type="dxa"/>
        <w:jc w:val="left"/>
        <w:tblInd w:w="0" w:type="dxa"/>
        <w:tblLayout w:type="fixed"/>
        <w:tblCellMar>
          <w:top w:w="28" w:type="dxa"/>
          <w:left w:w="28" w:type="dxa"/>
          <w:bottom w:w="28" w:type="dxa"/>
          <w:right w:w="28" w:type="dxa"/>
        </w:tblCellMar>
      </w:tblPr>
      <w:tblGrid>
        <w:gridCol w:w="824"/>
        <w:gridCol w:w="724"/>
        <w:gridCol w:w="735"/>
        <w:gridCol w:w="533"/>
        <w:gridCol w:w="533"/>
        <w:gridCol w:w="535"/>
        <w:gridCol w:w="1060"/>
        <w:gridCol w:w="1034"/>
        <w:gridCol w:w="907"/>
        <w:gridCol w:w="515"/>
        <w:gridCol w:w="501"/>
        <w:gridCol w:w="503"/>
        <w:gridCol w:w="648"/>
        <w:gridCol w:w="494"/>
        <w:gridCol w:w="495"/>
        <w:gridCol w:w="164"/>
      </w:tblGrid>
      <w:tr>
        <w:trPr/>
        <w:tc>
          <w:tcPr>
            <w:tcW w:w="8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0041" w:type="dxa"/>
            <w:gridSpan w:val="15"/>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Single Property Leases</w:t>
            </w:r>
          </w:p>
        </w:tc>
        <w:tc>
          <w:tcPr>
            <w:tcW w:w="164" w:type="dxa"/>
            <w:tcBorders/>
            <w:vAlign w:val="center"/>
          </w:tcPr>
          <w:p>
            <w:pPr>
              <w:pStyle w:val="TableContents"/>
              <w:bidi w:val="0"/>
              <w:spacing w:before="0" w:after="283"/>
              <w:jc w:val="left"/>
              <w:rPr>
                <w:sz w:val="4"/>
                <w:szCs w:val="4"/>
              </w:rPr>
            </w:pPr>
            <w:r>
              <w:rPr>
                <w:sz w:val="4"/>
                <w:szCs w:val="4"/>
              </w:rPr>
            </w:r>
          </w:p>
        </w:tc>
      </w:tr>
      <w:tr>
        <w:trPr/>
        <w:tc>
          <w:tcPr>
            <w:tcW w:w="22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Tropicana Lease</w:t>
            </w:r>
          </w:p>
        </w:tc>
        <w:tc>
          <w:tcPr>
            <w:tcW w:w="30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Tioga Downs Lease</w:t>
            </w:r>
          </w:p>
        </w:tc>
        <w:tc>
          <w:tcPr>
            <w:tcW w:w="15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Rockford Lease</w:t>
            </w:r>
          </w:p>
        </w:tc>
        <w:tc>
          <w:tcPr>
            <w:tcW w:w="16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Bally's Chicago Lease</w:t>
            </w:r>
          </w:p>
        </w:tc>
        <w:tc>
          <w:tcPr>
            <w:tcW w:w="164" w:type="dxa"/>
            <w:tcBorders/>
            <w:vAlign w:val="center"/>
          </w:tcPr>
          <w:p>
            <w:pPr>
              <w:pStyle w:val="TableContents"/>
              <w:bidi w:val="0"/>
              <w:spacing w:before="0" w:after="283"/>
              <w:jc w:val="left"/>
              <w:rPr>
                <w:sz w:val="4"/>
                <w:szCs w:val="4"/>
              </w:rPr>
            </w:pPr>
            <w:r>
              <w:rPr>
                <w:sz w:val="4"/>
                <w:szCs w:val="4"/>
              </w:rPr>
            </w:r>
          </w:p>
        </w:tc>
      </w:tr>
      <w:tr>
        <w:trPr/>
        <w:tc>
          <w:tcPr>
            <w:tcW w:w="2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Operator</w:t>
            </w:r>
          </w:p>
        </w:tc>
        <w:tc>
          <w:tcPr>
            <w:tcW w:w="1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Bally's</w:t>
            </w:r>
          </w:p>
        </w:tc>
        <w:tc>
          <w:tcPr>
            <w:tcW w:w="3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American Racing and Entertainment</w:t>
            </w:r>
          </w:p>
        </w:tc>
        <w:tc>
          <w:tcPr>
            <w:tcW w:w="1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(managed by Hard Rock)</w:t>
            </w:r>
          </w:p>
        </w:tc>
        <w:tc>
          <w:tcPr>
            <w:tcW w:w="1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Bally's</w:t>
            </w:r>
          </w:p>
        </w:tc>
        <w:tc>
          <w:tcPr>
            <w:tcW w:w="164" w:type="dxa"/>
            <w:tcBorders/>
            <w:vAlign w:val="center"/>
          </w:tcPr>
          <w:p>
            <w:pPr>
              <w:pStyle w:val="TableContents"/>
              <w:bidi w:val="0"/>
              <w:spacing w:before="0" w:after="283"/>
              <w:jc w:val="left"/>
              <w:rPr>
                <w:sz w:val="4"/>
                <w:szCs w:val="4"/>
              </w:rPr>
            </w:pPr>
            <w:r>
              <w:rPr>
                <w:sz w:val="4"/>
                <w:szCs w:val="4"/>
              </w:rPr>
            </w:r>
          </w:p>
        </w:tc>
      </w:tr>
      <w:tr>
        <w:trPr/>
        <w:tc>
          <w:tcPr>
            <w:tcW w:w="2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Properties</w:t>
            </w:r>
          </w:p>
        </w:tc>
        <w:tc>
          <w:tcPr>
            <w:tcW w:w="1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Tropicana Las Vegas</w:t>
            </w:r>
          </w:p>
        </w:tc>
        <w:tc>
          <w:tcPr>
            <w:tcW w:w="3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Tioga Downs</w:t>
            </w:r>
          </w:p>
        </w:tc>
        <w:tc>
          <w:tcPr>
            <w:tcW w:w="1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Hard Rock Casino Rockford</w:t>
            </w:r>
          </w:p>
        </w:tc>
        <w:tc>
          <w:tcPr>
            <w:tcW w:w="1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Bally's Chicago Development</w:t>
            </w:r>
          </w:p>
        </w:tc>
        <w:tc>
          <w:tcPr>
            <w:tcW w:w="164" w:type="dxa"/>
            <w:tcBorders/>
            <w:vAlign w:val="center"/>
          </w:tcPr>
          <w:p>
            <w:pPr>
              <w:pStyle w:val="TableContents"/>
              <w:bidi w:val="0"/>
              <w:spacing w:before="0" w:after="283"/>
              <w:jc w:val="left"/>
              <w:rPr>
                <w:sz w:val="4"/>
                <w:szCs w:val="4"/>
              </w:rPr>
            </w:pPr>
            <w:r>
              <w:rPr>
                <w:sz w:val="4"/>
                <w:szCs w:val="4"/>
              </w:rPr>
            </w:r>
          </w:p>
        </w:tc>
      </w:tr>
      <w:tr>
        <w:trPr/>
        <w:tc>
          <w:tcPr>
            <w:tcW w:w="22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Las Vegas, NV</w:t>
            </w:r>
          </w:p>
        </w:tc>
        <w:tc>
          <w:tcPr>
            <w:tcW w:w="3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Nichols, NY</w:t>
            </w:r>
          </w:p>
        </w:tc>
        <w:tc>
          <w:tcPr>
            <w:tcW w:w="1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Rockford, IL</w:t>
            </w:r>
          </w:p>
        </w:tc>
        <w:tc>
          <w:tcPr>
            <w:tcW w:w="1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Chicago, IL</w:t>
            </w:r>
          </w:p>
        </w:tc>
        <w:tc>
          <w:tcPr>
            <w:tcW w:w="164" w:type="dxa"/>
            <w:tcBorders/>
            <w:vAlign w:val="center"/>
          </w:tcPr>
          <w:p>
            <w:pPr>
              <w:pStyle w:val="TableContents"/>
              <w:bidi w:val="0"/>
              <w:spacing w:before="0" w:after="283"/>
              <w:jc w:val="left"/>
              <w:rPr>
                <w:sz w:val="4"/>
                <w:szCs w:val="4"/>
              </w:rPr>
            </w:pPr>
            <w:r>
              <w:rPr>
                <w:sz w:val="4"/>
                <w:szCs w:val="4"/>
              </w:rPr>
            </w:r>
          </w:p>
        </w:tc>
      </w:tr>
      <w:tr>
        <w:trPr/>
        <w:tc>
          <w:tcPr>
            <w:tcW w:w="2283" w:type="dxa"/>
            <w:gridSpan w:val="3"/>
            <w:tcBorders/>
            <w:vAlign w:val="center"/>
          </w:tcPr>
          <w:p>
            <w:pPr>
              <w:pStyle w:val="TableContents"/>
              <w:bidi w:val="0"/>
              <w:spacing w:before="0" w:after="283"/>
              <w:jc w:val="left"/>
              <w:rPr>
                <w:sz w:val="4"/>
                <w:szCs w:val="4"/>
              </w:rPr>
            </w:pPr>
            <w:r>
              <w:rPr>
                <w:sz w:val="4"/>
                <w:szCs w:val="4"/>
              </w:rPr>
            </w:r>
          </w:p>
        </w:tc>
        <w:tc>
          <w:tcPr>
            <w:tcW w:w="1601" w:type="dxa"/>
            <w:gridSpan w:val="3"/>
            <w:tcBorders/>
            <w:vAlign w:val="center"/>
          </w:tcPr>
          <w:p>
            <w:pPr>
              <w:pStyle w:val="TableContents"/>
              <w:bidi w:val="0"/>
              <w:spacing w:before="0" w:after="283"/>
              <w:jc w:val="left"/>
              <w:rPr>
                <w:sz w:val="4"/>
                <w:szCs w:val="4"/>
              </w:rPr>
            </w:pPr>
            <w:r>
              <w:rPr>
                <w:sz w:val="4"/>
                <w:szCs w:val="4"/>
              </w:rPr>
            </w:r>
          </w:p>
        </w:tc>
        <w:tc>
          <w:tcPr>
            <w:tcW w:w="3001" w:type="dxa"/>
            <w:gridSpan w:val="3"/>
            <w:tcBorders/>
            <w:vAlign w:val="center"/>
          </w:tcPr>
          <w:p>
            <w:pPr>
              <w:pStyle w:val="TableContents"/>
              <w:bidi w:val="0"/>
              <w:spacing w:before="0" w:after="283"/>
              <w:jc w:val="left"/>
              <w:rPr>
                <w:sz w:val="4"/>
                <w:szCs w:val="4"/>
              </w:rPr>
            </w:pPr>
            <w:r>
              <w:rPr>
                <w:sz w:val="4"/>
                <w:szCs w:val="4"/>
              </w:rPr>
            </w:r>
          </w:p>
        </w:tc>
        <w:tc>
          <w:tcPr>
            <w:tcW w:w="1519" w:type="dxa"/>
            <w:gridSpan w:val="3"/>
            <w:tcBorders/>
            <w:vAlign w:val="center"/>
          </w:tcPr>
          <w:p>
            <w:pPr>
              <w:pStyle w:val="TableContents"/>
              <w:bidi w:val="0"/>
              <w:spacing w:before="0" w:after="283"/>
              <w:jc w:val="left"/>
              <w:rPr>
                <w:sz w:val="4"/>
                <w:szCs w:val="4"/>
              </w:rPr>
            </w:pPr>
            <w:r>
              <w:rPr>
                <w:sz w:val="4"/>
                <w:szCs w:val="4"/>
              </w:rPr>
            </w:r>
          </w:p>
        </w:tc>
        <w:tc>
          <w:tcPr>
            <w:tcW w:w="1637"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Commencement Date</w:t>
            </w:r>
          </w:p>
        </w:tc>
        <w:tc>
          <w:tcPr>
            <w:tcW w:w="1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9/26/2022</w:t>
            </w:r>
          </w:p>
        </w:tc>
        <w:tc>
          <w:tcPr>
            <w:tcW w:w="3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2/6/2024</w:t>
            </w:r>
          </w:p>
        </w:tc>
        <w:tc>
          <w:tcPr>
            <w:tcW w:w="1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8/29/2023</w:t>
            </w:r>
          </w:p>
        </w:tc>
        <w:tc>
          <w:tcPr>
            <w:tcW w:w="1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7/18/2025</w:t>
            </w:r>
          </w:p>
        </w:tc>
        <w:tc>
          <w:tcPr>
            <w:tcW w:w="164" w:type="dxa"/>
            <w:tcBorders/>
            <w:vAlign w:val="center"/>
          </w:tcPr>
          <w:p>
            <w:pPr>
              <w:pStyle w:val="TableContents"/>
              <w:bidi w:val="0"/>
              <w:spacing w:before="0" w:after="283"/>
              <w:jc w:val="left"/>
              <w:rPr>
                <w:sz w:val="4"/>
                <w:szCs w:val="4"/>
              </w:rPr>
            </w:pPr>
            <w:r>
              <w:rPr>
                <w:sz w:val="4"/>
                <w:szCs w:val="4"/>
              </w:rPr>
            </w:r>
          </w:p>
        </w:tc>
      </w:tr>
      <w:tr>
        <w:trPr/>
        <w:tc>
          <w:tcPr>
            <w:tcW w:w="2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 Expiration Date</w:t>
            </w:r>
          </w:p>
        </w:tc>
        <w:tc>
          <w:tcPr>
            <w:tcW w:w="1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9/25/2072</w:t>
            </w:r>
          </w:p>
        </w:tc>
        <w:tc>
          <w:tcPr>
            <w:tcW w:w="3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2/28/2054</w:t>
            </w:r>
          </w:p>
        </w:tc>
        <w:tc>
          <w:tcPr>
            <w:tcW w:w="1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8/31/2122</w:t>
            </w:r>
          </w:p>
        </w:tc>
        <w:tc>
          <w:tcPr>
            <w:tcW w:w="1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7/31/2040</w:t>
            </w:r>
          </w:p>
        </w:tc>
        <w:tc>
          <w:tcPr>
            <w:tcW w:w="164" w:type="dxa"/>
            <w:tcBorders/>
            <w:vAlign w:val="center"/>
          </w:tcPr>
          <w:p>
            <w:pPr>
              <w:pStyle w:val="TableContents"/>
              <w:bidi w:val="0"/>
              <w:spacing w:before="0" w:after="283"/>
              <w:jc w:val="left"/>
              <w:rPr>
                <w:sz w:val="4"/>
                <w:szCs w:val="4"/>
              </w:rPr>
            </w:pPr>
            <w:r>
              <w:rPr>
                <w:sz w:val="4"/>
                <w:szCs w:val="4"/>
              </w:rPr>
            </w:r>
          </w:p>
        </w:tc>
      </w:tr>
      <w:tr>
        <w:trPr/>
        <w:tc>
          <w:tcPr>
            <w:tcW w:w="2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Remaining Renewal Terms</w:t>
            </w:r>
          </w:p>
        </w:tc>
        <w:tc>
          <w:tcPr>
            <w:tcW w:w="1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49 (1 x 24 years, 1 x 25 years)</w:t>
            </w:r>
          </w:p>
        </w:tc>
        <w:tc>
          <w:tcPr>
            <w:tcW w:w="3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32 years and 10 months (2x10 years, 1x12 years and 10 months)</w:t>
            </w:r>
          </w:p>
        </w:tc>
        <w:tc>
          <w:tcPr>
            <w:tcW w:w="1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None</w:t>
            </w:r>
          </w:p>
        </w:tc>
        <w:tc>
          <w:tcPr>
            <w:tcW w:w="1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 (4 x 5 years)</w:t>
            </w:r>
          </w:p>
        </w:tc>
        <w:tc>
          <w:tcPr>
            <w:tcW w:w="164" w:type="dxa"/>
            <w:tcBorders/>
            <w:vAlign w:val="center"/>
          </w:tcPr>
          <w:p>
            <w:pPr>
              <w:pStyle w:val="TableContents"/>
              <w:bidi w:val="0"/>
              <w:spacing w:before="0" w:after="283"/>
              <w:jc w:val="left"/>
              <w:rPr>
                <w:sz w:val="4"/>
                <w:szCs w:val="4"/>
              </w:rPr>
            </w:pPr>
            <w:r>
              <w:rPr>
                <w:sz w:val="4"/>
                <w:szCs w:val="4"/>
              </w:rPr>
            </w:r>
          </w:p>
        </w:tc>
      </w:tr>
      <w:tr>
        <w:trPr/>
        <w:tc>
          <w:tcPr>
            <w:tcW w:w="2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Guarantee</w:t>
            </w:r>
          </w:p>
        </w:tc>
        <w:tc>
          <w:tcPr>
            <w:tcW w:w="1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Yes</w:t>
            </w:r>
          </w:p>
        </w:tc>
        <w:tc>
          <w:tcPr>
            <w:tcW w:w="3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Yes</w:t>
            </w:r>
          </w:p>
        </w:tc>
        <w:tc>
          <w:tcPr>
            <w:tcW w:w="1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w:t>
            </w:r>
          </w:p>
        </w:tc>
        <w:tc>
          <w:tcPr>
            <w:tcW w:w="1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Yes</w:t>
            </w:r>
          </w:p>
        </w:tc>
        <w:tc>
          <w:tcPr>
            <w:tcW w:w="164" w:type="dxa"/>
            <w:tcBorders/>
            <w:vAlign w:val="center"/>
          </w:tcPr>
          <w:p>
            <w:pPr>
              <w:pStyle w:val="TableContents"/>
              <w:bidi w:val="0"/>
              <w:spacing w:before="0" w:after="283"/>
              <w:jc w:val="left"/>
              <w:rPr>
                <w:sz w:val="4"/>
                <w:szCs w:val="4"/>
              </w:rPr>
            </w:pPr>
            <w:r>
              <w:rPr>
                <w:sz w:val="4"/>
                <w:szCs w:val="4"/>
              </w:rPr>
            </w:r>
          </w:p>
        </w:tc>
      </w:tr>
      <w:tr>
        <w:trPr/>
        <w:tc>
          <w:tcPr>
            <w:tcW w:w="2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Technical Default Landlord Protection</w:t>
            </w:r>
          </w:p>
        </w:tc>
        <w:tc>
          <w:tcPr>
            <w:tcW w:w="1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Yes</w:t>
            </w:r>
          </w:p>
        </w:tc>
        <w:tc>
          <w:tcPr>
            <w:tcW w:w="3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Yes</w:t>
            </w:r>
          </w:p>
        </w:tc>
        <w:tc>
          <w:tcPr>
            <w:tcW w:w="1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Yes</w:t>
            </w:r>
          </w:p>
        </w:tc>
        <w:tc>
          <w:tcPr>
            <w:tcW w:w="1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Yes</w:t>
            </w:r>
          </w:p>
        </w:tc>
        <w:tc>
          <w:tcPr>
            <w:tcW w:w="164" w:type="dxa"/>
            <w:tcBorders/>
            <w:vAlign w:val="center"/>
          </w:tcPr>
          <w:p>
            <w:pPr>
              <w:pStyle w:val="TableContents"/>
              <w:bidi w:val="0"/>
              <w:spacing w:before="0" w:after="283"/>
              <w:jc w:val="left"/>
              <w:rPr>
                <w:sz w:val="4"/>
                <w:szCs w:val="4"/>
              </w:rPr>
            </w:pPr>
            <w:r>
              <w:rPr>
                <w:sz w:val="4"/>
                <w:szCs w:val="4"/>
              </w:rPr>
            </w:r>
          </w:p>
        </w:tc>
      </w:tr>
      <w:tr>
        <w:trPr/>
        <w:tc>
          <w:tcPr>
            <w:tcW w:w="2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Default Adjusted Revenue to Rent Coverage</w:t>
            </w:r>
          </w:p>
        </w:tc>
        <w:tc>
          <w:tcPr>
            <w:tcW w:w="16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 xml:space="preserve">1.35 </w:t>
            </w:r>
            <w:r>
              <w:rPr>
                <w:rFonts w:ascii="Times New Roman;serif" w:hAnsi="Times New Roman;serif"/>
                <w:b w:val="false"/>
                <w:color w:val="000000"/>
                <w:sz w:val="12"/>
              </w:rPr>
              <w:t>(1)</w:t>
            </w:r>
          </w:p>
        </w:tc>
        <w:tc>
          <w:tcPr>
            <w:tcW w:w="3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1.4</w:t>
            </w:r>
          </w:p>
        </w:tc>
        <w:tc>
          <w:tcPr>
            <w:tcW w:w="1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1.4</w:t>
            </w:r>
          </w:p>
        </w:tc>
        <w:tc>
          <w:tcPr>
            <w:tcW w:w="1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1.35 (1)</w:t>
            </w:r>
          </w:p>
        </w:tc>
        <w:tc>
          <w:tcPr>
            <w:tcW w:w="164" w:type="dxa"/>
            <w:tcBorders/>
            <w:vAlign w:val="center"/>
          </w:tcPr>
          <w:p>
            <w:pPr>
              <w:pStyle w:val="TableContents"/>
              <w:bidi w:val="0"/>
              <w:spacing w:before="0" w:after="283"/>
              <w:jc w:val="left"/>
              <w:rPr>
                <w:sz w:val="4"/>
                <w:szCs w:val="4"/>
              </w:rPr>
            </w:pPr>
            <w:r>
              <w:rPr>
                <w:sz w:val="4"/>
                <w:szCs w:val="4"/>
              </w:rPr>
            </w:r>
          </w:p>
        </w:tc>
      </w:tr>
      <w:tr>
        <w:trPr/>
        <w:tc>
          <w:tcPr>
            <w:tcW w:w="2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Competitive Radius Landlord Protection</w:t>
            </w:r>
          </w:p>
        </w:tc>
        <w:tc>
          <w:tcPr>
            <w:tcW w:w="1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Yes</w:t>
            </w:r>
          </w:p>
        </w:tc>
        <w:tc>
          <w:tcPr>
            <w:tcW w:w="3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Yes</w:t>
            </w:r>
          </w:p>
        </w:tc>
        <w:tc>
          <w:tcPr>
            <w:tcW w:w="1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Yes</w:t>
            </w:r>
          </w:p>
        </w:tc>
        <w:tc>
          <w:tcPr>
            <w:tcW w:w="1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Yes</w:t>
            </w:r>
          </w:p>
        </w:tc>
        <w:tc>
          <w:tcPr>
            <w:tcW w:w="164" w:type="dxa"/>
            <w:tcBorders/>
            <w:vAlign w:val="center"/>
          </w:tcPr>
          <w:p>
            <w:pPr>
              <w:pStyle w:val="TableContents"/>
              <w:bidi w:val="0"/>
              <w:spacing w:before="0" w:after="283"/>
              <w:jc w:val="left"/>
              <w:rPr>
                <w:sz w:val="4"/>
                <w:szCs w:val="4"/>
              </w:rPr>
            </w:pPr>
            <w:r>
              <w:rPr>
                <w:sz w:val="4"/>
                <w:szCs w:val="4"/>
              </w:rPr>
            </w:r>
          </w:p>
        </w:tc>
      </w:tr>
      <w:tr>
        <w:trPr/>
        <w:tc>
          <w:tcPr>
            <w:tcW w:w="2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Escalator Details</w:t>
            </w:r>
          </w:p>
        </w:tc>
        <w:tc>
          <w:tcPr>
            <w:tcW w:w="1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Yearly Base Rent Escalator Maximum</w:t>
            </w:r>
          </w:p>
        </w:tc>
        <w:tc>
          <w:tcPr>
            <w:tcW w:w="1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w:t>
            </w:r>
          </w:p>
        </w:tc>
        <w:tc>
          <w:tcPr>
            <w:tcW w:w="30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 xml:space="preserve">1.75% </w:t>
            </w:r>
            <w:r>
              <w:rPr>
                <w:rFonts w:ascii="Times New Roman;serif" w:hAnsi="Times New Roman;serif"/>
                <w:b w:val="false"/>
                <w:color w:val="000000"/>
                <w:sz w:val="12"/>
              </w:rPr>
              <w:t>(3)</w:t>
            </w:r>
          </w:p>
        </w:tc>
        <w:tc>
          <w:tcPr>
            <w:tcW w:w="1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w:t>
            </w:r>
          </w:p>
        </w:tc>
        <w:tc>
          <w:tcPr>
            <w:tcW w:w="1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w:t>
            </w:r>
          </w:p>
        </w:tc>
        <w:tc>
          <w:tcPr>
            <w:tcW w:w="164" w:type="dxa"/>
            <w:tcBorders/>
            <w:vAlign w:val="center"/>
          </w:tcPr>
          <w:p>
            <w:pPr>
              <w:pStyle w:val="TableContents"/>
              <w:bidi w:val="0"/>
              <w:spacing w:before="0" w:after="283"/>
              <w:jc w:val="left"/>
              <w:rPr>
                <w:sz w:val="4"/>
                <w:szCs w:val="4"/>
              </w:rPr>
            </w:pPr>
            <w:r>
              <w:rPr>
                <w:sz w:val="4"/>
                <w:szCs w:val="4"/>
              </w:rPr>
            </w:r>
          </w:p>
        </w:tc>
      </w:tr>
      <w:tr>
        <w:trPr/>
        <w:tc>
          <w:tcPr>
            <w:tcW w:w="2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Coverage ratio at September 30, 2025</w:t>
            </w:r>
          </w:p>
        </w:tc>
        <w:tc>
          <w:tcPr>
            <w:tcW w:w="1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3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1.95</w:t>
            </w:r>
          </w:p>
        </w:tc>
        <w:tc>
          <w:tcPr>
            <w:tcW w:w="1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1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164" w:type="dxa"/>
            <w:tcBorders/>
            <w:vAlign w:val="center"/>
          </w:tcPr>
          <w:p>
            <w:pPr>
              <w:pStyle w:val="TableContents"/>
              <w:bidi w:val="0"/>
              <w:spacing w:before="0" w:after="283"/>
              <w:jc w:val="left"/>
              <w:rPr>
                <w:sz w:val="4"/>
                <w:szCs w:val="4"/>
              </w:rPr>
            </w:pPr>
            <w:r>
              <w:rPr>
                <w:sz w:val="4"/>
                <w:szCs w:val="4"/>
              </w:rPr>
            </w:r>
          </w:p>
        </w:tc>
      </w:tr>
      <w:tr>
        <w:trPr/>
        <w:tc>
          <w:tcPr>
            <w:tcW w:w="2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Minimum Escalator Coverage Governor</w:t>
            </w:r>
          </w:p>
        </w:tc>
        <w:tc>
          <w:tcPr>
            <w:tcW w:w="1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3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1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1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164" w:type="dxa"/>
            <w:tcBorders/>
            <w:vAlign w:val="center"/>
          </w:tcPr>
          <w:p>
            <w:pPr>
              <w:pStyle w:val="TableContents"/>
              <w:bidi w:val="0"/>
              <w:spacing w:before="0" w:after="283"/>
              <w:jc w:val="left"/>
              <w:rPr>
                <w:sz w:val="4"/>
                <w:szCs w:val="4"/>
              </w:rPr>
            </w:pPr>
            <w:r>
              <w:rPr>
                <w:sz w:val="4"/>
                <w:szCs w:val="4"/>
              </w:rPr>
            </w:r>
          </w:p>
        </w:tc>
      </w:tr>
      <w:tr>
        <w:trPr/>
        <w:tc>
          <w:tcPr>
            <w:tcW w:w="2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Yearly Anniversary for Realization</w:t>
            </w:r>
          </w:p>
        </w:tc>
        <w:tc>
          <w:tcPr>
            <w:tcW w:w="1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October</w:t>
            </w:r>
          </w:p>
        </w:tc>
        <w:tc>
          <w:tcPr>
            <w:tcW w:w="3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w:t>
            </w:r>
          </w:p>
        </w:tc>
        <w:tc>
          <w:tcPr>
            <w:tcW w:w="1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w:t>
            </w:r>
          </w:p>
        </w:tc>
        <w:tc>
          <w:tcPr>
            <w:tcW w:w="1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August</w:t>
            </w:r>
          </w:p>
        </w:tc>
        <w:tc>
          <w:tcPr>
            <w:tcW w:w="164" w:type="dxa"/>
            <w:tcBorders/>
            <w:vAlign w:val="center"/>
          </w:tcPr>
          <w:p>
            <w:pPr>
              <w:pStyle w:val="TableContents"/>
              <w:bidi w:val="0"/>
              <w:spacing w:before="0" w:after="283"/>
              <w:jc w:val="left"/>
              <w:rPr>
                <w:sz w:val="4"/>
                <w:szCs w:val="4"/>
              </w:rPr>
            </w:pPr>
            <w:r>
              <w:rPr>
                <w:sz w:val="4"/>
                <w:szCs w:val="4"/>
              </w:rPr>
            </w:r>
          </w:p>
        </w:tc>
      </w:tr>
      <w:tr>
        <w:trPr/>
        <w:tc>
          <w:tcPr>
            <w:tcW w:w="2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Percentage Rent Reset Details</w:t>
            </w:r>
          </w:p>
        </w:tc>
        <w:tc>
          <w:tcPr>
            <w:tcW w:w="1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Reset Frequency</w:t>
            </w:r>
          </w:p>
        </w:tc>
        <w:tc>
          <w:tcPr>
            <w:tcW w:w="1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3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1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1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164" w:type="dxa"/>
            <w:tcBorders/>
            <w:vAlign w:val="center"/>
          </w:tcPr>
          <w:p>
            <w:pPr>
              <w:pStyle w:val="TableContents"/>
              <w:bidi w:val="0"/>
              <w:spacing w:before="0" w:after="283"/>
              <w:jc w:val="left"/>
              <w:rPr>
                <w:sz w:val="4"/>
                <w:szCs w:val="4"/>
              </w:rPr>
            </w:pPr>
            <w:r>
              <w:rPr>
                <w:sz w:val="4"/>
                <w:szCs w:val="4"/>
              </w:rPr>
            </w:r>
          </w:p>
        </w:tc>
      </w:tr>
      <w:tr>
        <w:trPr/>
        <w:tc>
          <w:tcPr>
            <w:tcW w:w="2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Next Reset</w:t>
            </w:r>
          </w:p>
        </w:tc>
        <w:tc>
          <w:tcPr>
            <w:tcW w:w="1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3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1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1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164" w:type="dxa"/>
            <w:tcBorders/>
            <w:vAlign w:val="center"/>
          </w:tcPr>
          <w:p>
            <w:pPr>
              <w:pStyle w:val="TableContents"/>
              <w:bidi w:val="0"/>
              <w:spacing w:before="0" w:after="283"/>
              <w:jc w:val="left"/>
              <w:rPr>
                <w:sz w:val="4"/>
                <w:szCs w:val="4"/>
              </w:rPr>
            </w:pPr>
            <w:r>
              <w:rPr>
                <w:sz w:val="4"/>
                <w:szCs w:val="4"/>
              </w:rPr>
            </w:r>
          </w:p>
        </w:tc>
      </w:tr>
      <w:tr>
        <w:trPr/>
        <w:tc>
          <w:tcPr>
            <w:tcW w:w="2283" w:type="dxa"/>
            <w:gridSpan w:val="3"/>
            <w:tcBorders/>
            <w:vAlign w:val="center"/>
          </w:tcPr>
          <w:p>
            <w:pPr>
              <w:pStyle w:val="TableContents"/>
              <w:bidi w:val="0"/>
              <w:spacing w:before="0" w:after="283"/>
              <w:jc w:val="left"/>
              <w:rPr>
                <w:sz w:val="4"/>
                <w:szCs w:val="4"/>
              </w:rPr>
            </w:pPr>
            <w:r>
              <w:rPr>
                <w:sz w:val="4"/>
                <w:szCs w:val="4"/>
              </w:rPr>
            </w:r>
          </w:p>
        </w:tc>
        <w:tc>
          <w:tcPr>
            <w:tcW w:w="1601" w:type="dxa"/>
            <w:gridSpan w:val="3"/>
            <w:tcBorders/>
            <w:vAlign w:val="center"/>
          </w:tcPr>
          <w:p>
            <w:pPr>
              <w:pStyle w:val="TableContents"/>
              <w:bidi w:val="0"/>
              <w:spacing w:before="0" w:after="283"/>
              <w:jc w:val="left"/>
              <w:rPr>
                <w:sz w:val="4"/>
                <w:szCs w:val="4"/>
              </w:rPr>
            </w:pPr>
            <w:r>
              <w:rPr>
                <w:sz w:val="4"/>
                <w:szCs w:val="4"/>
              </w:rPr>
            </w:r>
          </w:p>
        </w:tc>
        <w:tc>
          <w:tcPr>
            <w:tcW w:w="3001" w:type="dxa"/>
            <w:gridSpan w:val="3"/>
            <w:tcBorders/>
            <w:vAlign w:val="center"/>
          </w:tcPr>
          <w:p>
            <w:pPr>
              <w:pStyle w:val="TableContents"/>
              <w:bidi w:val="0"/>
              <w:spacing w:before="0" w:after="283"/>
              <w:jc w:val="left"/>
              <w:rPr>
                <w:sz w:val="4"/>
                <w:szCs w:val="4"/>
              </w:rPr>
            </w:pPr>
            <w:r>
              <w:rPr>
                <w:sz w:val="4"/>
                <w:szCs w:val="4"/>
              </w:rPr>
            </w:r>
          </w:p>
        </w:tc>
        <w:tc>
          <w:tcPr>
            <w:tcW w:w="1519" w:type="dxa"/>
            <w:gridSpan w:val="3"/>
            <w:tcBorders/>
            <w:vAlign w:val="center"/>
          </w:tcPr>
          <w:p>
            <w:pPr>
              <w:pStyle w:val="TableContents"/>
              <w:bidi w:val="0"/>
              <w:spacing w:before="0" w:after="283"/>
              <w:jc w:val="left"/>
              <w:rPr>
                <w:sz w:val="4"/>
                <w:szCs w:val="4"/>
              </w:rPr>
            </w:pPr>
            <w:r>
              <w:rPr>
                <w:sz w:val="4"/>
                <w:szCs w:val="4"/>
              </w:rPr>
            </w:r>
          </w:p>
        </w:tc>
        <w:tc>
          <w:tcPr>
            <w:tcW w:w="1637"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60" w:after="160"/>
        <w:ind w:left="0" w:right="0" w:hanging="720"/>
        <w:jc w:val="both"/>
        <w:rPr/>
      </w:pPr>
      <w:r>
        <w:rPr>
          <w:rFonts w:ascii="Times New Roman;serif" w:hAnsi="Times New Roman;serif"/>
          <w:b w:val="false"/>
          <w:color w:val="000000"/>
          <w:sz w:val="13"/>
        </w:rPr>
        <w:t>(1)    </w:t>
      </w:r>
      <w:r>
        <w:rPr>
          <w:rFonts w:ascii="Times New Roman;serif" w:hAnsi="Times New Roman;serif"/>
          <w:b w:val="false"/>
          <w:color w:val="000000"/>
          <w:sz w:val="20"/>
        </w:rPr>
        <w:t xml:space="preserve">Effective July 1, 2025, this ratio has been revised so that if the tenant's parent's net leverage is greater than 5.5 to 1, then the adjusted revenue to rent coverage for the last two consecutive test periods must be at least 1.35. If the tenant's parent's net leverage is equal to or less than 5.5 to 1, then the ratio shall be reduced to 1.2. </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13"/>
        </w:rPr>
        <w:t>(2)    </w:t>
      </w:r>
      <w:r>
        <w:rPr>
          <w:rFonts w:ascii="Times New Roman;serif" w:hAnsi="Times New Roman;serif"/>
          <w:b w:val="false"/>
          <w:color w:val="000000"/>
          <w:sz w:val="20"/>
        </w:rPr>
        <w:t xml:space="preserve">If the CPI increase is at least 0.5% for any lease year, then the rent shall increase by the greater of 1% of the rent as of the immediately preceding lease year and the CPI increase capped at 2%. If the CPI is less than 0.5% for such lease year, then the rent shall not increase for such lease year. </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13"/>
        </w:rPr>
        <w:t>(3)    </w:t>
      </w:r>
      <w:r>
        <w:rPr>
          <w:rFonts w:ascii="Times New Roman;serif" w:hAnsi="Times New Roman;serif"/>
          <w:b w:val="false"/>
          <w:color w:val="000000"/>
          <w:sz w:val="20"/>
        </w:rPr>
        <w:t>Increases by 1.75% beginning with the first anniversary and increases to 2% beginning in year fifteen of the lease through the remainder of the initial lease term.</w:t>
      </w:r>
    </w:p>
    <w:p>
      <w:pPr>
        <w:pStyle w:val="TextBody"/>
        <w:bidi w:val="0"/>
        <w:spacing w:before="0" w:after="0"/>
        <w:ind w:left="0" w:right="0" w:hanging="720"/>
        <w:jc w:val="both"/>
        <w:rPr/>
      </w:pPr>
      <w:r>
        <w:rPr/>
      </w:r>
    </w:p>
    <w:p>
      <w:pPr>
        <w:pStyle w:val="TextBody"/>
        <w:bidi w:val="0"/>
        <w:spacing w:lineRule="auto" w:line="288" w:before="160" w:after="160"/>
        <w:jc w:val="left"/>
        <w:rPr>
          <w:rFonts w:ascii="Times New Roman;serif" w:hAnsi="Times New Roman;serif"/>
          <w:b w:val="false"/>
          <w:i/>
          <w:color w:val="000000"/>
          <w:sz w:val="20"/>
        </w:rPr>
      </w:pPr>
      <w:r>
        <w:rPr>
          <w:rFonts w:ascii="Times New Roman;serif" w:hAnsi="Times New Roman;serif"/>
          <w:b w:val="false"/>
          <w:i/>
          <w:color w:val="000000"/>
          <w:sz w:val="20"/>
        </w:rPr>
        <w:t>Percentage Rent Floors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leases with percentage rent provide for a floor on such percentage rent described above, should the Company's tenants acquire or commence operating a competing facility within a restricted area (typically 60 miles from a property under the existing lease with such tenant). These clauses provide landlord protections by basing the percentage rent floor for any affected facility on the net revenues of such facility for the calendar year immediately preceding the year in which the competing facility is acquired or first operated by the tenant. A percentage rent floor on the Amended Pinnacle Master Lease was triggered on the Bossier City Boomtown property due to PENN's acquisition of Margaritaville Resort Casino. Additionally, a percentage rent floor on the Amended Penn Master Lease was triggered on the Hollywood Casino at Penn National Race Course in connection with PENN opening a facility in York, Pennsylvania. </w:t>
      </w: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Termination of Leases</w:t>
      </w:r>
    </w:p>
    <w:p>
      <w:pPr>
        <w:pStyle w:val="TextBody"/>
        <w:bidi w:val="0"/>
        <w:spacing w:lineRule="auto" w:line="288" w:before="160" w:after="16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Our tenants do not have the ability to terminate their obligations under our long-term tenant leases prior to the expiration of the initial term without the Company's consent. If our long-term tenant leases are terminated prior to their initial expiration other than with our consent, our tenants may be liable for damages and incur charges such as continued payment of rent through the end of the lease term and maintenance costs for the leased property. All of our tenant leases contain a limited number of renewal options which may be exercised at our tenants' option.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Table of Contents</w:t>
      </w:r>
    </w:p>
    <w:p>
      <w:pPr>
        <w:pStyle w:val="TextBody"/>
        <w:bidi w:val="0"/>
        <w:spacing w:lineRule="auto" w:line="288" w:before="160" w:after="160"/>
        <w:ind w:left="0" w:right="0" w:firstLine="495"/>
        <w:jc w:val="left"/>
        <w:rPr>
          <w:rFonts w:ascii="Times New Roman;serif" w:hAnsi="Times New Roman;serif"/>
          <w:b w:val="false"/>
          <w:i/>
          <w:color w:val="000000"/>
          <w:sz w:val="20"/>
        </w:rPr>
      </w:pPr>
      <w:r>
        <w:rPr>
          <w:rFonts w:ascii="Times New Roman;serif" w:hAnsi="Times New Roman;serif"/>
          <w:b w:val="false"/>
          <w:i/>
          <w:color w:val="000000"/>
          <w:sz w:val="20"/>
        </w:rPr>
        <w:t>Property Features</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properties as of December 31, 2025. These facilities, including our corporate headquarters building, are geographically diversified across 20 states and we own over 5,600 acres and lease approximately 1,000 acres. As of December 31, 2025, the Company's properties were 100% occupied. </w:t>
      </w:r>
    </w:p>
    <w:tbl>
      <w:tblPr>
        <w:tblW w:w="9286" w:type="dxa"/>
        <w:jc w:val="left"/>
        <w:tblInd w:w="0" w:type="dxa"/>
        <w:tblLayout w:type="fixed"/>
        <w:tblCellMar>
          <w:top w:w="28" w:type="dxa"/>
          <w:left w:w="28" w:type="dxa"/>
          <w:bottom w:w="28" w:type="dxa"/>
          <w:right w:w="28" w:type="dxa"/>
        </w:tblCellMar>
      </w:tblPr>
      <w:tblGrid>
        <w:gridCol w:w="1384"/>
        <w:gridCol w:w="1216"/>
        <w:gridCol w:w="1224"/>
        <w:gridCol w:w="568"/>
        <w:gridCol w:w="568"/>
        <w:gridCol w:w="574"/>
        <w:gridCol w:w="944"/>
        <w:gridCol w:w="944"/>
        <w:gridCol w:w="947"/>
        <w:gridCol w:w="109"/>
        <w:gridCol w:w="109"/>
        <w:gridCol w:w="109"/>
        <w:gridCol w:w="109"/>
        <w:gridCol w:w="109"/>
        <w:gridCol w:w="109"/>
        <w:gridCol w:w="109"/>
        <w:gridCol w:w="154"/>
      </w:tblGrid>
      <w:tr>
        <w:trPr/>
        <w:tc>
          <w:tcPr>
            <w:tcW w:w="1384"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Location</w:t>
            </w:r>
          </w:p>
        </w:tc>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Tenant/Lease Agreement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Tenant Occupied Properties </w:t>
            </w:r>
          </w:p>
        </w:tc>
        <w:tc>
          <w:tcPr>
            <w:tcW w:w="17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Argosy Casino Alton</w:t>
            </w:r>
          </w:p>
        </w:tc>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Alton, IL</w:t>
            </w:r>
          </w:p>
        </w:tc>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PENN/Amended PENN Master Lease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Hollywood Casino Bangor</w:t>
            </w:r>
          </w:p>
        </w:tc>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Bangor, ME</w:t>
            </w:r>
          </w:p>
        </w:tc>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PENN/Amended PENN Master Lease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Hollywood Casino Gulf Coast</w:t>
            </w:r>
          </w:p>
        </w:tc>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Bay St. Louis, MS</w:t>
            </w:r>
          </w:p>
        </w:tc>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PENN/Amended PENN Master Lease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Boomtown Biloxi</w:t>
            </w:r>
          </w:p>
        </w:tc>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Biloxi, MS</w:t>
            </w:r>
          </w:p>
        </w:tc>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PENN/Amended PENN Master Lease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Hollywood Casino at Charles Town Races</w:t>
            </w:r>
          </w:p>
        </w:tc>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Charles Town, WV</w:t>
            </w:r>
          </w:p>
        </w:tc>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PENN/Amended PENN Master Lease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Hollywood Gaming at Dayton Raceway</w:t>
            </w:r>
          </w:p>
        </w:tc>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Dayton, OH</w:t>
            </w:r>
          </w:p>
        </w:tc>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PENN/Amended PENN Master Lease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Hollywood Casino at Penn National Race Course</w:t>
            </w:r>
          </w:p>
        </w:tc>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Grantville, PA</w:t>
            </w:r>
          </w:p>
        </w:tc>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PENN/Amended PENN Master Lease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Zia Park Casino </w:t>
            </w:r>
          </w:p>
        </w:tc>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Hobbs, NM</w:t>
            </w:r>
          </w:p>
        </w:tc>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PENN/Amended PENN Master Lease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Hollywood Casino Lawrenceburg </w:t>
            </w:r>
          </w:p>
        </w:tc>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Lawrenceburg, IN</w:t>
            </w:r>
          </w:p>
        </w:tc>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PENN/Amended PENN Master Lease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Hollywood Casino St. Louis</w:t>
            </w:r>
          </w:p>
        </w:tc>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Maryland Heights, MO</w:t>
            </w:r>
          </w:p>
        </w:tc>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PENN/Amended PENN Master Lease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Argosy Casino Riverside</w:t>
            </w:r>
          </w:p>
        </w:tc>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Riverside, MO</w:t>
            </w:r>
          </w:p>
        </w:tc>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PENN/Amended PENN Master Lease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1st Jackpot Casino </w:t>
            </w:r>
          </w:p>
        </w:tc>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Tunica, MS</w:t>
            </w:r>
          </w:p>
        </w:tc>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PENN/Amended PENN Master Lease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Hollywood Casino Tunica</w:t>
            </w:r>
          </w:p>
        </w:tc>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Tunica, MS</w:t>
            </w:r>
          </w:p>
        </w:tc>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PENN/Amended PENN Master Lease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Hollywood Gaming at Mahoning Valley Race Course</w:t>
            </w:r>
          </w:p>
        </w:tc>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Youngstown, OH</w:t>
            </w:r>
          </w:p>
        </w:tc>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PENN/Amended PENN Master Lease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Hollywood Casino Aurora</w:t>
            </w:r>
          </w:p>
        </w:tc>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Aurora, IL</w:t>
            </w:r>
          </w:p>
        </w:tc>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PENN/PENN Master Lease - New</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Hollywood Casino Columbus</w:t>
            </w:r>
          </w:p>
        </w:tc>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Columbus, OH</w:t>
            </w:r>
          </w:p>
        </w:tc>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PENN/PENN Master Lease - New</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 Resort</w:t>
            </w:r>
          </w:p>
        </w:tc>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Henderson, NV</w:t>
            </w:r>
          </w:p>
        </w:tc>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PENN/PENN Master Lease - New</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Hollywood Casino Joliet</w:t>
            </w:r>
          </w:p>
        </w:tc>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Joliet, IL</w:t>
            </w:r>
          </w:p>
        </w:tc>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PENN/PENN Master Lease - New</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Hollywood Casino Perryville</w:t>
            </w:r>
          </w:p>
        </w:tc>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Perryville, MD</w:t>
            </w:r>
          </w:p>
        </w:tc>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PENN/PENN Master Lease - New</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Hollywood Casino Toledo</w:t>
            </w:r>
          </w:p>
        </w:tc>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Toledo, OH</w:t>
            </w:r>
          </w:p>
        </w:tc>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PENN/PENN Master Lease - New</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The Meadows Racetrack and Casino </w:t>
            </w:r>
          </w:p>
        </w:tc>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Washington, PA</w:t>
            </w:r>
          </w:p>
        </w:tc>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PENN/PENN Master Lease - New</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L'Auberge Baton Rouge</w:t>
            </w:r>
          </w:p>
        </w:tc>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Baton Rouge, LA</w:t>
            </w:r>
          </w:p>
        </w:tc>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PENN/Amended Pinnacle Master Lease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Ameristar Black Hawk</w:t>
            </w:r>
          </w:p>
        </w:tc>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Black Hawk, CO</w:t>
            </w:r>
          </w:p>
        </w:tc>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PENN/Amended Pinnacle Master Lease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Boomtown Bossier City</w:t>
            </w:r>
          </w:p>
        </w:tc>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Bossier City, LA</w:t>
            </w:r>
          </w:p>
        </w:tc>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PENN/Amended Pinnacle Master Lease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Ameristar Council Bluffs</w:t>
            </w:r>
          </w:p>
        </w:tc>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Council Bluffs, IA</w:t>
            </w:r>
          </w:p>
        </w:tc>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PENN/Amended Pinnacle Master Lease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Ameristar East Chicago</w:t>
            </w:r>
          </w:p>
        </w:tc>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East Chicago, IN</w:t>
            </w:r>
          </w:p>
        </w:tc>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PENN/Amended Pinnacle Master Lease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Jackpot Properties </w:t>
            </w:r>
          </w:p>
        </w:tc>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Jackpot, NV</w:t>
            </w:r>
          </w:p>
        </w:tc>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PENN/Amended Pinnacle Master Lease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L'Auberge Lake Charles</w:t>
            </w:r>
          </w:p>
        </w:tc>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Lake Charles, LA</w:t>
            </w:r>
          </w:p>
        </w:tc>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PENN/Amended Pinnacle Master Lease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Boomtown New Orleans</w:t>
            </w:r>
          </w:p>
        </w:tc>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New Orleans, LA</w:t>
            </w:r>
          </w:p>
        </w:tc>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PENN/Amended Pinnacle Master Lease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Plainridge Park Casino</w:t>
            </w:r>
          </w:p>
        </w:tc>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Plainville, MA</w:t>
            </w:r>
          </w:p>
        </w:tc>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PENN/Amended Pinnacle Master Lease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River City Casino and Hotel</w:t>
            </w:r>
          </w:p>
        </w:tc>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 Louis, MO</w:t>
            </w:r>
          </w:p>
        </w:tc>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PENN/Amended Pinnacle Master Lease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Ameristar Vicksburg</w:t>
            </w:r>
          </w:p>
        </w:tc>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Vicksburg, MS</w:t>
            </w:r>
          </w:p>
        </w:tc>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PENN/Amended Pinnacle Master Lease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Hollywood Casino Morgantown</w:t>
            </w:r>
          </w:p>
        </w:tc>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Morgantown, PA</w:t>
            </w:r>
          </w:p>
        </w:tc>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PENN/Morgantown Lease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Belterra Park Gaming &amp; Entertainment Center</w:t>
            </w:r>
          </w:p>
        </w:tc>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Cincinnati, OH</w:t>
            </w:r>
          </w:p>
        </w:tc>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Boyd/Belterra Park Lease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Belterra Casino Resort </w:t>
            </w:r>
          </w:p>
        </w:tc>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Florence, IN</w:t>
            </w:r>
          </w:p>
        </w:tc>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Boyd/Boyd Master Lease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Ameristar Kansas City</w:t>
            </w:r>
          </w:p>
        </w:tc>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Kansas City, MO</w:t>
            </w:r>
          </w:p>
        </w:tc>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Boyd/Boyd Master Lease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Ameristar St. Charles</w:t>
            </w:r>
          </w:p>
        </w:tc>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 Charles, MO</w:t>
            </w:r>
          </w:p>
        </w:tc>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Boyd/Boyd Master Lease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Tropicana Atlantic City</w:t>
            </w:r>
          </w:p>
        </w:tc>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Atlantic City, NJ</w:t>
            </w:r>
          </w:p>
        </w:tc>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Caesars/Amended Caesars Master Lease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Isle Casino Hotel Bettendorf</w:t>
            </w:r>
          </w:p>
        </w:tc>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Bettendorf, IA</w:t>
            </w:r>
          </w:p>
        </w:tc>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Caesars/Amended Caesars Master Lease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Trop Casino Greenville </w:t>
            </w:r>
          </w:p>
        </w:tc>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Greenville, MS</w:t>
            </w:r>
          </w:p>
        </w:tc>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Caesars/Amended Caesars Master Lease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Tropicana Laughlin</w:t>
            </w:r>
          </w:p>
        </w:tc>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Laughlin, NV</w:t>
            </w:r>
          </w:p>
        </w:tc>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Caesars/Amended Caesars Master Lease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Isle Casino Hotel Waterloo</w:t>
            </w:r>
          </w:p>
        </w:tc>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Waterloo, IA</w:t>
            </w:r>
          </w:p>
        </w:tc>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Caesars/Amended Caesars Master Lease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Horseshoe St. Louis </w:t>
            </w:r>
          </w:p>
        </w:tc>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 Louis, MO</w:t>
            </w:r>
          </w:p>
        </w:tc>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Caesars/Horseshoe St. Louis Lease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Hard Rock Hotel &amp; Casino Biloxi</w:t>
            </w:r>
          </w:p>
        </w:tc>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Biloxi, MS</w:t>
            </w:r>
          </w:p>
        </w:tc>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Bally's Master Lease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Table of Contents</w:t>
      </w:r>
    </w:p>
    <w:tbl>
      <w:tblPr>
        <w:tblW w:w="9106" w:type="dxa"/>
        <w:jc w:val="left"/>
        <w:tblInd w:w="0" w:type="dxa"/>
        <w:tblLayout w:type="fixed"/>
        <w:tblCellMar>
          <w:top w:w="28" w:type="dxa"/>
          <w:left w:w="28" w:type="dxa"/>
          <w:bottom w:w="28" w:type="dxa"/>
          <w:right w:w="28" w:type="dxa"/>
        </w:tblCellMar>
      </w:tblPr>
      <w:tblGrid>
        <w:gridCol w:w="1388"/>
        <w:gridCol w:w="1213"/>
        <w:gridCol w:w="1224"/>
        <w:gridCol w:w="464"/>
        <w:gridCol w:w="464"/>
        <w:gridCol w:w="466"/>
        <w:gridCol w:w="988"/>
        <w:gridCol w:w="988"/>
        <w:gridCol w:w="994"/>
        <w:gridCol w:w="109"/>
        <w:gridCol w:w="109"/>
        <w:gridCol w:w="109"/>
        <w:gridCol w:w="109"/>
        <w:gridCol w:w="109"/>
        <w:gridCol w:w="109"/>
        <w:gridCol w:w="109"/>
        <w:gridCol w:w="154"/>
      </w:tblGrid>
      <w:tr>
        <w:trPr/>
        <w:tc>
          <w:tcPr>
            <w:tcW w:w="1388"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Bally's Black Hawk</w:t>
            </w:r>
            <w:r>
              <w:rPr>
                <w:color w:val="000000"/>
              </w:rPr>
              <w:t xml:space="preserve"> </w:t>
            </w:r>
          </w:p>
        </w:tc>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Black Hawk, CO</w:t>
            </w:r>
          </w:p>
        </w:tc>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Bally's Master Lease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Bally's Dover Casino Resort</w:t>
            </w:r>
          </w:p>
        </w:tc>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Dover, DE</w:t>
            </w:r>
          </w:p>
        </w:tc>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Bally's Master Lease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Bally's Evansville</w:t>
            </w:r>
          </w:p>
        </w:tc>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Evansville, IN</w:t>
            </w:r>
          </w:p>
        </w:tc>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Bally's Master Lease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Bally's Quad Cities Casino &amp; Hotel</w:t>
            </w:r>
          </w:p>
        </w:tc>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Rock Island, IL</w:t>
            </w:r>
          </w:p>
        </w:tc>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Bally's Master Lease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Bally's Tiverton Hotel &amp; Casino</w:t>
            </w:r>
          </w:p>
        </w:tc>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Tiverton, RI</w:t>
            </w:r>
          </w:p>
        </w:tc>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Bally's Master Lease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Tropicana Las Vegas</w:t>
            </w:r>
            <w:r>
              <w:rPr>
                <w:color w:val="000000"/>
              </w:rPr>
              <w:t xml:space="preserve"> </w:t>
            </w:r>
          </w:p>
        </w:tc>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Las Vegas, NV</w:t>
            </w:r>
          </w:p>
        </w:tc>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Bally's/ Tropicana Las Vegas Lease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Bally's Chicago </w:t>
            </w:r>
          </w:p>
        </w:tc>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Chicago, IL</w:t>
            </w:r>
          </w:p>
        </w:tc>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Bally's Chicago Lease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Bally's Kansas City</w:t>
            </w:r>
          </w:p>
        </w:tc>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Kansas City, MO</w:t>
            </w:r>
          </w:p>
        </w:tc>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Bally's Master Lease II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Bally's Shreveport Casino &amp; Hotel</w:t>
            </w:r>
          </w:p>
        </w:tc>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Shreveport, LA</w:t>
            </w:r>
          </w:p>
        </w:tc>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Bally's Master Lease II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Draft Kings at Casino Queen</w:t>
            </w:r>
          </w:p>
        </w:tc>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East St. Louis, IL</w:t>
            </w:r>
          </w:p>
        </w:tc>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Bally's Master Lease II</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The Queen Baton Rouge</w:t>
            </w:r>
          </w:p>
        </w:tc>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Baton Rouge, LA</w:t>
            </w:r>
          </w:p>
        </w:tc>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Bally's Master Lease II</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Casino Queen Marquette</w:t>
            </w:r>
          </w:p>
        </w:tc>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Marquette, IA</w:t>
            </w:r>
          </w:p>
        </w:tc>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Bally's/Casino Queen Master Lease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Bally's Baton Rouge (formerly Belle of Baton Rouge)</w:t>
            </w:r>
          </w:p>
        </w:tc>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Baton Rouge, LA</w:t>
            </w:r>
          </w:p>
        </w:tc>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Bally's/Casino Queen Master Lease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Live! Casino &amp; Hotel Maryland </w:t>
            </w:r>
          </w:p>
        </w:tc>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Hanover, MD</w:t>
            </w:r>
          </w:p>
        </w:tc>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Cordish / Maryland Live! Lease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Live! Casino Pittsburgh</w:t>
            </w:r>
            <w:r>
              <w:rPr>
                <w:color w:val="000000"/>
              </w:rPr>
              <w:t xml:space="preserve"> </w:t>
            </w:r>
          </w:p>
        </w:tc>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Greensburg, PA</w:t>
            </w:r>
          </w:p>
        </w:tc>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Cordish/Pennsylvania Live! Master Lease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Live! Casino and Hotel Philadelphia </w:t>
            </w:r>
          </w:p>
        </w:tc>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Philadelphia, PA</w:t>
            </w:r>
          </w:p>
        </w:tc>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Cordish/Pennsylvania Live! Master Lease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Hard Rock Casino Rockford </w:t>
            </w:r>
          </w:p>
        </w:tc>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Rockford, IL</w:t>
            </w:r>
          </w:p>
        </w:tc>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815 Entertainment/Rockford Lease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Tioga Downs Casino Resort</w:t>
            </w:r>
          </w:p>
        </w:tc>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Nichols, NY</w:t>
            </w:r>
          </w:p>
        </w:tc>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American Racing, LLC/Tioga Lease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Silverado Franklin Hotel &amp; Casino </w:t>
            </w:r>
          </w:p>
        </w:tc>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Deadwood, SD</w:t>
            </w:r>
          </w:p>
        </w:tc>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Strategic Gaming Leases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Deadwood Mountain Grand </w:t>
            </w:r>
          </w:p>
        </w:tc>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Deadwood, SD</w:t>
            </w:r>
          </w:p>
        </w:tc>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Strategic Gaming Leases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Baldini's Casino </w:t>
            </w:r>
          </w:p>
        </w:tc>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Sparks, NV</w:t>
            </w:r>
          </w:p>
        </w:tc>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Strategic Gaming Leases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Sunland Park Racetrack and Casino</w:t>
            </w:r>
          </w:p>
        </w:tc>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Sunland Park, NM</w:t>
            </w:r>
          </w:p>
        </w:tc>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Strategic Gaming Leases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29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29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29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29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29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29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29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29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29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hanging="720"/>
        <w:jc w:val="left"/>
        <w:rPr>
          <w:rFonts w:ascii="Times New Roman;serif" w:hAnsi="Times New Roman;serif"/>
          <w:b/>
          <w:color w:val="000000"/>
          <w:sz w:val="20"/>
        </w:rPr>
      </w:pPr>
      <w:r>
        <w:rPr>
          <w:rFonts w:ascii="Times New Roman;serif" w:hAnsi="Times New Roman;serif"/>
          <w:b/>
          <w:color w:val="000000"/>
          <w:sz w:val="20"/>
        </w:rPr>
        <w:t>Competition</w:t>
      </w:r>
    </w:p>
    <w:p>
      <w:pPr>
        <w:pStyle w:val="TextBody"/>
        <w:bidi w:val="0"/>
        <w:spacing w:lineRule="auto" w:line="288" w:before="160" w:after="16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compete for additional real property investments with other REITs, including a publicly traded gaming focused REIT, VICI Properties Inc., investment companies, private equity and hedge fund investors, sovereign funds, lenders, gaming companies and other investors. Some of our competitors are significantly larger, have greater financial resources and lower costs of capital than we have, making it more challenging for us to identify and successfully capitalize on acquisition opportunities that meet our investment objectives.</w:t>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percentage rent revenues that apply to certain of our leases are dependent on the ability of our gaming tenants to compete with other gaming operators. These revenues comprised 4.8%, 5.0% and 5.2% of the Company's total cash rental income for the years ended December 31, 2025, 2024 and 2023, respectively. </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gaming industry is characterized by an increasingly high degree of competition among a large number of participants, including traditional casino properties, video lottery, sweepstakes and poker machines not located in casinos, Native American casinos, emerging varieties of internet gaming, sports betting and other forms of gaming and prediction markets in the U.S. In a broader sense, our gaming tenants and operators face competition from all manner of leisure and entertainment activities, including: shopping, athletic events, television and movies, concerts and travel. Legalized gaming is currently permitted in various forms throughout the U.S., in several Canadian provinces and on various lands taken into trust for the benefit of certain Native Americans in the U.S. and Canada. In addition, established gaming jurisdictions could award additional gaming licenses or permit the expansion or relocation of existing gaming operations. New, relocated or expanded gaming operations may increase competition for our gaming tenants and could have a material adverse impact on our gaming tenants and us as landlord. Finally, the imposition of smoking bans and/or higher gaming tax rates have a significant impact on our gaming tenants' ability to compete with facilities in nearby jurisdictions.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Segments</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operations consist solely of investments in real estate for which all such real estate properties are similar to one another in that they consist of destination and leisure properties and related offerings, whose tenants offer casino gaming, hotel, convention, dining, entertainment and retail amenities, have similar economic characteristics and are governed by triple-net operating leases. The operating results of the Company's real estate investments are reviewed in the aggregate, by the chief operating decision maker (as such term is defined in ASC 280 - Segment Reporting). As such, the Company has one reportable segment. See Note 18 in the Notes to the Consolidated Financial Statements for further information.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Table of Contents</w:t>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Information about our Executive Officers</w:t>
      </w:r>
    </w:p>
    <w:tbl>
      <w:tblPr>
        <w:tblW w:w="6699" w:type="dxa"/>
        <w:jc w:val="center"/>
        <w:tblInd w:w="0" w:type="dxa"/>
        <w:tblLayout w:type="fixed"/>
        <w:tblCellMar>
          <w:top w:w="28" w:type="dxa"/>
          <w:left w:w="28" w:type="dxa"/>
          <w:bottom w:w="28" w:type="dxa"/>
          <w:right w:w="28" w:type="dxa"/>
        </w:tblCellMar>
      </w:tblPr>
      <w:tblGrid>
        <w:gridCol w:w="570"/>
        <w:gridCol w:w="498"/>
        <w:gridCol w:w="507"/>
        <w:gridCol w:w="180"/>
        <w:gridCol w:w="181"/>
        <w:gridCol w:w="131"/>
        <w:gridCol w:w="109"/>
        <w:gridCol w:w="109"/>
        <w:gridCol w:w="109"/>
        <w:gridCol w:w="1257"/>
        <w:gridCol w:w="1257"/>
        <w:gridCol w:w="1791"/>
      </w:tblGrid>
      <w:tr>
        <w:trPr/>
        <w:tc>
          <w:tcPr>
            <w:tcW w:w="570"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Name</w:t>
            </w:r>
          </w:p>
        </w:tc>
        <w:tc>
          <w:tcPr>
            <w:tcW w:w="4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Position</w:t>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Peter M. Carlino</w:t>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of the Board and Chief Executive Officer</w:t>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Brandon J. Moore</w:t>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Chief Operating Officer, and Secretary</w:t>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Desiree A. Burke</w:t>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Treasurer</w:t>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Steven L. Ladany</w:t>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Chief Development Officer</w:t>
            </w:r>
          </w:p>
        </w:tc>
      </w:tr>
    </w:tbl>
    <w:p>
      <w:pPr>
        <w:pStyle w:val="TextBody"/>
        <w:bidi w:val="0"/>
        <w:spacing w:lineRule="auto" w:line="288" w:before="160" w:after="160"/>
        <w:ind w:left="0" w:right="0" w:firstLine="495"/>
        <w:jc w:val="both"/>
        <w:rPr/>
      </w:pPr>
      <w:r>
        <w:rPr>
          <w:rFonts w:ascii="Times New Roman;serif" w:hAnsi="Times New Roman;serif"/>
          <w:b/>
          <w:color w:val="000000"/>
          <w:sz w:val="20"/>
        </w:rPr>
        <w:t>Peter M. Carlino.</w:t>
      </w:r>
      <w:r>
        <w:rPr>
          <w:color w:val="000000"/>
        </w:rPr>
        <w:t xml:space="preserve">    </w:t>
      </w:r>
      <w:r>
        <w:rPr>
          <w:rFonts w:ascii="Times New Roman;serif" w:hAnsi="Times New Roman;serif"/>
          <w:b w:val="false"/>
          <w:color w:val="000000"/>
          <w:sz w:val="20"/>
        </w:rPr>
        <w:t>Mr. Carlino has been the Company's Chairman and Chief Executive Officer since the Company's inception in November 2013. Mr. Carlino was the founder of PENN and served as its Chief Executive Officer from 1994 through October 2013. Mr. Carlino also served as the Chairman of the Board of Directors of PENN from April 1994 through May 28, 2019. Mr. Carlino continues to serve as Chairman Emeritus on PENN's Board of Directors and has served in such position since June 2019. Mr. Carlino has served as the Chairman of the Board of Directors and as Chief Executive Officer for PENN, and now the Company, collectively for over 25 years.</w:t>
      </w:r>
    </w:p>
    <w:p>
      <w:pPr>
        <w:pStyle w:val="TextBody"/>
        <w:bidi w:val="0"/>
        <w:spacing w:lineRule="auto" w:line="288" w:before="160" w:after="160"/>
        <w:ind w:left="0" w:right="0" w:firstLine="495"/>
        <w:jc w:val="both"/>
        <w:rPr/>
      </w:pPr>
      <w:r>
        <w:rPr>
          <w:rFonts w:ascii="Times New Roman;serif" w:hAnsi="Times New Roman;serif"/>
          <w:b/>
          <w:color w:val="000000"/>
          <w:sz w:val="20"/>
        </w:rPr>
        <w:t>Brandon J. Moore.</w:t>
      </w:r>
      <w:r>
        <w:rPr>
          <w:color w:val="000000"/>
        </w:rPr>
        <w:t>    </w:t>
      </w:r>
      <w:r>
        <w:rPr>
          <w:rFonts w:ascii="Times New Roman;serif" w:hAnsi="Times New Roman;serif"/>
          <w:b w:val="false"/>
          <w:color w:val="000000"/>
          <w:sz w:val="20"/>
        </w:rPr>
        <w:t>Mr. Moore is our President, Chief Operating Officer and Secretary. Mr. Moore was promoted to President in September 2024 after being promoted to Chief Operating Officer in October 2022. Mr. Moore joined the Company in January 2014 as Senior Vice President and General Counsel. Previously, he served as PENN's Vice President, Senior Corporate Counsel from March 2010 where he was a member of the legal team responsible for a variety of transactional, regulatory and general legal matters. Prior to joining PENN, Mr. Moore was with Ballard Spahr LLP, where he provided advanced legal counsel to clients on matters including merger and acquisition transactions, debt and equity financings, and various other matters.</w:t>
      </w:r>
    </w:p>
    <w:p>
      <w:pPr>
        <w:pStyle w:val="TextBody"/>
        <w:bidi w:val="0"/>
        <w:spacing w:lineRule="auto" w:line="288" w:before="160" w:after="160"/>
        <w:ind w:left="0" w:right="0" w:firstLine="495"/>
        <w:jc w:val="both"/>
        <w:rPr/>
      </w:pPr>
      <w:r>
        <w:rPr>
          <w:rFonts w:ascii="Times New Roman;serif" w:hAnsi="Times New Roman;serif"/>
          <w:b/>
          <w:color w:val="000000"/>
          <w:sz w:val="20"/>
        </w:rPr>
        <w:t xml:space="preserve">Desiree A. Burke. </w:t>
      </w:r>
      <w:r>
        <w:rPr>
          <w:rFonts w:ascii="Times New Roman;serif" w:hAnsi="Times New Roman;serif"/>
          <w:b w:val="false"/>
          <w:color w:val="000000"/>
          <w:sz w:val="20"/>
        </w:rPr>
        <w:t>Ms. Burke is our Chief Financial Officer and Treasurer. She was promoted to Chief Financial Officer in October 2022 and joined the Company in April 2014 as our Senior Vice President and Chief Accounting Officer. Previously, Ms. Burke served as PENN's Vice President and Chief Accounting Officer from November 2009. Additionally, she served as PENN's Vice President and Corporate Controller from November 2005 to October 2009. Prior to her time at PENN, Ms. Burke was the Executive Vice President/Director of Financial Reporting and Control for MBNA America Bank, N.A. She joined MBNA in 1994 and held positions of ascending responsibility in the finance department during her tenure. Ms. Burke is a CPA.</w:t>
      </w:r>
    </w:p>
    <w:p>
      <w:pPr>
        <w:pStyle w:val="TextBody"/>
        <w:bidi w:val="0"/>
        <w:spacing w:lineRule="auto" w:line="288" w:before="160" w:after="160"/>
        <w:ind w:left="0" w:right="0" w:firstLine="495"/>
        <w:jc w:val="both"/>
        <w:rPr/>
      </w:pPr>
      <w:r>
        <w:rPr>
          <w:rFonts w:ascii="Times New Roman;serif" w:hAnsi="Times New Roman;serif"/>
          <w:b/>
          <w:color w:val="000000"/>
          <w:sz w:val="20"/>
        </w:rPr>
        <w:t xml:space="preserve">Steven L. Ladany. </w:t>
      </w:r>
      <w:r>
        <w:rPr>
          <w:rFonts w:ascii="Times New Roman;serif" w:hAnsi="Times New Roman;serif"/>
          <w:b w:val="false"/>
          <w:color w:val="000000"/>
          <w:sz w:val="20"/>
        </w:rPr>
        <w:t>Mr. Ladany became our Senior Vice President, Chief Development Officer in January 2021 and leads the Company's ongoing merger, acquisition and development efforts. Mr. Ladany joined the Company in September 2014 as Vice President, Finance and served in that role until March 2019, when he was promoted to Senior Vice President, Finance. Prior to joining the Company, Mr. Ladany served as a Vice President at Revel Casino Hotel, a regional gaming property currently known as Ocean Casino Resort, and as a Vice President at J.P. Morgan in the Syndicated and Leveraged Finance group within the firm's investment banking division.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Table of Contents</w:t>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Tax Considerations</w:t>
      </w:r>
    </w:p>
    <w:p>
      <w:pPr>
        <w:pStyle w:val="TextBody"/>
        <w:bidi w:val="0"/>
        <w:spacing w:lineRule="auto" w:line="276"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intend to continue to be organized and to operate in a manner that will permit us to qualify as a REIT. Qualification and taxation as a REIT depends on our ability to meet on a continuing basis, through actual operating results, distribution levels, and diversity of stock ownership, various qualification requirements imposed upon REITs by the Code. Our ability to qualify to be taxed as a REIT also requires that we satisfy certain tests, some of which depend upon the fair market values of assets that we own directly or indirectly. The material qualification requirements are summarized below. Such values may not be susceptible to a precise determination. Accordingly, no assurance can be given that the actual results of our operations for any taxable year will satisfy such requirements for qualification and taxation as a REIT. Additionally, while we intend to operate so that we continue to qualify to be taxed as a REIT, no assurance can be given that the Internal Revenue Service (the "IRS") will not challenge our qualification, or that we will be able to operate in accordance with the REIT requirements in the future.</w:t>
      </w: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Taxation of REITs in General</w:t>
      </w:r>
    </w:p>
    <w:p>
      <w:pPr>
        <w:pStyle w:val="TextBody"/>
        <w:bidi w:val="0"/>
        <w:spacing w:lineRule="auto" w:line="288" w:before="160" w:after="16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 a REIT, generally we will be entitled to a deduction for dividends that we pay and therefore will not be subject to U.S. federal corporate income tax on our net REIT taxable income that is currently distributed to our shareholders. This treatment substantially eliminates the "double taxation" at the corporate and shareholder levels that generally results from an investment in a C corporation. A "C corporation" is a corporation that generally is required to pay tax at the corporate level. Double taxation means taxation once at the corporate level when income is earned and once again at the shareholder level when the net earnings and profits are distributed as dividends. In general, the income that we generate is taxed only at the shareholder level upon a distribution of dividends to our shareholders. We will nonetheless be subject to U.S. federal tax in the following circumstances:</w:t>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0"/>
        </w:rPr>
        <w:t>We will be taxed at regular corporate rates on any undistributed net taxable income, including undistributed net capital gains.</w:t>
      </w:r>
    </w:p>
    <w:p>
      <w:pPr>
        <w:pStyle w:val="TextBody"/>
        <w:bidi w:val="0"/>
        <w:spacing w:before="0" w:after="0"/>
        <w:jc w:val="both"/>
        <w:rPr/>
      </w:pPr>
      <w:r>
        <w:rPr/>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0"/>
        </w:rPr>
        <w:t>If we have net income from prohibited transactions, which are, in general, sales or other dispositions of inventory or property held primarily for sale to customers in the ordinary course of business, other than foreclosure property, such income will be subject to a 100% tax.</w:t>
      </w:r>
    </w:p>
    <w:p>
      <w:pPr>
        <w:pStyle w:val="TextBody"/>
        <w:bidi w:val="0"/>
        <w:spacing w:before="0" w:after="0"/>
        <w:ind w:left="0" w:right="0" w:hanging="540"/>
        <w:jc w:val="both"/>
        <w:rPr/>
      </w:pPr>
      <w:r>
        <w:rPr/>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0"/>
        </w:rPr>
        <w:t>If we elect to treat property that we acquire in connection with a foreclosure of a mortgage loan or certain leasehold terminations as "foreclosure property," we may thereby avoid the 100% tax on gain from a resale of that property (if the sale would otherwise constitute a prohibited transaction), but the income from the sale or operation of the property may be subject to corporate income tax at the highest applicable rate (currently 21%).</w:t>
      </w:r>
    </w:p>
    <w:p>
      <w:pPr>
        <w:pStyle w:val="TextBody"/>
        <w:bidi w:val="0"/>
        <w:spacing w:before="0" w:after="0"/>
        <w:ind w:left="0" w:right="0" w:hanging="540"/>
        <w:jc w:val="both"/>
        <w:rPr/>
      </w:pPr>
      <w:r>
        <w:rPr/>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0"/>
        </w:rPr>
        <w:t>If we fail to satisfy the 75% gross income test and/or the 95% gross income test, as discussed below, but nonetheless maintain our qualification as a REIT because we satisfy other requirements, we will be subject to a 100% tax on an amount based on the magnitude of the failure, as adjusted to reflect the profit margin associated with our gross income.</w:t>
      </w:r>
    </w:p>
    <w:p>
      <w:pPr>
        <w:pStyle w:val="TextBody"/>
        <w:bidi w:val="0"/>
        <w:spacing w:before="0" w:after="0"/>
        <w:jc w:val="both"/>
        <w:rPr/>
      </w:pPr>
      <w:r>
        <w:rPr/>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0"/>
        </w:rPr>
        <w:t>If we violate the asset tests (other than certain de minimis violations) or other requirements applicable to REITs, as described below, and yet maintain our qualification as a REIT because there is reasonable cause for the failure and other applicable requirements are met, we may be subject to a penalty tax. In that case, the amount of the penalty tax will be at least $50,000 per failure, and, in the case of certain asset test failures, will be determined as the amount of net income generated by the nonqualifying assets in question multiplied by the highest corporate tax rate (currently 21%) if that amount exceeds $50,000 per failure.</w:t>
      </w:r>
    </w:p>
    <w:p>
      <w:pPr>
        <w:pStyle w:val="TextBody"/>
        <w:bidi w:val="0"/>
        <w:spacing w:before="0" w:after="0"/>
        <w:ind w:left="0" w:right="0" w:hanging="540"/>
        <w:jc w:val="both"/>
        <w:rPr/>
      </w:pPr>
      <w:r>
        <w:rPr/>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0"/>
        </w:rPr>
        <w:t>If we fail to distribute during each calendar year at least the sum of (i) 85% of our ordinary income for such year, (ii) 95% of our capital gain net income for such year and (iii) any undistributed net taxable income from prior periods, we will be subject to a nondeductible 4% excise tax on the excess of the required distribution over the sum of (a) the amounts that we actually distributed and (b) the amounts we retained and upon which we paid income tax at the corporate level.</w:t>
      </w:r>
    </w:p>
    <w:p>
      <w:pPr>
        <w:pStyle w:val="TextBody"/>
        <w:bidi w:val="0"/>
        <w:spacing w:before="0" w:after="0"/>
        <w:ind w:left="0" w:right="0" w:hanging="540"/>
        <w:jc w:val="both"/>
        <w:rPr/>
      </w:pPr>
      <w:r>
        <w:rPr/>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0"/>
        </w:rPr>
        <w:t>We may be required to pay monetary penalties to the IRS in certain circumstances, including if we fail to meet record-keeping requirements intended to monitor our compliance with rules relating to the composition of a REIT's shareholders.</w:t>
      </w:r>
    </w:p>
    <w:p>
      <w:pPr>
        <w:pStyle w:val="TextBody"/>
        <w:bidi w:val="0"/>
        <w:spacing w:before="0" w:after="0"/>
        <w:ind w:left="0" w:right="0" w:hanging="540"/>
        <w:jc w:val="both"/>
        <w:rPr/>
      </w:pPr>
      <w:r>
        <w:rPr/>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0"/>
        </w:rPr>
        <w:t>A 100% tax may be imposed on transactions between us and a TRS that do not reflect arm's-length terms.</w:t>
      </w:r>
    </w:p>
    <w:p>
      <w:pPr>
        <w:pStyle w:val="TextBody"/>
        <w:bidi w:val="0"/>
        <w:spacing w:before="0" w:after="0"/>
        <w:ind w:left="0" w:right="0" w:hanging="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Table of Contents</w:t>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0"/>
        </w:rPr>
        <w:t xml:space="preserve">If we acquire appreciated assets from a corporation that is not a REIT (i.e., a corporation taxable under subchapter C of the Code) in a transaction in which the adjusted tax basis of the assets in our hands is determined by reference to the adjusted tax basis of the assets in the hands of the subchapter C corporation, we may be subject to tax on such appreciation at the highest corporate income tax rate then applicable if we subsequently recognize gain on a disposition of any such assets during the five-year period following their acquisition from the subchapter C corporation. </w:t>
      </w:r>
    </w:p>
    <w:p>
      <w:pPr>
        <w:pStyle w:val="TextBody"/>
        <w:bidi w:val="0"/>
        <w:spacing w:before="0" w:after="0"/>
        <w:jc w:val="both"/>
        <w:rPr/>
      </w:pPr>
      <w:r>
        <w:rPr/>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0"/>
        </w:rPr>
        <w:t>The earnings of our TRS will generally be subject to U.S. federal, state and corporate income tax, and we will be required to include, any dividends received from the TRS in our distribution tests.</w:t>
      </w:r>
    </w:p>
    <w:p>
      <w:pPr>
        <w:pStyle w:val="TextBody"/>
        <w:bidi w:val="0"/>
        <w:spacing w:lineRule="auto" w:line="288" w:before="160" w:after="16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In addition, we and our subsidiaries may be subject to a variety of taxes, including payroll taxes and state, local, and foreign income, property, gross receipts and other taxes on our assets and operations. We could also be subject to tax in situations and on transactions not presently contemplated.</w:t>
      </w: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Requirements for Qualification—General</w:t>
      </w:r>
    </w:p>
    <w:p>
      <w:pPr>
        <w:pStyle w:val="TextBody"/>
        <w:bidi w:val="0"/>
        <w:spacing w:lineRule="auto" w:line="288" w:before="160" w:after="16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Code defines a REIT as a corporation, trust or association: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(1) that is managed by one or more trustees or directors;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(2) the beneficial ownership of which is evidenced by transferable shares, or by transferable certificates of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beneficial interest;</w:t>
      </w:r>
    </w:p>
    <w:p>
      <w:pPr>
        <w:pStyle w:val="TextBody"/>
        <w:bidi w:val="0"/>
        <w:spacing w:lineRule="auto" w:line="288" w:before="160" w:after="283"/>
        <w:jc w:val="both"/>
        <w:rPr>
          <w:color w:val="000000"/>
        </w:rPr>
      </w:pPr>
      <w:r>
        <w:rPr>
          <w:color w:val="000000"/>
        </w:rPr>
        <w:t xml:space="preserve">     </w:t>
      </w:r>
      <w:r>
        <w:rPr>
          <w:rFonts w:ascii="Times New Roman;serif" w:hAnsi="Times New Roman;serif"/>
          <w:b w:val="false"/>
          <w:color w:val="000000"/>
          <w:sz w:val="20"/>
        </w:rPr>
        <w:t>(3) that would be taxable as a domestic corporation but for its election to be subject to tax as a REIT;</w:t>
      </w:r>
    </w:p>
    <w:p>
      <w:pPr>
        <w:pStyle w:val="TextBody"/>
        <w:bidi w:val="0"/>
        <w:spacing w:lineRule="auto" w:line="288" w:before="160" w:after="283"/>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(4) that is neither a financial institution nor an insurance company subject to specific provisions of the Code;</w:t>
      </w:r>
    </w:p>
    <w:p>
      <w:pPr>
        <w:pStyle w:val="TextBody"/>
        <w:bidi w:val="0"/>
        <w:spacing w:lineRule="auto" w:line="288" w:before="160" w:after="283"/>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(5) the beneficial ownership of which is held by 100 or more persons;</w:t>
      </w:r>
    </w:p>
    <w:p>
      <w:pPr>
        <w:pStyle w:val="TextBody"/>
        <w:bidi w:val="0"/>
        <w:spacing w:before="0" w:after="0"/>
        <w:ind w:left="0" w:right="0" w:hanging="180"/>
        <w:jc w:val="both"/>
        <w:rPr/>
      </w:pPr>
      <w:r>
        <w:rPr/>
      </w:r>
    </w:p>
    <w:p>
      <w:pPr>
        <w:pStyle w:val="TextBody"/>
        <w:bidi w:val="0"/>
        <w:spacing w:lineRule="auto" w:line="288" w:before="0" w:after="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 xml:space="preserve">(6) in which, during the last half of each taxable year, not more than 50% in value of the outstanding stock is </w:t>
      </w:r>
    </w:p>
    <w:p>
      <w:pPr>
        <w:pStyle w:val="TextBody"/>
        <w:bidi w:val="0"/>
        <w:spacing w:lineRule="auto" w:line="288" w:before="0" w:after="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owned, directly or indirectly, by five or fewer "individuals" (as defined in the Code to include specified tax-</w:t>
      </w:r>
    </w:p>
    <w:p>
      <w:pPr>
        <w:pStyle w:val="TextBody"/>
        <w:bidi w:val="0"/>
        <w:spacing w:lineRule="auto" w:line="288" w:before="0" w:after="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exempt entities); and</w:t>
      </w:r>
    </w:p>
    <w:p>
      <w:pPr>
        <w:pStyle w:val="TextBody"/>
        <w:bidi w:val="0"/>
        <w:spacing w:lineRule="auto" w:line="288" w:before="160" w:after="283"/>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(7) that meets other tests described below, including with respect to the nature of its income and assets.</w:t>
      </w:r>
    </w:p>
    <w:p>
      <w:pPr>
        <w:pStyle w:val="TextBody"/>
        <w:bidi w:val="0"/>
        <w:spacing w:lineRule="auto" w:line="288" w:before="160" w:after="16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Code provides that conditions (1) through (4) must be met during the entire taxable year, and that condition (5) must be met during at least 335 days of a taxable year of 12 months, or during a proportionate part of a shorter taxable year. Conditions (5) and (6) need not be met during a corporation's initial tax year as a REIT (which, in our case, was 2014). Our charter provides restrictions regarding the ownership and transfers of our stock, which are intended to assist us in satisfying the stock ownership requirements described in conditions (5) and (6) above. These restrictions, however, may not ensure that we will, in all cases, be able to satisfy the share ownership requirements described in conditions (5) and (6) above. If we fail to satisfy these share ownership requirements, except as provided in the next sentence, our status as a REIT will terminate. If, however, we comply with the rules contained in the applicable Treasury regulations that require us to ascertain the actual ownership of our shares and we do not know, or would not have known through the exercise of reasonable diligence, that we failed to meet the requirements described in condition (6) above, we will be treated as having met this requirement.</w:t>
      </w:r>
    </w:p>
    <w:p>
      <w:pPr>
        <w:pStyle w:val="TextBody"/>
        <w:bidi w:val="0"/>
        <w:spacing w:lineRule="auto" w:line="288" w:before="160" w:after="16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To monitor compliance with the stock ownership requirements, we generally are required to maintain records regarding the actual ownership of our stock. To do so, we must demand written statements each year from the record holders of significant percentages of our stock pursuant to which the record holders must disclose the actual owners of the stock (i.e., the persons required to include our dividends in their gross income). We must maintain a list of those persons failing or refusing to comply with this demand as part of our records. We could be subject to monetary penalties if we fail to comply with these record-keeping requirements. If, upon request by the Company, a shareholder fails or refuses to comply with the demands, such holder will be required by Treasury regulations to submit a statement with his, her or its tax return disclosing the actual ownership of our stock and other information.</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Qualified REIT Subsidiaries </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Code provides that a corporation that is a "qualified REIT subsidiary" shall not be treated as a separate corporation, and all assets, liabilities and items of income, deduction and credit of a "qualified REIT subsidiary" shall be treated as assets, liabilities and items of income, deduction and credit of the REIT. A "qualified REIT subsidiary" is a corporation, all of the capital stock of which is owned by the REIT, that has not elected to be a "taxable REIT subsidiary" (discussed below). In applying the requirements described herein, all of our "qualified REIT subsidiaries" will be ignored, and all assets, liabilities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Table of Contents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and items of income, deduction and credit of such subsidiaries will be treated as our assets, liabilities and items of income, deduction and credit. These subsidiaries, therefore, will not be subject to federal corporate income taxation, although they may be subject to state and local taxation. During 2021, we had one qualified REIT subsidiary for most of the year, which elected to become a TRS in December 2021. </w:t>
      </w: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Taxable REIT Subsidiaries</w:t>
      </w:r>
    </w:p>
    <w:p>
      <w:pPr>
        <w:pStyle w:val="TextBody"/>
        <w:bidi w:val="0"/>
        <w:spacing w:lineRule="auto" w:line="288" w:before="160" w:after="16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In general, we may jointly elect with a subsidiary corporation, whether or not wholly-owned, to treat such subsidiary corporation as a TRS. We generally may not own more than 10% of the securities of a taxable corporation, as measured by voting power or value, unless we and such corporation elect to treat such corporation as a TRS. The separate existence of a TRS is not ignored for U.S. federal income tax purposes. Accordingly, a TRS generally is subject to corporate income tax on its earnings, which may reduce the cash flow that we and our subsidiaries generate in the aggregate and may reduce our ability to make distributions to our shareholders.</w:t>
      </w:r>
    </w:p>
    <w:p>
      <w:pPr>
        <w:pStyle w:val="TextBody"/>
        <w:bidi w:val="0"/>
        <w:spacing w:lineRule="auto" w:line="288" w:before="160" w:after="16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are not treated as holding the assets of a TRS or as receiving any income that the TRS earns. Rather, the stock issued by the TRS to us is an asset in our hands, and we treat the dividends paid to us, if any, as income. This treatment can affect our income and asset test calculations, as described below. Because we do not include the assets and income of TRSs on a look-through basis in determining our compliance with the REIT requirements, we may use such entities to undertake indirectly activities that the REIT rules might otherwise preclude us from doing directly or through pass-through subsidiaries. For example, we may use a TRS to perform services or conduct activities that give rise to certain categories of income or to conduct activities that, if conducted by us directly, would be treated in our hands as prohibited transactions.</w:t>
      </w:r>
    </w:p>
    <w:p>
      <w:pPr>
        <w:pStyle w:val="TextBody"/>
        <w:bidi w:val="0"/>
        <w:spacing w:lineRule="auto" w:line="288" w:before="160" w:after="16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TRS rules impose a 100% excise tax on transactions between a TRS and its parent REIT or the REIT's tenants that are not conducted on an arm's-length basis. We intend that all of our transactions with our TRS, if any, will be conducted on an arm's-length basis.</w:t>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Ownership of Partnership Interests by a REIT</w:t>
      </w:r>
    </w:p>
    <w:p>
      <w:pPr>
        <w:pStyle w:val="TextBody"/>
        <w:bidi w:val="0"/>
        <w:spacing w:before="0" w:after="0"/>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 REIT that is a partner in a partnership is deemed to own its proportionate share of the assets of the partnership and is deemed to receive the income of the partnership attributable to such share. In addition, the character of the assets and gross income of the partnership retains the same character in the hands of the REIT (except that, for purposes of the 10% of value asset test described below, our proportionate share of the partnership’s assets is based on our proportionate interest in the equity and certain debt securities issued by the partnership, as described in the Code). Accordingly, our proportionate share of the assets, liabilities and items of income of the OP, as defined below, are treated as assets, liabilities and items of income of ours for purposes of applying the requirements described herein. We have control over the OP and intend to operate it in a manner that is consistent with the requirements for qualification of GLPI as a REIT.</w:t>
      </w: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Income Tests</w:t>
      </w:r>
    </w:p>
    <w:p>
      <w:pPr>
        <w:pStyle w:val="TextBody"/>
        <w:bidi w:val="0"/>
        <w:spacing w:lineRule="auto" w:line="288" w:before="160" w:after="16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 a REIT, we must satisfy two gross income requirements on an annual basis. First, at least 75% of our gross income for each taxable year, excluding gross income from sales of inventory or dealer property in "prohibited transactions," discharge of indebtedness and certain hedging transactions, generally must be derived from "rents from real property," gains from the sale of real estate assets (but not including certain debt instruments of publicly offered REITs that are not secured by mortgages on real property), interest income derived from mortgage loans secured by real property (including certain types of mortgage-backed securities), dividends received from other REITs, and specified income from temporary investments. Second, at least 95% of our gross income in each taxable year, excluding gross income from prohibited transactions, discharge of indebtedness and certain hedging transactions, must be derived from some combination of income that qualifies under the 75% gross income test described above, as well as other dividends, interest, and gain from the sale or disposition of stock or securities, which need not have any relation to real property. Income and gain from certain hedging transactions will be excluded from both the numerator and the denominator for purposes of both the 75% and 95% gross income tests.</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Rents received by a REIT will qualify as "rents from real property" in satisfying the gross income requirements described above only if several conditions are met.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amount of rent must not be based in whole or in part on the income or profits of any person. However, an amount received or accrued generally will not be excluded from the term "rents from real property" solely by reason of being based on a fixed percentage or percentages of gross receipts or sales.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Rents received from a tenant will not qualify as "rents from real property" in satisfying the gross income tests if the REIT, or a direct or indirect owner of 10% or more of the REIT, directly or constructively, owns 10% or more of such tenant (a "Related Party Tenant"). However, rental payments from a TRS will qualify as rents from real property even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Table of Contents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we own more than 10% of the total value or combined voting power of the TRS if (i) at least 90% of the property is leased to unrelated tenants and the rent paid by the TRS is substantially comparable to the rent paid by the unrelated tenants for comparable space or (ii) the property leased is a "qualified lodging facility," as defined in Section 856(d)(9)(D) of the Code, or a "qualified health care property," as defined in Section 856(e)(6)(D)(i) of the Code, and certain other conditions are satisfied.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Rent attributable to personal property leased in connection with a lease of real property will not qualify as "rents from real property" if such rent exceeds 15% of the total rent received under the lease.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REIT generally must not operate or manage the property or furnish or render services to tenants, except through an "independent contractor" who is adequately compensated and from whom the REIT derives no income, or through a TRS. The "independent contractor" requirement, however, does not apply to the extent the services provided by the REIT are "usually or customarily rendered" in connection with the rental of space for occupancy only, and are not otherwise considered "rendered to the occupant." In addition, a de minimis rule applies with respect to non-customary services. Specifically, if the value of the non-customary service income with respect to a property (valued at no less than 150% of the direct costs of performing such services) is 1% or less of the total income derived from the property, then all rental income except the non-customary service income will qualify as "rents from real property." A TRS may provide services (including noncustomary services) to a REIT’s tenants without "tainting" any of the rental income received by the REIT, and will be able to manage or operate properties for third parties and generally engage in other activities unrelated to real estate. </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do not anticipate receiving rent that is based in whole or in part on the income or profits of any person (except by reason of being based on a fixed percentage or percentages of gross receipts or sales consistent with the rules described above). Our former parent, PENN, received a private letter ruling from the IRS prior to the Spin-Off that concluded certain rental formulas under the Amended PENN Master Lease will not cause any amounts received under the Amended PENN Master Lease to be treated as other than rents from real property. While we do not expect to seek similar rulings for additional leases we enter into that have substantially similar terms as the Amended PENN Master Lease, we intend to treat amounts received under those leases consistent with the conclusions in the ruling, though there can be no assurance that the IRS will not challenge such treatment. We also do not anticipate receiving more than a de minimis amount of rents from any Related Party Tenant or rents attributable to personal property leased in connection with real property that will exceed 15% of the total rents received with respect to such real property. We may receive certain types of income that will not qualify under the 75% or 95% gross income tests. In particular, dividends received from a TRS will not qualify under the 75% test. We believe, however, that the aggregate amount of such items and other non-qualifying income in any taxable year will not cause GLPI to exceed the limits on non-qualifying income under either the 75% or 95% gross income tests.</w:t>
      </w:r>
    </w:p>
    <w:p>
      <w:pPr>
        <w:pStyle w:val="TextBody"/>
        <w:bidi w:val="0"/>
        <w:spacing w:lineRule="auto" w:line="288" w:before="160" w:after="16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may directly or indirectly receive distributions from TRSs or other corporations that are not REITs or qualified REIT subsidiaries. These distributions generally are treated as dividend income to the extent of the earnings and profits of the distributing corporation. Such distributions will generally constitute qualifying income for purposes of the 95% gross income test, but not for purposes of the 75% gross income test. Any dividends that we receive from another REIT or qualified REIT subsidiary, however, will be qualifying income for purposes of both the 95% and 75% gross income tests.</w:t>
      </w:r>
    </w:p>
    <w:p>
      <w:pPr>
        <w:pStyle w:val="TextBody"/>
        <w:bidi w:val="0"/>
        <w:spacing w:lineRule="auto" w:line="288" w:before="160" w:after="16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believe that we have and will continue to be in compliance with these gross income tests. If we fail to satisfy one or both of the 75% or 95% gross income tests for any taxable year, we may still qualify to be taxed as a REIT for such year if we are entitled to relief under applicable provisions of the Code. These relief provisions will be generally available if (i) our failure to meet these tests was due to reasonable cause and not due to willful neglect and (ii) following our identification of the failure to meet the 75% or 95% gross income test for any taxable year, we file a schedule with the IRS setting forth each item of our gross income for purposes of the 75% or 95% gross income test for such taxable year in accordance with Treasury regulations. It is not possible to state whether we would be entitled to the benefit of these relief provisions in all circumstances. If these relief provisions are inapplicable to a particular set of circumstances, we will not qualify to be taxed as a REIT. Even if these relief provisions apply, and we retain our status as a REIT, the Code imposes a tax based upon the amount by which we fail to satisfy the particular gross income test.</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Asset Tests</w:t>
      </w:r>
    </w:p>
    <w:p>
      <w:pPr>
        <w:pStyle w:val="TextBody"/>
        <w:bidi w:val="0"/>
        <w:spacing w:lineRule="auto" w:line="288" w:before="160" w:after="16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At the close of each calendar quarter, we must also satisfy five tests relating to the nature of our assets. First, at least 75% of the value of our total assets must be represented by some combination of "real estate assets," cash, cash items, U.S. government securities, and, under some circumstances, stock or debt instruments purchased with new capital. For this purpose, real estate assets include interests in real property (such as land, buildings, leasehold interest in real property and, for taxable years that began on or after January 1, 2016, personal property leased with real property if the rents attributable to the personal property would be rents from real property under the income tests discussed above), interests in mortgages on real property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Table of Contents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on interests in real property, shares in other qualifying REITs, and stock or debt instruments held for less than one year purchased with the proceeds from an offering of shares of our stock or certain debt and, for tax years that began on or after January 1, 2016, debt instruments issued by publicly offered REITs. Assets that do not qualify for purposes of the 75% asset test are subject to the additional asset tests described below.</w:t>
      </w:r>
    </w:p>
    <w:p>
      <w:pPr>
        <w:pStyle w:val="TextBody"/>
        <w:bidi w:val="0"/>
        <w:spacing w:lineRule="auto" w:line="288" w:before="160" w:after="16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Second, the value of any one issuer's securities that we own may not exceed 5% of the value of our total assets.</w:t>
      </w:r>
    </w:p>
    <w:p>
      <w:pPr>
        <w:pStyle w:val="TextBody"/>
        <w:bidi w:val="0"/>
        <w:spacing w:lineRule="auto" w:line="288" w:before="160" w:after="16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Third, we may not own more than 10% of any one issuer's outstanding securities, as measured by either voting power or value. The 5% and 10% asset tests do not apply to securities of TRSs and qualified REIT subsidiaries and the 10% asset test does not apply to "straight debt" having specified characteristics and to certain other securities described below. Solely for purposes of the 10% asset test, the determination of our interest in the assets of a partnership or limited liability company in which we own an interest will be based on our proportionate interest in any securities issued by the partnership or limited liability company, excluding for this purpose, certain securities described in the Code. The safe harbor under which certain types of securities are disregarded for purposes of the 10% value limitation includes (1) straight debt securities (including straight debt securities that provide for certain contingent payments); (2) any loan to an individual or an estate; (3) any rental agreement described in Section 467 of the Code, other than with a "related person"; (4) any obligation to pay rents from real property; (5) certain securities issued by a State or any political subdivision thereof, or the Commonwealth of Puerto Rico; (6) any security issued by a REIT; and (7) any other arrangement that, as determined by the Secretary of the Treasury, is excepted from the definition of a security. In addition, for purposes of applying the 10% value limitation, (a) a REIT’s interest as a partner in a partnership is not considered a security; (b) any debt instrument issued by a partnership is not treated as a security if at least 75% of the partnership’s gross income is from sources that would qualify for the 75% REIT gross income test; and (c) any debt instrument issued by a partnership is not treated as a security to the extent of the REIT’s interest as a partner in the partnership.</w:t>
      </w:r>
    </w:p>
    <w:p>
      <w:pPr>
        <w:pStyle w:val="TextBody"/>
        <w:bidi w:val="0"/>
        <w:spacing w:lineRule="auto" w:line="26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Fourth, the aggregate value of all securities of TRSs that we hold, together with other non-qualified assets (such as furniture and equipment or other tangible personal property, or non-real estate securities) may not, in the aggregate, exceed 20% of the value of our total assets. For years beginning after December 31, 2025, the value of all securities of TRS may not exceed 25% of the value of our total assets. </w:t>
      </w:r>
    </w:p>
    <w:p>
      <w:pPr>
        <w:pStyle w:val="TextBody"/>
        <w:bidi w:val="0"/>
        <w:spacing w:lineRule="auto" w:line="288" w:before="160" w:after="16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Fifth, not more than 25% of the value of our gross assets may be represented by debt instruments of publicly offered REITs that are not secured by mortgages on real property or interests in real property.</w:t>
      </w:r>
    </w:p>
    <w:p>
      <w:pPr>
        <w:pStyle w:val="TextBody"/>
        <w:bidi w:val="0"/>
        <w:spacing w:lineRule="auto" w:line="288" w:before="160" w:after="16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However, certain relief provisions are available to allow REITs to satisfy the asset requirements or to maintain REIT qualification notwithstanding certain violations of the asset and other requirements. For example, if we should fail to satisfy the asset tests at the end of a calendar quarter, such a failure would not cause us to lose our REIT qualification if we (i) satisfied the asset tests at the close of the preceding calendar quarter and (ii) the discrepancy between the value of our assets and the asset requirements was not wholly or partly caused by an acquisition of non-qualifying assets, but instead arose from changes in the relative market values of our assets. If the condition described in (ii) was not satisfied, we still could avoid disqualification by eliminating any discrepancy within 30 days after the close of the calendar quarter in which it arose or by making use of the relief provisions described above.</w:t>
      </w:r>
    </w:p>
    <w:p>
      <w:pPr>
        <w:pStyle w:val="TextBody"/>
        <w:bidi w:val="0"/>
        <w:spacing w:lineRule="auto" w:line="288" w:before="160" w:after="160"/>
        <w:ind w:left="0" w:right="0" w:firstLine="495"/>
        <w:jc w:val="both"/>
        <w:rPr/>
      </w:pPr>
      <w:r>
        <w:rPr>
          <w:rFonts w:ascii="Times New Roman;serif" w:hAnsi="Times New Roman;serif"/>
          <w:b w:val="false"/>
          <w:color w:val="000000"/>
          <w:sz w:val="20"/>
        </w:rPr>
        <w:t xml:space="preserve">In the case of </w:t>
      </w:r>
      <w:r>
        <w:rPr>
          <w:rFonts w:ascii="Times New Roman;serif" w:hAnsi="Times New Roman;serif"/>
          <w:b w:val="false"/>
          <w:i/>
          <w:color w:val="000000"/>
          <w:sz w:val="20"/>
        </w:rPr>
        <w:t>de minimis</w:t>
      </w:r>
      <w:r>
        <w:rPr>
          <w:color w:val="000000"/>
        </w:rPr>
        <w:t xml:space="preserve"> </w:t>
      </w:r>
      <w:r>
        <w:rPr>
          <w:rFonts w:ascii="Times New Roman;serif" w:hAnsi="Times New Roman;serif"/>
          <w:b w:val="false"/>
          <w:color w:val="000000"/>
          <w:sz w:val="20"/>
        </w:rPr>
        <w:t>violations of the 10% and 5% asset tests, a REIT may maintain its qualification despite a violation of such requirements if (i) the value of the assets causing the violation does not exceed the lesser of 1% of the REIT's total assets and $10,000,000 and (ii) the REIT either disposes of the assets causing the failure within six months after the last day of the quarter in which it identifies the failure, or the relevant tests are otherwise satisfied within that time frame.</w:t>
      </w:r>
    </w:p>
    <w:p>
      <w:pPr>
        <w:pStyle w:val="TextBody"/>
        <w:bidi w:val="0"/>
        <w:spacing w:lineRule="auto" w:line="288" w:before="160" w:after="16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Even if we did not qualify for the foregoing relief provisions, one additional provision allows a REIT which fails one or more of the asset requirements to nevertheless maintain its REIT qualification if (i) the REIT provides the IRS with a description of each asset causing the failure, (ii) the failure is due to reasonable cause and not willful neglect, (iii) the REIT pays a tax equal to the greater of (a) $50,000 per failure and (b) the product of the net income generated by the assets that caused the failure multiplied by the highest applicable corporate tax rate (currently 21%) and (iv) the REIT either disposes of the assets causing the failure within six months after the last day of the quarter in which it identifies the failure, or otherwise satisfies the relevant asset tests within that time frame.</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believe that we have been and will continue to be in compliance with the asset tests described above.</w:t>
      </w:r>
    </w:p>
    <w:p>
      <w:pPr>
        <w:pStyle w:val="TextBody"/>
        <w:bidi w:val="0"/>
        <w:spacing w:before="160" w:after="1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Table of Contents</w:t>
      </w: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Annual Distribution Requirements</w:t>
      </w:r>
    </w:p>
    <w:p>
      <w:pPr>
        <w:pStyle w:val="TextBody"/>
        <w:bidi w:val="0"/>
        <w:spacing w:lineRule="auto" w:line="288" w:before="160" w:after="16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In order to qualify to be taxed as a REIT, we are required to distribute dividends, other than capital gain dividends, to our shareholders in an amount at least equal to:</w:t>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(i)the sum of</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    90% of our REIT taxable income, computed without regard to our net capital gains and the deduction for dividends paid; and</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    90% of our after tax net income, if any, from foreclosure property (as described below); minus</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(ii)the excess of the sum of specified items of non-cash income over 5% of our REIT taxable income, computed without regard to our net capital gain and the deduction for dividends paid.</w:t>
      </w:r>
    </w:p>
    <w:p>
      <w:pPr>
        <w:pStyle w:val="TextBody"/>
        <w:bidi w:val="0"/>
        <w:spacing w:lineRule="auto" w:line="288" w:before="160" w:after="16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generally must make these distributions in the taxable year to which they relate, or in the following taxable year if declared before we timely file our tax return for the year and if paid with or before the first regular dividend payment after such declaration. These distributions will be treated as received by our shareholders in the year in which paid. In order for distributions to be counted as satisfying the annual distribution requirements for REITs, and to provide us with a REIT-level tax deduction, the distributions must not be "preferential dividends." A dividend is not a preferential dividend if the distribution is (i) pro rata among all outstanding shares of stock within a particular class and (ii) in accordance with any preferences among different classes of stock as set forth in our organizational documents. Given our status as a "publicly offered REIT" (within the meaning of the Code), the preferential dividend rules do not apply to us for taxable years beginning after December 31, 2014.</w:t>
      </w:r>
    </w:p>
    <w:p>
      <w:pPr>
        <w:pStyle w:val="TextBody"/>
        <w:bidi w:val="0"/>
        <w:spacing w:lineRule="auto" w:line="288" w:before="160" w:after="16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To the extent that we distribute at least 90%, but less than 100%, of our REIT taxable income, as adjusted, we will be subject to tax at ordinary corporate tax rates on the retained portion. We may elect to retain, rather than distribute, some or all of our net long-term capital gains and pay tax on such gains. In this case, we could elect for our shareholders to include their proportionate shares of such undistributed long-term capital gains in income, and to receive a corresponding credit for their share of the tax that we paid. Our shareholders would then increase the adjusted basis of their stock by the difference between (i) the amounts of capital gain dividends that we designated and that they include in their taxable income, minus (ii) the tax that we paid on their behalf with respect to that income.</w:t>
      </w:r>
    </w:p>
    <w:p>
      <w:pPr>
        <w:pStyle w:val="TextBody"/>
        <w:bidi w:val="0"/>
        <w:spacing w:lineRule="auto" w:line="288" w:before="160" w:after="16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To the extent that in the future we may have available net operating losses carried forward from prior tax years, such losses may reduce the amount of distributions that we must make in order to comply with the REIT distribution requirements.</w:t>
      </w:r>
    </w:p>
    <w:p>
      <w:pPr>
        <w:pStyle w:val="TextBody"/>
        <w:bidi w:val="0"/>
        <w:spacing w:lineRule="auto" w:line="288" w:before="160" w:after="16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If we fail to distribute during each calendar year at least the sum of (i) 85% of our ordinary income for such year, (ii) 95% of our capital gain net income for such year and (iii) any undistributed net taxable income from prior periods, we will be subject to a non-deductible 4% excise tax on the excess of such required distribution over the sum of (a) the amounts actually distributed, plus (b) the amounts of income we retained and on which we have paid corporate income tax.</w:t>
      </w:r>
    </w:p>
    <w:p>
      <w:pPr>
        <w:pStyle w:val="TextBody"/>
        <w:bidi w:val="0"/>
        <w:spacing w:lineRule="auto" w:line="288" w:before="160" w:after="16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expect that our REIT taxable income will be less than our cash flow because of depreciation and other non-cash charges included in computing REIT taxable income. Accordingly, we anticipate that we generally will have sufficient cash or liquid assets to enable us to satisfy the distribution requirements described above. However, from time to time, we may not have sufficient cash or other liquid assets to meet these distribution requirements due to timing differences between the actual receipt of income and actual payment of deductible expenses, and the inclusion of income and deduction of expenses in determining our taxable income. In addition, we may decide to retain our cash, rather than distribute it, in order to repay debt, acquire assets, or for other reasons. If these timing differences occur, we may borrow funds to pay dividends or pay dividends through the distribution of other property (including shares of our stock) in order to meet the distribution requirements, while preserving our cash.</w:t>
      </w:r>
    </w:p>
    <w:p>
      <w:pPr>
        <w:pStyle w:val="TextBody"/>
        <w:bidi w:val="0"/>
        <w:spacing w:lineRule="auto" w:line="288" w:before="160" w:after="16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If our taxable income for a particular year is subsequently determined to have been understated, we may be able to rectify a resultant failure to meet the distribution requirements for a year by paying "deficiency dividends" to shareholders in a later year, which may be included in our deduction for dividends paid for the earlier year. In this case, we may be able to avoid losing REIT qualification or being taxed on amounts distributed as deficiency dividends, subject to the 4% excise tax described above. We will be required to pay interest based on the amount of any deduction taken for deficiency dividends.</w:t>
      </w:r>
    </w:p>
    <w:p>
      <w:pPr>
        <w:pStyle w:val="TextBody"/>
        <w:bidi w:val="0"/>
        <w:spacing w:lineRule="auto" w:line="288" w:before="160" w:after="16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For purposes of the 90% distribution requirement and excise tax described above, any distribution must be paid in the taxable year to which they relate, or in the following taxable year if such distributions are declared in October, November or December of the taxable year, are payable to shareholders of record on a specified date in any such month, and are actually paid before the end of January of the following year. Such distributions are treated as both paid by us and received by our shareholders on December 31 of the year in which they are declared.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Table of Contents</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at our election, a distribution for a taxable year may be declared before we timely file our tax return for the year, provided we pay such distribution with or before our first regular dividend payment after such declaration, and such payment is made during the 12-month period following the close of such taxable year. Such distributions are taxable to our shareholders in the year in which paid, even though the distributions relate to our prior taxable year for purposes of the 90% distribution requirement.</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believe that we have satisfied the annual distribution requirements for the year ended December 31, 2025. Although we intend to satisfy the annual distribution requirements to continue to qualify as a REIT for the year ending December 31, 2026 and thereafter, economic, market, legal, tax or other considerations could limit our ability to meet those requirements.</w:t>
      </w: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Failure to Qualify</w:t>
      </w:r>
    </w:p>
    <w:p>
      <w:pPr>
        <w:pStyle w:val="TextBody"/>
        <w:bidi w:val="0"/>
        <w:spacing w:lineRule="auto" w:line="288" w:before="160" w:after="160"/>
        <w:ind w:left="0" w:right="0" w:firstLine="495"/>
        <w:jc w:val="both"/>
        <w:rPr/>
      </w:pPr>
      <w:r>
        <w:rPr>
          <w:rFonts w:ascii="Times New Roman;serif" w:hAnsi="Times New Roman;serif"/>
          <w:b w:val="false"/>
          <w:color w:val="000000"/>
          <w:sz w:val="20"/>
        </w:rPr>
        <w:t>If we fail to satisfy one or more requirements for REIT qualification other than the income or asset tests, we could avoid disqualification as a REIT if our failure is due to reasonable cause and not to willful neglect and we pay a penalty of $50,000 for each such failure. Relief provisions are also available for failures of the income tests and asset tests, as described above in "</w:t>
      </w:r>
      <w:r>
        <w:rPr>
          <w:rFonts w:ascii="Times New Roman;serif" w:hAnsi="Times New Roman;serif"/>
          <w:b w:val="false"/>
          <w:i/>
          <w:color w:val="000000"/>
          <w:sz w:val="20"/>
        </w:rPr>
        <w:t>Income Tests</w:t>
      </w:r>
      <w:r>
        <w:rPr>
          <w:rFonts w:ascii="Times New Roman;serif" w:hAnsi="Times New Roman;serif"/>
          <w:b w:val="false"/>
          <w:color w:val="000000"/>
          <w:sz w:val="20"/>
        </w:rPr>
        <w:t>" and "</w:t>
      </w:r>
      <w:r>
        <w:rPr>
          <w:rFonts w:ascii="Times New Roman;serif" w:hAnsi="Times New Roman;serif"/>
          <w:b w:val="false"/>
          <w:i/>
          <w:color w:val="000000"/>
          <w:sz w:val="20"/>
        </w:rPr>
        <w:t>Asset Tests</w:t>
      </w:r>
      <w:r>
        <w:rPr>
          <w:rFonts w:ascii="Times New Roman;serif" w:hAnsi="Times New Roman;serif"/>
          <w:b w:val="false"/>
          <w:color w:val="000000"/>
          <w:sz w:val="20"/>
        </w:rPr>
        <w:t>."</w:t>
      </w:r>
    </w:p>
    <w:p>
      <w:pPr>
        <w:pStyle w:val="TextBody"/>
        <w:bidi w:val="0"/>
        <w:spacing w:lineRule="auto" w:line="288" w:before="160" w:after="16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If we fail to qualify for taxation as a REIT in any taxable year, and the relief provisions described above do not apply, we would be subject to tax, including any applicable alternative minimum tax, on our taxable income at regular corporate rates. We cannot deduct distributions to shareholders in any year in which we are not a REIT, nor would we be required to make distributions in such a year. In this situation, to the extent of current and accumulated earnings and profits (as determined for U.S. federal income tax purposes), distributions to shareholders would be taxable as regular corporate dividends. Such dividends paid to U.S. shareholders that are individuals, trusts and estates may be taxable at the preferential income tax rates (i.e., currently the 20% maximum U.S. federal rate) for qualified dividends. In addition, subject to the limitations of the Code, corporate distributees may be eligible for the dividends received deduction. Unless we are entitled to relief under specific statutory provisions, we would also be disqualified from re-electing to be taxed as a REIT for the four taxable years following the year during which we lost our qualification. It is not possible to state whether, in all circumstances, we would be entitled to this statutory relief.</w:t>
      </w: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2021 UPREIT Transaction</w:t>
      </w:r>
    </w:p>
    <w:p>
      <w:pPr>
        <w:pStyle w:val="TextBody"/>
        <w:bidi w:val="0"/>
        <w:spacing w:lineRule="auto" w:line="288" w:before="160" w:after="16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On December 29, 2021, we completed a transaction with Cordish whereby they contributed certain real property assets into GLP Capital (our operating partnership, or the “OP”) in exchange for newly issued partnership interests in the OP. As a result of the contribution, the UPREIT Transaction was consummated. Prior to the UPREIT Transaction, the OP was owned by the REIT and another entity wholly owned by the REIT and disregarded for income tax purposes, making the OP disregarded as separate from the REIT. The structure of the transaction is intended to allow the REIT to still receive rents from real property on a passthrough basis from the OP, and it will continue to own an interest in real property through its ownership of the OP partnership interests as its sole asset, as discussed below. Based on this, we believe that the UPREIT Transaction will not impact our ability to meet the requirements of the REIT asset, income, and distribution tests described above.</w:t>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Tax Aspects of Investment in the Operating Partnership</w:t>
      </w:r>
    </w:p>
    <w:p>
      <w:pPr>
        <w:pStyle w:val="TextBody"/>
        <w:bidi w:val="0"/>
        <w:spacing w:before="0" w:after="0"/>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We may hold investments through entities that are classified as partnerships for U.S. federal income tax purposes, including our interest in the OP. In general, partnerships are passthrough entities that are not subject to U.S. federal income tax. Rather, partners are allocated their proportionate shares of the items of income, gain, loss, deduction and credit of a partnership, and are subject to tax on these items without regard to whether the partners receive a distribution from the partnership. We will include in our income our proportionate share of these partnership items of the OP for purposes of the various REIT income tests and in the computation of our REIT taxable income. Moreover, for purposes of the REIT asset tests, we will include our proportionate share of assets held by the OP. </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investment by us in the OP involves special tax considerations, including the possibility of a challenge by the IRS to the status of the OP as a partnership, as opposed to an association taxable as a corporation, for U.S. federal income tax purposes. If the OP were treated as an association for U.S. federal income tax purposes, it would be taxable as a corporation and, therefore, could be subject to an entity-level tax on its income. </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Treasury regulations provide that a domestic business entity not otherwise organized as a corporation may elect to be treated as a partnership or disregarded entity for U.S. federal income tax purposes. Generally, an entity will be classified as a partnership or disregarded entity (depending on its number of owners) for U.S. federal income tax purposes unless it elects otherwise. The OP intends to be classified as a partnership under these Treasury regulations. We have not requested and do not intend to request a ruling from the IRS that the OP will be classified as partnerships for U.S. federal income tax purposes.</w:t>
      </w:r>
    </w:p>
    <w:p>
      <w:pPr>
        <w:pStyle w:val="TextBody"/>
        <w:bidi w:val="0"/>
        <w:spacing w:before="0" w:after="0"/>
        <w:ind w:left="0" w:right="0" w:firstLine="495"/>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Table of Contents</w:t>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To be a partnership for U.S. federal income tax purposes, the OP generally must not be a “publicly traded partnership”. A publicly traded partnership is a partnership whose interests are traded on an established securities market or are readily tradable on a secondary market (or a substantial equivalent). A publicly traded partnership is generally treated as a corporation for U.S. federal income tax purposes, but will not be so treated if, for each taxable year beginning after December 31, 1987 in which it was classified as a publicly traded partnership, at least 90% of the partnership’s gross income consisted of specified passive income, including real property rents (which includes rents that would be qualifying income for purposes of the 75% gross income test, with certain modifications that make it easier for the rents to qualify for the 90% passive income exception), gains from the sale or other disposition of real property, interest, and dividends (the “90% passive income exception”).</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Treasury regulations provide limited safe harbors from treatment as a publicly traded partnership. We expect that the OP will fall within one of the “safe harbors” for the partnership to avoid being classified as a publicly traded partnership. However, no assurance can be given regarding the OP's ability to satisfy the requirements of some of these safe harbors and accordingly no assurance can be given that the OP would not be treated as a publicly traded partnership. Even if the OP failed to meet one of the safe harbors, it generally will not be treated as a corporation if it qualifies for the 90% passive income exception discussed immediately above.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Partnership Allocations</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Although a partnership agreement generally will determine the allocation of income and losses among partners, such allocations will be disregarded for tax purposes if they do not comply with the provisions of Section 704(b) of the Code and the Treasury regulations promulgated thereunder, which require that partnership allocations respect the economic arrangement of the partners. If an allocation is not recognized for U.S. federal income tax purposes, the item subject to the allocation will be reallocated in accordance with the partners’ interests in the partnership, which will be determined considering all of the facts and circumstances relating to the economic arrangement of the partners with respect to such item. The OP’s allocations of taxable income and loss are intended to comply with the requirements of Section 704(b) of the Code and the Treasury regulations promulgated thereunder.</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Pursuant to Section 704(c) of the Code, items of income, gain, loss, and deduction attributable to appreciated or depreciated property that is contributed to a partnership in exchange for an interest in the partnership must be allocated for U.S. federal income tax purposes in a manner such that the contributor is charged with or benefits from the unrealized gain or unrealized loss associated with the property at the time of the contribution. The amount of such unrealized gain or unrealized loss is generally equal to the difference between the fair market value of the contributed property at the time of contribution and the adjusted tax basis of such property at the time of contribution. Such allocations are solely for U.S. federal income tax purposes and do not affect other economic or legal arrangements among the partners.</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Our OP has entered into transactions involving the contribution to the OP of appreciated property, and the OP may enter into such transactions in the future. The partnership agreement of the OP requires allocations of income, gain, loss, and deduction attributable to contributed property to be made in a manner that is consistent with Section 704(c) of the Code. Treasury regulations issued under Section 704(c) give partnerships a choice of several methods of allocating taxable income with respect to contributed properties (and the tax protection agreements entered into in connection with the contributions of properties to the OP require that a certain method be used). Depending upon the method used, (1) our tax depreciation deductions attributable to those properties may be lower than they would have been if our OP had acquired those properties for cash and (2) in the event of a sale of such properties, we could be allocated gain in excess of our corresponding economic or book gain. These allocations may cause us to recognize taxable income in excess of cash proceeds received by us, which might adversely affect our ability to comply with the REIT distribution requirements or result in our shareholders recognizing additional dividend income without an increase in distributions.</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Assets contributed to a partnership in a tax-free transaction generally retain the same depreciation method and recovery period as they had in the hands of the partner who contributed them to the partnership. Accordingly, a substantial amount of the OP’s depreciation deductions for its real property are based on the historic tax depreciation schedules for the properties prior to their contribution to the OP.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Basis in OP Interest</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Our adjusted tax basis in a partnership in which we have an interest (including the OP) generally (1) will be equal to the amount of cash and the basis of any other property contributed to such partnership by us, (2) will be increased by (a) our allocable share of such partnership’s income and (b) our allocable share of any indebtedness of such partnership, and (3) will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Table of Contents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reduced, but not below zero, by our allocable share of (a) such partnership’s loss and (b) the amount of cash and the tax basis of any property distributed to us and by constructive distributions resulting from a reduction in our share of indebtedness of such partnership.</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If our allocable share of the loss (or portion thereof) of any partnership in which we have an interest would reduce the adjusted tax basis of our partnership interest in such partnership below zero, the recognition of such loss will be deferred until such time as the recognition of such loss (or portion thereof) would not reduce our adjusted tax basis below zero. To the extent that distributions to us from a partnership, or any decrease in our share of the nonrecourse indebtedness of a partnership (each such decrease being considered a constructive cash distribution to the partners), would reduce our adjusted tax basis below zero, such distributions (including such constructive distributions) would constitute taxable income to us. Such distributions and constructive distributions normally would be characterized as long-term capital gain if our interest in such partnership has been held for longer than the long-term capital gain holding period (currently 12 months).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Sale of Partnership Property</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Generally, any gain realized by a partnership on the sale of property held by the partnership for more than 12 months will be long-term capital gain, except for any portion of such gain that is treated as depreciation or cost recovery recapture. However, under requirements applicable to REITs under the Code, our share as a partner of any gain realized by the OP on the sale of any property held as inventory or other property held primarily for sale to customers in the ordinary course of a trade or business will be treated as income from a prohibited transaction that is subject to a 100% penalty tax. </w:t>
      </w: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Legislative or Other Actions Affecting REITs and Partnerships</w:t>
      </w:r>
    </w:p>
    <w:p>
      <w:pPr>
        <w:pStyle w:val="TextBody"/>
        <w:bidi w:val="0"/>
        <w:spacing w:lineRule="auto" w:line="288" w:before="160" w:after="16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present U.S. federal income tax treatment of REITs may be modified, possibly with retroactive effect, by legislative, judicial or administrative action at any time. The REIT rules are constantly under review by persons involved in the legislative process and by the IRS and the Treasury which may result in statutory changes as well as revisions to regulations and interpretations. Changes to the U.S. federal tax laws and interpretations thereof could adversely affect an investment in our common stock. </w:t>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22, 2017, H.R. 1, known as the Act to provide for reconciliation pursuant to titles II and V of the concurrent resolution on the budget for fiscal year 2018 (the "Tax Cuts and Jobs Act") was signed into law. The Tax Cuts and Jobs Act made significant changes to the U.S. federal income taxation of individuals and corporations, generally effective for taxable years beginning after December 31, 2017. In addition to reducing corporate and individual income tax rates, the Tax Cuts and Jobs Act eliminates or restricts various deductions that, along with other provisions, may change the way that we calculate our REIT taxable income and our TRS's taxable income. Significant provisions of the Tax Cuts and Jobs Act that investors should be aware of include provisions that: (i) lower the corporate income tax rate to 21%, (ii) provide noncorporate taxpayers with a deduction of up to 20% of certain income earned through partnerships and REITs, (iii) limit the net operating loss deduction to 80% of taxable income, where taxable income is determined without regard to the net operating loss deduction itself, generally eliminates net operating loss carry backs and allow unused net operating losses to be carried forward indefinitely, (iv) expand the ability of businesses to deduct the cost of certain property investments in the year in which the property is purchased, and (v) generally lower tax rates for individuals and other noncorporate taxpayers, while limiting deductions such as miscellaneous itemized deductions and state and local tax deductions. In addition, the Tax Cuts and Jobs Act limits the deduction for net interest expense incurred by a business to 30% of the "adjusted taxable income" of the taxpayer. The Coronavirus Aid, Relief, and Economic Stability Act increased the limitation to 50% of “adjusted taxable income” for tax years beginning in 2019 and 2020. The limitation on the interest expense deduction does not apply to certain small-business taxpayers or electing real property trades or businesses, such as any real property development, redevelopment, construction, reconstruction, acquisition, conversion, rental, operation, management, leasing, or brokerage trade or business. Making the election to be treated as a real property trade or business requires the electing real property trade or business to depreciate non-residential real property, residential rental property, and qualified improvement property over a longer period using the alternative depreciation system. We have not yet elected out of the new interest expense limitation.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Bipartisan Budget Act of 2015 (the “BBA”) revised the rules applicable to federal income tax audits of partnerships (such as the OP) and the collection of any tax resulting from any such audits or other tax proceedings, generally for taxable years beginning after December 31, 2017. Under the applicable rules, a partnership itself may be liable for a tax computed by reference to the hypothetical increase in partner-level taxes (including interest and penalties) resulting from an adjustment of partnership tax items on audit, regardless of changes in the composition of the partners (or their relative ownership) between the year under audit and the year of the adjustment. The rules also include an elective alternative method under which the additional taxes resulting from the adjustment are assessed against the affected partners, subject to a higher rate of interest than otherwise would apply. Although it is uncertain how these rules will be implemented, it is possible that they could result in partnerships in which we directly or indirectly invest being required to pay additional taxes, interest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Table of Contents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penalties as a result of an audit adjustment, and we, as a direct or indirect partner of those partnerships could be required to bear the economic burden of those taxes, interest and penalties even though we, as a REIT, may not otherwise have been required to pay additional corporate-level taxes as a result of the related audit adjustment. The changes created by these rules are sweeping and, in some respects, dependent on the promulgation of future regulations or other guidance by the U.S. Treasury.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4, 2025, President Trump signed into law the legislation known as the One Big Beautiful Bill Act (“the OBBBA”). The OBBBA made significant changes to the U.S. federal income tax laws in various areas. These changes include the permanent extension of the 20% deduction for “qualified REIT dividends” for individuals and other non-corporate taxpayers. The OBBBA also increased the percentage limit under the REIT asset test applicable to taxable REIT subsidiaries (“TRSs”) from 20% to 25% for taxable years beginning after December 31, 2025. As a result, for taxable years beginning after December 31, 2025, the aggregate value of all securities of TRSs held by a REIT may not exceed 25% of the value of its gross assets. Additionally, for taxable years beginning after December 31, 2024, the OBBBA restored the exclusion of deductions for depreciation, depletion and amortization in the calculation of a taxpayer’s adjusted taxable income for purposes of calculating the taxpayer’s available net interest expense deduction, as applied for taxable years beginning before January 1, 2022.</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Shareholders are urged to consult with their own tax advisors with respect to the impact that the Tax Cuts and Jobs Act, the BBA, and other legislation may have on their investment and the status of legislative, regulatory or administrative developments and proposals and their potential effect on their investment in our shares.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Regulation</w:t>
      </w:r>
    </w:p>
    <w:p>
      <w:pPr>
        <w:pStyle w:val="TextBody"/>
        <w:bidi w:val="0"/>
        <w:spacing w:before="0" w:after="0"/>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ownership, operation, and management of, and provision of certain products and services to, gaming and racing facilities are subject to pervasive regulation. Gaming laws are generally based upon declarations of public policy designed to protect gaming consumers and the viability and integrity of the gaming industry. Gaming laws may also be designed to protect and maximize state and local revenues derived through taxes and licensing fees imposed on gaming industry participants as well as to enhance economic development and tourism. To accomplish these public policy goals, gaming laws establish procedures to ensure that participants in the gaming industry, including the owners of real estate associated with gaming and racing facilities and other suppliers of products and services to gaming operators, meet certain standards of character and suitability to hold a gaming license. In addition, gaming laws require gaming industry participants to:</w:t>
      </w:r>
    </w:p>
    <w:p>
      <w:pPr>
        <w:pStyle w:val="TextBody"/>
        <w:bidi w:val="0"/>
        <w:spacing w:before="0" w:after="0"/>
        <w:ind w:left="0" w:right="0" w:firstLine="495"/>
        <w:jc w:val="both"/>
        <w:rPr/>
      </w:pPr>
      <w:r>
        <w:rPr/>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0"/>
        </w:rPr>
        <w:t>ensure that unsuitable individuals and organizations have no role in asset ownership, the operations of gaming assets, providing goods or services to organizations involved in gaming, and in those jurisdictions that require landowner licensure, ownership of the real property;</w:t>
      </w:r>
    </w:p>
    <w:p>
      <w:pPr>
        <w:pStyle w:val="TextBody"/>
        <w:bidi w:val="0"/>
        <w:spacing w:before="0" w:after="0"/>
        <w:ind w:left="0" w:right="0" w:hanging="180"/>
        <w:jc w:val="both"/>
        <w:rPr/>
      </w:pPr>
      <w:r>
        <w:rPr/>
      </w:r>
    </w:p>
    <w:p>
      <w:pPr>
        <w:pStyle w:val="TextBody"/>
        <w:bidi w:val="0"/>
        <w:spacing w:lineRule="auto" w:line="268" w:before="0" w:after="0"/>
        <w:ind w:left="0" w:right="0" w:hanging="540"/>
        <w:jc w:val="left"/>
        <w:rPr/>
      </w:pPr>
      <w:r>
        <w:rPr>
          <w:color w:val="000000"/>
        </w:rPr>
        <w:t>•</w:t>
      </w:r>
      <w:r>
        <w:rPr>
          <w:rFonts w:ascii="Times New Roman;serif" w:hAnsi="Times New Roman;serif"/>
          <w:b w:val="false"/>
          <w:color w:val="000000"/>
          <w:sz w:val="20"/>
        </w:rPr>
        <w:t>ensure transparency through periodic reporting around certain events, including levels of ownership and control, and licensure for those deemed necessary by the regulators;</w:t>
      </w:r>
    </w:p>
    <w:p>
      <w:pPr>
        <w:pStyle w:val="TextBody"/>
        <w:bidi w:val="0"/>
        <w:spacing w:before="0" w:after="0"/>
        <w:jc w:val="both"/>
        <w:rPr/>
      </w:pPr>
      <w:r>
        <w:rPr/>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0"/>
        </w:rPr>
        <w:t>establish procedures designed to prevent cheating and fraudulent practices;</w:t>
      </w:r>
    </w:p>
    <w:p>
      <w:pPr>
        <w:pStyle w:val="TextBody"/>
        <w:bidi w:val="0"/>
        <w:spacing w:before="0" w:after="0"/>
        <w:ind w:left="0" w:right="0" w:hanging="540"/>
        <w:jc w:val="both"/>
        <w:rPr/>
      </w:pPr>
      <w:r>
        <w:rPr/>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0"/>
        </w:rPr>
        <w:t>establish and maintain responsible accounting practices and procedures;</w:t>
      </w:r>
    </w:p>
    <w:p>
      <w:pPr>
        <w:pStyle w:val="TextBody"/>
        <w:bidi w:val="0"/>
        <w:spacing w:before="0" w:after="0"/>
        <w:ind w:left="0" w:right="0" w:hanging="540"/>
        <w:jc w:val="both"/>
        <w:rPr/>
      </w:pPr>
      <w:r>
        <w:rPr/>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0"/>
        </w:rPr>
        <w:t>maintain effective controls over their financial practices, including establishment of minimum procedures for internal fiscal affairs and the safeguarding of assets and revenues;</w:t>
      </w:r>
    </w:p>
    <w:p>
      <w:pPr>
        <w:pStyle w:val="TextBody"/>
        <w:bidi w:val="0"/>
        <w:spacing w:before="0" w:after="0"/>
        <w:ind w:left="0" w:right="0" w:hanging="540"/>
        <w:jc w:val="both"/>
        <w:rPr/>
      </w:pPr>
      <w:r>
        <w:rPr/>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0"/>
        </w:rPr>
        <w:t>maintain systems for reliable record keeping;</w:t>
      </w:r>
    </w:p>
    <w:p>
      <w:pPr>
        <w:pStyle w:val="TextBody"/>
        <w:bidi w:val="0"/>
        <w:spacing w:before="0" w:after="0"/>
        <w:ind w:left="0" w:right="0" w:hanging="540"/>
        <w:jc w:val="both"/>
        <w:rPr/>
      </w:pPr>
      <w:r>
        <w:rPr/>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0"/>
        </w:rPr>
        <w:t>ensure that contracts and financial transactions are commercially reasonable, reflect fair market value and are arms-length transactions; and</w:t>
      </w:r>
    </w:p>
    <w:p>
      <w:pPr>
        <w:pStyle w:val="TextBody"/>
        <w:bidi w:val="0"/>
        <w:spacing w:before="0" w:after="0"/>
        <w:ind w:left="0" w:right="0" w:hanging="540"/>
        <w:jc w:val="both"/>
        <w:rPr/>
      </w:pPr>
      <w:r>
        <w:rPr/>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0"/>
        </w:rPr>
        <w:t>establish programs to promote responsible gaming.</w:t>
      </w:r>
    </w:p>
    <w:p>
      <w:pPr>
        <w:pStyle w:val="TextBody"/>
        <w:bidi w:val="0"/>
        <w:spacing w:before="0" w:after="0"/>
        <w:ind w:left="0" w:right="0" w:hanging="180"/>
        <w:jc w:val="both"/>
        <w:rPr/>
      </w:pPr>
      <w:r>
        <w:rPr/>
      </w:r>
    </w:p>
    <w:p>
      <w:pPr>
        <w:pStyle w:val="TextBody"/>
        <w:bidi w:val="0"/>
        <w:spacing w:lineRule="auto" w:line="288" w:before="160" w:after="16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These regulations impact our business because gaming and racing regulatory agencies in certain jurisdictions where we own real estate and our gaming tenants operate require GLPI and its affiliates to maintain a finding of suitability or license as a property owner, key business entity, buyer-lessor of gaming facility assets, principal affiliate, business entity, qualifier, vendor, operator or supplier because of its ownership of the real estate associated with those gaming and racing facilities. We are presently licensed or approved by gaming and racing regulatory agencies in the following jurisdictions: Colorado, Delaware, Illinois, Indiana, Louisiana, Maryland, Massachusetts, Mississippi, Missouri, New Jersey, New York, Ohio, Rhode Island, South Dakota, Pennsylvania, and Virginia.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Table of Contents</w:t>
      </w:r>
    </w:p>
    <w:p>
      <w:pPr>
        <w:pStyle w:val="TextBody"/>
        <w:bidi w:val="0"/>
        <w:spacing w:lineRule="auto" w:line="288" w:before="160" w:after="16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Our business and those operated by our tenants are subject to various federal, state and local laws and regulations including gaming regulations. These laws and regulations include, but are not limited to, restrictions and conditions concerning the sale of alcoholic beverages, environmental matters, employees, health care, currency transactions, taxation, zoning and building codes, marketing, and advertising. Such laws and regulations could change or could be interpreted differently in the future, or new laws and regulations could be enacted. New laws or regulations, or material changes to existing law and/or regulations, or material differences in interpretations by courts or governmental authorities could adversely affect our operating results.</w:t>
      </w:r>
    </w:p>
    <w:p>
      <w:pPr>
        <w:pStyle w:val="TextBody"/>
        <w:bidi w:val="0"/>
        <w:spacing w:lineRule="auto" w:line="288" w:before="160" w:after="160"/>
        <w:jc w:val="both"/>
        <w:rPr>
          <w:rFonts w:ascii="Times New Roman;serif" w:hAnsi="Times New Roman;serif"/>
          <w:b/>
          <w:color w:val="000000"/>
          <w:sz w:val="20"/>
        </w:rPr>
      </w:pPr>
      <w:r>
        <w:rPr>
          <w:rFonts w:ascii="Times New Roman;serif" w:hAnsi="Times New Roman;serif"/>
          <w:b/>
          <w:color w:val="000000"/>
          <w:sz w:val="20"/>
        </w:rPr>
        <w:t>Insurance</w:t>
      </w:r>
    </w:p>
    <w:p>
      <w:pPr>
        <w:pStyle w:val="TextBody"/>
        <w:bidi w:val="0"/>
        <w:spacing w:lineRule="auto" w:line="288" w:before="160" w:after="16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maintain a comprehensive program of primary, excess and umbrella liability insurance along with commercial property, fiduciary, directors and officers liability, and business interruption insurance covering our business. Such coverage is subject to customary exclusions, conditions, and limitations, and may not fully insure against all risks associated with our business. With respect to our properties, which are all subject to triple-net leases, those lease agreements require our tenants to procure and maintain their own comprehensive primary, excess and umbrella liability programs along with, commercial property, which includes coverage for losses resulting from catastrophic events, and business interruption coverage, including all insurance mandated by law, as well as insurance coverage to protect our insurable interests as owner and lessor of such real estate.</w:t>
      </w:r>
    </w:p>
    <w:p>
      <w:pPr>
        <w:pStyle w:val="TextBody"/>
        <w:bidi w:val="0"/>
        <w:spacing w:lineRule="auto" w:line="288" w:before="160" w:after="160"/>
        <w:jc w:val="both"/>
        <w:rPr>
          <w:rFonts w:ascii="Times New Roman;serif" w:hAnsi="Times New Roman;serif"/>
          <w:b/>
          <w:color w:val="000000"/>
          <w:sz w:val="20"/>
        </w:rPr>
      </w:pPr>
      <w:r>
        <w:rPr>
          <w:rFonts w:ascii="Times New Roman;serif" w:hAnsi="Times New Roman;serif"/>
          <w:b/>
          <w:color w:val="000000"/>
          <w:sz w:val="20"/>
        </w:rPr>
        <w:t>Environmental Matters</w:t>
      </w:r>
    </w:p>
    <w:p>
      <w:pPr>
        <w:pStyle w:val="TextBody"/>
        <w:bidi w:val="0"/>
        <w:spacing w:lineRule="auto" w:line="288" w:before="0" w:after="0"/>
        <w:ind w:left="0" w:right="0" w:firstLine="720"/>
        <w:jc w:val="both"/>
        <w:rPr/>
      </w:pPr>
      <w:r>
        <w:rPr>
          <w:rFonts w:ascii="Times New Roman;serif" w:hAnsi="Times New Roman;serif"/>
          <w:b w:val="false"/>
          <w:color w:val="000000"/>
          <w:sz w:val="20"/>
        </w:rPr>
        <w:t>Our properties are subject to U.S. federal, state and local environmental laws governing and regulating, among other things, air emissions, wastewater discharges and the handling and disposal of wastes and required actions and response efforts. Certain of the properties we own utilize or have utilized above or underground storage tanks to store oil and certain fuels for use at the properties. Other properties were built during a time that asbestos-containing building materials were routinely installed in residential and commercial structures. Certain of the real estate assets owned by GLPI were developed and constructed on remediated former commercial and industrial sites.</w:t>
      </w:r>
      <w:r>
        <w:rPr>
          <w:color w:val="000000"/>
        </w:rPr>
        <w:t xml:space="preserve"> </w:t>
      </w:r>
      <w:r>
        <w:rPr>
          <w:rFonts w:ascii="Times New Roman;serif" w:hAnsi="Times New Roman;serif"/>
          <w:b w:val="false"/>
          <w:color w:val="000000"/>
          <w:sz w:val="20"/>
        </w:rPr>
        <w:t>In connection with the ownership of our real property assets, we could be found legally responsible for environmental liabilities or costs relating to a release of hazardous substances or other regulated materials at or emanating from such property. Under the terms of the triple-net leases, our tenants are also required to carry pollution legal liability and environmental liability insurance for those properties we own.</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applicable environmental laws and regulations, a current or previous owner or operator of real property may be required to investigate, remove and/or remediate a release of hazardous substances or other regulated materials at, or emanating from, such property. Further, under certain circumstances, such owners or operators of real property may be held liable for property damage, personal injury and/or natural resource damage resulting from or arising in connection with such releases. Certain of these laws have been interpreted to provide for joint and several liability unless the harm is divisible and there is a reasonable basis for allocation of responsibility. We also may be liable under certain of these laws for damage that occurred prior to our ownership of a property or at a site where we or our tenants sent wastes for disposal. </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For most triple-net leases to which we are a party, environmental liabilities arising from the business operations are retained by our tenants, and the tenants are required to indemnify GLPI (and its subsidiaries, directors, officers, employees, agents and certain other related parties) against any claims, losses, orders or fines arising from or relating to such environmental liabilities. Further, our triple-net leases obligate our tenants thereunder to comply with applicable environmental laws and regulations. We expect that future leases with new parties and renewals with existing tenants will include the same provisions. A tenant’s failure to comply could result in fines and penalties or the requirement to undertake corrective actions which could result in significant costs to the tenant which could potentially adversely affect their ability to meet their obligations to us.</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 part of the Company's due diligence process prior to acquiring real estate assets, we routinely commission environmental assessments to assess the potential for such liability. We are not aware of any environmental issues, potential litigation or recognized environmental conditions that are expected to have a material impact on the operations of any of our properties or that would materially impact our ownership of those real estate assets including such real estate presently under development.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Corporate Responsibility</w:t>
      </w:r>
    </w:p>
    <w:p>
      <w:pPr>
        <w:pStyle w:val="TextBody"/>
        <w:bidi w:val="0"/>
        <w:spacing w:before="0" w:after="0"/>
        <w:jc w:val="left"/>
        <w:rPr/>
      </w:pPr>
      <w:r>
        <w:rPr/>
      </w:r>
    </w:p>
    <w:p>
      <w:pPr>
        <w:pStyle w:val="TextBody"/>
        <w:bidi w:val="0"/>
        <w:spacing w:lineRule="auto" w:line="288" w:before="0" w:after="0"/>
        <w:ind w:left="0" w:right="0" w:firstLine="450"/>
        <w:jc w:val="both"/>
        <w:rPr/>
      </w:pPr>
      <w:r>
        <w:rPr>
          <w:rFonts w:ascii="Times New Roman;serif" w:hAnsi="Times New Roman;serif"/>
          <w:b w:val="false"/>
          <w:color w:val="000000"/>
          <w:sz w:val="20"/>
        </w:rPr>
        <w:t>We believe that corporate responsibility, including environmental and community stewardship, is an integral component of being a responsible corporate citizen.</w:t>
      </w:r>
      <w:r>
        <w:rPr>
          <w:color w:val="000000"/>
        </w:rPr>
        <w:t xml:space="preserve"> </w:t>
      </w:r>
      <w:r>
        <w:rPr>
          <w:rFonts w:ascii="Times New Roman;serif" w:hAnsi="Times New Roman;serif"/>
          <w:b w:val="false"/>
          <w:color w:val="000000"/>
          <w:sz w:val="20"/>
        </w:rPr>
        <w:t xml:space="preserve">With this in mind, we continue to integrate and implement environmental, social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Table of Contents</w:t>
      </w:r>
    </w:p>
    <w:p>
      <w:pPr>
        <w:pStyle w:val="TextBody"/>
        <w:bidi w:val="0"/>
        <w:spacing w:lineRule="auto" w:line="288" w:before="0" w:after="0"/>
        <w:jc w:val="both"/>
        <w:rPr/>
      </w:pPr>
      <w:r>
        <w:rPr>
          <w:rFonts w:ascii="Times New Roman;serif" w:hAnsi="Times New Roman;serif"/>
          <w:b w:val="false"/>
          <w:color w:val="000000"/>
          <w:sz w:val="20"/>
        </w:rPr>
        <w:t>governance (ESG) practices, strategies and initiatives into our overall business strategies intended to contribute to long-term value creation for our shareholders, employees and other stakeholders.</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450"/>
        <w:jc w:val="both"/>
        <w:rPr/>
      </w:pPr>
      <w:r>
        <w:rPr>
          <w:rFonts w:ascii="Times New Roman;serif" w:hAnsi="Times New Roman;serif"/>
          <w:b w:val="false"/>
          <w:color w:val="000000"/>
          <w:sz w:val="20"/>
        </w:rPr>
        <w:t>ESG opportunities, risks and strategy are developed and managed by the Company’s management team collaboratively with the Company's cross-functional ESG Steering Committee.</w:t>
      </w:r>
      <w:r>
        <w:rPr>
          <w:color w:val="000000"/>
        </w:rPr>
        <w:t xml:space="preserve"> </w:t>
      </w:r>
      <w:r>
        <w:rPr>
          <w:rFonts w:ascii="Times New Roman;serif" w:hAnsi="Times New Roman;serif"/>
          <w:b w:val="false"/>
          <w:color w:val="000000"/>
          <w:sz w:val="20"/>
        </w:rPr>
        <w:t>The Company’s Nominating and Corporate Governance Committee oversees Company matters relating to ESG, including oversight of the Company’s policies and strategies relating to human capital management, corporate culture, and diversity, equity, and inclusion, which are discussed thoughtfully by the Nominating and Corporate Governance Committee and reported to our Board of Directors.</w:t>
      </w:r>
      <w:r>
        <w:rPr>
          <w:color w:val="000000"/>
        </w:rPr>
        <w:t xml:space="preserve"> </w:t>
      </w:r>
      <w:r>
        <w:rPr>
          <w:rFonts w:ascii="Times New Roman;serif" w:hAnsi="Times New Roman;serif"/>
          <w:b w:val="false"/>
          <w:color w:val="000000"/>
          <w:sz w:val="20"/>
        </w:rPr>
        <w:t>The ESG Steering Committee meets regularly and reports to the Nominating and Corporate Governance Committee on a quarterly basis and more frequently, as needed.</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0"/>
        </w:rPr>
        <w:t>Environmental Sustainability</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We are committed to conducting our business in an environmentally conscious manner. With that in mind, we continue to assess the materiality of environmental risks to the organization. We promote sustainable practices and environmental stewardship throughout the organization, with a particular emphasis on energy efficiency, recycling, indoor environmental quality, and environmental awareness.</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With the exception of our corporate headquarters, our properties are leased to gaming operators pursuant to triple-net lease agreements, meaning each operator is responsible for business operations, maintenance, insurance, taxes, utilities, and other property-related expenses, including with respect to all sustainability strategies. The oversight and control of all energy and water usage and consumption and operations-related sustainability strategies related thereto is the sole responsibility of our tenants.</w:t>
      </w:r>
      <w:r>
        <w:rPr>
          <w:color w:val="000000"/>
        </w:rPr>
        <w:t xml:space="preserve"> </w:t>
      </w:r>
      <w:r>
        <w:rPr>
          <w:rFonts w:ascii="Times New Roman;serif" w:hAnsi="Times New Roman;serif"/>
          <w:b w:val="false"/>
          <w:color w:val="000000"/>
          <w:sz w:val="20"/>
        </w:rPr>
        <w:t xml:space="preserve">Consequently, fostering a strong channel of communication with our tenants is an important component in the evolution of the environmental sustainability of our properties and establishing long-term, successful relationships is critical to the success of our business. We also implemented certain green lease provisions, which include data collection obligations in many of our leases.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are evaluating climate-related risks and opportunities to include in our near and long-term environmental strategies. </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growth of our business often involves the acquisition of real estate assets from third parties.</w:t>
      </w:r>
      <w:r>
        <w:rPr>
          <w:color w:val="000000"/>
        </w:rPr>
        <w:t xml:space="preserve"> </w:t>
      </w:r>
      <w:r>
        <w:rPr>
          <w:rFonts w:ascii="Times New Roman;serif" w:hAnsi="Times New Roman;serif"/>
          <w:b w:val="false"/>
          <w:color w:val="000000"/>
          <w:sz w:val="20"/>
        </w:rPr>
        <w:t xml:space="preserve">In furtherance of our commitment to environmental sustainability, we routinely engage nationally recognized and certified environmental engineers to perform Phase I Environmental Site Assessments as part of our acquisition process and require future tenants to ensure compliance with all environmental laws, including any necessary testing, remediation and/or monitoring. </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Recognizing that sustainability is a journey, we are committed to continuous improvement and will endeavor to engage and communicate with our key stakeholders regarding our environmental stewardship.</w:t>
      </w:r>
      <w:r>
        <w:rPr>
          <w:color w:val="000000"/>
        </w:rPr>
        <w:t xml:space="preserve"> </w:t>
      </w:r>
      <w:r>
        <w:rPr>
          <w:rFonts w:ascii="Times New Roman;serif" w:hAnsi="Times New Roman;serif"/>
          <w:b w:val="false"/>
          <w:color w:val="000000"/>
          <w:sz w:val="20"/>
        </w:rPr>
        <w:t xml:space="preserve">Further, we are committed to developing initiatives to address and mitigate those environmental risks within our control and supporting our tenants to do the same. We completed portfolio-wide inspections of all real estate owned by the Company, which also included a comprehensive ESG and climate assessment component.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Human Capital Management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As of December 31, 2025, we had 20 full-time employees. We strive to maintain a corporate environment that fosters a sense of community and well-being and that encourages our employees to focus on their long-term success along with the long term success of the Company. Our employees are a valued asset and integral to the success of the Company.</w:t>
      </w:r>
      <w:r>
        <w:rPr>
          <w:color w:val="000000"/>
        </w:rPr>
        <w:t xml:space="preserve"> </w:t>
      </w:r>
      <w:r>
        <w:rPr>
          <w:rFonts w:ascii="Times New Roman;serif" w:hAnsi="Times New Roman;serif"/>
          <w:b w:val="false"/>
          <w:color w:val="000000"/>
          <w:sz w:val="20"/>
        </w:rPr>
        <w:t>We strive to prioritize our employees’ education, development, growth, and well-being.</w:t>
      </w:r>
      <w:r>
        <w:rPr>
          <w:color w:val="000000"/>
        </w:rPr>
        <w:t xml:space="preserve"> </w:t>
      </w:r>
      <w:r>
        <w:rPr>
          <w:rFonts w:ascii="Times New Roman;serif" w:hAnsi="Times New Roman;serif"/>
          <w:b w:val="false"/>
          <w:color w:val="000000"/>
          <w:sz w:val="20"/>
        </w:rPr>
        <w:t>We are passionate about developing our talent. We provide tuition reimbursement, professional development reimbursement, and performance appraisals.</w:t>
      </w:r>
      <w:r>
        <w:rPr>
          <w:color w:val="000000"/>
        </w:rPr>
        <w:t xml:space="preserve"> </w:t>
      </w:r>
      <w:r>
        <w:rPr>
          <w:rFonts w:ascii="Times New Roman;serif" w:hAnsi="Times New Roman;serif"/>
          <w:b w:val="false"/>
          <w:color w:val="000000"/>
          <w:sz w:val="20"/>
        </w:rPr>
        <w:t xml:space="preserve">We are committed to continuing to develop strategies focused on employee growth, development and well-being.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Senior management holds employee meetings and social events at a regular cadence to create an open forum for learning and to foster feedback.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Table of Contents</w:t>
      </w:r>
    </w:p>
    <w:p>
      <w:pPr>
        <w:pStyle w:val="TextBody"/>
        <w:bidi w:val="0"/>
        <w:spacing w:lineRule="auto" w:line="288" w:before="0" w:after="0"/>
        <w:ind w:left="0" w:right="0" w:firstLine="720"/>
        <w:jc w:val="both"/>
        <w:rPr/>
      </w:pPr>
      <w:r>
        <w:rPr>
          <w:rFonts w:ascii="Times New Roman;serif" w:hAnsi="Times New Roman;serif"/>
          <w:b w:val="false"/>
          <w:color w:val="000000"/>
          <w:sz w:val="20"/>
        </w:rPr>
        <w:t>Every employee receives an annual grant of GLPI equity that vests over a three-year period.</w:t>
      </w:r>
      <w:r>
        <w:rPr>
          <w:color w:val="000000"/>
        </w:rPr>
        <w:t xml:space="preserve"> </w:t>
      </w:r>
      <w:r>
        <w:rPr>
          <w:rFonts w:ascii="Times New Roman;serif" w:hAnsi="Times New Roman;serif"/>
          <w:b w:val="false"/>
          <w:color w:val="000000"/>
          <w:sz w:val="20"/>
        </w:rPr>
        <w:t xml:space="preserve">This program was proposed and instituted by our Chairman and CEO as a way to attract and retain talent across all levels of the organization and to ensure that every employee has a stake in the Company’s continued growth and success. </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We offer competitive and balanced benefits, including a flexible work policy designed to ensure a healthy work-life balance as well as flexible summer hours.</w:t>
      </w:r>
      <w:r>
        <w:rPr>
          <w:color w:val="000000"/>
        </w:rPr>
        <w:t xml:space="preserve"> </w:t>
      </w:r>
      <w:r>
        <w:rPr>
          <w:rFonts w:ascii="Times New Roman;serif" w:hAnsi="Times New Roman;serif"/>
          <w:b w:val="false"/>
          <w:color w:val="000000"/>
          <w:sz w:val="20"/>
        </w:rPr>
        <w:t xml:space="preserve">Our array of other well-being and benefits packages includes a 401(k) plan with employer match, family leave, a health and fitness facility at the corporate campus and an employee assistance plan (EAP), among other non-salary benefits. The Company also offers paid time off for volunteering and community involvement.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view of human capital management extends beyond our employees to our vendors and other third parties with whom we do business. Our adoption of our Vendor Code of Conduct was designed to ensure that we engage individuals and businesses that are committed to the health and well-being of their employees as well.</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GLPI is focused on cultivating a diverse and inclusive culture where our employees can freely bring diverse perspectives and varied experiences to the workplace.</w:t>
      </w:r>
      <w:r>
        <w:rPr>
          <w:color w:val="000000"/>
        </w:rPr>
        <w:t xml:space="preserve"> </w:t>
      </w:r>
      <w:r>
        <w:rPr>
          <w:rFonts w:ascii="Times New Roman;serif" w:hAnsi="Times New Roman;serif"/>
          <w:b w:val="false"/>
          <w:color w:val="000000"/>
          <w:sz w:val="20"/>
        </w:rPr>
        <w:t>We value diverse representation, backgrounds and viewpoints and believe that they serve our business proposition for the long-term horizon.</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Within our hiring and recruitment processes, we adhere to equal employment policies, and we are committed to actively considering diversity in the expansion of our Board of Directors or the filling of any vacancy. We abide by our Inclusive Workplace Policy and require all employees, including our Board of Directors, to complete training on diversity and inclusion, alongside other trainings for various GLPI policies, including our Code of Business Conduct.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December 31, 2025, 50% of our employees identify as female. In addition, 25% of the Board of Directors is comprised of directors who identify as female and includes a member that is racially diverse.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Tenant Engagement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Since the formalization of our Tenant Partnership Program, we have continued to engage with our tenants, at least annually, but more frequently as deemed necessary, to address and discuss various matters involving the properties we own which are operated by our tenants. We continue to foster these relationships and identify community engagement partnership opportunities. We believe that aligning, sharing and committing to similar sustainability goals will continue to allow our Company and our tenant stakeholders to make a greater collective impact, while fostering long-term, successful relationships in the communities in which we own real estate and conduct business.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Community Engagement</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take an active role in supporting our communities by partnering with local and national organizations to administer charitable contributions, provide community service, and organize the donation of goods to assist those in need. We endeavor to broaden our local and national outreach and maximize our impact year over year. Our employees regularly participate and volunteer at events to better the community. In 2025, we again completed our Annual Day of Service to support the Berks County branch of Helping Harvest and partnered with various causes and made charitable donations benefitting the community. In 2025, the Company partnered with and made a charitable donation to the Inspiration Center at Howell Park in Baton Rouge, Louisiana. The newly constructed Inspiration Center is designed to be a safe space for families in the North Baton Rouge area to receive mentorship, education and support on job readiness, activities, sports, and health and wellness. The Company also raised over $150,000 for Reading Hospital Foundation's Street Medicine which provides healthcare services for individuals in the Reading, Pennsylvania area who are experiencing homelessness and require medical care. The Company also started a memorial scholarship fund in the name of our former director, JoAnne Epps, designed to provide a deserving high school senior with college tuition to further their education after graduating high school. Other notable partnerships and community outreach and involvement include Angel Tree, Trees for Troops, Salvation Army, Junior League of Reading, SafeBR, Blankets of Hope, Restoring Hope of Berks County, McGlinn Food Pantry, Lighthouse Women's and Children's Shelter, IM ABLE Foundation, Pan-Mass Challenge, Dry Creek Rancheria Band of Pomo Indians ("Dry Creek"), Adalyn Rose Foundation, Hannah's Hope Ministries, Special Operations Warrior Foundation and Habitat for Humanity. In 2025, we also made a charitable donation to the Ione Band of Miwok Indians to fund general welfare programs of the tribe focused on assisting tribal elders and youth.</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Table of Contents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Available Information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more information about us, visit our website at www.glpropinc.com. The contents of our website are not part of this Annual Report on Form 10-K. Our electronic filings with the SEC (including all annual reports on Form 10-K, quarterly reports on Form 10-Q, and current reports on Form 8-K, and any amendments to these reports), including the exhibits, are available free of charge through our website as soon as reasonably practicable after we electronically file them with or furnish them to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 xml:space="preserve">ITEM 1A.    RISK FACTORS </w:t>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Risk Factors Relating to Our Business</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The majority of our revenues are dependent on PENN and its subsidiaries. Any event that has a material adverse effect on PENN’s business, financial position or results of operations may have a material adverse effect on our business, financial position or results of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majority of our revenue is based on the revenue derived under our master leases with subsidiaries of PENN. Because these master leases are triple-net leases, we depend on PENN to operate the properties that we own in a manner that generates revenues sufficient to allow PENN to meet its obligations to us, including payment of rent and all insurance, taxes, utilities and maintenance and repair expenses, and to indemnify, defend and hold us harmless from and against various claims, litigation and liabilities arising in connection with its business. There can be no assurance that PENN will have sufficient assets, income or access to financing to enable it to satisfy its payment obligations to us under the master leases. The ability of PENN to fulfill its obligations depends, in part, upon the overall profitability of its gaming operations and, other than limited contractual protections afforded to us as a landlord, we have no control over PENN or its operations. The inability or unwillingness of PENN to meet its subsidiaries’ rent obligations and other obligations under the master leases may materially and adversely affect our business, financial position or results of operations, including our ability to pay dividends to our shareholders.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Due to our dependence on rental payments from PENN as a significant source of revenue, we may be limited in our ability to enforce our rights under the master leases. Failure by PENN to comply with the terms of its master leases or to comply with the gaming regulations to which the leased properties are subject could require us to find another lessee for such leased property. In such event, we may be unable to locate a suitable lessee at similar rental rates or at all, which would have the effect of reducing our rental revenues. Likewise, our financial position may be materially weakened if PENN failed to renew or extend any master lease as such lease expires and we are unable to lease or re-lease our properties on economically favorable terms.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Any event that has a material adverse effect on PENN’s business, financial position or results of operations, including a corporate change in control event or a material change in the composition of PENN's board of directors could have a material adverse effect on our business, financial position or results of operations. In addition, continued consolidation in the gaming industry would increase our dependence on our existing tenants and could make it increasingly difficult for us to find alternative tenants for our properties.</w:t>
      </w:r>
    </w:p>
    <w:p>
      <w:pPr>
        <w:pStyle w:val="TextBody"/>
        <w:bidi w:val="0"/>
        <w:spacing w:lineRule="auto" w:line="288" w:before="160" w:after="160"/>
        <w:jc w:val="both"/>
        <w:rPr>
          <w:rFonts w:ascii="Times New Roman;serif" w:hAnsi="Times New Roman;serif"/>
          <w:b/>
          <w:i/>
          <w:color w:val="000000"/>
          <w:sz w:val="20"/>
        </w:rPr>
      </w:pPr>
      <w:r>
        <w:rPr>
          <w:rFonts w:ascii="Times New Roman;serif" w:hAnsi="Times New Roman;serif"/>
          <w:b/>
          <w:i/>
          <w:color w:val="000000"/>
          <w:sz w:val="20"/>
        </w:rPr>
        <w:t>The bankruptcy or insolvency of any of our tenants could result in termination of such tenant's lease and material losses to us.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bankruptcy or insolvency of any of our tenants could diminish the income we receive from that tenant’s lease or leases. If a tenant becomes bankrupt or insolvent, federal law may prohibit us from evicting such tenant based solely upon such bankruptcy or insolvency. In addition, a bankrupt or insolvent tenant may be authorized to reject and terminate its lease or leases with us. Any claims against such bankrupt tenant for unpaid future rent would be subject to statutory limitations that would likely result in our receipt of rental revenues that are substantially less than the contractually specified rent we are owed under the lease or leases. In addition, any claim we have for unpaid past rent may not be paid in full. We may also be unable to re-lease a terminated or rejected space or to re-lease it on comparable or more favorable terms. Moreover, tenants who are considering filing for bankruptcy protection may request amendments of their master leases to remove certain of the properties they lease from us under such master leases. We cannot guarantee that we will be able to sell or re-lease such properties or that lease termination fees, if any, received in exchange for such releases will be sufficient to make up for the rental revenues lost as a result of such lease amendments.</w:t>
      </w:r>
    </w:p>
    <w:p>
      <w:pPr>
        <w:pStyle w:val="TextBody"/>
        <w:bidi w:val="0"/>
        <w:spacing w:before="160" w:after="1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Table of Contents</w:t>
      </w:r>
    </w:p>
    <w:p>
      <w:pPr>
        <w:pStyle w:val="TextBody"/>
        <w:bidi w:val="0"/>
        <w:spacing w:lineRule="auto" w:line="288" w:before="160" w:after="160"/>
        <w:jc w:val="both"/>
        <w:rPr>
          <w:rFonts w:ascii="Times New Roman;serif" w:hAnsi="Times New Roman;serif"/>
          <w:b/>
          <w:i/>
          <w:color w:val="000000"/>
          <w:sz w:val="20"/>
        </w:rPr>
      </w:pPr>
      <w:r>
        <w:rPr>
          <w:rFonts w:ascii="Times New Roman;serif" w:hAnsi="Times New Roman;serif"/>
          <w:b/>
          <w:i/>
          <w:color w:val="000000"/>
          <w:sz w:val="20"/>
        </w:rPr>
        <w:t>Our pursuit of investments in, and acquisitions or development of, additional properties may be unsuccessful or fail to meet our expectations.</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operate in a highly competitive industry and face competition from other REITs (including other gaming-focused REITs), investment companies, private equity and hedge fund investors, sovereign funds, lenders, gaming companies and other investors, some of whom are significantly larger and have greater resources and lower costs of capital. Increased competition may make it more challenging to identify and successfully capitalize on acquisition opportunities that meet our investment objectives. If we cannot identify and acquire a sufficient number of investment properties at favorable prices or if we are unable to finance acquisitions on commercially favorable terms, our business, financial position or results of operations could be materially adversely affected. Additionally, the fact that we must distribute 90% of our net taxable income in order to maintain our qualification as a REIT may limit our ability to rely upon rental payments from our leased properties or subsequently acquired properties in order to finance acquisitions. As a result, if debt or equity financing is not available on acceptable terms, further acquisitions might be limited or curtailed and completing proposed acquisitions may be adversely impacted. Furthermore, fluctuations in the price of our common stock may impact our ability to finance additional acquisitions through the issuance of common stock and/or cause significant dilution.</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Investments in and acquisitions of gaming properties and other properties we might seek to acquire entail risks associated with real estate investments, including that the investment's performance will fail to meet expectations or that the tenant, operator or manager will underperform. Real estate development projects present other risks, including construction delays or cost overruns that increase expenses, the inability to obtain required zoning, occupancy and other governmental approvals and permits on a timely basis, and the incurrence of significant development costs prior to completion of the project.</w:t>
      </w:r>
    </w:p>
    <w:p>
      <w:pPr>
        <w:pStyle w:val="TextBody"/>
        <w:bidi w:val="0"/>
        <w:spacing w:lineRule="auto" w:line="288" w:before="160" w:after="160"/>
        <w:jc w:val="both"/>
        <w:rPr>
          <w:rFonts w:ascii="Times New Roman;serif" w:hAnsi="Times New Roman;serif"/>
          <w:b/>
          <w:i/>
          <w:color w:val="000000"/>
          <w:sz w:val="20"/>
        </w:rPr>
      </w:pPr>
      <w:r>
        <w:rPr>
          <w:rFonts w:ascii="Times New Roman;serif" w:hAnsi="Times New Roman;serif"/>
          <w:b/>
          <w:i/>
          <w:color w:val="000000"/>
          <w:sz w:val="20"/>
        </w:rPr>
        <w:t>We are dependent on the gaming industry and may be susceptible to the risks associated with it, which could materially adversely affect our business, financial position or results of operations.</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the landlord of gaming facilities, we are impacted by the risks associated with the gaming industry. Therefore, our success is dependent on the strength of the gaming industry, which could be adversely affected by economic conditions in general, changes in consumer trends and preferences and other factors over which our tenants have no control. A decrease in the gaming business may have a greater adverse effect on our revenues than if we owned a more diversified real estate portfolio, particularly because a component of the rent under our leases is based, over time, on the revenue of the gaming facilities operated by our tenants. Decreases in discretionary consumer spending brought about by weakened general economic conditions such as, but not limited to, high unemployment levels, higher income taxes, low levels of consumer confidence, weakness in the housing market, cultural and demographic changes, and increased stock market volatility may negatively impact our revenues and operating cash flow.</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gaming industry is characterized by an increasing number of gaming facilities with an increasingly high degree of competition among a large number of participants, including riverboat casinos, dockside casinos, land-based casinos, video lottery, sweepstakes and poker machines not located in casinos, Native American gaming and other forms of gaming in the U.S. Furthermore, competition from alternative wagering products, such as internet lotteries, sweepstakes, social gaming products, daily fantasy sports and other internet wagering gaming services, online sports wagering or games of skill, which allow their customers a wagering alternative to the casino-style, such as remote home gaming or in non-casino settings, could divert customers from our properties and thus adversely affect our tenants and, indirectly, our business. Present state or federal laws that restrict the forms of gaming authorized or the number of competitors that offer gaming in the applicable jurisdiction are subject to change and may increase the competition affecting the business of our tenants and, indirectly, our business. Currently, there are proposals that would legalize several forms of internet gaming and other alternative wagering products in a number of states. Further, several states have already approved intrastate internet gaming and sports betting. In addition, prediction markets currently operate as federally regulated exchanges and, therefore, may operate in states that otherwise prohibit internet gaming. Prediction markets and the expansion of internet gaming and sports betting in other jurisdictions may compete with our traditional operations, which could have an adverse impact on our business and result of operations.</w:t>
      </w:r>
    </w:p>
    <w:p>
      <w:pPr>
        <w:pStyle w:val="TextBody"/>
        <w:bidi w:val="0"/>
        <w:spacing w:lineRule="auto" w:line="288" w:before="160" w:after="160"/>
        <w:jc w:val="both"/>
        <w:rPr>
          <w:rFonts w:ascii="Times New Roman;serif" w:hAnsi="Times New Roman;serif"/>
          <w:b/>
          <w:i/>
          <w:color w:val="000000"/>
          <w:sz w:val="20"/>
        </w:rPr>
      </w:pPr>
      <w:r>
        <w:rPr>
          <w:rFonts w:ascii="Times New Roman;serif" w:hAnsi="Times New Roman;serif"/>
          <w:b/>
          <w:i/>
          <w:color w:val="000000"/>
          <w:sz w:val="20"/>
        </w:rPr>
        <w:t xml:space="preserve">Certain of our tenants operate and manage facilities that are located in areas that experience extreme weather conditions and are more sensitive to the adverse effects of climate change. </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operations of our tenants in our leased facilities are subject to disruptions or reduced patronage as a result of severe weather conditions, changing climate conditions, natural disasters and other casualty events. Because many of our facilities are located on or adjacent to bodies of water, they are subject to risks in addition to those associated with land-based facilities, including loss of service due to casualty, forces of nature, mechanical failure, extended or extraordinary maintenance, flood, hurricane or other severe weather and climate conditions. A component of the rent under our leases is based, over time, on the revenues of the gaming facilities operated by PENN and Boyd on our properties; consequently, a casualty that leads to the loss of use of a casino facility subject to our leases for an extended period may negatively impact our revenues.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Table of Contents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cannot predict the impact that changing climate conditions will have on the Company’s business, financial condition, results of operations or cash flows. Indirect weather-related impacts may affect the number of visitors to our tenants’ facilities in various ways, such as blocked access due to flooding, restricted access due to property damage, or decreased destination attractiveness of our tenants’ facilities. These facilities could be impacted by damage to their infrastructure or disruptions in their operations. The Company considers the potential impact of weather and climate change in acquiring properties and assessing portfolio risk. </w:t>
      </w:r>
    </w:p>
    <w:p>
      <w:pPr>
        <w:pStyle w:val="TextBody"/>
        <w:bidi w:val="0"/>
        <w:spacing w:lineRule="auto" w:line="288" w:before="160" w:after="160"/>
        <w:jc w:val="both"/>
        <w:rPr>
          <w:rFonts w:ascii="Times New Roman;serif" w:hAnsi="Times New Roman;serif"/>
          <w:b/>
          <w:i/>
          <w:color w:val="000000"/>
          <w:sz w:val="20"/>
        </w:rPr>
      </w:pPr>
      <w:r>
        <w:rPr>
          <w:rFonts w:ascii="Times New Roman;serif" w:hAnsi="Times New Roman;serif"/>
          <w:b/>
          <w:i/>
          <w:color w:val="000000"/>
          <w:sz w:val="20"/>
        </w:rPr>
        <w:t>We face extensive regulation from gaming and other regulatory authorities.</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ownership, operation, and management of gaming and racing facilities are subject to pervasive regulation. These regulations impact both GLPI and the operations of our gaming tenants. Many gaming and racing regulatory agencies in the jurisdictions in which our tenants operate require GLPI, its affiliates and certain officers and directors to maintain licenses as a key business entity, principal affiliate, business entity qualifier, operator, supplier or key person because of GLPI's status as landlord. For GLPI to maintain such licenses in good standing, certain of GLPI's officers and directors are also required to maintain licenses or a finding of suitability.</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Many jurisdictions also require any person who acquires beneficial ownership of more than a certain percentage of securities of a company licensed in such jurisdiction, typically 5%, to report the acquisition to gaming authorities, and gaming authorities may require such holders to apply for qualification or a finding of suitability, subject to limited exceptions for "institutional investors" that hold a company's voting securities for passive investment purposes only. Some jurisdictions may also limit the number of gaming licenses or gaming facilities in which a person or entity may hold an ownership or a controlling interest. Subject to certain regulations and administrative proceeding requirements, the gaming regulators have the authority to deny any application or limit, condition, restrict, revoke or suspend any license, registration, finding of suitability or approval, or fine any person licensed, registered or found suitable or approved, for any cause deemed reasonable by the gaming authorities.</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Additionally, substantially all material loans, significant acquisitions, leases, sales of securities and similar financing transactions by us and our subsidiaries must be reported to and in some cases approved by gaming authorities in advance of the transaction. Neither we nor any of our subsidiaries may make a public offering of securities without the prior approval of certain gaming authorities. Changes in control through merger, consolidation, stock or asset acquisitions, management or consulting agreements, or otherwise are subject to receipt of prior approval of certain gaming authorities. Entities seeking to acquire control of GLPI or one of its subsidiaries must satisfy gaming authorities with respect to a variety of stringent licensing standards prior to assuming control.</w:t>
      </w:r>
    </w:p>
    <w:p>
      <w:pPr>
        <w:pStyle w:val="TextBody"/>
        <w:bidi w:val="0"/>
        <w:spacing w:lineRule="auto" w:line="288" w:before="160" w:after="160"/>
        <w:jc w:val="both"/>
        <w:rPr>
          <w:rFonts w:ascii="Times New Roman;serif" w:hAnsi="Times New Roman;serif"/>
          <w:b/>
          <w:i/>
          <w:color w:val="000000"/>
          <w:sz w:val="20"/>
        </w:rPr>
      </w:pPr>
      <w:r>
        <w:rPr>
          <w:rFonts w:ascii="Times New Roman;serif" w:hAnsi="Times New Roman;serif"/>
          <w:b/>
          <w:i/>
          <w:color w:val="000000"/>
          <w:sz w:val="20"/>
        </w:rPr>
        <w:t>Required regulatory approvals can delay or prohibit transfers of our gaming properties, which could result in periods in which we are unable to receive rent for such properties.</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tenants of our gaming properties are operators of gaming facilities and must be licensed under applicable state law. Prior to the transfer of gaming facilities, including a controlling interest, the new owner or operator generally must become licensed under applicable state law. In the event that any current lease or any future lease agreement we enter into is terminated or expires and a new tenant is found, any delays in the new tenant receiving regulatory approvals from the applicable state government agencies, or the inability to receive such approvals, may prolong the period during which we are unable to collect the applicable rent.</w:t>
      </w:r>
    </w:p>
    <w:p>
      <w:pPr>
        <w:pStyle w:val="TextBody"/>
        <w:bidi w:val="0"/>
        <w:spacing w:lineRule="auto" w:line="268" w:before="0" w:after="0"/>
        <w:jc w:val="both"/>
        <w:rPr/>
      </w:pPr>
      <w:r>
        <w:rPr>
          <w:rFonts w:ascii="Times New Roman;serif" w:hAnsi="Times New Roman;serif"/>
          <w:b/>
          <w:i/>
          <w:color w:val="000000"/>
          <w:sz w:val="20"/>
        </w:rPr>
        <w:t>Our agreements to provide funding for various casino development projects expose us to risks of loss that are different from those associated with the ownership and leasing of properties</w:t>
      </w:r>
      <w:r>
        <w:rPr>
          <w:rFonts w:ascii="Times New Roman;serif" w:hAnsi="Times New Roman;serif"/>
          <w:b/>
          <w:color w:val="000000"/>
          <w:sz w:val="20"/>
        </w:rPr>
        <w:t>.</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Consistent with our growth objectives, we have agreed to provide development financing to some of our partners to facilitate their efforts to develop new gaming properties. As of December 31, 2025, we have agreed to provide significant financing for casino development projects, including:</w:t>
      </w:r>
    </w:p>
    <w:p>
      <w:pPr>
        <w:pStyle w:val="TextBody"/>
        <w:bidi w:val="0"/>
        <w:spacing w:before="0" w:after="0"/>
        <w:ind w:left="0" w:right="0" w:firstLine="72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Up to $940 million of construction hard costs for Bally’s Chicago, $201.6 million of which has been advanced as of December 31, 2025. The permanent casino and entertainment destination remains under construction.</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Up to $225 million for the relocation of PENN’s riverboat casino in Aurora, Illinois, none of which has been advanced as of December 31, 2025. The new facility is expected to open in the first half of 2026.</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Development funding of up to $175 million of which $48.5 million has been advanced as of December 31, 2025, for a potential transaction at the former Tropicana Las Vegas site with Bally's.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$110 million related to the Ione Loan, $56.6 million of which has been advanced as of December 31, 2025. The facility is anticipated to open in February 2026.</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$16.5 million for the landside development project at Queen Casino Marquette, $9.6 million of which has been advanced as of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Table of Contents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For the relocation of PENN's Ameristar Casino Council Bluffs, an amount not to exceed the greater of (i) the construction hard costs associated with the project and (ii) $150 million, none of which has been advanced as of December 31, 2025.</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A $225.3 million commitment to serve as the lead real estate financing partner for a new, integrated resort, Caesars Republic Sonoma County, that will be developed on the site of the current River Rock Casino. As of December 31, 2025, the Company had funded all of its $45.3 million term loan B commitment. The remaining $180 million delayed draw term loan has not been funded as of December 31, 2025.</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A $467 million commitment to fund the land and hard cost development of the future Live! Virginia Casino &amp; Hotel, in Petersburg, Virginia, being developed by The Cordish Companies and Bruce Smith Enterprise, none of which has been advanced as of December 31, 2025.</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intend to continue to originate loans or provide direct funding for construction of gaming properties. Construction financing generally is considered to involve a higher degree of risk than other types of financing due to a variety of factors, including the difficulties in estimating construction costs and anticipating construction delays and, generally, the dependence on timely, successful project completion and the ability to obtain all required gaming and other licenses and commence operations promptly post-completion of construction. In addition, in the event that we advance funds in the form of loans that generally entail greater risk than mortgage loans on income-producing property, we may need to establish or increase our current expected credit loss reserve in the future to account for the potential increase in probable incurred credit losses associated with these loans. Further, whether direct funding or a financing through a construction loan, we may be obligated to fund all or a significant portion at one or more future dates. We may not have the funds available at those future date(s) to meet our funding obligations under our funding commitments. In that event, we would likely be in breach of our obligations unless we are able to raise the funds from alternative sources, which we may not be able to achieve on favorable terms or at all.</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a developer fails to fund its portion of the development project or experiences cost overruns that impair its ability to complete the construction of a project, there could be adverse consequences associated with the funding, including a loss of the value of the property improvements, a developer claim against us for failure to perform under the funding documents if we choose to stop funding, increased costs to the developer that the developer is unable to pay, and a bankruptcy filing by the developer. Furthermore, construction projects have faced delays, including as a result of disruptions in supply chains, cost increases associated with building materials and construction services necessary for construction, and delays and costs associated with obtaining construction permits and complying with local regulations, all of which can result in cost overruns to complete such projects. During periods of capital market disruptions, replacement financing may not be available to the developer which in turn, may result in the developer’s inability to complete the project or, in the case of a construction loan, repay our loan in full. The failure of a developer to complete construction, these cost overruns or other related impacts, and the lack of availability of replacement financing, could materially and adversely affect us.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Development funding efforts also expose us to the risk of environmental contamination at the proposed construction site for a particular project. The discovery of a release or threatened release of a regulated material at a development site could require the developer to delay the project to conduct an investigation and clean-up of any contaminated property, which could result in significant costs in excess of budgeted amounts, which could create the same risks for us as expressed in the preceding paragraph.</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if the developer fails to perform its obligations under the applicable loan and/or development documents, we may incur significant costs and assume significant liabilities in foreclosing on any property subject to a construction financing, in addition to costs and risks associated with completing construction of the property if construction was not completed. If we foreclose on the property and take ownership, we may incur a significant loss on disposing of the property or, in the alternative, we may not be able to lease the property at all or on terms reasonably acceptable to us if we determine to continue to own the property.</w:t>
      </w:r>
    </w:p>
    <w:p>
      <w:pPr>
        <w:pStyle w:val="TextBody"/>
        <w:bidi w:val="0"/>
        <w:spacing w:before="0" w:after="0"/>
        <w:ind w:left="0" w:right="0" w:firstLine="72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We might not be able to exercise customary enforcement rights as the lender under our tribal loans.</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Ione Loan and loans extended under our agreements with the Dry Creek exposes us to several additional risks related to our ability to realize repayment of amounts lent in the event of a default by these parties, including risks that:</w:t>
      </w:r>
    </w:p>
    <w:p>
      <w:pPr>
        <w:pStyle w:val="TextBody"/>
        <w:bidi w:val="0"/>
        <w:spacing w:before="0" w:after="0"/>
        <w:ind w:left="0" w:right="0" w:firstLine="72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limited waiver by Ione and Dry Creek and its development subsidiary of sovereign immunity granted under the loan documents may not be deemed enforceable, which could preclude us from exercising remedies or enforcing our rights under the loan documents;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It may be difficult to find a federal or state court willing or able to exert jurisdiction over any lawsuit we might file to try to obtain a judgment against the tribe and its development subsidiary;</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We are not permitted to exercise customary foreclosure remedies on the fee simple ownership of the land or buildings that are intended to be constructed with proceeds of the Ione Loan or financing provided to Dry Creek, or replace the tribe or its operating subsidiary as the operator of the casino once it opens;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Table of Contents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assets of the tribe and its economic development subsidiaries may be insufficient to result in payment in full to us of the amounts lent to the tribe under the Ione Loan or financings provided to Dry Creek.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pursuit of strategic acquisitions unrelated to the gaming industry may be unsuccessful or fail to meet our expectations.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may pursue strategic acquisitions of real property assets unrelated to the gaming industry, including acquisitions that may be complementary to our existing gaming properties.  Our management does not possess the same level of expertise with the dynamics and market conditions applicable to non-gaming assets, which could adversely affect the results of our expansion into other asset classes.  In addition, we may be unable to achieve our desired return on our investments in new or adjacent asset classes.</w:t>
      </w:r>
    </w:p>
    <w:p>
      <w:pPr>
        <w:pStyle w:val="TextBody"/>
        <w:bidi w:val="0"/>
        <w:spacing w:lineRule="auto" w:line="288" w:before="160" w:after="160"/>
        <w:jc w:val="both"/>
        <w:rPr>
          <w:rFonts w:ascii="Times New Roman;serif" w:hAnsi="Times New Roman;serif"/>
          <w:b/>
          <w:i/>
          <w:color w:val="000000"/>
          <w:sz w:val="20"/>
        </w:rPr>
      </w:pPr>
      <w:r>
        <w:rPr>
          <w:rFonts w:ascii="Times New Roman;serif" w:hAnsi="Times New Roman;serif"/>
          <w:b/>
          <w:i/>
          <w:color w:val="000000"/>
          <w:sz w:val="20"/>
        </w:rPr>
        <w:t>We may experience uninsured or under insured losses, which could result in a significant loss of the capital we have invested in a property, decrease anticipated future revenues or cause us to incur unanticipated expense.</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While our leases require, and new lease agreements are expected to require, that comprehensive insurance and hazard insurance be maintained by the tenants, a tenant's failure to comply could lead to an uninsured or under insured loss and there can be no assurance that we will be able to recover such uninsured or under insured amounts from such tenant. Further, there are certain types of losses, generally of a catastrophic nature, such as earthquakes, hurricanes and floods, that may be uninsurable or not economically insurable. Insurance coverage may not be sufficient to pay the full current market value or current replacement cost of a loss. Inflation, changes in building codes and ordinances, environmental considerations, and other factors also might make it infeasible to use insurance proceeds to replace the property after such property has been damaged or destroyed. Under such circumstances, the insurance proceeds received might not be adequate to restore the economic position with respect to such property.</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we or one of our tenants experience a loss that is uninsured, or that exceeds our or our tenant's policy coverage limits, we could lose the capital invested in the damaged properties as well as the anticipated future cash flows from those properties. In addition, if the damaged properties were subject to recourse indebtedness, we could continue to be liable for the indebtedness even if these properties were irreparably damaged.</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even if damage to our properties is covered by insurance, a disruption of our or our tenant's business caused by a casualty event may result in the loss of business or tenants. The business interruption insurance our tenants carry may not fully compensate us for the loss of business of our tenants due to an interruption caused by a casualty event.</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disruption in the financial markets may make it more difficult to evaluate the stability, net assets and capitalization of insurance companies and any insurer's ability to meet its claim payment obligations. A failure of an insurance company to make payments to us or our tenants upon an event of loss covered by an insurance policy could adversely affect our business, financial condition and results of operations.</w:t>
      </w:r>
    </w:p>
    <w:p>
      <w:pPr>
        <w:pStyle w:val="TextBody"/>
        <w:bidi w:val="0"/>
        <w:spacing w:lineRule="auto" w:line="288" w:before="160" w:after="160"/>
        <w:jc w:val="both"/>
        <w:rPr>
          <w:rFonts w:ascii="Times New Roman;serif" w:hAnsi="Times New Roman;serif"/>
          <w:b/>
          <w:i/>
          <w:color w:val="000000"/>
          <w:sz w:val="20"/>
        </w:rPr>
      </w:pPr>
      <w:r>
        <w:rPr>
          <w:rFonts w:ascii="Times New Roman;serif" w:hAnsi="Times New Roman;serif"/>
          <w:b/>
          <w:i/>
          <w:color w:val="000000"/>
          <w:sz w:val="20"/>
        </w:rPr>
        <w:t>Environmental compliance costs and liabilities associated with real estate properties owned by us may materially impair the value of those investments.</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an owner of real property, we are subject to various federal, state and local environmental and health and safety laws and regulations. Although we do not operate or manage most of our properties, we may be held primarily or jointly and severally liable for costs relating to the investigation and clean-up of any property from which there has been a release or threatened release of a regulated material as well as other affected properties, regardless of whether we knew of or caused the release.</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to these costs, which are typically not limited by law or regulation and could exceed the property's value, we could be liable for certain other costs, including governmental fines and injuries to persons, property or natural resources. Further, some environmental laws create a lien on the contaminated site in favor of the government for damages and the costs the government incurs in connection with such contamination.</w:t>
      </w:r>
    </w:p>
    <w:p>
      <w:pPr>
        <w:pStyle w:val="TextBody"/>
        <w:bidi w:val="0"/>
        <w:spacing w:lineRule="auto" w:line="288" w:before="1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Although we require our tenants to undertake to indemnify us for certain environmental liabilities, including environmental liabilities they cause, the amount of such liabilities could exceed the financial ability of the tenant or operator to indemnify us. The presence of contamination or the failure to remediate contamination may adversely affect our ability to sell or lease the real estate or to borrow using the real estate as collateral.</w:t>
      </w:r>
    </w:p>
    <w:p>
      <w:pPr>
        <w:pStyle w:val="TextBody"/>
        <w:bidi w:val="0"/>
        <w:spacing w:before="160" w:after="1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Table of Contents</w:t>
      </w:r>
    </w:p>
    <w:p>
      <w:pPr>
        <w:pStyle w:val="TextBody"/>
        <w:bidi w:val="0"/>
        <w:spacing w:lineRule="auto" w:line="288" w:before="160" w:after="160"/>
        <w:jc w:val="both"/>
        <w:rPr>
          <w:rFonts w:ascii="Times New Roman;serif" w:hAnsi="Times New Roman;serif"/>
          <w:b/>
          <w:i/>
          <w:color w:val="000000"/>
          <w:sz w:val="20"/>
        </w:rPr>
      </w:pPr>
      <w:r>
        <w:rPr>
          <w:rFonts w:ascii="Times New Roman;serif" w:hAnsi="Times New Roman;serif"/>
          <w:b/>
          <w:i/>
          <w:color w:val="000000"/>
          <w:sz w:val="20"/>
        </w:rPr>
        <w:t>We face risks associated with security breaches through cyber-attacks, cyber intrusions or otherwise, as well as other significant disruptions of our information technology (IT) networks and related systems.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face risks associated with security breaches, whether through cyber-attacks or cyber intrusions over the internet, malware, computer viruses, attachments to e-mails, persons inside our organization or persons with access to systems inside our organization, and other significant disruptions of our IT networks and related systems. The risk of a security breach or disruption, particularly through cyber-attack or cyber intrusion, including by computer hackers, foreign governments and cyber terrorists, has generally increased as the number, intensity and sophistication of attempted attacks and intrusions from around the world have increased. Our IT networks and related systems are essential to the operation of our business and our ability to perform day-to-day operations. Although we make efforts to maintain the security and integrity of these types of IT networks and related systems, and we have implemented various measures to manage the risk of a security breach or disruption, there can be no assurance that our security efforts and measures will be effective or that attempted security breaches or disruptions would not be successful or damaging. A security breach or other significant disruption involving our IT networks and related systems could disrupt the proper functioning of our networks and systems; result in misstated financial reports, violations of loan covenants and/or missed reporting deadlines; result in our inability to monitor our compliance with the rules and regulations regarding our qualification as a REIT; result in the unauthorized access to, and destruction, loss, theft, misappropriation or release of proprietary, confidential, sensitive or otherwise valuable information of ours or others, which others could use to compete against us or for disruptive, destructive or otherwise harmful purposes and outcomes; require significant management attention and resources to remedy any damages that result; subject us to claims for breach of contract, damages, credits, penalties or termination of certain agreements; or damage our reputation among our tenants and investors generally.</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i/>
          <w:color w:val="000000"/>
          <w:sz w:val="20"/>
        </w:rPr>
        <w:t>If our tenants fail to detect fraud or theft, including by our tenants’ users and employees, our tenants, and, therefore, our reputation may suffer which could harm our tenants, and, therefore, our brand and reputation and negatively impact our tenants, and therefore, our business, financial condition and results of operations and can subject us to investigations and litigation</w:t>
      </w:r>
      <w:r>
        <w:rPr>
          <w:rFonts w:ascii="Times New Roman;serif" w:hAnsi="Times New Roman;serif"/>
          <w:b w:val="false"/>
          <w:i/>
          <w:color w:val="000000"/>
          <w:sz w:val="20"/>
        </w:rPr>
        <w:t xml:space="preserv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tenants may incur losses from various types of financial fraud, including use of stolen or fraudulent credit card data, claims of unauthorized payments by a user and attempted payments by users with insufficient funds. Bad actors use increasingly sophisticated methods to engage in illegal activities involving personal information, such as unauthorized use of another person’s identity, account information or payment information and unauthorized acquisition or use of credit or debit card details, bank account information and mobile phone numbers and accounts. Under current credit card practices, our tenants may be liable for use of funds on their products with fraudulent credit card data, even if the associated financial institution approved the credit card transaction. Acts of fraud may involve various tactics, including collusion. Successful exploitation of our tenants' systems could have negative effects on their product offerings, services and user experience and could harm their reputation. Failure to discover such acts or schemes in a timely manner could result in harm to their operations. In addition, negative publicity related to such schemes could have an adverse effect on their reputation, potentially causing a material adverse effect on our business, financial condition, results of operations and prospects. We cannot guarantee that any of our tenants’ measures to detect and reduce the occurrence of fraudulent or other malicious activity on our offerings will be effective or will scale efficiently with our tenants business. Our tenants’ failure to adequately detect or prevent fraudulent transactions could harm our tenants’, and, therefore, our reputation or brand, result in litigation or regulatory action and lead to expenses that could adversely affect our tenants, and, therefore, our business, financial condition and results of operations.</w:t>
      </w:r>
    </w:p>
    <w:p>
      <w:pPr>
        <w:pStyle w:val="TextBody"/>
        <w:bidi w:val="0"/>
        <w:spacing w:before="0" w:after="0"/>
        <w:ind w:left="0" w:right="0" w:firstLine="72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Our long-term, triple-net leases include rent escalations over specified periods that in some instances are fixed or capped and will generally continue to apply regardless of the amount of cash flows generated by the properties subject to such lease agreements.</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annual rent escalations under our lease agreements will generally continue to apply regardless of the amount of cash flows generated by the subject properties. Accordingly, if the cash flows generated by such properties decrease, do not increase at the same rate as the rent escalations, or do not increase as anticipated, including in connection with any capital improvement projects, the rents payable under such lease agreements will over time comprise a higher percentage of the cash flows generated by the applicable tenant and/or guarantor, which could make it more difficult for them to meet their respective obligations to us under the lease agreements (and related guarantees, as applicable).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We face certain risks related to our properties that are subject to ground and use lease arrangements.</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certain instances, we may be the lessee under long-term ground lease arrangements, which are then subleased to our tenants, or make investments into properties that are subject to long-term ground lease arrangements, some of which may involve local municipalities, states and other governmental bodies as the applicable lessor. Unless extended, upon expiration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Table of Contents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such leases, we will no longer have rights with respect to these properties or portions of the properties, as the case may be, which could impact our tenant’s ability to operate the property, which could, in turn, adversely affect our business, financial condition and results of operations. In addition, although payments under such leases are the responsibility of our tenants, these payments may be contractually increased over time, which could adversely affect our tenants’ and, therefore, our business, financial condition and results of operations. Further, we may rely on our tenants at such properties to maintain compliance with the terms of any such ground or use lease. </w:t>
      </w:r>
    </w:p>
    <w:p>
      <w:pPr>
        <w:pStyle w:val="TextBody"/>
        <w:bidi w:val="0"/>
        <w:spacing w:before="0" w:after="0"/>
        <w:ind w:left="0" w:right="0" w:firstLine="72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Uncertainty regarding and changes in U.S. trade policies and tariffs may increase costs and adversely affect our tenants’, and, therefore, our financial condition.</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recent years, the U.S. government has indicated its intent to alter its approach to international trade policy and renegotiate, or potentially terminate, certain existing bilateral or multi-lateral trade agreements and treaties with foreign countries, and has made proposals and taken related actions. For example, the U.S. government has imposed, and may in the future further increase, tariffs on certain foreign goods, including from China, such as steel and aluminum. Some foreign governments, including China, have instituted retaliatory tariffs on certain U.S. goods. Changes in trade policy, including the imposition of new tariffs or the expansion of existing tariffs on imported goods, may increase the cost of construction materials, equipment, furnishings, technology, and other goods used in the development, renovation, maintenance, and operation of our properties, and may delay the completion of construction due to supply-chain disruptions. Such changes could, for example, have a material impact on the cost and projected timeline of Bally’s Chicago, on which construction began in late August 2024 and is projected to continue until at least late 2026. </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Under certain of our lease arrangements, our tenants are responsible for funding capital expenditures and maintenance obligations. Increased costs resulting from tariffs or trade restrictions could adversely affect our tenants’ operating margins, reduce cash flow available for rent payments, or cause tenants to defer, reduce, or renegotiate capital investment plans, which could negatively affect the long-term competitiveness and value of our properties. In some circumstances, increased costs or delays could also give rise to disputes regarding the allocation of responsibility for capital expenditures or maintenance under our leases.</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tariffs and related trade measures may contribute to broader inflationary pressures, which could increase interest rates, raise our cost of capital, and adversely affect the valuation of our real estate assets. Inflationary impacts on consumers may reduce discretionary spending on gaming, hospitality, and entertainment, which could further pressure our tenants’ revenues and financial condition. Trade restrictions or retaliatory measures could also affect international travel and tourism, which could further impact our tenants’ financial condition, results of operations, and cash flows.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Our success depends on our ability to attract, motivate and retain key personnel and plan for future executive transitions.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loss of any of our key personnel, particularly our Chairman and Chief Executive Officer, Peter M. Carlino, could harm our business and prospects and could impede the achievement of our strategic objectives. Mr. Carlino, age 79, has more than 30 years of experience in the acquisition and development of gaming facilities and other real estate projects, including service as the Chairman of the Board and as Chief Executive Officer for PENN and the Company, collectively, for more than 30 years. We believe that facilitating seamless leadership transitions for key positions is a critical factor in sustaining the success of our organization. During 2024, we appointed Brandon J. Moore, previously our Chief Operating Officer, General Counsel and Secretary, to the added role of President of the Company. If our succession planning efforts are not effective, or we were to lose any of our other executive talent in the course of executing against these planning efforts, it could adversely impact our business. If we fail to effectively manage any organizational and/or strategic changes, our financial condition, results of operations, and reputation, as well as our ability to successfully attract, motivate and retain key employees, could be harmed.</w:t>
      </w:r>
    </w:p>
    <w:p>
      <w:pPr>
        <w:pStyle w:val="TextBody"/>
        <w:bidi w:val="0"/>
        <w:spacing w:lineRule="auto" w:line="288" w:before="160" w:after="160"/>
        <w:jc w:val="both"/>
        <w:rPr>
          <w:rFonts w:ascii="Times New Roman;serif" w:hAnsi="Times New Roman;serif"/>
          <w:b/>
          <w:color w:val="000000"/>
          <w:sz w:val="20"/>
        </w:rPr>
      </w:pPr>
      <w:r>
        <w:rPr>
          <w:rFonts w:ascii="Times New Roman;serif" w:hAnsi="Times New Roman;serif"/>
          <w:b/>
          <w:color w:val="000000"/>
          <w:sz w:val="20"/>
        </w:rPr>
        <w:t>Risk Factors Relating to our Status as a REIT</w:t>
      </w:r>
    </w:p>
    <w:p>
      <w:pPr>
        <w:pStyle w:val="TextBody"/>
        <w:bidi w:val="0"/>
        <w:spacing w:lineRule="auto" w:line="288" w:before="160" w:after="160"/>
        <w:jc w:val="both"/>
        <w:rPr>
          <w:rFonts w:ascii="Times New Roman;serif" w:hAnsi="Times New Roman;serif"/>
          <w:b/>
          <w:i/>
          <w:color w:val="000000"/>
          <w:sz w:val="20"/>
        </w:rPr>
      </w:pPr>
      <w:r>
        <w:rPr>
          <w:rFonts w:ascii="Times New Roman;serif" w:hAnsi="Times New Roman;serif"/>
          <w:b/>
          <w:i/>
          <w:color w:val="000000"/>
          <w:sz w:val="20"/>
        </w:rPr>
        <w:t>If we do not qualify to be taxed as a REIT, or fail to remain qualified as a REIT, we will be subject to U.S. federal income tax as a regular corporation and could face a substantial tax liability, which may reduce the amount of cash available for distribution to our shareholders.</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elected on our 2014 U.S. federal income tax return to be treated as a REIT and intend to continue to be organized and to operate in a manner that will permit us to qualify as a REIT. We currently operate, and intend to continue to operate, in a manner that will allow us to continue to qualify to be taxed as a REIT for U.S. federal income tax purposes. Our qualification as a REIT will depend on our satisfaction of certain asset, income, organizational, distribution, shareholder ownership and other requirements on a continuing basis. Our ability to satisfy the asset tests depends upon our analysis of the characterization and fair market values of our assets, some of which are not susceptible to a precise determination, and for which we will not obtain independent appraisals.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Table of Contents</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we were to fail to qualify to be taxed as a REIT in any taxable year, we would be subject to U.S. federal income tax, including any applicable alternative minimum tax, on our taxable income at regular corporate rates, and dividends paid to our shareholders would not be deductible by us in computing our taxable income. Any resulting corporate liability could be substantial and would reduce the amount of cash available for distribution to our shareholders, which in turn could have an adverse impact on the value of our common stock. Unless we were entitled to relief under certain Code provisions, we also would be disqualified from re-electing to be taxed as a REIT for the four taxable years following the year in which we failed to qualify to be taxed as a REIT.</w:t>
      </w:r>
    </w:p>
    <w:p>
      <w:pPr>
        <w:pStyle w:val="TextBody"/>
        <w:bidi w:val="0"/>
        <w:spacing w:lineRule="auto" w:line="288" w:before="160" w:after="160"/>
        <w:jc w:val="both"/>
        <w:rPr>
          <w:rFonts w:ascii="Times New Roman;serif" w:hAnsi="Times New Roman;serif"/>
          <w:b/>
          <w:i/>
          <w:color w:val="000000"/>
          <w:sz w:val="20"/>
        </w:rPr>
      </w:pPr>
      <w:r>
        <w:rPr>
          <w:rFonts w:ascii="Times New Roman;serif" w:hAnsi="Times New Roman;serif"/>
          <w:b/>
          <w:i/>
          <w:color w:val="000000"/>
          <w:sz w:val="20"/>
        </w:rPr>
        <w:t>Qualifying as a REIT involves highly technical and complex provisions of the Code and violations of these provisions could jeopardize our REIT qualifications.</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Qualification as a REIT involves the application of highly technical and complex Code provisions for which only limited judicial and administrative authorities exist. Even a technical or inadvertent violation could jeopardize our REIT qualification. Our qualification as a REIT depends on our satisfaction of certain asset, income, organizational, distribution, shareholder ownership and other requirements on a continuing basis. In addition, our ability to satisfy the requirements to qualify to be taxed as a REIT may depend in part on the actions of third parties over which we have no control or only limited influence.</w:t>
      </w:r>
    </w:p>
    <w:p>
      <w:pPr>
        <w:pStyle w:val="TextBody"/>
        <w:bidi w:val="0"/>
        <w:spacing w:lineRule="auto" w:line="288" w:before="160" w:after="160"/>
        <w:jc w:val="both"/>
        <w:rPr>
          <w:rFonts w:ascii="Times New Roman;serif" w:hAnsi="Times New Roman;serif"/>
          <w:b/>
          <w:i/>
          <w:color w:val="000000"/>
          <w:sz w:val="20"/>
        </w:rPr>
      </w:pPr>
      <w:r>
        <w:rPr>
          <w:rFonts w:ascii="Times New Roman;serif" w:hAnsi="Times New Roman;serif"/>
          <w:b/>
          <w:i/>
          <w:color w:val="000000"/>
          <w:sz w:val="20"/>
        </w:rPr>
        <w:t xml:space="preserve">We could fail to qualify to be taxed as a REIT if income we receive from our tenants, or their subsidiaries, is not treated as qualifying income. </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applicable provisions of the Code, we will not be treated as a REIT unless we satisfy various requirements, including requirements relating to the sources of our gross income. Rents received or accrued by us from our tenants or their subsidiaries, will not be treated as qualifying rent for purposes of these requirements if our leases are not respected as true leases for U.S. federal income tax purposes and are instead treated as service contracts, joint ventures or some other type of arrangements. If any leases are not respected as a true lease for U.S. federal income tax purposes, we may fail to qualify to be taxed as a REIT. Furthermore, our qualification as a REIT will depend on our satisfaction of certain asset, income, organizational, distribution, shareholder ownership and other requirements on a continuing basis. Our ability to satisfy the asset tests depends upon our analysis of the characterization and fair market values of our assets, some of which are not susceptible to a precise determination, and for which we will not obtain independent appraisals.</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subject to certain exceptions, rents received or accrued by us from our tenants will not be treated as qualifying rent for purposes of these requirements if we or an actual or constructive owner of 10% or more of our stock actually or constructively owns 10% or more of the total combined voting power of all classes of such respective tenant's stock entitled to vote or 10% or more of the total value of such respective tenant's stock. Our charter provides for restrictions on ownership and transfer of our shares of stock, including restrictions on such ownership or transfer that would cause the rents received or accrued by us from our tenants, to be treated as non-qualifying rent for purposes of the REIT gross income requirements. Nevertheless, there can be no assurance that such restrictions will be effective in ensuring that rents received or accrued by us from our tenants or their subsidiaries will not be treated as qualifying rent for purposes of REIT qualification requirements.</w:t>
      </w:r>
    </w:p>
    <w:p>
      <w:pPr>
        <w:pStyle w:val="TextBody"/>
        <w:bidi w:val="0"/>
        <w:spacing w:lineRule="auto" w:line="288" w:before="160" w:after="160"/>
        <w:jc w:val="both"/>
        <w:rPr>
          <w:rFonts w:ascii="Times New Roman;serif" w:hAnsi="Times New Roman;serif"/>
          <w:b/>
          <w:i/>
          <w:color w:val="000000"/>
          <w:sz w:val="20"/>
        </w:rPr>
      </w:pPr>
      <w:r>
        <w:rPr>
          <w:rFonts w:ascii="Times New Roman;serif" w:hAnsi="Times New Roman;serif"/>
          <w:b/>
          <w:i/>
          <w:color w:val="000000"/>
          <w:sz w:val="20"/>
        </w:rPr>
        <w:t>Dividends payable by REITs do not qualify for the reduced tax rates available for some dividends.</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maximum U.S. federal income tax rate applicable to income from "qualified dividends" payable by U.S. corporations to U.S. shareholders that are individuals, trusts and estates is currently 20%. Ordinary dividends payable by REITs, however, generally are not eligible for the reduced rates. However, for taxable years that begin after December 31, 2017: (i) the U.S. federal income tax brackets generally applicable to ordinary income of individuals, trusts and estates have been modified (with the rates generally reduced) and (ii) shareholders that are individuals, trusts or estates are generally entitled to a deduction equal to 20% of the aggregate amount of ordinary income dividends received from a REIT (not including dividends that are eligible for the reduced rates applicable to "qualified dividend income" or treated as capital gain dividends), subject to certain limitations.</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more favorable rates applicable to regular corporate qualified dividends could cause investors who are individuals, trusts or estates to perceive investments in REITs to be relatively less attractive than investments in the stocks of non-REIT corporations that pay dividends, which could adversely affect the value of the stock of REITs, including our stock, even taking into account the lower 37% maximum rate for ordinary income and the 20% deduction for ordinary REIT dividends received in taxable years beginning after December 31, 2017.</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Changes to U.S. federal income tax laws could materially and adversely affect us and our shareholders.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Tax Cuts and Jobs Act made significant changes to the federal income taxation of individuals and corporations under the Code, generally effective for taxable years beginning after December 31, 2017 many of which were extended by the OBBBA Act signed into law on July 4, 2025. In addition to reducing corporate and individual income tax rates, the Tax Cuts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Table of Contents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and Jobs Act eliminates or restricts various deductions that, along with other provisions, may change the way that we calculate our REIT taxable income and our TRS’s taxable income. Significant provisions of the Tax Cuts and Jobs Act that investors should be aware of include provisions that: (i) lower the corporate income tax rate to 21%, (ii) provide noncorporate taxpayers with a deduction of up to 20% of certain income earned through partnerships and REITs, (iii) limit the net operating loss deduction to 80% of taxable income, where taxable income is determined without regard to the net operating loss deduction itself, generally eliminate net operating loss carry backs and allow unused net operating losses to be carried forward indefinitely, (iv) expand the ability of businesses to deduct the cost of certain property investments in the year in which the property is purchased, (v) generally lower tax rates for individuals and other noncorporate taxpayers, while limiting deductions such as miscellaneous itemized deductions and state and local tax deductions, and (vi) limit the deduction for net interest expense incurred by a business to 30% of the "adjusted taxable income" of the taxpayer, but do not apply to certain small-business taxpayers or electing real property trades or businesses, including REITs. The effect of these, and the many other, changes made is highly uncertain, both in terms of their direct effect on the taxation of holders of our common stock and their indirect effect on the value of our assets or market conditions generally.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REIT distribution requirements could adversely affect our ability to execute our business plan.</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generally must distribute annually at least 90% of our REIT taxable income, determined without regard to the dividends paid deduction and excluding any net capital gains, in order to qualify to be taxed as a REIT (assuming that certain other requirements are also satisfied) so that U.S. federal corporate income tax does not apply to earnings that we distribute. To the extent that we satisfy this distribution requirement and qualify for taxation as a REIT but distribute less than 100% of our REIT taxable income, determined without regard to the dividends paid deduction and including any net capital gains, we will be subject to U.S. federal corporate income tax on our undistributed net taxable income. In addition, we will be subject to a 4% nondeductible excise tax if the actual amount that we distribute to our shareholders in a calendar year is less than a minimum amount specified under U.S. federal income tax laws. We intend to make distributions to our shareholders to comply with the REIT requirements of the Code and to avoid the imposition of corporate income tax or the 4% excise tax.</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From time to time, we may generate taxable income greater than our cash flow as a result of differences in timing between the recognition of taxable income and the actual receipt of cash or the effect of nondeductible capital expenditures, the creation of reserves or required debt or amortization payments. If we do not have other funds available in these situations, we could be required to borrow funds on unfavorable terms, sell assets at disadvantageous prices, distribute amounts that would otherwise be invested in future acquisitions, or pay dividends in the form of taxable in-kind distributions of property, including potentially, shares of our common stock, to make distributions sufficient to enable us to pay out enough of our taxable income to satisfy the REIT distribution requirement and to avoid corporate income tax and the 4% excise tax in a particular year. These alternatives could increase our costs or reduce our equity. Thus, compliance with the REIT requirements may hinder our ability to grow, which could adversely affect the value of our stock. Restrictions on our indebtedness, including restrictions on our ability to incur additional indebtedness or make certain distributions, could preclude us from meeting the 90% distribution requirement. Decreases in funds from operations due to unfinanced expenditures for acquisitions of properties or increases in the number of shares of our common stock outstanding without commensurate increases in funds from operations each would adversely affect our ability to maintain distributions to our shareholders. Moreover, the failure of PENN to make rental payments under its leases would materially impair our ability to make distributions. Consequently, there can be no assurance that we will be able to make distributions at the anticipated distribution rate or any other rate.</w:t>
      </w:r>
    </w:p>
    <w:p>
      <w:pPr>
        <w:pStyle w:val="TextBody"/>
        <w:bidi w:val="0"/>
        <w:spacing w:lineRule="auto" w:line="288" w:before="160" w:after="160"/>
        <w:jc w:val="both"/>
        <w:rPr>
          <w:rFonts w:ascii="Times New Roman;serif" w:hAnsi="Times New Roman;serif"/>
          <w:b/>
          <w:i/>
          <w:color w:val="000000"/>
          <w:sz w:val="20"/>
        </w:rPr>
      </w:pPr>
      <w:r>
        <w:rPr>
          <w:rFonts w:ascii="Times New Roman;serif" w:hAnsi="Times New Roman;serif"/>
          <w:b/>
          <w:i/>
          <w:color w:val="000000"/>
          <w:sz w:val="20"/>
        </w:rPr>
        <w:t>Even if we remain qualified as a REIT, we may face other tax liabilities that reduce our cash flow.</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Even if we remain qualified for taxation as a REIT, we may be subject to certain U.S. federal, state, and local taxes on our income and assets, including taxes on any undistributed income and state or local income, property and transfer taxes. For example, we may hold certain of our assets and conduct related activities through TRS subsidiary corporations that are subject to federal, state, and local corporate-level income taxes as regular C corporations as well as state and local gaming taxes. In addition, we may incur a 100% excise tax on transactions with a TRS if they are not conducted on an arm's-length basis. Any of these taxes would decrease cash available for distribution to our shareholders.</w:t>
      </w:r>
    </w:p>
    <w:p>
      <w:pPr>
        <w:pStyle w:val="TextBody"/>
        <w:bidi w:val="0"/>
        <w:spacing w:lineRule="auto" w:line="288" w:before="160" w:after="160"/>
        <w:jc w:val="both"/>
        <w:rPr>
          <w:rFonts w:ascii="Times New Roman;serif" w:hAnsi="Times New Roman;serif"/>
          <w:b/>
          <w:i/>
          <w:color w:val="000000"/>
          <w:sz w:val="20"/>
        </w:rPr>
      </w:pPr>
      <w:r>
        <w:rPr>
          <w:rFonts w:ascii="Times New Roman;serif" w:hAnsi="Times New Roman;serif"/>
          <w:b/>
          <w:i/>
          <w:color w:val="000000"/>
          <w:sz w:val="20"/>
        </w:rPr>
        <w:t>Complying with REIT requirements may cause us to forego otherwise attractive acquisition opportunities or liquidate otherwise attractive investments.</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To qualify to be taxed as a REIT for U.S. federal income tax purposes, we must ensure that, at the end of each calendar quarter, at least 75% of the value of our assets consist of cash, cash items, government securities and "real estate assets" (as defined in the Code), including certain mortgage loans and securities. The remainder of our investments (other than government securities, qualified real estate assets and securities issued by a TRS) generally cannot include more than 10% of the outstanding voting securities of any one issuer or more than 10% of the total value of the outstanding securities of any one issuer. In addition, in general, no more than 5% of the value of our total assets (other than government securities, qualified real estate assets and securities issued by a TRS) can consist of the securities of any one issuer, and no more than 20% (25%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Table of Contents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years beginning after December 31, 2025) of the value of our total assets can be represented by securities of one or more TRSs. Lastly, no more than 25% of the value of our total assets can be represented by unsecured debt of publicly traded REITs. If we fail to comply with these requirements at the end of any calendar quarter, we must correct the failure within 30 days after the end of the calendar quarter or qualify for certain statutory relief provisions to avoid losing our REIT qualification and suffering adverse tax consequences. As a result, we may be required to liquidate or forego otherwise attractive investments. These actions could have the effect of reducing our income and amounts available for distribution to our shareholders.</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to the asset tests set forth above, to qualify to be taxed as a REIT we must continually satisfy tests concerning, among other things, the sources of our income, the amounts we distribute to shareholders and the ownership of our stock. We may be unable to pursue investments that would be otherwise advantageous to us in order to satisfy the source-of-income or asset-diversification requirements for qualifying as a REIT. Thus, compliance with the REIT requirements may hinder our ability to make certain attractive investments.</w:t>
      </w:r>
    </w:p>
    <w:p>
      <w:pPr>
        <w:pStyle w:val="TextBody"/>
        <w:bidi w:val="0"/>
        <w:spacing w:lineRule="auto" w:line="288" w:before="160" w:after="160"/>
        <w:jc w:val="both"/>
        <w:rPr>
          <w:rFonts w:ascii="Times New Roman;serif" w:hAnsi="Times New Roman;serif"/>
          <w:b/>
          <w:i/>
          <w:color w:val="000000"/>
          <w:sz w:val="20"/>
        </w:rPr>
      </w:pPr>
      <w:r>
        <w:rPr>
          <w:rFonts w:ascii="Times New Roman;serif" w:hAnsi="Times New Roman;serif"/>
          <w:b/>
          <w:i/>
          <w:color w:val="000000"/>
          <w:sz w:val="20"/>
        </w:rPr>
        <w:t>Complying with REIT requirements may limit our ability to hedge effectively and may cause us to incur tax liabilities.</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REIT provisions of the Code substantially limit our ability to hedge our assets and liabilities. Income from certain hedging transactions that we may enter into to manage risk of interest rate changes with respect to borrowings made or to be made to acquire or carry real estate assets or from transactions to manage risk of currency fluctuations with respect to any item of income or gain that satisfy the REIT gross income tests (including gain from the termination of such a transaction) does not constitute "gross income" for purposes of the 75% or 95% gross income tests that apply to REITs, provided that certain identification requirements are met. To the extent that we enter into other types of hedging transactions or fail to properly identify such transactions as a hedge, the income is likely to be treated as non-qualifying income for purposes of both of the gross income tests. As a result of these rules, we may be required to limit our use of advantageous hedging techniques or implement those hedges through a TRS. This could increase the cost of our hedging activities because the TRS may be subject to tax on gains or expose us to greater risks associated with changes in interest rates than we would otherwise want to bear. In addition, losses in the TRS will generally not provide any tax benefit, except that such losses could theoretically be carried back or forward against past or future taxable income in the TRS.</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charter restricts the ownership and transfer of our outstanding stock, which may have the effect of delaying, deferring or preventing a transaction or change of control of our company.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order for us to qualify to be taxed as a REIT, not more than 50% in value of our outstanding shares of stock may be owned, actually or constructively, by five or fewer individuals at any time during the last half of each taxable year after the first year for which GLPI elected to qualify to be taxed as a REIT (2014). Additionally, at least 100 persons must beneficially own GLPI stock during at least 335 days of a taxable year (other than the first taxable year for which GLPI elected to be taxed as a REIT). GLPI's charter, with certain exceptions, authorizes the Board of Directors to take such actions as are necessary and desirable to preserve GLPI's qualification as a REIT. GLPI's charter also provides that, subject to certain exceptions approved by the Board of Directors, no person may beneficially or constructively own more than 7% in value or in number, whichever is more restrictive, of GLPI's outstanding shares of all classes and series of stock. The constructive ownership rules are complex and may cause shares of stock owned directly or constructively by a group of related individuals or entities to be constructively owned by one individual or entity. These ownership limits could delay or prevent a transaction or a change in control of GLPI that might involve a premium price for shares of GLPI stock or otherwise be in the best interests of GLPI shareholders. The acquisition of less than 7% of our outstanding stock by an individual or entity could cause that individual or entity to own beneficially or constructively in excess of 7% in value of our outstanding stock, and thus violate our charter's ownership limit. Our charter prohibits any person from owning shares of our stock that would result in our being "closely held" under Section 856(h) of the Code. Any attempt to own or transfer shares of our stock in violation of these restrictions may result in the transfer being automatically void. GLPI's charter also provides that shares of GLPI's capital stock acquired or held in excess of the ownership limit will be transferred to a trust for the benefit of a designated charitable beneficiary, and that any person who acquires shares of GLPI's capital stock in violation of the ownership limit will not be entitled to any dividends on the shares or be entitled to vote the shares or receive any proceeds from the subsequent sale of the shares in excess of the lesser of the market price on the day the shares were transferred to the trust or the amount realized from the sale. GLPI or its designee will have the right to purchase the shares from the trustee at this calculated price as well. A transfer of shares of GLPI's capital stock in violation of the limit may be void under certain circumstances. GLPI's 7% ownership limitation may have the effect of delaying, deferring or preventing a change in control of GLPI, including an extraordinary transaction (such as a merger, tender offer or sale of all or substantially all of our assets) that might provide a premium price for GLPI's shareholders. To assist GLPI in complying with applicable gaming laws, our charter also provides that capital stock of GLPI that is owned or controlled by an unsuitable person or an affiliate of an unsuitable person will be transferred to a trust for the benefit of a designated charitable beneficiary, and that any such unsuitable person or affiliate will not be entitled to any dividends on the shares or be entitled to vote the shares or receive any proceeds from the subsequent sale of the shares in excess of the lesser of the price paid by the unsuitable person or affiliate for the shares or the amount realized from the sale, in each case less a discount in a percentage (up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Table of Contents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 100%) to be determined by our Board of Directors in its sole and absolute discretion. The shares shall additionally be redeemable by GLPI, out of funds legally available for that redemption, to the extent required by the gaming authorities making the determination of unsuitability or to the extent determined to be necessary or advisable by our Board of Directors, at a redemption price equal to the lesser of (i) the market price on the date of the redemption notice, (ii) the market price on the redemption date, or (iii) the actual amount paid for the shares by the owner thereof, in each case less a discount in a percentage (up to 100%) to be determined by our Board of Directors in its sole and absolute discretion.</w:t>
      </w:r>
    </w:p>
    <w:p>
      <w:pPr>
        <w:pStyle w:val="TextBody"/>
        <w:bidi w:val="0"/>
        <w:spacing w:lineRule="auto" w:line="288" w:before="160" w:after="160"/>
        <w:jc w:val="both"/>
        <w:rPr>
          <w:rFonts w:ascii="Times New Roman;serif" w:hAnsi="Times New Roman;serif"/>
          <w:b/>
          <w:color w:val="000000"/>
          <w:sz w:val="20"/>
        </w:rPr>
      </w:pPr>
      <w:r>
        <w:rPr>
          <w:rFonts w:ascii="Times New Roman;serif" w:hAnsi="Times New Roman;serif"/>
          <w:b/>
          <w:color w:val="000000"/>
          <w:sz w:val="20"/>
        </w:rPr>
        <w:t>Risks Related to Our Capital Structure</w:t>
      </w:r>
    </w:p>
    <w:p>
      <w:pPr>
        <w:pStyle w:val="TextBody"/>
        <w:bidi w:val="0"/>
        <w:spacing w:lineRule="auto" w:line="288" w:before="160" w:after="160"/>
        <w:jc w:val="both"/>
        <w:rPr>
          <w:rFonts w:ascii="Times New Roman;serif" w:hAnsi="Times New Roman;serif"/>
          <w:b/>
          <w:i/>
          <w:color w:val="000000"/>
          <w:sz w:val="20"/>
        </w:rPr>
      </w:pPr>
      <w:r>
        <w:rPr>
          <w:rFonts w:ascii="Times New Roman;serif" w:hAnsi="Times New Roman;serif"/>
          <w:b/>
          <w:i/>
          <w:color w:val="000000"/>
          <w:sz w:val="20"/>
        </w:rPr>
        <w:t>We have a material amount of indebtedness which could have a significant effect on our business.</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we had approximately $7.2 billion in long-term indebtedness, net of unamortized debt issuance costs, bond premiums and original issuance discounts, consisting of: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$6,350.0 million of outstanding senior unsecured notes;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$600.0 million of term loans,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$331.6 million of borrowings under our revolving credit facility, and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approximately $0.1 million of finance lease liabilities related to certain assets.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indebtedness may have adverse effects on our business, including the following:</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it may limit our ability to obtain additional debt or equity financing for working capital, capital expenditures, acquisitions, debt service requirements and general corporate or other purposes; </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 material portion of our cash flows will be dedicated to the payment of principal and interest on our indebtedness, including indebtedness we may incur in the future, and will not be available for other purposes, including to make acquisitions;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it could limit our flexibility in planning for, or reacting to, changes in our business and the industry in which we operate and place us at a competitive disadvantage compared to our competitors that have less debt or are less leveraged; </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it could make us more vulnerable to downturns in general economic or industry conditions or in our business, or prevent us from carrying out activities that are important to our growth; </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it could increase our interest expense if interest rates in general increase because our indebtedness under the Amended Credit Facility bears interest at floating rates; </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it could limit our ability to take advantage of strategic business opportunities; </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it could make it more difficult for us to satisfy our obligations with respect to our indebtedness. Any failure to comply with the obligations of any of our debt instruments could result in an event of default which, if not cured or waived, could result in the acceleration of our indebtedness under the Amended Credit Facility and other outstanding debt obligations; and</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it could impact our ability to pay dividends to our shareholders.</w: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cannot assure you that our business will generate sufficient cash flow from operations, or that future borrowings will be available to us under our Second Amended Credit Facility or from other debt financing, in an amount sufficient to enable us to pay our indebtedness or to fund our other liquidity needs. If we do not generate sufficient cash flow from operations to satisfy our debt service obligations, we may have to undertake alternative financing plans, such as refinancing or restructuring our indebtedness, selling assets or seeking to raise additional capital, including by issuing equity securities or securities convertible into equity securities. Our ability to restructure or refinance our indebtedness or access new indebtedness will depend on the capital and credit markets and our financial condition at such time. Any refinancing of our indebtedness could be at higher interest rates and may require us to comply with more onerous covenants, which could further restrict our business operations. Our inability to generate sufficient cash flow to satisfy our debt service requirements or to refinance our obligations on commercially reasonable terms may have an adverse effect, which could be material to our business, financial position or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Table of Contents</w:t>
      </w:r>
    </w:p>
    <w:p>
      <w:pPr>
        <w:pStyle w:val="TextBody"/>
        <w:bidi w:val="0"/>
        <w:spacing w:lineRule="auto" w:line="288" w:before="160" w:after="160"/>
        <w:jc w:val="both"/>
        <w:rPr>
          <w:rFonts w:ascii="Times New Roman;serif" w:hAnsi="Times New Roman;serif"/>
          <w:b/>
          <w:i/>
          <w:color w:val="000000"/>
          <w:sz w:val="20"/>
        </w:rPr>
      </w:pPr>
      <w:r>
        <w:rPr>
          <w:rFonts w:ascii="Times New Roman;serif" w:hAnsi="Times New Roman;serif"/>
          <w:b/>
          <w:i/>
          <w:color w:val="000000"/>
          <w:sz w:val="20"/>
        </w:rPr>
        <w:t>We may have future capital needs and may not be able to obtain additional debt financing on acceptable terms.</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may incur additional indebtedness in the future to refinance our existing indebtedness or to finance newly-acquired properties or our development funding obligations. Any significant additional indebtedness could require a substantial portion of our cash flow to make interest and principal payments due on our indebtedness. Greater demands on our cash resources may reduce funds available to us to pay dividends, make capital expenditures and acquisitions, or carry out other aspects of our business strategy. Increased indebtedness may also limit our ability to adjust rapidly to changing market conditions, make us more vulnerable to general adverse economic and industry conditions and create competitive disadvantages for us compared to other companies with relatively lower debt levels and/or borrowing costs. Increased future debt service obligations may limit our operational flexibility, including our ability to acquire properties, finance or refinance our properties, contribute properties to joint ventures or sell properties as needed. If we incur additional indebtedness or such other obligations, the risks associated with our leverage, including our possible inability to service our debt, may increase.</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may be unable to obtain additional financing or financing on favorable terms or our operating cash flow may be insufficient to satisfy our financial obligations under indebtedness outstanding from time to time (if any). If financing is not available when needed, or is available on unfavorable terms, we may be unable to develop new or enhance our existing properties, complete acquisitions or otherwise take advantage of business opportunities or respond to competitive pressures, any of which could have a material adverse effect on our business, financial condition and results of operations.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shareholders may be subject to significant dilution caused by the additional issuance of equity securities.</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and when additional funds are raised through the issuance of equity securities, including under our "at the market" offering program relating to our common stock or in connection with future acquisitions, our shareholders may experience significant dilution. Additionally, sales of substantial amounts of our common stock in the public market, or the perception that such sales could occur, could adversely affect the market price of our common stock, make it more difficult for our shareholders to sell their GLPI common stock at a time and price that they deem appropriate and impair our future ability to raise capital through an offering of our equity securities.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Adverse changes in our credit rating may affect our borrowing capacity and borrowing terms.</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outstanding debt is periodically rated by nationally recognized credit rating agencies. The credit ratings are based upon our operating performance, liquidity and leverage ratios, overall financial position, and other factors viewed by the credit rating agencies as relevant to both our industry and the economic outlook. Our credit rating may affect the amount of capital we can access, as well as the terms of any financing we obtain. Because we rely in part on debt financing to fund growth, the absence of an investment grade credit rating or any credit rating downgrade may have a negative effect on our future growth.</w:t>
      </w:r>
    </w:p>
    <w:p>
      <w:pPr>
        <w:pStyle w:val="TextBody"/>
        <w:bidi w:val="0"/>
        <w:spacing w:lineRule="auto" w:line="288" w:before="160" w:after="160"/>
        <w:jc w:val="left"/>
        <w:rPr>
          <w:rFonts w:ascii="Times New Roman;serif" w:hAnsi="Times New Roman;serif"/>
          <w:b/>
          <w:i/>
          <w:color w:val="000000"/>
          <w:sz w:val="20"/>
        </w:rPr>
      </w:pPr>
      <w:r>
        <w:rPr>
          <w:rFonts w:ascii="Times New Roman;serif" w:hAnsi="Times New Roman;serif"/>
          <w:b/>
          <w:i/>
          <w:color w:val="000000"/>
          <w:sz w:val="20"/>
        </w:rPr>
        <w:t>If we cannot obtain additional capital, our growth may be limited.</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described above, in order to qualify and maintain our qualification as a REIT each year, we are required to distribute at least 90% of our REIT taxable income, excluding net capital gains, to our shareholders. As a result, our retained earnings available to fund acquisitions, development, or other capital expenditures are nominal, and we rely upon the availability of additional debt or equity capital to fund these activities. Our long-term ability to grow through acquisitions or development, which is an important component of our strategy, may be limited if we cannot obtain additional debt financing or raise equity capital. Market conditions may make it difficult to obtain debt financing or raise equity capital, and we cannot assure you that we will be able to obtain additional debt or equity financing or that we will be able to obtain such capital on favorable terms.</w:t>
      </w:r>
    </w:p>
    <w:p>
      <w:pPr>
        <w:pStyle w:val="TextBody"/>
        <w:bidi w:val="0"/>
        <w:spacing w:lineRule="auto" w:line="288" w:before="160" w:after="160"/>
        <w:jc w:val="both"/>
        <w:rPr>
          <w:rFonts w:ascii="Times New Roman;serif" w:hAnsi="Times New Roman;serif"/>
          <w:b/>
          <w:i/>
          <w:color w:val="000000"/>
          <w:sz w:val="20"/>
        </w:rPr>
      </w:pPr>
      <w:r>
        <w:rPr>
          <w:rFonts w:ascii="Times New Roman;serif" w:hAnsi="Times New Roman;serif"/>
          <w:b/>
          <w:i/>
          <w:color w:val="000000"/>
          <w:sz w:val="20"/>
        </w:rPr>
        <w:t>An increase in market interest rates could increase our interest costs on existing and future debt and could adversely affect our stock price.</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interest rates increase, so could our interest costs for any new debt and our variable rate debt obligations. This increased cost could make the financing of any acquisition more costly, as well as lower our current period earnings. Rising interest rates could limit our ability to refinance existing debt when it matures or cause us to pay higher interest rates upon refinancing. In addition, an increase in interest rates could decrease the access third parties have to credit, thereby decreasing the amount they are willing to pay for our assets and consequently limiting our ability to reposition our portfolio promptly in response to changes in economic or other conditions.</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Further, the dividend yield on our common stock, as a percentage of the price of such common stock, may influence the price of such common stock. Thus, an increase in market interest rates may lead prospective purchasers of our common stock to expect a higher dividend yield, which may adversely affect the market price of our common stock.</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majority of our debt is at fixed rates and our exposure to variable interest rates is currently limited to outstanding obligations, if any, under our $2.09 billion revolving credit facility (the "Initial Revolving Credit Facility") and our Term Loan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Table of Contents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Credit Facility. These debt instruments are indexed to a Secured Overnight Financing Rate ("SOFR"). Our total variable rate debt approximated 13% of our total debt at December 31, 2025.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Covenants in our debt agreements may limit our operational flexibility, and a covenant breach or default could materially adversely affect our business, financial position or results of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agreements governing our indebtedness contain customary covenants, including restrictions on our ability to grant liens on our assets, incur indebtedness, sell assets, make investments, engage in acquisitions, mergers or consolidations and pay certain dividends and other restricted payments. Specifically, our debt agreements contain the following financial covenants: a maximum total debt to total asset value ratio of 60% (subject to increase to 65% for specified periods in connection with certain acquisitions), a minimum fixed charge coverage ratio of 1.5 to 1, a maximum senior secured debt to total asset value ratio of 40% and a maximum unsecured debt to unencumbered asset value ratio of 60%. These restrictions may limit our operational flexibility. Covenants that limit our operational flexibility as well as defaults under our debt instruments could have a material adverse effect on our business, financial position or results of operations.</w:t>
      </w:r>
    </w:p>
    <w:p>
      <w:pPr>
        <w:pStyle w:val="TextBody"/>
        <w:bidi w:val="0"/>
        <w:spacing w:lineRule="auto" w:line="288" w:before="160" w:after="160"/>
        <w:jc w:val="both"/>
        <w:rPr>
          <w:rFonts w:ascii="Times New Roman;serif" w:hAnsi="Times New Roman;serif"/>
          <w:b/>
          <w:i/>
          <w:color w:val="000000"/>
          <w:sz w:val="20"/>
        </w:rPr>
      </w:pPr>
      <w:r>
        <w:rPr>
          <w:rFonts w:ascii="Times New Roman;serif" w:hAnsi="Times New Roman;serif"/>
          <w:b/>
          <w:i/>
          <w:color w:val="000000"/>
          <w:sz w:val="20"/>
        </w:rPr>
        <w:t>Pennsylvania law and provisions in our charter and bylaws may delay or prevent takeover attempts by third parties and therefore inhibit our shareholders from realizing a premium on their stock.</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charter and bylaws, in addition to Pennsylvania law, contain provisions that are intended to deter coercive takeover practices and inadequate takeover bids and to encourage prospective acquirers to negotiate with our Board of Directors rather than to attempt a hostile takeover. Our charter and bylaws, among other things (i) permit the Board of Directors, without further action of the shareholders, to issue and fix the terms of preferred stock, which may have rights senior to those of the common stock; (ii) establish certain advance notice procedures for shareholder proposals, and require all director candidates to be recommended by the Nominating and Corporate Governance Committee of the Board of Directors following the affirmative determination by the Nominating and Corporate Governance Committee that such nominee is likely to meet the applicable suitability requirements of any federal, state or local regulatory body having jurisdiction over us; (iii) provide that a director may only be removed by shareholders for cause and upon the vote of 75% of the shares entitled to vote; (iv) require shareholders or shareholder groups to own 3% or more of our outstanding common stock in order to recommend a person for direct nomination for election to the Board of Directors and inclusion in our proxy materials; (v) require shareholders to have beneficially owned at least 1% of our outstanding common stock in order to recommend a person for nomination for election to the Board of Directors, or to present a shareholder proposal, for action at a shareholders' meeting; and (vi) provide for super majority approval requirements for amending or repealing certain provisions in our charter and in order to approve an amendment or repeal of any provision of our bylaws that has not been proposed by our Board of Directors.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specific anti-takeover provisions in Pennsylvania law could make it more difficult for a third party to attempt a hostile takeover. These provisions require (i) approval of certain transactions by a majority of the voting stock other than that held by the potential acquirer; (ii) the acquisition at "fair value" of all the outstanding shares not held by an acquirer of 20% or more; (iii) a five-year moratorium on certain "business combination" transactions with an "interested shareholder;" (iv) the loss by interested shareholders of their voting rights over "control shares;" (v) the disgorgement of profits realized by an interested shareholder from certain dispositions of our shares; and (vi) severance payments for certain employees and prohibiting termination of certain labor contracts.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believe these provisions will protect our shareholders from coercive or otherwise unfair takeover tactics by requiring potential acquirers to negotiate with our Board of Directors and by providing our Board of Directors with more time to assess any acquisition proposal. These provisions are not intended to make GLPI immune from takeovers or to prevent a transaction from occurring. However, these provisions will apply even if the offer may be considered beneficial by some shareholders and could delay or prevent an acquisition that our Board of Directors determines is not in the best interests of GLPI. These provisions may also prevent or discourage attempts to remove and replace incumbent directors.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The market price of our common stock may be volatile, and holders of our common stock could lose a significant portion of their investment if the market price of our common stock declines.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market price of our common stock may be volatile, and shareholders may not be able to resell their shares of our common stock at or above the price at which they acquired the common stock due to fluctuations in its market price, including changes in price caused by factors unrelated to our performance or prospects.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Specific factors that may have a significant effect on the market price for our common stock include, among others, the following:</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Table of Contents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stock market analyst recommendations or earnings estimates regarding our common stock or other comparable REITs;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actual or anticipated fluctuations in our revenue stream or future prospects;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strategic actions taken by us or our competitors, such as acquisitions;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failure to close pending acquisitions;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failure to achieve the perceived benefits of our acquisitions, including financial results, as rapidly as or to the extent anticipated by financial or industry analysts;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new laws or regulations or new interpretations of existing laws or regulations applicable to our business and operations or the gaming industry;</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tax or accounting standards, policies, guidance, interpretations or principles;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the interest rate environment and/or the impact of rising inflation;</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adverse conditions in the financial markets or general U.S. or international economic conditions, including those resulting from war, incidents of terrorism and responses to such events; and</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sales of our common stock by members of our management team or other significant shareholders.</w:t>
      </w:r>
    </w:p>
    <w:p>
      <w:pPr>
        <w:pStyle w:val="TextBody"/>
        <w:bidi w:val="0"/>
        <w:spacing w:before="0" w:after="0"/>
        <w:jc w:val="both"/>
        <w:rPr/>
      </w:pPr>
      <w:r>
        <w:rPr/>
      </w:r>
    </w:p>
    <w:p>
      <w:pPr>
        <w:pStyle w:val="TextBody"/>
        <w:bidi w:val="0"/>
        <w:spacing w:lineRule="auto" w:line="288" w:before="160" w:after="160"/>
        <w:jc w:val="both"/>
        <w:rPr>
          <w:rFonts w:ascii="Times New Roman;serif" w:hAnsi="Times New Roman;serif"/>
          <w:b/>
          <w:color w:val="000000"/>
          <w:sz w:val="20"/>
        </w:rPr>
      </w:pPr>
      <w:r>
        <w:rPr>
          <w:rFonts w:ascii="Times New Roman;serif" w:hAnsi="Times New Roman;serif"/>
          <w:b/>
          <w:color w:val="000000"/>
          <w:sz w:val="20"/>
        </w:rPr>
        <w:t xml:space="preserve">Risk Factors Relating to Our Acquisition of Pinnacle and Tropicana's Gaming Properties </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recourse against Tropicana, including for any breaches under the Amended Real Estate Purchase Agreement or the Tropicana Merger Agreement, is limited.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is customary for a public company target in a merger and acquisition transaction, Tropicana has no obligation to indemnify us or Caesars for any breaches of its representations and warranties or covenants included in the Tropicana Merger Agreement and the Amended Real Estate Purchase Agreement, or for any pre-closing liabilities or claims. While we have certain arrangements in place with Caesars in connection with certain limited pre-closing liabilities, if any issues arise post-closing (other than as provided for in the Amended and Restated Caesars Master Lease), we may not be entitled to sufficient, or any, indemnification or recourse from Tropicana or Caesars, which could have a materially adverse impact on our business and results of operations.</w:t>
      </w:r>
    </w:p>
    <w:p>
      <w:pPr>
        <w:pStyle w:val="TextBody"/>
        <w:bidi w:val="0"/>
        <w:spacing w:lineRule="auto" w:line="288" w:before="160" w:after="160"/>
        <w:jc w:val="both"/>
        <w:rPr/>
      </w:pPr>
      <w:r>
        <w:rPr>
          <w:rFonts w:ascii="Times New Roman;serif" w:hAnsi="Times New Roman;serif"/>
          <w:b/>
          <w:i/>
          <w:color w:val="000000"/>
          <w:sz w:val="20"/>
        </w:rPr>
        <w:t>PENN has contractual obligations to indemnify us for certain liabilities</w:t>
      </w:r>
      <w:r>
        <w:rPr>
          <w:rFonts w:ascii="Times New Roman;serif" w:hAnsi="Times New Roman;serif"/>
          <w:b w:val="false"/>
          <w:color w:val="000000"/>
          <w:sz w:val="20"/>
        </w:rPr>
        <w:t xml:space="preserve">, </w:t>
      </w:r>
      <w:r>
        <w:rPr>
          <w:rFonts w:ascii="Times New Roman;serif" w:hAnsi="Times New Roman;serif"/>
          <w:b/>
          <w:i/>
          <w:color w:val="000000"/>
          <w:sz w:val="20"/>
        </w:rPr>
        <w:t xml:space="preserve">including liabilities as successor in interest to Pinnacle. However, there can be no assurance that these indemnities will be sufficient to insure us against the full amount of such liabilities, or that PENN's ability to satisfy its and Pinnacle's indemnification obligations will not be impaired in the future. </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PENN has contractual obligations to indemnify us for certain liabilities, including liabilities as successor in interest to Pinnacle. However, third parties could seek to hold us responsible for any of the liabilities that PENN and Pinnacle agreed to retain, and there can be no assurance that PENN will be able to fully satisfy its indemnification obligations. Moreover, even if we ultimately succeed in recovering from PENN any amounts for which we are held liable, we may be temporarily required to bear these losses while seeking recovery from PENN and such recovery could have a material adverse impact on PENN's financial condition and ability to pay rent due under the PENN 2023 Master Lease, the Amended PENN Master Lease and/or the Amended Pinnacle Master Lease.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1B.    UNRESOLVED STAFF COMMENTS</w:t>
      </w:r>
    </w:p>
    <w:p>
      <w:pPr>
        <w:pStyle w:val="TextBody"/>
        <w:bidi w:val="0"/>
        <w:spacing w:lineRule="auto" w:line="288" w:before="160" w:after="16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ITEM 1C.    CYBERSECURITY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maintains a cyber risk program as a part of its enterprise risk management program that is designed to identify, assess, mitigate and manage cyber risks. The Company’s Vice President of Information Technology is responsible for managing the Company’s cyber risk program, informing senior management regarding the prevention, detection, mitigation, and remediation of cybersecurity incidents and supervising third parties assisting in these efforts. The Company's Vice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Table of Contents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President of Information Technology has two decades of experience in the Information Technology industry, with a strong emphasis on cybersecurity whose professional experience is distinguished by a Bachelor's degree in Network Operation and Security and enriched by practical, hands on experience in the field. The Vice President's long standing career in Information Technology reflects a deep seated expertise in safeguarding digital infrastructures in today's dynamic cyber environment.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policies and procedures concerning cybersecurity matters, which include policies that directly or indirectly relate to cybersecurity, such as policies related to encryption standards, antivirus protection, remote access, multifactor authentication, confidential information and the use of the internet, social media, email and wireless devices. All Company employees are required to complete annual cybersecurity training programs.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engages third party vendors to periodically test, monitor and maintain the performance and effectiveness of the Company’s cyber risk program. In addition, in 2025 the Company participated in a comprehensive third-party cyber risk review as part of its annual insurance renewal process and consideration of cyber risk coverage.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Audit and Compliance Committee of the Board of Directors oversees the Company’s cybersecurity risk program and the process employed to monitor and mitigate cybersecurity risks. Members of the management team provide periodic updates to the Audit and Compliance Committee on the status of the Company’s cyber risk management program. In addition, cybersecurity risks are reviewed by the Board of Directors as part of the Company’s ongoing enterprise risk management program.</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As a triple net REIT with no significant consumer facing infrastructure or exposure, the Company faces a limited number of cybersecurity risks in connection with the operation of the business. Risks from cybersecurity threats have not materially affected the Company to date and are not reasonably likely to materially affect the Company, including the Company's business strategy, results of operations or financial condition. Other than widespread threats generally affecting businesses, the Company has not experienced threats to or breaches of its data or systems, including malware and computer virus attacks. For more information about the cybersecurity risks faced by the Company, see the risk factor entitled “</w:t>
      </w:r>
      <w:r>
        <w:rPr>
          <w:rFonts w:ascii="Times New Roman;serif" w:hAnsi="Times New Roman;serif"/>
          <w:b w:val="false"/>
          <w:i/>
          <w:color w:val="000000"/>
          <w:sz w:val="20"/>
        </w:rPr>
        <w:t>We face risks associated with security breaches through cyber-attacks, cyber intrusions or otherwise, as well as other significant disruptions of our information technology (IT) networks and related systems</w:t>
      </w:r>
      <w:r>
        <w:rPr>
          <w:color w:val="000000"/>
        </w:rPr>
        <w:t xml:space="preserve">” </w:t>
      </w:r>
      <w:r>
        <w:rPr>
          <w:rFonts w:ascii="Times New Roman;serif" w:hAnsi="Times New Roman;serif"/>
          <w:b w:val="false"/>
          <w:color w:val="000000"/>
          <w:sz w:val="20"/>
        </w:rPr>
        <w:t>in Item 1A- Risk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ITEM 2.     PROPERTIES</w:t>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Rental Properties</w:t>
      </w:r>
    </w:p>
    <w:p>
      <w:pPr>
        <w:pStyle w:val="TextBody"/>
        <w:bidi w:val="0"/>
        <w:spacing w:lineRule="auto" w:line="288" w:before="160" w:after="16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 of December 31, 2025, the Company had 69 rental properties, consisting of the real property associated with 34 gaming and related facilities operated by PENN, the real property associated with 6 gaming and related facilities operated by Caesars, the real property associated with 4 gaming and related facilities operated by Boyd, the real property associated with 3 gaming and related facilities operated by the Cordish Companies, 15 gaming and related facilities operated by Bally's (including Casino Queen) and 1 facility under development for Bally's in Chicago, Illinois, 1 gaming facility managed by a subsidiary of Hard Rock, 4 gaming and related facilities operated by Strategic and 1 gaming and related facility operated by American Racing. We do have a specific policy to acquire assets primarily for capital gain or primarily for income. We also currently do not limit our investment in any specific property to a set percentage of our assets. All rental properties are subject to long-term triple-net leases. For additional information pertaining to our tenant leases and our rental properties see Item 1.</w:t>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Corporate Office</w:t>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corporate headquarters building is located in Wyomissing, Pennsylvania and is owned by the Company.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ITEM 3.    LEGAL PROCEEDINGS</w:t>
      </w:r>
    </w:p>
    <w:p>
      <w:pPr>
        <w:pStyle w:val="TextBody"/>
        <w:bidi w:val="0"/>
        <w:spacing w:lineRule="auto" w:line="288" w:before="160" w:after="16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Company is subject to various legal and administrative proceedings relating to personal injuries, employment matters, commercial transactions and other matters arising in the normal course of business. The Company does not believe that the financial outcome of these matters will have a material adverse effect on the Company's consolidated financial position or results of operations. In addition, the Company maintains what it believes is adequate insurance coverage to further mitigate the risks of such proceedings and requires its tenants to carry insurance and defend and indemnify the Company from and against any claims or liabilities. However, such proceedings can be costly, time consuming and unpredictable and, therefore, no assurance can be given that the final outcome of such proceedings may not materially impact the Company's consolidated financial condition or results of operations. Further, no assurance can be given that the amount or scope of existing insurance coverage carried by the Company or its tenants will be sufficient to cover losses arising from such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Table of Contents</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ind w:left="0" w:right="0" w:hanging="900"/>
        <w:jc w:val="left"/>
        <w:rPr>
          <w:rFonts w:ascii="Times New Roman;serif" w:hAnsi="Times New Roman;serif"/>
          <w:b/>
          <w:color w:val="000000"/>
          <w:sz w:val="20"/>
        </w:rPr>
      </w:pPr>
      <w:r>
        <w:rPr>
          <w:rFonts w:ascii="Times New Roman;serif" w:hAnsi="Times New Roman;serif"/>
          <w:b/>
          <w:color w:val="000000"/>
          <w:sz w:val="20"/>
        </w:rPr>
        <w:t>ITEM 5.   MARKET FOR REGISTRANT'S COMMON EQUITY, RELATED SHAREHOLDER MATTERS AND ISSUER PURCHASES OF EQUITY SECURITIES</w:t>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Market Information</w:t>
      </w:r>
    </w:p>
    <w:p>
      <w:pPr>
        <w:pStyle w:val="TextBody"/>
        <w:bidi w:val="0"/>
        <w:spacing w:lineRule="auto" w:line="288" w:before="100" w:after="10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common stock is quoted on the NASDAQ Global Select Market under the symbol "GLPI." As of February 11, 2026, there were approximately 660 holders of record of our common stock.</w:t>
      </w:r>
    </w:p>
    <w:p>
      <w:pPr>
        <w:pStyle w:val="TextBody"/>
        <w:bidi w:val="0"/>
        <w:spacing w:lineRule="auto" w:line="288" w:before="160" w:after="160"/>
        <w:jc w:val="both"/>
        <w:rPr>
          <w:rFonts w:ascii="Times New Roman;serif" w:hAnsi="Times New Roman;serif"/>
          <w:b/>
          <w:color w:val="000000"/>
          <w:sz w:val="20"/>
        </w:rPr>
      </w:pPr>
      <w:r>
        <w:rPr>
          <w:rFonts w:ascii="Times New Roman;serif" w:hAnsi="Times New Roman;serif"/>
          <w:b/>
          <w:color w:val="000000"/>
          <w:sz w:val="20"/>
        </w:rPr>
        <w:t>Dividend Policy</w:t>
      </w:r>
    </w:p>
    <w:p>
      <w:pPr>
        <w:pStyle w:val="TextBody"/>
        <w:bidi w:val="0"/>
        <w:spacing w:lineRule="auto" w:line="288" w:before="160" w:after="16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annual dividend is greater than or equal to at least 90% of its REIT taxable income on an annual basis, determined without regard to the dividends paid deduction and excluding any net capital gains. U.S. federal income tax law generally requires that a REIT annually distribute at least 90% of its REIT taxable income, without regard to the deduction for dividends paid and excluding net capital gains, and that it pays tax at regular corporate rates on any undistributed income to the extent that it distributes less than 100% of its taxable income in any tax year. </w:t>
      </w:r>
    </w:p>
    <w:p>
      <w:pPr>
        <w:pStyle w:val="TextBody"/>
        <w:bidi w:val="0"/>
        <w:spacing w:lineRule="auto" w:line="288" w:before="100" w:after="1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Cash available for distribution to GLPI shareholders is derived from income from real estate. All distributions will be made by GLPI at the discretion of its Board of Directors and will depend on the financial position, results of operations, cash flows, capital requirements, debt covenants, applicable laws and other factors as the Board of Directors of GLPI deems relevant. See Note 16 to the Consolidated Financial Statements for further details on dividends.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90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7.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The following discussion and analysis of the financial condition and results of operations of Gaming and Leisure Properties, Inc. for the year ended </w:t>
      </w:r>
      <w:r>
        <w:rPr>
          <w:rFonts w:ascii="Times New Roman;serif" w:hAnsi="Times New Roman;serif"/>
          <w:b w:val="false"/>
          <w:color w:val="000000"/>
          <w:sz w:val="20"/>
        </w:rPr>
        <w:t xml:space="preserve">December 31, 2025 </w:t>
      </w:r>
      <w:r>
        <w:rPr>
          <w:rFonts w:ascii="Times New Roman;serif" w:hAnsi="Times New Roman;serif"/>
          <w:b w:val="false"/>
          <w:i/>
          <w:color w:val="000000"/>
          <w:sz w:val="20"/>
        </w:rPr>
        <w:t xml:space="preserve">should be read in conjunction with the audited consolidated Financial Statements and related notes thereto and other financial information contained elsewhere in this Annual Report on Form 10-K. Some of the information contained in this discussion and analysis or set forth elsewhere in this Annual Report on Form 10-K, including information with respect to our business and growth strategies, statements regarding the industry outlook and our expectations regarding the future performance of our business contained herein are forward looking statements. See "Important Factors Regarding Forward-Looking Statements" You should also review the "Risk Factors" section in Item 1A of this Annual Report on Form 10-K for a discussion of important factors that could cause actual results to differ materially from the results described in or implied by such forward-looking statements.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All defined terms included herein have the same meaning as those set forth in the Notes to the Consolidated Financial Statements contained within this Annual Report on Form 10-K.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generate our revenues from long-term, triple-net leases and real estate backed financing arrangements with leading regional gaming operators. As a result, our operating profile is characterized by stable and predictable cash flows, limited operating expenses and high margins because tenants are responsible for property level costs, maintenance capital, taxes, insurance and all utilities and other costs necessary or appropriate for the leased properties and the business conducted on the properties. Our results therefore depend primarily on the contractual rent terms in our leases, the timing and level of funded capital commitments, and our ability to refinance our debt obligations and/or issue new borrowings on attractive terms, rather than the daily volatility of gaming operations. </w:t>
      </w:r>
    </w:p>
    <w:p>
      <w:pPr>
        <w:pStyle w:val="TextBody"/>
        <w:bidi w:val="0"/>
        <w:spacing w:lineRule="auto" w:line="288" w:before="1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operations also include interest income from loans that produce fixed or variable returns which may convert into leased rent upon project completion or stabilization. </w:t>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Key Trends That May Affect Our Business</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Tenant and Industry Performance</w:t>
      </w:r>
    </w:p>
    <w:p>
      <w:pPr>
        <w:pStyle w:val="TextBody"/>
        <w:bidi w:val="0"/>
        <w:spacing w:lineRule="auto" w:line="288" w:before="1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majority of our tenants (and respective guarantors, as applicable) under our lease agreements are leading gaming operators across the United States. Rental payments under our lease agreements comprise, and are expected to continue to comprise, a substantial majority of our revenues. Accordingly, we are dependent on, among other things, our tenants'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Table of Contents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respective guarantors', as applicable) financial performance, the performance of the gaming properties and health of the economies where our leased properties are located. </w:t>
      </w:r>
    </w:p>
    <w:p>
      <w:pPr>
        <w:pStyle w:val="TextBody"/>
        <w:bidi w:val="0"/>
        <w:spacing w:lineRule="auto" w:line="288" w:before="1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Property-level performance affects whether annual rent escalations are triggered for leases that require a minimum 1.8x rent coverage ratio, as well as for certain leases that include percentage rent provisions. However, percentage rent accounted for only 4.8% of our 2025 cash income. </w:t>
      </w:r>
    </w:p>
    <w:p>
      <w:pPr>
        <w:pStyle w:val="TextBody"/>
        <w:bidi w:val="0"/>
        <w:spacing w:before="160" w:after="283"/>
        <w:ind w:left="0" w:right="0" w:firstLine="72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Key 2025 Highlights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Operating Results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Collected 100% of contractual rent in cash.</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Total revenues increased 4.1% year-over-year to $1.59 billion.</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Net income attributable to common shareholders increased 5.2% year-over-year to $825.1 million and net income attributable to common shareholders per diluted share increased 2.8% to $2.95.</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Significant Achievements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Extended development funding commitments for the following projects: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Completed funding for PENN’s M Resort hotel tower, which opened in December 2025, providing $150 million of financing at a 7.79% capitalization rate.</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Completed funding for PENN’s Hollywood Casino Joliet relocation, which opened in August 2025, providing $130 million of financing at a 7.75% capitalization rate.</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Completed funding for Casino Queen’s landside casino and hotel development at the former Belle of Baton Rouge site, which opened in December 2025, providing $111 million of financing at a 9.00% capitalization rate.</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Funded $201.6 million for Bally's Chicago at a 8.5% capitalization rate.</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Funded $9.6 million for the Casino Queen Marquette landside development project at a 8.25% capitalization rate.</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As of December 31, 2025, the Company has funded $56.6 million of the $110 million Ione Loan at an 11% interest rate for the tribe's Acorn Ridge casino development that is scheduled to open in February 2026.</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Completed and/or announced the following acquisitions or development projects: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On October 15, 2025, closed on the acquisition of Sunland Park Racetrack and Casino for $183.75 million with Strategic at an 8.16% capitalization rate.</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Agreed to a $225.3 million commitment, consisting of a $180 million delayed draw term loan at a fixed rate of 12.50% and a $45.3 million term loan B issued at an original issue discount of 3%, bearing interest at SOFR plus 900 basis points, with a SOFR floor of 1% to serve as the lead real estate financing partner for a new, integrated resort, Caesars Republic Sonoma County for Dry Creek, that will be developed on the site of the current River Rock Casino. The term loan B commitment was funded in December 2025. Upon or prior to the maturity of the six-year term loans, Dry Creek will lease the property back to an affiliate of GLPI and GLPI will sublease the property back to an affiliate of Dry Creek for no less than $112.5 million for 45 years at a 9.75% capitalization rate.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In October 2025, the Company announced that it intends to acquire the real estate for the future site for Live! Virginia Casino &amp; Hotel, a Cordish Company/Bruce Smith Enterprise casino and hotel development in Petersburg, Virginia. The capitalization rate on both the land acquisition of $27 million (which was acquired by GLPI on January 15, 2026) and the hard cost development funding of $440 million will be at 8.0%.</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In February 2025, agreed to fund, if requested by PENN, on or before March 31, 2029, construction improvements for the benefit of Ameristar Casino Council Bluffs in an amount not to exceed the greater of the hard costs associated with the project or $150 million at a 7.10% capitalization rate. </w:t>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Table of Contents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Financing and other</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Announced an increase to our quarterly cash dividend to $0.78 per share (or $3.12 per share on an annualized basis) in the second quarter of 2025, representing a 2.6% increase compared to the previous quarterly dividend.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In June 2025, settled a forward sale agreement of 8,170,387 shares of our common stock for proceeds of $404.0 million. In the third quarter of 2025, the Company sold 7.59 million shares under forward sale agreements to raise gross proceeds of $363.3 million, subject to certain contractual adjustments. No amounts have been or will be recorded on the Company's balance sheet with respect to these forward sale agreements until settlement (which contractually mature in the third quarter of 2026 but may be settled prior to this time period at the Company's election).</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In August 2025, the Company issued $600 million aggregate principal amount of 5.25% senior unsecured notes due February 15, 2033, at a price of 99.642% of the principal amount (the "February 2033 Notes"), and $700 million aggregate principal amount of 5.75% senior unsecured notes due November 1, 2037, at a price of 99.187% of the principal amount (the "November 2037 Notes"). In connection with the issuances, the Company terminated certain forward starting interest rate swap agreements and will recognize a benefit of approximately $1 million, amortized over ten years as a reduction of interest expense, with respect to the November 2037 Notes. The Company used the net proceeds from the offering to redeem in full its outstanding $975 million aggregate principal amount of 5.375% Senior Notes due April 2026. </w:t>
      </w:r>
    </w:p>
    <w:p>
      <w:pPr>
        <w:pStyle w:val="TextBody"/>
        <w:bidi w:val="0"/>
        <w:spacing w:lineRule="auto" w:line="288" w:before="160" w:after="160"/>
        <w:jc w:val="both"/>
        <w:rPr>
          <w:rFonts w:ascii="Times New Roman;serif" w:hAnsi="Times New Roman;serif"/>
          <w:b/>
          <w:color w:val="000000"/>
          <w:sz w:val="20"/>
        </w:rPr>
      </w:pPr>
      <w:r>
        <w:rPr>
          <w:rFonts w:ascii="Times New Roman;serif" w:hAnsi="Times New Roman;serif"/>
          <w:b/>
          <w:color w:val="000000"/>
          <w:sz w:val="20"/>
        </w:rPr>
        <w:t>Segment Information</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operations consist solely of investments in real estate for which all such real estate properties are similar to one another in that they consist of destination and leisure properties and related offerings, whose tenants offer casino gaming, hotel, convention, dining, entertainment and retail amenities, have similar economic characteristics and are governed by triple-net operating leases. As such, the Company has one operating segment and one reportable segment. The operating results of the Company's real estate investments are reviewed in the aggregate using the Company's consolidated financial statements by the Chief Executive Officer, who is the chief operating decision maker (as such term is defined in ASC 280 - Segment Reporting).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Executive Summary</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Financial Highlights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reported total revenues and income from operations of $1,594.8 million and $1,201.5 million, respectively, for the year ended December 31, 2025, compared to $1,531.5 million and $1,130.7 million, respectively, for the year ended December 31, 2024.  The major factors affecting our results for the year ended December 31, 2025, as compared to the year ended December 31, 2024, were as follows:</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Total income from real estate was $1,594.8 million and $1,531.5 million for the years ended December 31, 2025 and 2024, respectively. Total income from real estate increased by $63.2 million for the year ended December 31, 2025, as compared to the year ended December 31, 2024. The reason for the increase was primarily due to our recent acquisitions and development activity which in the aggregate increased cash income by $73.6 million. Current year results also benefited by $17.7 million from escalations on our leases and higher percentage rent of $2.3 million. The Company also recognized unfavorable straight-line and deferred rent adjustments of $33.6 million compared to the corresponding period in the prior year, as well as lower accretion of $0.6 million on its Investment in leases. Finally, the Company had higher ground rent income of $3.9 million.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Total operating expenses decreased by $7.6 million for the year ended December 31, 2025, as compared to the prior year. The provision for credit losses declined by $28.6 million due to primarily due to changes in estimates to property specific credit and performance metrics as well as changes in economic forecasts. Land rights and ground lease expense increased by $7.7 million due to the acquisition of assets in Bally's Master Lease II. General and administrative expenses increased by $3.9 million due primarily from an executive severance charge of $6.3 million, partially offset by lower stock based compensation expense of $3.1 million due primarily from forfeitures from the executive awards. During the year ended December 31, 2024, the Company recorded a gain of $3.8 million on the reclassification of the Tropicana Las Vegas Lease to a sales type lease from an operating lease due to a lease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Table of Contents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reconsideration event. Finally, the Company incurred higher depreciation expense of $5.7 million due to its recent acquisitions.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Other expenses, net increased by $28.0 million for the year ended December 31, 2025, as compared to the prior year. The increase was due to higher borrowing levels that partially funded our recent acquisitions, a decrease in interest income due to lower average interest earning balances in the current year. Additionally, results for the year ended December 31, 2025 included a debt extinguishment charge of $3.8 million for a call premium payment and accelerated amortization of debt issuance costs due to a senior unsecured note redemption.</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Net income increased by $42.7 million for the year ended December 31, 2025, as compared to the prior year, primarily due to the variances explained above. </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make certain judgments and use certain estimates and assumptions when applying accounting principles in the preparation of our consolidated financial statements. The nature of the estimates and assumptions are material due to the levels of subjectivity and judgment necessary to account for highly uncertain factors or the susceptibility of such factors to change. We have identified the accounting for leases, investment in leases, financing receivables, net, allowance for credit losses, and real estate investments as critical accounting estimates, as they are the most important to our financial statement presentation and require difficult, subjective and complex judgments.</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believe the current assumptions and other considerations used to estimate amounts reflected in our consolidated financial statements are appropriate. However, if actual experience differs from the assumptions and other considerations used in estimating amounts reflected in our consolidated financial statements, the resulting changes could have a material adverse effect on our consolidated results of operations and, in certain situations, could have a material adverse effect on our consolidated financial condition.</w:t>
      </w:r>
    </w:p>
    <w:p>
      <w:pPr>
        <w:pStyle w:val="TextBody"/>
        <w:bidi w:val="0"/>
        <w:spacing w:lineRule="auto" w:line="276" w:before="0" w:after="0"/>
        <w:jc w:val="both"/>
        <w:rPr>
          <w:rFonts w:ascii="Times New Roman;serif" w:hAnsi="Times New Roman;serif"/>
          <w:b w:val="false"/>
          <w:i/>
          <w:color w:val="000000"/>
          <w:sz w:val="20"/>
        </w:rPr>
      </w:pPr>
      <w:r>
        <w:rPr>
          <w:rFonts w:ascii="Times New Roman;serif" w:hAnsi="Times New Roman;serif"/>
          <w:b w:val="false"/>
          <w:i/>
          <w:color w:val="000000"/>
          <w:sz w:val="20"/>
        </w:rPr>
        <w:t>Leases</w:t>
      </w:r>
    </w:p>
    <w:p>
      <w:pPr>
        <w:pStyle w:val="TextBody"/>
        <w:bidi w:val="0"/>
        <w:spacing w:before="0" w:after="0"/>
        <w:jc w:val="both"/>
        <w:rPr/>
      </w:pPr>
      <w:r>
        <w:rPr/>
      </w:r>
    </w:p>
    <w:p>
      <w:pPr>
        <w:pStyle w:val="TextBody"/>
        <w:bidi w:val="0"/>
        <w:spacing w:lineRule="auto" w:line="276" w:before="0" w:after="0"/>
        <w:ind w:left="0" w:right="0" w:firstLine="720"/>
        <w:jc w:val="both"/>
        <w:rPr/>
      </w:pPr>
      <w:r>
        <w:rPr>
          <w:rFonts w:ascii="Times New Roman;serif" w:hAnsi="Times New Roman;serif"/>
          <w:b w:val="false"/>
          <w:color w:val="000000"/>
          <w:sz w:val="20"/>
        </w:rPr>
        <w:t xml:space="preserve">As a REIT, substantially all of our revenues are derived from rent received from tenants under long-term, triple-net leases. The accounting guidance in ASC 842, </w:t>
      </w:r>
      <w:r>
        <w:rPr>
          <w:rFonts w:ascii="Times New Roman;serif" w:hAnsi="Times New Roman;serif"/>
          <w:b w:val="false"/>
          <w:i/>
          <w:color w:val="000000"/>
          <w:sz w:val="20"/>
        </w:rPr>
        <w:t>Leases</w:t>
      </w:r>
      <w:r>
        <w:rPr>
          <w:rFonts w:ascii="Times New Roman;serif" w:hAnsi="Times New Roman;serif"/>
          <w:b w:val="false"/>
          <w:color w:val="000000"/>
          <w:sz w:val="20"/>
        </w:rPr>
        <w:t>, is complex and requires management to apply judgment and make assumptions in order to determine the appropriate accounting treatment for each lease arrangement. We evaluate lease classification upon entering into a new lease and upon any lease modification to determine whether the arrangement should be accounted for as an operating lease, a sales-type lease, or as a financing receivable (including arrangements arising from failed sale-leaseback transactions). The applicable lease classification significantly impacts the timing and presentation of income recognition and, accordingly, the presentation of our consolidated financial statements.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Operating Leases</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the operating lease model, the real estate assets we own and lease to tenants remain on our Consolidated Balance Sheets as real estate investments. Rental revenue is recognized on a straight-line basis over the lease term.</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Straight-line rental revenue includes lease payments, including percentage rent provisions, that are fixed and determinable at lease commencement or upon a lease reassessment. Straight-line recognition may result in the recording of deferred rental revenue on our Consolidated Balance Sheets, which is amortized into rental revenue on a straight-line basis over the remaining lease term. The lease term includes the initial non-cancelable term, together with any renewal periods that are considered reasonably assured of being exercised.</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Contingent rental income that is not fixed and determinable at lease commencement is recognized only when the contingency is resolved and the related amounts become probable of being earned (for example, when the tenant achieves the specified performance threshold).</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Financing Receivables and Sales-Type Lease Investments</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certain circumstances, we account for a lease arrangement as either (i) a financing receivable or (ii) a sales-type lease investment, rather than as an operating lease. For both financing receivables and sales-type leases, cash payments collected from tenants are not reported as rental revenue. Instead, amounts received are generally allocated between (i) interest income recognized using the effective interest method and (ii) a reduction of the outstanding investment balance (i.e., the financing receivable or sales-type lease investment), as applicable.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Table of Contents</w:t>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ASC 842, lease arrangements that include both land and building components may require separate classification of each component, which can result in a lease being bifurcated between operating lease and sales-type or financing receivable treatment.</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Investment in Leases – Financing Receivables </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sale-leaseback transactions, we evaluate whether control of the underlying asset has transferred to the Company. Control of an asset refers to the ability to direct the use of, and obtain substantially all of the remaining benefits from, the asset, including the ability to prevent other entities from directing the use of, and obtaining the benefits from, the asset.</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When control is deemed not to have transferred, we do not recognize the underlying real estate asset as a real estate investment. Instead, we recognize a financial asset presented as Investment in leases – financing receivable on our Consolidated Balance Sheets, and account for the arrangement in accordance with ASC 310, Receivables. We have concluded that certain lease arrangements are required to be accounted for as financing receivables under ASC 310 because control of the underlying assets is not considered to have transferred to the Company under GAAP.</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accounting for financing receivables under ASC 310 is materially consistent with the accounting applied to our sales-type lease investments under ASC 842, in that both approaches recognize interest income over time using an effective yield methodology and reduce the recorded investment balance as payments are received.</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Investment in Leases – Sales-Type Lease Investments</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a lease arrangement meets one or more of the sales-type classification criteria under ASC 842, the leased assets are recorded as Investment in leases – sales-type on our Consolidated Balance Sheets in accordance with ASC 842.</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 determine whether a lease should be classified as a sales-type lease under ASC 842, we evaluate the following criteria. If any of these criteria are met at lease commencement, the lease is classified as a sales-type lease: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Transfer of ownership — The lease transfers ownership of the underlying asset to the lessee by the end of the lease term. This criterion is met when the lease agreement provides for the transfer of title at or shortly after the end of the lease term, generally for a nominal amount.</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Bargain purchase option — The lease includes an option that allows the lessee to purchase the asset at a price that is sufficiently lower than the expected fair value of the asset at the date the option becomes exercisable, and the exercise of the option is reasonably certain.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Lease term — The lease term represents the major part of the remaining economic life of the underlying asset. This criterion is not applied when the lease commencement date occurs at or near the end of the asset’s economic life.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Present value of lease payments — The present value of the sum of the lease payments and any residual value guaranteed by the lessee (to the extent not already reflected in the lease payments) equals or exceeds substantially all of the fair value of the underlying asset.</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Specialized nature — The underlying asset is of such a specialized nature that it is expected to have no alternative use to the lessor at the end of the lease term.</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classification evaluation described above, as well as the related calculations, requires significant judgment and the use of estimates. Key judgments and estimates include, among other things: (i) determining the fair value of the underlying leased assets at lease commencement, (ii) estimating the residual value of the assets at the end of the lease term, (iii) assessing the likelihood that tenants will exercise renewal options (which affects the determination of lease term), (iv) estimating the remaining economic life of the leased assets, and (v) allocating consideration and rental income received under master lease arrangements to the underlying leased assets. Changes in these estimates or judgments could result in a different lease classification and materially impact the presentation of our consolidated financial statements and income recognition method.</w:t>
      </w:r>
    </w:p>
    <w:p>
      <w:pPr>
        <w:pStyle w:val="TextBody"/>
        <w:bidi w:val="0"/>
        <w:spacing w:lineRule="auto" w:line="276" w:before="160" w:after="160"/>
        <w:jc w:val="both"/>
        <w:rPr>
          <w:rFonts w:ascii="Times New Roman;serif" w:hAnsi="Times New Roman;serif"/>
          <w:b w:val="false"/>
          <w:i/>
          <w:color w:val="000000"/>
          <w:sz w:val="20"/>
        </w:rPr>
      </w:pPr>
      <w:r>
        <w:rPr>
          <w:rFonts w:ascii="Times New Roman;serif" w:hAnsi="Times New Roman;serif"/>
          <w:b w:val="false"/>
          <w:i/>
          <w:color w:val="000000"/>
          <w:sz w:val="20"/>
        </w:rPr>
        <w:t>Allowance for credit losses</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follows ASC 326 “Credit Losses” (“ASC 326”), which requires that the Company measure and record current expected credit losses (“CECL”), the scope of which includes our Investments in leases - financing receivables, Investment in leases - sales-type, as well as the Company's real estate loans.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have elected to use an econometric default and loss rate model to estimate the Allowance for credit losses, or CECL allowance. This model requires us to calculate and input lease and property-specific credit and performance metrics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Table of Contents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which in conjunction with forward-looking economic forecasts, project estimated credit losses over the life of the lease or loan. The Company then records a CECL allowance based on the expected loss rate multiplied by the outstanding investment.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Expected losses within our cash flows are determined by estimating the probability of default (“PD”) and loss given default (“LGD”) of our instruments subject to CECL. We have engaged a nationally recognized data analytics firm to assist us with estimating both the PD and LGD. The PD and LGD are estimated during the initial term of the instruments subject to CECL. The PD and LGD estimates were developed using current financial condition forecasts. The PD and LGD predictive model was developed using the average historical default rates and historical loss rates, respectively, of over 100,000 commercial real estate loans dating back to 1998 that have similar credit profiles or characteristics to the real estate underlying the Company's instruments subject to CECL. Management monitors the credit risk related to its instruments subject to CECL by obtaining the applicable rent coverage on a quarterly basis. The Company also monitors legislative changes to assess whether it would have an impact on the underlying performance of its tenant. We are unable to use our historical data to estimate losses as the Company has no loss history to date on its lease and loan portfolios.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are required to update our CECL allowance on a quarterly basis with the resulting change being recorded in the Consolidated Statements of Income for the relevant period. Finally, each time the Company makes a new investment in an asset subject to ASC 326, we will be required to record an initial CECL allowance for such asset, which will result in a non-cash charge to the Consolidated Statement of Income for the relevant period. Changes in economic probability factors, economic conditions and projections and/or the underlying performance of the property impacts the assumptions utilized in the CECL reserve estimates, which at times has historically had a significant impact on our results of operations. Changes in our assumptions could result in non-cash provisions or recoveries in future periods that could materially impact our results of operations. </w:t>
      </w: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Real Estate Investments</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Real estate investments primarily represent land and buildings leased to the Company's tenants. Real estate investments that we received in connection with the Spin-Off were contributed to us at PENN's historical carrying amount. We record the acquisition of real estate at fair value, including acquisition and closing costs. The cost of properties developed by GLPI includes costs of construction, property taxes, interest and other miscellaneous costs incurred during the development period until the project is substantially complete and available for occupancy. The Company capitalizes interest on development projects by applying its weighted-average borrowing rate to qualifying construction expenditures incurred during the development period. We consider the period of future benefit of the asset to determine the appropriate useful lives. Depreciation is computed using a straight-line method over the estimated useful lives of the buildings and building improvements. If we use a shorter or longer estimated useful life, it could have a material impact on our results of operations.</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continually monitor events and circumstances that could indicate that the carrying amount of our real estate investments may not be recoverable or realized. The factors considered by the Company in performing these assessments include evaluating whether the tenant is current on their lease payments, the tenant’s rent coverage ratio, the financial stability of the tenant and its parent company, and any other relevant factors. When indicators of potential impairment suggest that the carrying value of a real estate investment may not be recoverable, we determine whether the estimated undiscounted cash flows from the underlying lease exceeds the real estate investments' carrying value. If we determine the estimated undiscounted cash flows is less than the asset's carrying value then we would recognize an impairment charge equivalent to the amount required to reduce the carrying value of the asset to its estimated fair value, calculated in accordance with accounting principles generally accepted in the United States ("GAAP"). We group our real estate investments together by lease, the lowest level for which identifiable cash flows are available, in evaluating impairment. In assessing the recoverability of the carrying value, the Company must make assumptions regarding future cash flows and other factors. The factors considered by the Company in performing this assessment include current operating results, market and other applicable trends and residual values, as well as the effect of obsolescence, demand, competition and other factors. If these estimates or the related assumptions change in the future, the Company may be required to record an impairment loss.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are the most important factors and trends that contribute or may contribute to our operating performance:</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have announced or closed numerous transactions in recent years and expect to continue to grow our portfolio by pursuing opportunities to acquire additional gaming facilities (either existing facilities or new development facilities) to lease to gaming operators under prudent terms.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Table of Contents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Several wholly-owned subsidiaries of PENN lease a substantial number of our properties and account for a significant portion of our revenue.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risks related to economic conditions, including stress in the banking sector, high inflation levels and the effect of such conditions on consumer spending for leisure and gaming activities, which may negatively impact our gaming tenants and operators and the variable rent and certain annual rent escalators we receive from our tenants as outlined in the long-term triple-net leases with these tenants.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ability to refinance our significant levels of debt at attractive terms and obtain favorable funding in connection with future business opportunities.</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fact that the rules and regulations of U.S. federal income taxation are constantly under review by legislators, the IRS and the U.S. Department of the Treasury. Changes to the tax laws or interpretations thereof, with or without retroactive application, could materially and adversely affect GLPI's investors or GLPI.</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leases contain variable rent that resets on varying schedules depending on the lease. The Company's percentage rent which is subject to adjustment was 4.8% of total cash rent in 2025 compared to 5.0% in 2024. </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consolidated results of operations for the years ended December 31, 2025 and 2024 are summarized below:</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color w:val="000000"/>
        </w:rPr>
      </w:pPr>
      <w:r>
        <w:rPr>
          <w:color w:val="000000"/>
        </w:rPr>
        <w:t>    </w:t>
      </w:r>
    </w:p>
    <w:tbl>
      <w:tblPr>
        <w:tblW w:w="9737" w:type="dxa"/>
        <w:jc w:val="left"/>
        <w:tblInd w:w="0" w:type="dxa"/>
        <w:tblLayout w:type="fixed"/>
        <w:tblCellMar>
          <w:top w:w="28" w:type="dxa"/>
          <w:left w:w="28" w:type="dxa"/>
          <w:bottom w:w="28" w:type="dxa"/>
          <w:right w:w="28" w:type="dxa"/>
        </w:tblCellMar>
      </w:tblPr>
      <w:tblGrid>
        <w:gridCol w:w="2370"/>
        <w:gridCol w:w="2087"/>
        <w:gridCol w:w="2098"/>
        <w:gridCol w:w="211"/>
        <w:gridCol w:w="976"/>
        <w:gridCol w:w="109"/>
        <w:gridCol w:w="109"/>
        <w:gridCol w:w="109"/>
        <w:gridCol w:w="109"/>
        <w:gridCol w:w="211"/>
        <w:gridCol w:w="976"/>
        <w:gridCol w:w="109"/>
        <w:gridCol w:w="109"/>
        <w:gridCol w:w="154"/>
      </w:tblGrid>
      <w:tr>
        <w:trPr/>
        <w:tc>
          <w:tcPr>
            <w:tcW w:w="2370" w:type="dxa"/>
            <w:tcBorders/>
            <w:vAlign w:val="center"/>
          </w:tcPr>
          <w:p>
            <w:pPr>
              <w:pStyle w:val="TableContents"/>
              <w:bidi w:val="0"/>
              <w:spacing w:before="0" w:after="283"/>
              <w:jc w:val="left"/>
              <w:rPr>
                <w:sz w:val="4"/>
                <w:szCs w:val="4"/>
              </w:rPr>
            </w:pPr>
            <w:r>
              <w:rPr>
                <w:sz w:val="4"/>
                <w:szCs w:val="4"/>
              </w:rPr>
            </w:r>
          </w:p>
        </w:tc>
        <w:tc>
          <w:tcPr>
            <w:tcW w:w="2087" w:type="dxa"/>
            <w:tcBorders/>
            <w:vAlign w:val="center"/>
          </w:tcPr>
          <w:p>
            <w:pPr>
              <w:pStyle w:val="TableContents"/>
              <w:bidi w:val="0"/>
              <w:spacing w:before="0" w:after="283"/>
              <w:jc w:val="left"/>
              <w:rPr>
                <w:sz w:val="4"/>
                <w:szCs w:val="4"/>
              </w:rPr>
            </w:pPr>
            <w:r>
              <w:rPr>
                <w:sz w:val="4"/>
                <w:szCs w:val="4"/>
              </w:rPr>
            </w:r>
          </w:p>
        </w:tc>
        <w:tc>
          <w:tcPr>
            <w:tcW w:w="20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1,594,752 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1,531,546 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1,201,453 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1,130,685 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(348,868)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(320,908)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852,585 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809,777 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850,356 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807,648 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 in the Operating Partnership</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shareholders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825,111 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784,620 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has omitted the discussion comparing its operating results for the year ended December 31, 2024 to its operating results for the year ended December 31, 2023 from its Annual Report on Form 10-K for the year ended December 31, 2025. Readers are directed to Item 7 of the Company's Annual Report on Form 10-K for the year ended December 31, 2024 for these disclosures.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FFO, AFFO and Adjusted EBITDA</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Funds From Operations ("FFO"), Adjusted Funds From Operations ("AFFO") and Adjusted EBITDA are non-GAAP financial measures used by the Company as performance measures for benchmarking against the Company’s peers and as internal measures of business operating performance, which is used as a bonus metric. These metrics are presented assuming full conversion of limited partnership units to common shares and therefore before the income statement impact of non-controlling interests. The Company believes FFO, AFFO and Adjusted EBITDA provide a meaningful perspective of the underlying operating performance of the Company’s current business. This is especially true since these measures exclude real estate depreciation and we believe that real estate values fluctuate based on market conditions rather than depreciating in value ratably on a straight-line basis over time.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FFO, AFFO and Adjusted EBITDA are non-GAAP financial measures that are considered supplemental measures for the real estate industry and a supplement to GAAP measures. The National Association of Real Estate Investment Trusts defines FFO as net income (computed in accordance with GAAP), excluding (gains) or losses from dispositions of property and real estate depreciation. We define AFFO as FFO excluding, as applicable to the particular period, stock based compensation expense; the amortization of debt issuance costs; bond premiums and original issuance discounts; other depreciation; amortization of land rights; accretion on investment in leases; non-cash adjustments to financing lease liabilities; straight-line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Table of Contents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rent and deferred rent adjustments; losses on debt extinguishment; severance charges, capitalized interest; and provision (benefit) for credit losses, net, reduced by capital maintenance expenditures. Finally, we define Adjusted EBITDA as net income excluding, as applicable to the particular period, interest, net; income tax expense; real estate depreciation; other depreciation; (gains) or losses from dispositions of property; stock based compensation expense; straight-line rent and deferred rent adjustments; amortization of land rights; accretion on Investment in leases; non-cash adjustments to financing lease liabilities; losses on debt extinguishment; severance charges and provision (benefit) for credit losses, net.</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FFO, AFFO and Adjusted EBITDA are not recognized terms under GAAP. These non-GAAP financial measures: (i) do not represent cash flows from operations as defined by GAAP; (ii) should not be considered as an alternative to net income as a measure of operating performance or to cash flows from operating, investing and financing activities; and (iii) are not alternatives to cash flows as a measure of liquidity. In addition, these measures should not be viewed as an indication of our ability to fund our cash needs, including to make cash distributions to our shareholders, to fund capital improvements, or to make interest payments on our indebtedness. Investors are also cautioned that FFO, AFFO and Adjusted EBITDA, as presented, may not be comparable to similarly titled measures reported by other real estate companies, including REITs, due to the fact that not all real estate companies use the same definitions. Our presentation of these measures does not replace the presentation of our financial results in accordance with GAAP.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reconciliation of the Company’s net income per GAAP to FFO, AFFO, and Adjusted EBITDA for the years ended December 31, 2025 and 2024 is as follows: </w:t>
      </w:r>
    </w:p>
    <w:p>
      <w:pPr>
        <w:pStyle w:val="TextBody"/>
        <w:bidi w:val="0"/>
        <w:spacing w:lineRule="auto" w:line="288"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528"/>
        <w:gridCol w:w="2218"/>
        <w:gridCol w:w="2245"/>
        <w:gridCol w:w="211"/>
        <w:gridCol w:w="991"/>
        <w:gridCol w:w="109"/>
        <w:gridCol w:w="109"/>
        <w:gridCol w:w="109"/>
        <w:gridCol w:w="109"/>
        <w:gridCol w:w="211"/>
        <w:gridCol w:w="991"/>
        <w:gridCol w:w="109"/>
        <w:gridCol w:w="109"/>
        <w:gridCol w:w="156"/>
      </w:tblGrid>
      <w:tr>
        <w:trPr/>
        <w:tc>
          <w:tcPr>
            <w:tcW w:w="2528" w:type="dxa"/>
            <w:tcBorders/>
            <w:vAlign w:val="center"/>
          </w:tcPr>
          <w:p>
            <w:pPr>
              <w:pStyle w:val="TableContents"/>
              <w:bidi w:val="0"/>
              <w:spacing w:before="0" w:after="283"/>
              <w:jc w:val="left"/>
              <w:rPr>
                <w:sz w:val="4"/>
                <w:szCs w:val="4"/>
              </w:rPr>
            </w:pPr>
            <w:r>
              <w:rPr>
                <w:sz w:val="4"/>
                <w:szCs w:val="4"/>
              </w:rPr>
            </w:r>
          </w:p>
        </w:tc>
        <w:tc>
          <w:tcPr>
            <w:tcW w:w="2218" w:type="dxa"/>
            <w:tcBorders/>
            <w:vAlign w:val="center"/>
          </w:tcPr>
          <w:p>
            <w:pPr>
              <w:pStyle w:val="TableContents"/>
              <w:bidi w:val="0"/>
              <w:spacing w:before="0" w:after="283"/>
              <w:jc w:val="left"/>
              <w:rPr>
                <w:sz w:val="4"/>
                <w:szCs w:val="4"/>
              </w:rPr>
            </w:pPr>
            <w:r>
              <w:rPr>
                <w:sz w:val="4"/>
                <w:szCs w:val="4"/>
              </w:rPr>
            </w:r>
          </w:p>
        </w:tc>
        <w:tc>
          <w:tcPr>
            <w:tcW w:w="22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265" w:type="dxa"/>
            <w:gridSpan w:val="2"/>
            <w:tcBorders/>
          </w:tcPr>
          <w:p>
            <w:pPr>
              <w:pStyle w:val="TableContents"/>
              <w:bidi w:val="0"/>
              <w:spacing w:before="0" w:after="283"/>
              <w:jc w:val="left"/>
              <w:rPr>
                <w:sz w:val="4"/>
                <w:szCs w:val="4"/>
              </w:rPr>
            </w:pPr>
            <w:r>
              <w:rPr>
                <w:sz w:val="4"/>
                <w:szCs w:val="4"/>
              </w:rPr>
            </w:r>
          </w:p>
        </w:tc>
      </w:tr>
      <w:tr>
        <w:trPr/>
        <w:tc>
          <w:tcPr>
            <w:tcW w:w="6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265" w:type="dxa"/>
            <w:gridSpan w:val="2"/>
            <w:tcBorders/>
          </w:tcPr>
          <w:p>
            <w:pPr>
              <w:pStyle w:val="TableContents"/>
              <w:bidi w:val="0"/>
              <w:spacing w:before="0" w:after="283"/>
              <w:jc w:val="left"/>
              <w:rPr>
                <w:sz w:val="4"/>
                <w:szCs w:val="4"/>
              </w:rPr>
            </w:pPr>
            <w:r>
              <w:rPr>
                <w:sz w:val="4"/>
                <w:szCs w:val="4"/>
              </w:rPr>
            </w:r>
          </w:p>
        </w:tc>
      </w:tr>
      <w:tr>
        <w:trPr/>
        <w:tc>
          <w:tcPr>
            <w:tcW w:w="6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850,356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807,648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(Gains) or losses from dispositions of property</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depreciation</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Funds from operations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1,114,151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1,062,077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Straight-line rent and deferred rent adjustments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9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depreciation</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land rights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r>
              <w:rPr>
                <w:rFonts w:ascii="Times New Roman;serif" w:hAnsi="Times New Roman;serif"/>
                <w:b w:val="false"/>
                <w:color w:val="000000"/>
                <w:sz w:val="20"/>
              </w:rPr>
              <w:t xml:space="preserve">Amortization of debt issuance costs, bond premiums and original issuance discounts </w:t>
            </w:r>
            <w:r>
              <w:rPr>
                <w:rFonts w:ascii="Times New Roman;serif" w:hAnsi="Times New Roman;serif"/>
                <w:b w:val="false"/>
                <w:color w:val="000000"/>
                <w:sz w:val="13"/>
              </w:rPr>
              <w:t>(1)</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on investment in leases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adjustment to financing lease liabilities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based compensation</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on debt extinguishment</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 net</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 charges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interest</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maintenance expenditures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funds from operations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1,120,051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1,060,901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Interest, net </w:t>
            </w:r>
            <w:r>
              <w:rPr>
                <w:rFonts w:ascii="Times New Roman;serif" w:hAnsi="Times New Roman;serif"/>
                <w:b w:val="false"/>
                <w:color w:val="000000"/>
                <w:sz w:val="13"/>
              </w:rPr>
              <w:t>(2)</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maintenance expenditures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Amortization of debt issuance costs, bond premiums and original issuance discounts </w:t>
            </w:r>
            <w:r>
              <w:rPr>
                <w:rFonts w:ascii="Times New Roman;serif" w:hAnsi="Times New Roman;serif"/>
                <w:b w:val="false"/>
                <w:color w:val="000000"/>
                <w:sz w:val="13"/>
              </w:rPr>
              <w:t>(1)</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interest</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1,466,922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1,374,275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540"/>
        <w:jc w:val="both"/>
        <w:rPr/>
      </w:pPr>
      <w:r>
        <w:rPr>
          <w:rFonts w:ascii="Times New Roman;serif" w:hAnsi="Times New Roman;serif"/>
          <w:b w:val="false"/>
          <w:color w:val="000000"/>
          <w:sz w:val="13"/>
        </w:rPr>
        <w:t>(1)    </w:t>
      </w:r>
      <w:r>
        <w:rPr>
          <w:rFonts w:ascii="Times New Roman;serif" w:hAnsi="Times New Roman;serif"/>
          <w:b w:val="false"/>
          <w:color w:val="000000"/>
          <w:sz w:val="20"/>
        </w:rPr>
        <w:t>Such amortization is a non-cash component included in interest, net.</w:t>
      </w:r>
    </w:p>
    <w:p>
      <w:pPr>
        <w:pStyle w:val="TextBody"/>
        <w:bidi w:val="0"/>
        <w:spacing w:lineRule="auto" w:line="288" w:before="0" w:after="0"/>
        <w:ind w:left="0" w:right="0" w:hanging="540"/>
        <w:jc w:val="both"/>
        <w:rPr/>
      </w:pPr>
      <w:r>
        <w:rPr>
          <w:rFonts w:ascii="Times New Roman;serif" w:hAnsi="Times New Roman;serif"/>
          <w:b w:val="false"/>
          <w:color w:val="000000"/>
          <w:sz w:val="13"/>
        </w:rPr>
        <w:t>(2)    </w:t>
      </w:r>
      <w:r>
        <w:rPr>
          <w:rFonts w:ascii="Times New Roman;serif" w:hAnsi="Times New Roman;serif"/>
          <w:b w:val="false"/>
          <w:color w:val="000000"/>
          <w:sz w:val="20"/>
        </w:rPr>
        <w:t>Amounts exclude the non-cash interest expense gross up related to certain ground leases.</w:t>
      </w:r>
    </w:p>
    <w:p>
      <w:pPr>
        <w:pStyle w:val="TextBody"/>
        <w:bidi w:val="0"/>
        <w:spacing w:before="0" w:after="0"/>
        <w:ind w:left="0" w:right="0" w:firstLine="108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Net income, FFO, AFFO, and Adjusted EBITDA were $850.4 million, $1,114.2 million, $1,120.1 million and $1,466.9 million, respectively, for the year ended December 31, 2025. This compared to net income, FFO, AFFO, and Adjusted EBITDA, of $807.6 million, $1,062.1 million, $1,060.9 million and $1,374.3 million, respectively, for the year ended December 31, 2024. The increase in net income was primarily driven by a $63.2 million increase in income from real estate,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Table of Contents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explained below. The Company had lower operating expenses of $7.6 million and higher other expenses of $28.0 million that are also discussed below.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increases in FFO for the year ended December 31, 2025 were due to the items described above, excluding gains from dispositions of property and real estate depreciation. The increases in AFFO and Adjusted EBITDA were due to the items described above, less the adjustments mentioned in the tables above. Adjusted EBITDA also increased as compared to the prior year driven by the explanations above, as well as the adjustments mentioned in the tables above.</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Revenues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Revenues for the years ended December 31, 2025 and 2024 were as follows (in thousands):</w:t>
      </w:r>
    </w:p>
    <w:p>
      <w:pPr>
        <w:pStyle w:val="TextBody"/>
        <w:bidi w:val="0"/>
        <w:spacing w:lineRule="auto" w:line="288" w:before="0" w:after="0"/>
        <w:jc w:val="center"/>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456"/>
        <w:gridCol w:w="1260"/>
        <w:gridCol w:w="1262"/>
        <w:gridCol w:w="109"/>
        <w:gridCol w:w="109"/>
        <w:gridCol w:w="109"/>
        <w:gridCol w:w="211"/>
        <w:gridCol w:w="976"/>
        <w:gridCol w:w="109"/>
        <w:gridCol w:w="109"/>
        <w:gridCol w:w="109"/>
        <w:gridCol w:w="109"/>
        <w:gridCol w:w="211"/>
        <w:gridCol w:w="976"/>
        <w:gridCol w:w="109"/>
        <w:gridCol w:w="109"/>
        <w:gridCol w:w="109"/>
        <w:gridCol w:w="109"/>
        <w:gridCol w:w="211"/>
        <w:gridCol w:w="721"/>
        <w:gridCol w:w="109"/>
        <w:gridCol w:w="109"/>
        <w:gridCol w:w="109"/>
        <w:gridCol w:w="109"/>
        <w:gridCol w:w="308"/>
        <w:gridCol w:w="308"/>
        <w:gridCol w:w="670"/>
      </w:tblGrid>
      <w:tr>
        <w:trPr/>
        <w:tc>
          <w:tcPr>
            <w:tcW w:w="1456"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r>
      <w:tr>
        <w:trPr/>
        <w:tc>
          <w:tcPr>
            <w:tcW w:w="397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w:t>
            </w:r>
          </w:p>
        </w:tc>
      </w:tr>
      <w:tr>
        <w:trPr/>
        <w:tc>
          <w:tcPr>
            <w:tcW w:w="3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Variance</w:t>
            </w:r>
          </w:p>
        </w:tc>
      </w:tr>
      <w:tr>
        <w:trPr/>
        <w:tc>
          <w:tcPr>
            <w:tcW w:w="397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Rental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1,367,943 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1,330,620 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6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firstLine="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Investment in leases, financing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6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Income from Investment in leases, sales type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202.3 </w:t>
            </w:r>
          </w:p>
        </w:tc>
        <w:tc>
          <w:tcPr>
            <w:tcW w:w="6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7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Interest income from real estate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6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r>
      <w:tr>
        <w:trPr/>
        <w:tc>
          <w:tcPr>
            <w:tcW w:w="3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income from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1,594,752 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1,531,546 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6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r>
      <w:tr>
        <w:trPr/>
        <w:tc>
          <w:tcPr>
            <w:tcW w:w="3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r>
    </w:tbl>
    <w:tbl>
      <w:tblPr>
        <w:tblW w:w="125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360"/>
        <w:jc w:val="left"/>
        <w:rPr>
          <w:rFonts w:ascii="Times New Roman;serif" w:hAnsi="Times New Roman;serif"/>
          <w:b/>
          <w:color w:val="000000"/>
          <w:sz w:val="20"/>
        </w:rPr>
      </w:pPr>
      <w:r>
        <w:rPr>
          <w:rFonts w:ascii="Times New Roman;serif" w:hAnsi="Times New Roman;serif"/>
          <w:b/>
          <w:color w:val="000000"/>
          <w:sz w:val="20"/>
        </w:rPr>
        <w:t>Total income from real estate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Total income from real estate increased $63.2 million, or 4.1%, for the year ended December 31, 2025, as compared to the year ended December 31, 2024. The reason for the increase was primarily due to our recent acquisitions which in the aggregate increased cash income by $73.6 million. Current year results also benefited by $17.7 million from escalations on our leases and higher percentage rent of $2.3 million. The Company also recognized unfavorable straight-line and deferred rent adjustments of $33.6 million compared to the corresponding period in the prior year, as well as lower accretion of $0.6 million on its Investment in leases. Finally, the Company had higher ground rent income of $3.9 million. </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Table of Contents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Details of the Company's income from real estate for the year ended December 31, 2025 and December 31, 2024 were as follows (in thousands):</w:t>
      </w:r>
    </w:p>
    <w:p>
      <w:pPr>
        <w:pStyle w:val="TextBody"/>
        <w:bidi w:val="0"/>
        <w:spacing w:before="0" w:after="0"/>
        <w:ind w:left="0" w:right="0" w:firstLine="720"/>
        <w:jc w:val="left"/>
        <w:rPr/>
      </w:pPr>
      <w:r>
        <w:rPr/>
      </w:r>
    </w:p>
    <w:tbl>
      <w:tblPr>
        <w:tblW w:w="11065" w:type="dxa"/>
        <w:jc w:val="center"/>
        <w:tblInd w:w="0" w:type="dxa"/>
        <w:tblLayout w:type="fixed"/>
        <w:tblCellMar>
          <w:top w:w="28" w:type="dxa"/>
          <w:left w:w="28" w:type="dxa"/>
          <w:bottom w:w="28" w:type="dxa"/>
          <w:right w:w="28" w:type="dxa"/>
        </w:tblCellMar>
      </w:tblPr>
      <w:tblGrid>
        <w:gridCol w:w="501"/>
        <w:gridCol w:w="282"/>
        <w:gridCol w:w="283"/>
        <w:gridCol w:w="196"/>
        <w:gridCol w:w="871"/>
        <w:gridCol w:w="109"/>
        <w:gridCol w:w="109"/>
        <w:gridCol w:w="196"/>
        <w:gridCol w:w="736"/>
        <w:gridCol w:w="109"/>
        <w:gridCol w:w="109"/>
        <w:gridCol w:w="196"/>
        <w:gridCol w:w="646"/>
        <w:gridCol w:w="109"/>
        <w:gridCol w:w="109"/>
        <w:gridCol w:w="196"/>
        <w:gridCol w:w="646"/>
        <w:gridCol w:w="109"/>
        <w:gridCol w:w="196"/>
        <w:gridCol w:w="871"/>
        <w:gridCol w:w="109"/>
        <w:gridCol w:w="109"/>
        <w:gridCol w:w="210"/>
        <w:gridCol w:w="693"/>
        <w:gridCol w:w="118"/>
        <w:gridCol w:w="196"/>
        <w:gridCol w:w="646"/>
        <w:gridCol w:w="109"/>
        <w:gridCol w:w="196"/>
        <w:gridCol w:w="646"/>
        <w:gridCol w:w="109"/>
        <w:gridCol w:w="109"/>
        <w:gridCol w:w="196"/>
        <w:gridCol w:w="886"/>
        <w:gridCol w:w="154"/>
      </w:tblGrid>
      <w:tr>
        <w:trPr/>
        <w:tc>
          <w:tcPr>
            <w:tcW w:w="50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Year Ended December 31, 2025</w:t>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Building base rent</w:t>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Land base rent</w:t>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rent and other rental revenue</w:t>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income on real estate loans</w:t>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cash income</w:t>
            </w:r>
          </w:p>
        </w:tc>
        <w:tc>
          <w:tcPr>
            <w:tcW w:w="109" w:type="dxa"/>
            <w:tcBorders/>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Straight-line rent and deferred rent adjustments</w:t>
            </w:r>
            <w:r>
              <w:rPr>
                <w:color w:val="000000"/>
              </w:rPr>
              <w:t xml:space="preserve"> </w:t>
            </w:r>
            <w:r>
              <w:rPr>
                <w:rFonts w:ascii="Times New Roman;serif" w:hAnsi="Times New Roman;serif"/>
                <w:b/>
                <w:color w:val="000000"/>
                <w:sz w:val="10"/>
              </w:rPr>
              <w:t>(1)</w:t>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Ground rent in revenue</w:t>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Accretion on leases</w:t>
            </w:r>
          </w:p>
        </w:tc>
        <w:tc>
          <w:tcPr>
            <w:tcW w:w="109" w:type="dxa"/>
            <w:tcBorders/>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income from real estate</w:t>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Amended PENN Master Lease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217,329 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286,393 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19,807 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308,885</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PENN 2023 Master Lease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18,780 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264,572</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Amended Pinnacle Master Lease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7,432 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365,807</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PENN Morgantown Lease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3,185</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Caesars Master Lease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7,378 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97,920</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Horseshoe St. Louis Lease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25,265</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Boyd Master Lease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(7,442)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101,292</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Boyd Belterra Lease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5,673</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Bally's Master Lease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117,039</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Bally's Master Lease II</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50,208</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Maryland Live! Lease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99,706</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Pennsylvania Live! Master Lease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61,643</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Casino Queen Master Lease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20,543</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Tropicana Las Vegas Lease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15,126</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Rockford Lease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10,267</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Rockford Loan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12,167</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Tioga Downs Lease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17,038</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Strategic Gaming Leases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14,549</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Ione Loan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3,414</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Bally's Chicago Lease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(22,565)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Dry Creek</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453</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1,218,460 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198,228 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72,624 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1,505,346 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22,468 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1,594,752</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0"/>
        <w:ind w:left="0" w:right="0" w:hanging="9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Includes $0.3 million of tenant improvement allowance amortization for the year ended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Table of Contents</w:t>
      </w:r>
    </w:p>
    <w:tbl>
      <w:tblPr>
        <w:tblW w:w="12019" w:type="dxa"/>
        <w:jc w:val="center"/>
        <w:tblInd w:w="0" w:type="dxa"/>
        <w:tblLayout w:type="fixed"/>
        <w:tblCellMar>
          <w:top w:w="28" w:type="dxa"/>
          <w:left w:w="28" w:type="dxa"/>
          <w:bottom w:w="28" w:type="dxa"/>
          <w:right w:w="28" w:type="dxa"/>
        </w:tblCellMar>
      </w:tblPr>
      <w:tblGrid>
        <w:gridCol w:w="501"/>
        <w:gridCol w:w="282"/>
        <w:gridCol w:w="283"/>
        <w:gridCol w:w="211"/>
        <w:gridCol w:w="976"/>
        <w:gridCol w:w="109"/>
        <w:gridCol w:w="109"/>
        <w:gridCol w:w="211"/>
        <w:gridCol w:w="826"/>
        <w:gridCol w:w="109"/>
        <w:gridCol w:w="109"/>
        <w:gridCol w:w="211"/>
        <w:gridCol w:w="721"/>
        <w:gridCol w:w="109"/>
        <w:gridCol w:w="109"/>
        <w:gridCol w:w="211"/>
        <w:gridCol w:w="721"/>
        <w:gridCol w:w="109"/>
        <w:gridCol w:w="211"/>
        <w:gridCol w:w="976"/>
        <w:gridCol w:w="109"/>
        <w:gridCol w:w="211"/>
        <w:gridCol w:w="721"/>
        <w:gridCol w:w="109"/>
        <w:gridCol w:w="109"/>
        <w:gridCol w:w="211"/>
        <w:gridCol w:w="721"/>
        <w:gridCol w:w="109"/>
        <w:gridCol w:w="211"/>
        <w:gridCol w:w="721"/>
        <w:gridCol w:w="109"/>
        <w:gridCol w:w="109"/>
        <w:gridCol w:w="211"/>
        <w:gridCol w:w="991"/>
        <w:gridCol w:w="109"/>
        <w:gridCol w:w="154"/>
      </w:tblGrid>
      <w:tr>
        <w:trPr/>
        <w:tc>
          <w:tcPr>
            <w:tcW w:w="50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Year Ended December 31, 2024</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Building base rent</w:t>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Land base rent</w:t>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rent and other rental revenue</w:t>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income on real estate loans</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cash income</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Straight line rent</w:t>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Ground rent in revenue</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Accretion on leases</w:t>
            </w:r>
          </w:p>
        </w:tc>
        <w:tc>
          <w:tcPr>
            <w:tcW w:w="109" w:type="dxa"/>
            <w:tcBorders/>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income from real estate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Amended PENN Master Lease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304,300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PENN 2023 Master Lease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257,657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Amended Pinnacle Master Lease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362,500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PENN Morgantown Lease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3,138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Caesars Master Lease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97,921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Horseshoe St. Louis Lease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25,264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Boyd Master Lease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108,699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Boyd Belterra Lease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7,338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Bally's Master Lease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115,458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Bally's Master Lease II</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1,642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Maryland Live! Lease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99,995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Pennsylvania Live! Master Lease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60,905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Casino Queen Master Lease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31,812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Tropicana Las Vegas Lease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12,190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Rockford Lease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10,067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Rockford Loan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10,055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Tioga Downs Lease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15,457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Strategic Gaming Leases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6,711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Ione Loan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Bally's Chicago Lease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1,149,743 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181,189 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1,411,770 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1,531,546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0"/>
        <w:ind w:left="0" w:right="0" w:hanging="9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Includes $0.3 million of tenant improvement allowance amortization for the year ended December 31, 2024.</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accordance with ASC 842, the Company records revenue for the ground lease rent paid by its tenants with an offsetting expense in land rights and ground lease expense within the consolidated statement of income as the Company has concluded that as the lessee it is the primary obligor under the ground leases. The Company subleases these ground leases back to its tenants, who are responsible for payment directly to the landlord.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recognizes earnings on its Investment in leases, financing receivables and Investment in leases, sales type based on the effective yield method using the discount rate implicit in the leases. The amounts in the table above labeled accretion on financing leases represent earnings recognized in excess of cash received during the period. </w:t>
      </w:r>
    </w:p>
    <w:p>
      <w:pPr>
        <w:pStyle w:val="TextBody"/>
        <w:bidi w:val="0"/>
        <w:spacing w:before="0" w:after="0"/>
        <w:ind w:left="0" w:right="0" w:firstLine="720"/>
        <w:jc w:val="both"/>
        <w:rPr/>
      </w:pPr>
      <w:r>
        <w:rPr/>
      </w:r>
    </w:p>
    <w:p>
      <w:pPr>
        <w:pStyle w:val="TextBody"/>
        <w:bidi w:val="0"/>
        <w:spacing w:lineRule="auto" w:line="288" w:before="0" w:after="0"/>
        <w:ind w:left="0" w:right="0" w:firstLine="360"/>
        <w:jc w:val="left"/>
        <w:rPr>
          <w:rFonts w:ascii="Times New Roman;serif" w:hAnsi="Times New Roman;serif"/>
          <w:b/>
          <w:color w:val="000000"/>
          <w:sz w:val="20"/>
        </w:rPr>
      </w:pPr>
      <w:r>
        <w:rPr>
          <w:rFonts w:ascii="Times New Roman;serif" w:hAnsi="Times New Roman;serif"/>
          <w:b/>
          <w:color w:val="000000"/>
          <w:sz w:val="20"/>
        </w:rPr>
        <w:t>Operating Expenses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Operating expenses for the years ended December 31, 2025 and 2024 were as follows (in thousands):</w:t>
      </w:r>
    </w:p>
    <w:p>
      <w:pPr>
        <w:pStyle w:val="TextBody"/>
        <w:bidi w:val="0"/>
        <w:spacing w:before="0" w:after="0"/>
        <w:ind w:left="0" w:right="0" w:firstLine="720"/>
        <w:jc w:val="left"/>
        <w:rPr/>
      </w:pPr>
      <w:r>
        <w:rPr/>
      </w:r>
    </w:p>
    <w:tbl>
      <w:tblPr>
        <w:tblW w:w="8945" w:type="dxa"/>
        <w:jc w:val="left"/>
        <w:tblInd w:w="0" w:type="dxa"/>
        <w:tblLayout w:type="fixed"/>
        <w:tblCellMar>
          <w:top w:w="28" w:type="dxa"/>
          <w:left w:w="28" w:type="dxa"/>
          <w:bottom w:w="28" w:type="dxa"/>
          <w:right w:w="28" w:type="dxa"/>
        </w:tblCellMar>
      </w:tblPr>
      <w:tblGrid>
        <w:gridCol w:w="1152"/>
        <w:gridCol w:w="1010"/>
        <w:gridCol w:w="1018"/>
        <w:gridCol w:w="109"/>
        <w:gridCol w:w="109"/>
        <w:gridCol w:w="109"/>
        <w:gridCol w:w="211"/>
        <w:gridCol w:w="826"/>
        <w:gridCol w:w="109"/>
        <w:gridCol w:w="109"/>
        <w:gridCol w:w="109"/>
        <w:gridCol w:w="109"/>
        <w:gridCol w:w="211"/>
        <w:gridCol w:w="826"/>
        <w:gridCol w:w="109"/>
        <w:gridCol w:w="109"/>
        <w:gridCol w:w="109"/>
        <w:gridCol w:w="109"/>
        <w:gridCol w:w="211"/>
        <w:gridCol w:w="691"/>
        <w:gridCol w:w="109"/>
        <w:gridCol w:w="109"/>
        <w:gridCol w:w="109"/>
        <w:gridCol w:w="109"/>
        <w:gridCol w:w="291"/>
        <w:gridCol w:w="294"/>
        <w:gridCol w:w="569"/>
      </w:tblGrid>
      <w:tr>
        <w:trPr/>
        <w:tc>
          <w:tcPr>
            <w:tcW w:w="1152"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w:t>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Variance</w:t>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rights and ground lease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Gains from disposition of properties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393,299 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400,861 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125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Table of Contents</w:t>
      </w:r>
    </w:p>
    <w:p>
      <w:pPr>
        <w:pStyle w:val="TextBody"/>
        <w:bidi w:val="0"/>
        <w:spacing w:lineRule="auto" w:line="288" w:before="0" w:after="0"/>
        <w:ind w:left="0" w:right="0" w:firstLine="360"/>
        <w:jc w:val="left"/>
        <w:rPr>
          <w:rFonts w:ascii="Times New Roman;serif" w:hAnsi="Times New Roman;serif"/>
          <w:b/>
          <w:color w:val="000000"/>
          <w:sz w:val="20"/>
        </w:rPr>
      </w:pPr>
      <w:r>
        <w:rPr>
          <w:rFonts w:ascii="Times New Roman;serif" w:hAnsi="Times New Roman;serif"/>
          <w:b/>
          <w:color w:val="000000"/>
          <w:sz w:val="20"/>
        </w:rPr>
        <w:t>Land rights and ground lease expense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Land rights and ground lease expense includes the amortization of land rights and rent expense related to the Company's long-term ground leases. Land rights and ground lease expense increased by $7.7 million, or 16.2%, for the year ended December 31, 2025, as compared to the corresponding period in the prior year due to the acquisition of assets in Bally's Master Lease II.</w:t>
      </w:r>
    </w:p>
    <w:p>
      <w:pPr>
        <w:pStyle w:val="TextBody"/>
        <w:bidi w:val="0"/>
        <w:spacing w:lineRule="auto" w:line="288" w:before="0" w:after="0"/>
        <w:ind w:left="0" w:right="0" w:firstLine="360"/>
        <w:jc w:val="left"/>
        <w:rPr>
          <w:rFonts w:ascii="Times New Roman;serif" w:hAnsi="Times New Roman;serif"/>
          <w:b/>
          <w:color w:val="000000"/>
          <w:sz w:val="20"/>
        </w:rPr>
      </w:pPr>
      <w:r>
        <w:rPr>
          <w:rFonts w:ascii="Times New Roman;serif" w:hAnsi="Times New Roman;serif"/>
          <w:b/>
          <w:color w:val="000000"/>
          <w:sz w:val="20"/>
        </w:rPr>
        <w:t>General and administrative expense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include items such as compensation costs (including stock-based compensation awards), professional services and costs associated with development activities. General and administrative expenses increased by $3.9 million, or 6.6%, for the year ended December 31, 2025, as compared to the year ended December 31, 2024. The reason for the increase was due primarily from an executive severance charge of $6.3 million, partially offset by lower stock based compensation expense of $3.1 million due primarily from forfeitures from the executive awards.</w:t>
      </w:r>
    </w:p>
    <w:p>
      <w:pPr>
        <w:pStyle w:val="TextBody"/>
        <w:bidi w:val="0"/>
        <w:spacing w:before="0" w:after="0"/>
        <w:ind w:left="0" w:right="0" w:firstLine="720"/>
        <w:jc w:val="both"/>
        <w:rPr/>
      </w:pPr>
      <w:r>
        <w:rPr/>
      </w:r>
    </w:p>
    <w:p>
      <w:pPr>
        <w:pStyle w:val="TextBody"/>
        <w:bidi w:val="0"/>
        <w:spacing w:lineRule="auto" w:line="288" w:before="0" w:after="0"/>
        <w:ind w:left="0" w:right="0" w:firstLine="360"/>
        <w:jc w:val="both"/>
        <w:rPr>
          <w:rFonts w:ascii="Times New Roman;serif" w:hAnsi="Times New Roman;serif"/>
          <w:b/>
          <w:color w:val="000000"/>
          <w:sz w:val="20"/>
        </w:rPr>
      </w:pPr>
      <w:r>
        <w:rPr>
          <w:rFonts w:ascii="Times New Roman;serif" w:hAnsi="Times New Roman;serif"/>
          <w:b/>
          <w:color w:val="000000"/>
          <w:sz w:val="20"/>
        </w:rPr>
        <w:t>Gains from dispositions of property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Gains from dispositions for the year ended December 31, 2024 was due to the lease reconsideration event for the Tropicana Las Vegas Lease which resulted in the lease being reclassified from an operating lease to a sales type lease. See Note 1 for further discussion.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color w:val="000000"/>
          <w:sz w:val="20"/>
        </w:rPr>
      </w:pPr>
      <w:r>
        <w:rPr>
          <w:rFonts w:ascii="Times New Roman;serif" w:hAnsi="Times New Roman;serif"/>
          <w:b/>
          <w:color w:val="000000"/>
          <w:sz w:val="20"/>
        </w:rPr>
        <w:t>Depreciation expense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Depreciation expense increased by $5.7 million, or 2.2%, to $265.9 million for the year ended December 31, 2025 as compared to the year ended December 31, 2024, primarily due to its recent acquisitions.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color w:val="000000"/>
          <w:sz w:val="20"/>
        </w:rPr>
      </w:pPr>
      <w:r>
        <w:rPr>
          <w:rFonts w:ascii="Times New Roman;serif" w:hAnsi="Times New Roman;serif"/>
          <w:b/>
          <w:color w:val="000000"/>
          <w:sz w:val="20"/>
        </w:rPr>
        <w:t>Provision for credit losses, net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For the year ended December 31, 2025, the Company recorded a $8.7 million provision for credit losses as compared to a $37.3 million provision in the corresponding period in the prior year. The primary reason for the decrease were changes in estimates to property specific credit and performance metrics as well as changes in economic forecasts. </w:t>
      </w:r>
    </w:p>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rFonts w:ascii="Times New Roman;serif" w:hAnsi="Times New Roman;serif"/>
          <w:b/>
          <w:color w:val="000000"/>
          <w:sz w:val="20"/>
        </w:rPr>
      </w:pPr>
      <w:r>
        <w:rPr>
          <w:rFonts w:ascii="Times New Roman;serif" w:hAnsi="Times New Roman;serif"/>
          <w:b/>
          <w:color w:val="000000"/>
          <w:sz w:val="20"/>
        </w:rPr>
        <w:t>Other income (expenses)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 income (expenses) for the years ended December 31, 2025 and 2024 were as follows (in thousands): </w:t>
      </w:r>
    </w:p>
    <w:tbl>
      <w:tblPr>
        <w:tblW w:w="8660" w:type="dxa"/>
        <w:jc w:val="left"/>
        <w:tblInd w:w="0" w:type="dxa"/>
        <w:tblLayout w:type="fixed"/>
        <w:tblCellMar>
          <w:top w:w="28" w:type="dxa"/>
          <w:left w:w="28" w:type="dxa"/>
          <w:bottom w:w="28" w:type="dxa"/>
          <w:right w:w="28" w:type="dxa"/>
        </w:tblCellMar>
      </w:tblPr>
      <w:tblGrid>
        <w:gridCol w:w="956"/>
        <w:gridCol w:w="838"/>
        <w:gridCol w:w="845"/>
        <w:gridCol w:w="109"/>
        <w:gridCol w:w="109"/>
        <w:gridCol w:w="109"/>
        <w:gridCol w:w="211"/>
        <w:gridCol w:w="901"/>
        <w:gridCol w:w="109"/>
        <w:gridCol w:w="109"/>
        <w:gridCol w:w="109"/>
        <w:gridCol w:w="109"/>
        <w:gridCol w:w="211"/>
        <w:gridCol w:w="901"/>
        <w:gridCol w:w="109"/>
        <w:gridCol w:w="109"/>
        <w:gridCol w:w="109"/>
        <w:gridCol w:w="109"/>
        <w:gridCol w:w="211"/>
        <w:gridCol w:w="796"/>
        <w:gridCol w:w="109"/>
        <w:gridCol w:w="109"/>
        <w:gridCol w:w="109"/>
        <w:gridCol w:w="109"/>
        <w:gridCol w:w="293"/>
        <w:gridCol w:w="293"/>
        <w:gridCol w:w="569"/>
      </w:tblGrid>
      <w:tr>
        <w:trPr/>
        <w:tc>
          <w:tcPr>
            <w:tcW w:w="95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w:t>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Variance</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(373,881)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(366,897)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on debt extinguishment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(348,868)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(320,908)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(27,960)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color w:val="000000"/>
        </w:rPr>
      </w:pPr>
      <w:r>
        <w:rPr>
          <w:color w:val="000000"/>
        </w:rPr>
        <w:t> </w:t>
      </w:r>
    </w:p>
    <w:tbl>
      <w:tblPr>
        <w:tblW w:w="125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left"/>
        <w:rPr>
          <w:rFonts w:ascii="Times New Roman;serif" w:hAnsi="Times New Roman;serif"/>
          <w:b/>
          <w:color w:val="000000"/>
          <w:sz w:val="20"/>
        </w:rPr>
      </w:pPr>
      <w:r>
        <w:rPr>
          <w:rFonts w:ascii="Times New Roman;serif" w:hAnsi="Times New Roman;serif"/>
          <w:b/>
          <w:color w:val="000000"/>
          <w:sz w:val="20"/>
        </w:rPr>
        <w:t>Interest expense</w:t>
      </w:r>
    </w:p>
    <w:p>
      <w:pPr>
        <w:pStyle w:val="TextBody"/>
        <w:bidi w:val="0"/>
        <w:spacing w:before="0" w:after="0"/>
        <w:ind w:left="0" w:right="0" w:firstLine="36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For the year ended December 31, 2025, the Company's interest expense increased by $7.0 million as compared to the corresponding period in the prior year. The increase was due to higher borrowing levels that partially funded our recent acquisitions. See Note 10 for additional information.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left"/>
        <w:rPr>
          <w:rFonts w:ascii="Times New Roman;serif" w:hAnsi="Times New Roman;serif"/>
          <w:b/>
          <w:color w:val="000000"/>
          <w:sz w:val="20"/>
        </w:rPr>
      </w:pPr>
      <w:r>
        <w:rPr>
          <w:rFonts w:ascii="Times New Roman;serif" w:hAnsi="Times New Roman;serif"/>
          <w:b/>
          <w:color w:val="000000"/>
          <w:sz w:val="20"/>
        </w:rPr>
        <w:t>Interest income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Interest income for the year ended December 31, 2025 decreased by $17.2 million due to lower average interest earning balances in the current year. </w:t>
      </w:r>
    </w:p>
    <w:p>
      <w:pPr>
        <w:pStyle w:val="TextBody"/>
        <w:bidi w:val="0"/>
        <w:spacing w:before="0" w:after="0"/>
        <w:ind w:left="0" w:right="0" w:firstLine="36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Loss on debt extinguishment</w:t>
      </w:r>
    </w:p>
    <w:p>
      <w:pPr>
        <w:pStyle w:val="TextBody"/>
        <w:bidi w:val="0"/>
        <w:spacing w:before="0" w:after="0"/>
        <w:ind w:left="0" w:right="0" w:firstLine="36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 xml:space="preserve">Losses on debt extinguishment of $3.8 million for the year ended December 31, 2025 related to the make-whole premium payment and accelerated amortization of debt issuance costs related to the redemption of the April 2026 Notes.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Table of Contents</w:t>
      </w:r>
    </w:p>
    <w:p>
      <w:pPr>
        <w:pStyle w:val="TextBody"/>
        <w:bidi w:val="0"/>
        <w:spacing w:before="0" w:after="0"/>
        <w:ind w:left="0" w:right="0" w:firstLine="720"/>
        <w:jc w:val="both"/>
        <w:rPr/>
      </w:pPr>
      <w:r>
        <w:rPr/>
      </w:r>
    </w:p>
    <w:p>
      <w:pPr>
        <w:pStyle w:val="TextBody"/>
        <w:bidi w:val="0"/>
        <w:spacing w:lineRule="auto" w:line="288" w:before="0" w:after="0"/>
        <w:ind w:left="0" w:right="0" w:firstLine="360"/>
        <w:jc w:val="both"/>
        <w:rPr>
          <w:rFonts w:ascii="Times New Roman;serif" w:hAnsi="Times New Roman;serif"/>
          <w:b/>
          <w:color w:val="000000"/>
          <w:sz w:val="20"/>
        </w:rPr>
      </w:pPr>
      <w:r>
        <w:rPr>
          <w:rFonts w:ascii="Times New Roman;serif" w:hAnsi="Times New Roman;serif"/>
          <w:b/>
          <w:color w:val="000000"/>
          <w:sz w:val="20"/>
        </w:rPr>
        <w:t>Net income attributable to noncontrolling interest in the Operating Partnership</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partial consideration for certain real estate acquisitions, the Company's operating partnership has issued OP Units. OP Units are exchangeable for common shares of the Company on a one-for-one basis, subject to certain terms and conditions. The operating partnership is a variable interest entity ("VIE") in which the Company is the primary beneficiary because it has the power to direct the activities of the VIE that most significantly impact the partnership's economic performance and has the obligation to absorb losses of the VIE that could be potentially significant to the VIE and the right to receive benefits from the VIE that could be significant to the VIE. Therefore, the Company consolidates the accounts of the operating partnership, and reflects the third party ownership in this entity as a noncontrolling interest in the Consolidated Balance Sheets and allocates the proportion of net income to the noncontrolling interests on the Consolidated Statements of Income.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net income or loss is allocated to noncontrolling interests based on the respective ownership or voting percentage in the Operating Partnership associated with such noncontrolling interests and is removed from consolidated income or loss on the Consolidated Statements of Operations in order to derive net income or loss attributable to common stockholders. The noncontrolling ownership percentage is calculated by dividing the aggregate number of LTIP Units and OP Units by the total number of units and shares outstanding.</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primary sources of liquidity and capital resources are cash flow from operations, borrowings from banks, and proceeds from the issuance of debt and equity securities.</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Net cash provided by operating activities was $1,129.4 million and $1,072.8 million during the years ended December 31, 2025 and 2024, respectively. The increase in net cash provided by operating activities of $56.6 million for the year ended December 31, 2025 as compared to the prior year was primarily due to an increase in cash receipts from customers of $93.6 million along with an increase in interest income of $4.5 million, an increase in cash received on terminated interest rate swaps of $1.0 million and a decrease in cash paid for taxes of $1.3 million, partially offset by increases in cash paid for interest of $27.0 million, cash paid for operating expenses of $13.1 million, and cash paid to employees of $3.4 million. The increase in cash receipts collected from our customers for the year ended December 31, 2025, as compared to the corresponding period in the prior year, was due to increased rental income from the Company's recent acquisitions and lease escalations and the increase in interest paid was due to increased borrowings that partially funded our recent acquisitions and prefunding the redemption for our $850 million, 5.25% senior unsecured note that occurred in March 2025.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Investing activities used net cash of $308.8 million for the year ended December 31, 2025 and $1,605.9 million during the year ended December 31, 2024, respectively. Net cash used by investing activities during the year ended December 31, 2025 primarily consisted of the maturity of zero coupon U.S. Treasury Bills totaling $550.0 million, partially offset by Ione Loan and Dry Creek Loan fundings of $85.3 million, $285.0 million for the acquisition of the real estate assets for the new M Resort tower and the Joliet landside project, and capital expenditures of $304.4 million primarily related to the funding of development projects and $184.1 million for the real estate assets contained within Strategic Gaming Lease for Sunland Park which was accounted for as Investment in leases, financing receivables. Net cash used in investing activities during the year ended December 31, 2024 consisted primarily of $844.3 million for the acquisition of the real estate assets of Bally's Kansas City and Shreveport properties which were added to the Bally's Master Lease II, the acquisition of real estate for Bally's Chicago, the Belle landside development project and the real estate assets contained within the Tioga Downs Lease and Strategic Gaming Leases which were accounted for as Investment in leases, financing receivables. The Company had real estate loan originations of $125.2 million, $48.6 million for the demolition funding related to the development project at the Tropicana site, the purchase of zero coupon U.S. Treasury Bills totaling $891.0 million, and capital expenditures equal to $39.7 million, partially offset by the maturity of zero coupon U.S. Treasury Bills totaling $341.0 million and the proceeds from a tax refund related to a previous acquisition of $1.8 million.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Financing activities used net cash of $1,059.0 million and provided net cash of $311.8 million during the years ended December 31, 2025 and December 31, 2024, respectively. Net cash used by financing activities for the year ended December 31, 2025 was driven by repayments of long term debt of $1,826.0 million, dividend payments of $871.9 million, non-controlling interest distributions of $25.8 million, financing costs of $15.4 million and taxes paid related to shares withheld for tax purposes on restricted stock award vestings of $14.8 million. These items were partially offset by $1,292.2 million of proceeds from the issuance of long-term debt and $402.8 million of net proceeds from the issuance of common stock. Net cash provided by financing activities for the year ended December 31, 2024 was driven by $1,521.9 million of proceeds from the issuance of long-term debt and $148.2 million of net proceeds from the issuance of common stock. These items were partially offset by the repayment of long term debt of $463.6 million, dividend payments of $830.7 million, non-controlling interest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Table of Contents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distributions of $24.6 million, financing costs of $24.7 million and taxes paid related to shares withheld for tax purposes on restricted stock award vestings of $14.7 million.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Capital Expenditures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Capital expenditures are accounted for as either capital project or capital maintenance (replacement) expenditures. Capital project expenditures are for fixed asset additions that expand an existing facility or create a new facility. The cost of properties developed by the Company include costs of construction, property taxes, interest and other miscellaneous costs incurred during the development period until the project is substantially complete and available for occupancy. Capital maintenance expenditures are expenditures to replace existing fixed assets with a useful life greater than one year that are obsolete, worn out or no longer cost effective to repair.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years ended December 31, 2025 and 2024, we spent approximately $304.4 million and $39.6 million, respectively, on capital project expenditures primarily related to development projects at Bally's Chicago, Casino Queen Marquette and Bally's Baton Rouge.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Funding commitments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we have entered into various commitments or call rights to finance/acquire future investments in gaming and related facilities for our tenants. These are detailed in the table below. Our tenants retain the option to decline our financing for certain projects and may seek alternative financing solutions. The inclusion of a commitment in this disclosure does not guarantee that the financing will be utilized by the tenant in circumstances where a tenant has the option. </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1964"/>
        <w:gridCol w:w="1689"/>
        <w:gridCol w:w="1699"/>
        <w:gridCol w:w="109"/>
        <w:gridCol w:w="723"/>
        <w:gridCol w:w="723"/>
        <w:gridCol w:w="725"/>
        <w:gridCol w:w="752"/>
        <w:gridCol w:w="752"/>
        <w:gridCol w:w="1069"/>
      </w:tblGrid>
      <w:tr>
        <w:trPr/>
        <w:tc>
          <w:tcPr>
            <w:tcW w:w="1964" w:type="dxa"/>
            <w:tcBorders/>
            <w:vAlign w:val="center"/>
          </w:tcPr>
          <w:p>
            <w:pPr>
              <w:pStyle w:val="TableContents"/>
              <w:bidi w:val="0"/>
              <w:spacing w:before="0" w:after="283"/>
              <w:jc w:val="left"/>
              <w:rPr>
                <w:sz w:val="4"/>
                <w:szCs w:val="4"/>
              </w:rPr>
            </w:pPr>
            <w:r>
              <w:rPr>
                <w:sz w:val="4"/>
                <w:szCs w:val="4"/>
              </w:rPr>
            </w:r>
          </w:p>
        </w:tc>
        <w:tc>
          <w:tcPr>
            <w:tcW w:w="1689" w:type="dxa"/>
            <w:tcBorders/>
            <w:vAlign w:val="center"/>
          </w:tcPr>
          <w:p>
            <w:pPr>
              <w:pStyle w:val="TableContents"/>
              <w:bidi w:val="0"/>
              <w:spacing w:before="0" w:after="283"/>
              <w:jc w:val="left"/>
              <w:rPr>
                <w:sz w:val="4"/>
                <w:szCs w:val="4"/>
              </w:rPr>
            </w:pPr>
            <w:r>
              <w:rPr>
                <w:sz w:val="4"/>
                <w:szCs w:val="4"/>
              </w:rPr>
            </w:r>
          </w:p>
        </w:tc>
        <w:tc>
          <w:tcPr>
            <w:tcW w:w="16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r>
      <w:tr>
        <w:trPr/>
        <w:tc>
          <w:tcPr>
            <w:tcW w:w="5352"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Description</w:t>
            </w:r>
          </w:p>
        </w:tc>
        <w:tc>
          <w:tcPr>
            <w:tcW w:w="109" w:type="dxa"/>
            <w:tcBorders/>
            <w:vAlign w:val="center"/>
          </w:tcPr>
          <w:p>
            <w:pPr>
              <w:pStyle w:val="TableContents"/>
              <w:bidi w:val="0"/>
              <w:spacing w:before="0" w:after="283"/>
              <w:jc w:val="left"/>
              <w:rPr>
                <w:sz w:val="4"/>
                <w:szCs w:val="4"/>
              </w:rPr>
            </w:pPr>
            <w:r>
              <w:rPr>
                <w:sz w:val="4"/>
                <w:szCs w:val="4"/>
              </w:rPr>
            </w:r>
          </w:p>
        </w:tc>
        <w:tc>
          <w:tcPr>
            <w:tcW w:w="2171"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Estimated Commitment amount</w:t>
            </w:r>
          </w:p>
        </w:tc>
        <w:tc>
          <w:tcPr>
            <w:tcW w:w="2573"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 funded at December 31, 2025</w:t>
            </w:r>
          </w:p>
        </w:tc>
      </w:tr>
      <w:tr>
        <w:trPr/>
        <w:tc>
          <w:tcPr>
            <w:tcW w:w="53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Relocation of Hollywood Casino Aurora </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21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$225 million</w:t>
            </w:r>
          </w:p>
        </w:tc>
        <w:tc>
          <w:tcPr>
            <w:tcW w:w="25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None</w:t>
            </w:r>
          </w:p>
        </w:tc>
      </w:tr>
      <w:tr>
        <w:trPr/>
        <w:tc>
          <w:tcPr>
            <w:tcW w:w="5352"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Funding associated with a landside move at Ameristar Casino Council Bluffs </w:t>
            </w:r>
            <w:r>
              <w:rPr>
                <w:rFonts w:ascii="Times New Roman;serif" w:hAnsi="Times New Roman;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2171"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 million</w:t>
            </w:r>
          </w:p>
        </w:tc>
        <w:tc>
          <w:tcPr>
            <w:tcW w:w="2573"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None</w:t>
            </w:r>
          </w:p>
        </w:tc>
      </w:tr>
      <w:tr>
        <w:trPr/>
        <w:tc>
          <w:tcPr>
            <w:tcW w:w="5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Potential transaction at the former Tropicana Las Vegas site with Bally's</w:t>
            </w:r>
          </w:p>
        </w:tc>
        <w:tc>
          <w:tcPr>
            <w:tcW w:w="109" w:type="dxa"/>
            <w:tcBorders/>
            <w:vAlign w:val="center"/>
          </w:tcPr>
          <w:p>
            <w:pPr>
              <w:pStyle w:val="TableContents"/>
              <w:bidi w:val="0"/>
              <w:spacing w:before="0" w:after="283"/>
              <w:jc w:val="left"/>
              <w:rPr>
                <w:sz w:val="4"/>
                <w:szCs w:val="4"/>
              </w:rPr>
            </w:pPr>
            <w:r>
              <w:rPr>
                <w:sz w:val="4"/>
                <w:szCs w:val="4"/>
              </w:rPr>
            </w:r>
          </w:p>
        </w:tc>
        <w:tc>
          <w:tcPr>
            <w:tcW w:w="2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$175 million</w:t>
            </w:r>
          </w:p>
        </w:tc>
        <w:tc>
          <w:tcPr>
            <w:tcW w:w="25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$48.5 million</w:t>
            </w:r>
          </w:p>
        </w:tc>
      </w:tr>
      <w:tr>
        <w:trPr/>
        <w:tc>
          <w:tcPr>
            <w:tcW w:w="5352"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construction costs for Bally's Chicago</w:t>
            </w:r>
          </w:p>
        </w:tc>
        <w:tc>
          <w:tcPr>
            <w:tcW w:w="109" w:type="dxa"/>
            <w:tcBorders/>
            <w:vAlign w:val="center"/>
          </w:tcPr>
          <w:p>
            <w:pPr>
              <w:pStyle w:val="TableContents"/>
              <w:bidi w:val="0"/>
              <w:spacing w:before="0" w:after="283"/>
              <w:jc w:val="left"/>
              <w:rPr>
                <w:sz w:val="4"/>
                <w:szCs w:val="4"/>
              </w:rPr>
            </w:pPr>
            <w:r>
              <w:rPr>
                <w:sz w:val="4"/>
                <w:szCs w:val="4"/>
              </w:rPr>
            </w:r>
          </w:p>
        </w:tc>
        <w:tc>
          <w:tcPr>
            <w:tcW w:w="2171"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$940 million</w:t>
            </w:r>
          </w:p>
        </w:tc>
        <w:tc>
          <w:tcPr>
            <w:tcW w:w="2573"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$201.6 million</w:t>
            </w:r>
          </w:p>
        </w:tc>
      </w:tr>
      <w:tr>
        <w:trPr/>
        <w:tc>
          <w:tcPr>
            <w:tcW w:w="5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costs for a landside development project at Casino Queen Marquette</w:t>
            </w:r>
          </w:p>
        </w:tc>
        <w:tc>
          <w:tcPr>
            <w:tcW w:w="109" w:type="dxa"/>
            <w:tcBorders/>
            <w:vAlign w:val="center"/>
          </w:tcPr>
          <w:p>
            <w:pPr>
              <w:pStyle w:val="TableContents"/>
              <w:bidi w:val="0"/>
              <w:spacing w:before="0" w:after="283"/>
              <w:jc w:val="left"/>
              <w:rPr>
                <w:sz w:val="4"/>
                <w:szCs w:val="4"/>
              </w:rPr>
            </w:pPr>
            <w:r>
              <w:rPr>
                <w:sz w:val="4"/>
                <w:szCs w:val="4"/>
              </w:rPr>
            </w:r>
          </w:p>
        </w:tc>
        <w:tc>
          <w:tcPr>
            <w:tcW w:w="2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$16.5 million</w:t>
            </w:r>
          </w:p>
        </w:tc>
        <w:tc>
          <w:tcPr>
            <w:tcW w:w="25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$9.6 million</w:t>
            </w:r>
          </w:p>
        </w:tc>
      </w:tr>
      <w:tr>
        <w:trPr/>
        <w:tc>
          <w:tcPr>
            <w:tcW w:w="5352"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Ione Loan to fund a new casino development near Sacramento, California</w:t>
            </w:r>
          </w:p>
        </w:tc>
        <w:tc>
          <w:tcPr>
            <w:tcW w:w="109" w:type="dxa"/>
            <w:tcBorders/>
            <w:vAlign w:val="center"/>
          </w:tcPr>
          <w:p>
            <w:pPr>
              <w:pStyle w:val="TableContents"/>
              <w:bidi w:val="0"/>
              <w:spacing w:before="0" w:after="283"/>
              <w:jc w:val="left"/>
              <w:rPr>
                <w:sz w:val="4"/>
                <w:szCs w:val="4"/>
              </w:rPr>
            </w:pPr>
            <w:r>
              <w:rPr>
                <w:sz w:val="4"/>
                <w:szCs w:val="4"/>
              </w:rPr>
            </w:r>
          </w:p>
        </w:tc>
        <w:tc>
          <w:tcPr>
            <w:tcW w:w="2171"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$110 million</w:t>
            </w:r>
          </w:p>
        </w:tc>
        <w:tc>
          <w:tcPr>
            <w:tcW w:w="2573"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$56.6 million</w:t>
            </w:r>
          </w:p>
        </w:tc>
      </w:tr>
      <w:tr>
        <w:trPr/>
        <w:tc>
          <w:tcPr>
            <w:tcW w:w="5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Call right to acquire Bally's Lincoln</w:t>
            </w:r>
          </w:p>
        </w:tc>
        <w:tc>
          <w:tcPr>
            <w:tcW w:w="109" w:type="dxa"/>
            <w:tcBorders/>
            <w:vAlign w:val="center"/>
          </w:tcPr>
          <w:p>
            <w:pPr>
              <w:pStyle w:val="TableContents"/>
              <w:bidi w:val="0"/>
              <w:spacing w:before="0" w:after="283"/>
              <w:jc w:val="left"/>
              <w:rPr>
                <w:sz w:val="4"/>
                <w:szCs w:val="4"/>
              </w:rPr>
            </w:pPr>
            <w:r>
              <w:rPr>
                <w:sz w:val="4"/>
                <w:szCs w:val="4"/>
              </w:rPr>
            </w:r>
          </w:p>
        </w:tc>
        <w:tc>
          <w:tcPr>
            <w:tcW w:w="2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$700 million</w:t>
            </w:r>
          </w:p>
        </w:tc>
        <w:tc>
          <w:tcPr>
            <w:tcW w:w="25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None</w:t>
            </w:r>
          </w:p>
        </w:tc>
      </w:tr>
      <w:tr>
        <w:trPr/>
        <w:tc>
          <w:tcPr>
            <w:tcW w:w="5352"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Funding commitment for the future site and construction for Live! Virginia Casino &amp; Hotel</w:t>
            </w:r>
          </w:p>
        </w:tc>
        <w:tc>
          <w:tcPr>
            <w:tcW w:w="109" w:type="dxa"/>
            <w:tcBorders/>
            <w:vAlign w:val="center"/>
          </w:tcPr>
          <w:p>
            <w:pPr>
              <w:pStyle w:val="TableContents"/>
              <w:bidi w:val="0"/>
              <w:spacing w:before="0" w:after="283"/>
              <w:jc w:val="left"/>
              <w:rPr>
                <w:sz w:val="4"/>
                <w:szCs w:val="4"/>
              </w:rPr>
            </w:pPr>
            <w:r>
              <w:rPr>
                <w:sz w:val="4"/>
                <w:szCs w:val="4"/>
              </w:rPr>
            </w:r>
          </w:p>
        </w:tc>
        <w:tc>
          <w:tcPr>
            <w:tcW w:w="2171"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$467 million</w:t>
            </w:r>
          </w:p>
        </w:tc>
        <w:tc>
          <w:tcPr>
            <w:tcW w:w="2573"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None</w:t>
            </w:r>
          </w:p>
        </w:tc>
      </w:tr>
      <w:tr>
        <w:trPr/>
        <w:tc>
          <w:tcPr>
            <w:tcW w:w="5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Delayed draw term loan for Dry Creek Rancheria Resort development</w:t>
            </w:r>
          </w:p>
        </w:tc>
        <w:tc>
          <w:tcPr>
            <w:tcW w:w="109" w:type="dxa"/>
            <w:tcBorders/>
            <w:vAlign w:val="center"/>
          </w:tcPr>
          <w:p>
            <w:pPr>
              <w:pStyle w:val="TableContents"/>
              <w:bidi w:val="0"/>
              <w:spacing w:before="0" w:after="283"/>
              <w:jc w:val="left"/>
              <w:rPr>
                <w:sz w:val="4"/>
                <w:szCs w:val="4"/>
              </w:rPr>
            </w:pPr>
            <w:r>
              <w:rPr>
                <w:sz w:val="4"/>
                <w:szCs w:val="4"/>
              </w:rPr>
            </w:r>
          </w:p>
        </w:tc>
        <w:tc>
          <w:tcPr>
            <w:tcW w:w="2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$180 million</w:t>
            </w:r>
          </w:p>
        </w:tc>
        <w:tc>
          <w:tcPr>
            <w:tcW w:w="25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None</w:t>
            </w:r>
          </w:p>
        </w:tc>
      </w:tr>
    </w:tbl>
    <w:p>
      <w:pPr>
        <w:pStyle w:val="TextBody"/>
        <w:bidi w:val="0"/>
        <w:spacing w:before="0" w:after="0"/>
        <w:ind w:left="0" w:right="0" w:firstLine="72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(1)    PENN anticipates completing the relocation of its riverboat casino in Aurora to a land based facility in the first half of 2026. The Company anticipates funding $225 million at a 7.75% capitalization rate.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(2)    The Company has agreed to fund, if requested by PENN in their sole discretion, on or before March 31, 2029, construction improvements in an amount not to exceed the greater of (i) the hard costs associated with the project and (ii) $150.0 million at a 7.10% capitalization rate.</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Table of Contents</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Debt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Senior Unsecured Credit Agreement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a Senior Unsecured Amended Credit Agreement (the "Amended Credit Agreement") providing for a revolving commitment capacity of $2.09 billion with a maturity date of December 2, 2028 (the "Revolver"). GLP Capital is the primary obligor under the Amended Credit Agreement, which is guaranteed by GLPI.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the Amended Credit Agreement provides GLP Capital with the right to elect to re-allocate up to $1.04 billion in existing revolving commitments under the Amended Credit Agreement to one or more new revolving credit facilities (“Amended Bridge Revolving Facility” and, collectively, the "Amended Bridge Revolving Facilities"). Loans under any Amended Bridge Revolving Facility are subject to 1% amortization per annum. Amounts repaid under any Amended Bridge Revolving Facility cannot be reborrowed and the corresponding commitments are automatically re-allocated to the existing revolving facility.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Amended Bridge Revolving Facilities are intended to be used solely to fund cash distributions to third-party contributors in connection with their contribution of one or more properties to GLP Capital. GLP Capital’s ability to borrow under any Amended Bridge Revolving Facility is subject to certain conditions including pro forma compliance with GLP Capital’s financial covenants, as well as the receipt by the Agent of a satisfactory conditional guarantee of the loans under the applicable Amended Bridge Revolving Facility by the applicable contributor or its affiliate, subject to the prior enforcement of all remedies against GLP Capital, GLPI and other applicable sources other than such guarantor. Loans under the Amended Bridge Revolving Facility will not be treated pro rata with loans under the existing revolving credit facility.</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December 31, 2025, $331.6 million was outstanding under the Amended Credit Agreement. Additionally, at December 31, 2025, the Company was contingently obligated under letters of credit issued pursuant to the Amended Credit Agreement with face amounts aggregating approximately $0.4 million, resulting in $1,758.0 million of available borrowing capacity under the Amended Credit Agreement as of December 31, 2025.</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interest rates payable on the loans borrowed under the Amended Credit Agreement are, at GLP Capital's option, equal to either a SOFR based rate or a base rate plus an applicable margin, which ranges from 0.725% to 1.40% per annum for SOFR loans and 0.0% to 0.4% per annum for base rate loans, in each case, depending on the credit ratings assigned to the Amended Credit Agreement. The current applicable margin is 1.05% for SOFR loans and 0.05% for base rate loans. Notwithstanding the foregoing, in no event shall the base rate be less than 1.00%. In addition, GLP Capital will pay a facility fee on the commitments under the revolving facility, regardless of usage, at a rate that ranges from 0.125% to 0.3% per annum, depending on the credit rating assigned to the Amended Credit Agreement from time to time. The current facility fee rate is 0.25%. The Amended Credit Agreement is not subject to amortization. GLP Capital is not required to repay any loans under the Amended Credit Agreement prior to maturity. GLP Capital may prepay all or any portion of the loans under the Amended Credit Agreement prior to maturity without premium or penalty, subject to reimbursement of any SOFR breakage costs of the lenders and may reborrow loans that it has repaid. Subject to customary conditions, including pro forma compliance with financial covenants, GLP Capital can obtain additional term loan commitments and incur incremental term loans or revolving commitments, and outstanding bridge revolving loans shall not exceed $3.5 billion outstanding under the Amended Credit Agreement. There is currently no commitment in respect of such incremental loans and commitments. The weighted average interest rate under the Amended Credit Agreement at December 31, 2025 was 5.02%.</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Table of Contents</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Certain Covenants and Events of Default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Amended Credit Agreement contains customary covenants that, among other things, restrict, subject to certain exceptions, the ability of GLPI and its subsidiaries to grant liens on their assets, incur indebtedness, sell assets, make investments, engage in acquisitions, mergers or consolidations or pay certain dividends and make other restricted payments. The Amended Credit Agreement includes the following financial covenants, which are measured quarterly on a trailing four-quarter basis: a maximum total debt to total asset value ratio, a maximum senior secured debt to total asset value ratio, a maximum ratio of certain recourse debt to unencumbered asset value and a minimum fixed charge coverage ratio. GLPI is permitted to pay dividends to its shareholders as may be required in order to maintain REIT status, subject to the absence of payment or bankruptcy defaults. GLPI is also permitted to make other dividends and distributions subject to pro forma compliance with the financial covenants and the absence of defaults. The Amended Credit Agreement also contains certain customary affirmative covenants and events of default, including the occurrence of a change of control and termination of the Amended PENN Master Lease (subject to certain replacement rights). The occurrence and continuance of an event of default under the Amended Credit Agreement will enable the lenders under the Amended Credit Agreement to accelerate the loans and terminate the commitments thereunder. At December 31, 2025, the Company was in compliance with all required financial covenants under the Amended Credit Agreement.</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Term Loan Credit Agreement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2, 2022, GLP Capital entered into a term loan credit agreement (the "Term Loan Credit Agreement") with Wells Fargo Bank, National Association, as administrative agent (the "Term Loan Agent"), and the other agents and lenders party thereto from time to time, providing for a $600 million delayed draw credit facility with a maturity date of September 2, 2027 (the "Term Loan Credit Facility"). The Term Loan Credit Facility is guaranteed by GLPI.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availability of loans under the Term Loan Credit Facility is subject to customary conditions, including pro forma compliance with financial covenants, and the receipt by Term Loan Agent of a conditional guarantee of the Term Loan Credit Facility by Bally’s on a secondary basis, subject to enforcement of all remedies against GLP Capital, GLPI and all sources other than Bally’s. The loans under the Term Loan Credit Facility may be used solely to finance a portion of the purchase price of the acquisition of one or more specified properties of Bally’s in one or a series of related transactions and to pay fees, costs and expenses incurred in connection therewith. The Company drew down the entire $600 million Term Loan Credit Facility on January 3, 2023 in connection with the acquisition of the real property assets of Bally's Biloxi and Bally's Tiverton.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Interest Rate and Fees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interest rates per annum applicable to loans under the Term Loan Credit Facility are, at GLP Capital's option, equal to either a Secured Overnight Financing Rate ("SOFR") based rate or a base rate plus an applicable margin, which ranges from 0.85% to 1.7% per annum for SOFR loans and 0.0% to 0.7% per annum for base rate loans, in each case, depending on the credit ratings assigned to the Term Loan Credit Facility. The current applicable margin is 1.30% for SOFR loans and 0.30% for base rate loans. In addition, GLP Capital will pay a commitment fee on the unused commitments under the Term Loan Credit Facility at a rate that ranges from 0.125% to 0.3% per annum, depending on the credit ratings assigned to the Credit Facility from time to time. The current commitment fee rate is 0.25%. The weighted average interest rate under the Term Loan Credit Facility at December 31, 2025 was 5.02%.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Amortization and Prepayments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Term Loan Credit Facility is not subject to interim amortization. GLP Capital is not required to repay any loans under the Term Loan Credit Facility prior to maturity. GLP Capital may prepay all or any portion of the loans under the Term Loan Credit Facility prior to maturity without premium or penalty, subject to reimbursement of any SOFR breakage costs of the lenders, and may reborrow loans that it has repaid.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Certain Covenants and Events of Default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Term Loan Credit Facility contains customary covenants that, among other things, restrict, subject to certain exceptions, the ability of GLPI and its subsidiaries, including GLP Capital, to grant liens on their assets, incur indebtedness, sell assets, engage in acquisitions, mergers or consolidations, or pay certain dividends and make other restricted payments. The financial covenants include the following, which are measured quarterly on a trailing four-quarter basis: (i) maximum total debt to total asset value ratio, (ii) maximum senior secured debt to total asset value ratio, (iii) maximum ratio of certain recourse debt to unencumbered asset value, and (iv) minimum fixed charge coverage ratio. GLPI is required to maintain its status as a REIT and is permitted to pay dividends to its shareholders as may be required in order to maintain REIT status. GLPI is also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Table of Contents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permitted to make other dividends and distributions, subject to pro forma compliance with the financial covenants and the absence of defaults. The Term Loan Credit Facility also contains certain customary affirmative covenants and events of default. The occurrence and continuance of an event of default, which includes, among others, nonpayment of principal or interest, material inaccuracy of representations and failure to comply with covenants, will enable the lenders to accelerate the loans and terminate the commitments thereunder. At December 31, 2025, the Company was in compliance with all required financial covenants under the Term Loan Credit Facility.</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Senior Unsecured Notes</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0"/>
        </w:rPr>
        <w:t>At December 31, 2025, the Company had $6,350.0 million of outstanding senior unsecured notes (the "Senior Notes"). Each of the Company's Senior Notes contain covenants limiting the Company’s ability to: incur additional debt and use its assets to secure debt; merge or consolidate with another company; and make certain amendments to the Amended PENN Master Lease. The Senior Notes also require the Company to maintain a specified ratio of unencumbered assets to unsecured debt. These covenants are subject to a number of important and significant limitations, qualifications and exceptions.</w:t>
      </w:r>
    </w:p>
    <w:p>
      <w:pPr>
        <w:pStyle w:val="TextBody"/>
        <w:bidi w:val="0"/>
        <w:spacing w:lineRule="auto" w:line="276"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may redeem the Senior Notes of any series at any time, and from time to time, at a redemption price of 100% of the principal amount of the Senior Notes redeemed, plus a "make-whole" redemption premium described in the indenture governing the Senior Notes, together with accrued and unpaid interest to, but not including, the redemption date, except that if Senior Notes of a series are redeemed after their respective par call date (90-180 days prior to their maturity), the redemption price will be 100% of the principal amount of the Senior Notes redeemed, together with accrued and unpaid interest to, but not including, the redemption date. If GLPI experiences a change of control accompanied by a decline in the credit rating of the Senior Notes of a particular series, the Company will be required to give holders of the Senior Notes of such series the opportunity to sell their Senior Notes of such series at a price equal to 101% of the principal amount of the Senior Notes of such series, together with accrued and unpaid interest to, but not including, the repurchase date. The Senior Notes also are subject to mandatory redemption requirements imposed by gaming laws and regulations. </w:t>
      </w:r>
    </w:p>
    <w:p>
      <w:pPr>
        <w:pStyle w:val="TextBody"/>
        <w:bidi w:val="0"/>
        <w:spacing w:lineRule="auto" w:line="288" w:before="160" w:after="160"/>
        <w:ind w:left="0" w:right="0" w:firstLine="720"/>
        <w:jc w:val="both"/>
        <w:rPr/>
      </w:pPr>
      <w:r>
        <w:rPr>
          <w:rFonts w:ascii="Times New Roman;serif" w:hAnsi="Times New Roman;serif"/>
          <w:b w:val="false"/>
          <w:color w:val="000000"/>
          <w:sz w:val="20"/>
        </w:rPr>
        <w:t xml:space="preserve">The Senior Notes were issued by GLP Capital and GLP Financing II, Inc. (the "Issuers"), two consolidated subsidiaries of GLPI, and are guaranteed on a senior unsecured basis by GLPI. The guarantees of GLPI are full and unconditional. The Senior Notes are the Issuers' senior unsecured obligations and rank </w:t>
      </w:r>
      <w:r>
        <w:rPr>
          <w:rFonts w:ascii="Times New Roman;serif" w:hAnsi="Times New Roman;serif"/>
          <w:b w:val="false"/>
          <w:i/>
          <w:color w:val="000000"/>
          <w:sz w:val="20"/>
        </w:rPr>
        <w:t xml:space="preserve">pari passu </w:t>
      </w:r>
      <w:r>
        <w:rPr>
          <w:rFonts w:ascii="Times New Roman;serif" w:hAnsi="Times New Roman;serif"/>
          <w:b w:val="false"/>
          <w:color w:val="000000"/>
          <w:sz w:val="20"/>
        </w:rPr>
        <w:t xml:space="preserve">in right of payment with all of the Issuers' senior indebtedness, including the Amended Credit Agreement, and senior in right of payment to all of the Issuers' subordinated indebtedness, without giving effect to collateral arrangements.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Senior Notes contain covenants limiting the Company’s ability to: incur additional debt and use its assets to secure debt; merge or consolidate with another company; and make certain amendments to the Amended PENN Master Lease. The Senior Notes also require the Company to maintain a specified ratio of unencumbered assets to unsecured debt. These covenants are subject to a number of important and significant limitations, qualifications and exceptions.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GLPI owns all of the assets of GLP Capital and conducts all of its operations through the operating partnership. Based on the amendments to Rule 3-10 of Regulation S-X, we note that since GLPI fully and unconditionally guarantees the debt securities of the Issuers and consolidates both Issuers, we are not required to provide separate financial statements for the Issuers and GLPI since they are consolidated into GLPI and the GLPI guarantee is "full and unconditional".</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Furthermore, as permitted under Rule 13-01(a)(4)(vi), we excluded the summarized financial information for the Issuers because the assets, liabilities and results of operations of the Issuers and GLPI are not materially different than the corresponding amounts in GLPI's consolidated financial statements and we believe such summarized financial information would be repetitive and would not provide incremental value to investors.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December 31, 2025, the Company was in compliance with all required financial covenants under its Senior Notes.</w:t>
      </w:r>
    </w:p>
    <w:p>
      <w:pPr>
        <w:pStyle w:val="TextBody"/>
        <w:bidi w:val="0"/>
        <w:spacing w:before="0" w:after="0"/>
        <w:jc w:val="left"/>
        <w:rPr/>
      </w:pPr>
      <w:r>
        <w:rPr/>
      </w: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Distribution Requirements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generally must distribute annually at least 90% of our REIT taxable income, determined without regard to the dividends paid deduction and excluding any net capital gains, in order to qualify to be taxed as a REIT (assuming that certain other requirements are also satisfied) so that U.S. federal corporate income tax does not apply to earnings that we distribute. Such distributions generally can be made with cash and/or a combination of cash and Company common stock if certain requirements are met. To the extent that we satisfy this distribution requirement and qualify for taxation as a REIT but distribute less than 100% of our REIT taxable income, determined without regard to the dividends paid deduction and including any net capital gains, we will be subject to U.S. federal corporate income tax on our undistributed net taxable income. In addition, we will be subject to a 4% nondeductible excise tax if the actual amount that we distribute to our shareholders in a calendar year is less than a minimum amount specified under U.S. federal income tax laws. We intend to make distributions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Table of Contents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shareholders to comply with the REIT requirements of the Code. To the extent any of the Company's taxable income was not previously distributed, the Company will make a dividend declaration pursuant to Section 858(a)(1) of the Code, allowing the Company to treat certain dividends that are to be distributed after the close of a taxable year as having been paid during the taxable year.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Outlook</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During the year ended December 31, 2025, the Company entered into a new continuos equity offering program under which the Company may sell up to an aggregate of $1.25 billion of its common stock from time to time through a sales agent in "at the market" offerings (the "2025 ATM Program") which replaced the Company's previous ATM program. As of December 31, 2025, the Company had</w:t>
      </w:r>
      <w:r>
        <w:rPr>
          <w:color w:val="000000"/>
          <w:shd w:fill="FFFFFF" w:val="clear"/>
        </w:rPr>
        <w:t xml:space="preserve"> </w:t>
      </w:r>
      <w:r>
        <w:rPr>
          <w:rFonts w:ascii="Times New Roman;serif" w:hAnsi="Times New Roman;serif"/>
          <w:b w:val="false"/>
          <w:color w:val="000000"/>
          <w:sz w:val="20"/>
          <w:shd w:fill="FFFFFF" w:val="clear"/>
        </w:rPr>
        <w:t>$886.7 m</w:t>
      </w:r>
      <w:r>
        <w:rPr>
          <w:rFonts w:ascii="Times New Roman;serif" w:hAnsi="Times New Roman;serif"/>
          <w:b w:val="false"/>
          <w:color w:val="000000"/>
          <w:sz w:val="20"/>
        </w:rPr>
        <w:t xml:space="preserve">illion remaining for issuance under the 2025 ATM Program.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Based on our current level of operations and anticipated earnings, we believe that cash generated from operations and cash on hand, together with amounts available under our Amended Credit Agreement and our ability to raise equity proceeds (including the Company's 2025 ATM Program), will be adequate to meet our anticipated debt service requirements, capital expenditures, working capital needs and dividend requirements. </w:t>
      </w:r>
    </w:p>
    <w:p>
      <w:pPr>
        <w:pStyle w:val="TextBody"/>
        <w:bidi w:val="0"/>
        <w:spacing w:before="0" w:after="0"/>
        <w:ind w:left="0" w:right="0" w:firstLine="45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expect the majority of our future growth to come from funding commitments to our tenants and acquisitions of gaming and other properties to lease to third parties. If we consummate significant acquisitions in the future, our cash requirements may increase significantly and we would likely need to raise additional proceeds through a combination of either common equity (including under our 2025 ATM Program), issuance of additional OP Units, and/or debt offerings. Our future operating performance and our ability to service or refinance our debt will be subject to future economic conditions and to financial, business and other factors, many of which are beyond our control. See "Risk Factors-Risks Related to Our Capital Structure" of this Annual Report on Form 10-K for a discussion of the risk related to our capital structure.</w:t>
      </w:r>
    </w:p>
    <w:p>
      <w:pPr>
        <w:pStyle w:val="TextBody"/>
        <w:bidi w:val="0"/>
        <w:spacing w:before="0" w:after="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Table of Contents</w:t>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7A. QUANTITATIVE AND QUALITATIVE DISCLOSURES ABOUT MARKET RISK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face market risk exposure in the form of interest rate risk. These market risks arise from our debt obligations. We have no international operations. Our exposure to foreign currency fluctuations is not significant to our financial condition or results of operations.</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GLPI’s primary market risk exposure is interest rate risk with respect to its indebtedness of $7,281.8 million at December 31, 2025. Furthermore, $6,350.0 million of our obligations are the senior unsecured notes that have fixed interest rates with maturity dates ranging from June 2028 to September 2054. An increase in interest rates could make the financing of any acquisition by GLPI more costly, as well as increase the costs of its variable rate debt obligations. Rising interest rates could also limit GLPI’s ability to refinance its debt when it matures or cause GLPI to pay higher interest rates upon refinancing and increase interest expense on refinanced indebtedness. GLPI may manage, or hedge, interest rate risks related to its borrowings by means of interest rate swap agreements. GLPI also expects to manage its exposure to interest rate risk by maintaining a mix of fixed and variable rates for its indebtedness. However, the provisions of the Code applicable to REITs substantially limit GLPI’s ability to hedge its assets and liabilities.</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table below provides information at December 31, 2025 about our financial instruments that are sensitive to changes in interest rates. For debt obligations, the table presents notional amounts maturing in each fiscal year and the related weighted-average interest rates by maturity dates. Notional amounts are used to calculate the contractual payments to be exchanged by maturity date and the weighted-average interest rates are based on implied forward SOFR rates at December 31, 2025.</w:t>
      </w:r>
    </w:p>
    <w:p>
      <w:pPr>
        <w:pStyle w:val="TextBody"/>
        <w:bidi w:val="0"/>
        <w:spacing w:lineRule="auto" w:line="288" w:before="0" w:after="0"/>
        <w:jc w:val="left"/>
        <w:rPr>
          <w:color w:val="000000"/>
        </w:rPr>
      </w:pPr>
      <w:r>
        <w:rPr>
          <w:color w:val="000000"/>
        </w:rPr>
        <w:t> </w:t>
      </w:r>
    </w:p>
    <w:tbl>
      <w:tblPr>
        <w:tblW w:w="12580" w:type="dxa"/>
        <w:jc w:val="left"/>
        <w:tblInd w:w="0" w:type="dxa"/>
        <w:tblLayout w:type="fixed"/>
        <w:tblCellMar>
          <w:top w:w="28" w:type="dxa"/>
          <w:left w:w="28" w:type="dxa"/>
          <w:bottom w:w="28" w:type="dxa"/>
          <w:right w:w="28" w:type="dxa"/>
        </w:tblCellMar>
      </w:tblPr>
      <w:tblGrid>
        <w:gridCol w:w="326"/>
        <w:gridCol w:w="287"/>
        <w:gridCol w:w="288"/>
        <w:gridCol w:w="196"/>
        <w:gridCol w:w="556"/>
        <w:gridCol w:w="241"/>
        <w:gridCol w:w="109"/>
        <w:gridCol w:w="109"/>
        <w:gridCol w:w="109"/>
        <w:gridCol w:w="196"/>
        <w:gridCol w:w="736"/>
        <w:gridCol w:w="241"/>
        <w:gridCol w:w="109"/>
        <w:gridCol w:w="109"/>
        <w:gridCol w:w="109"/>
        <w:gridCol w:w="196"/>
        <w:gridCol w:w="736"/>
        <w:gridCol w:w="241"/>
        <w:gridCol w:w="109"/>
        <w:gridCol w:w="109"/>
        <w:gridCol w:w="109"/>
        <w:gridCol w:w="196"/>
        <w:gridCol w:w="736"/>
        <w:gridCol w:w="241"/>
        <w:gridCol w:w="109"/>
        <w:gridCol w:w="109"/>
        <w:gridCol w:w="109"/>
        <w:gridCol w:w="196"/>
        <w:gridCol w:w="736"/>
        <w:gridCol w:w="241"/>
        <w:gridCol w:w="109"/>
        <w:gridCol w:w="109"/>
        <w:gridCol w:w="109"/>
        <w:gridCol w:w="196"/>
        <w:gridCol w:w="871"/>
        <w:gridCol w:w="241"/>
        <w:gridCol w:w="109"/>
        <w:gridCol w:w="109"/>
        <w:gridCol w:w="109"/>
        <w:gridCol w:w="196"/>
        <w:gridCol w:w="871"/>
        <w:gridCol w:w="109"/>
        <w:gridCol w:w="109"/>
        <w:gridCol w:w="109"/>
        <w:gridCol w:w="109"/>
        <w:gridCol w:w="196"/>
        <w:gridCol w:w="871"/>
        <w:gridCol w:w="154"/>
      </w:tblGrid>
      <w:tr>
        <w:trPr/>
        <w:tc>
          <w:tcPr>
            <w:tcW w:w="32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9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1/01/26- 12/31/26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1/01/27- 12/31/27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1/01/28- 12/31/28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1/01/29- 12/31/29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1/01/30- 12/31/30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at 12/31/2025</w:t>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679"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Long-term debt:</w:t>
            </w:r>
          </w:p>
        </w:tc>
        <w:tc>
          <w:tcPr>
            <w:tcW w:w="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Fixed rate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750,000 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700,000 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4,400,000 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6,295,709 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Average interest rate </w:t>
            </w:r>
            <w:r>
              <w:rPr>
                <w:rFonts w:ascii="Times New Roman;serif" w:hAnsi="Times New Roman;serif"/>
                <w:b w:val="false"/>
                <w:color w:val="000000"/>
                <w:sz w:val="10"/>
              </w:rPr>
              <w:t>(1)</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5.75 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5.30 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5.06 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Variable rate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603,325 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324,975 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931,624 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931,624 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Average interest rate </w:t>
            </w:r>
            <w:r>
              <w:rPr>
                <w:rFonts w:ascii="Times New Roman;serif" w:hAnsi="Times New Roman;serif"/>
                <w:b w:val="false"/>
                <w:color w:val="000000"/>
                <w:sz w:val="10"/>
              </w:rPr>
              <w:t>(2)</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4.43 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4.49 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4.76 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bl>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In connection with the issuance of our November 2037 Notes, the Company terminated certain interest rate hedges, resulting in a realized gain of approximately $1.0 million that is being amortized as a reduction to interest expense over a 10-year period. The table above reflects the contractual stated coupon rates; the impact of the terminated hedge is not reflected in the table.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 xml:space="preserve">(2)     </w:t>
      </w:r>
      <w:r>
        <w:rPr>
          <w:rFonts w:ascii="Times New Roman;serif" w:hAnsi="Times New Roman;serif"/>
          <w:b w:val="false"/>
          <w:color w:val="000000"/>
          <w:sz w:val="20"/>
        </w:rPr>
        <w:t>Estimated rate, reflective of forward SOFR plus the spread over SOFR applicable to the Company's variable-rate borrowing based on the terms of its Amended Credit Agreement. Rate above includes the facility fee on the commitments under the Amended Credit Agreement, which is due regardless of usage, at a rate that ranges from 0.125% to 0.3% per annum, depending on the credit rating assigned to the Amended Credit Agreement from time to time. The current facility fee rate is 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Table of Contents</w:t>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 xml:space="preserve">ITEM 8.    FINANCIAL STATEMENTS AND SUPPLEMENTARY DATA </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 xml:space="preserve">REPORT OF INDEPENDENT REGISTERED PUBLIC ACCOUNTING FIRM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 the shareholders and the Board of Directors of</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Gaming and Leisure Properties, Inc. and subsidiaries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Opinion on the Financial Statements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have audited the accompanying consolidated balance sheets of Gaming and Leisure Properties, Inc. and subsidiaries (the "Company") as of December 31, 2025 and 2024, the related consolidated statements of operations and comprehensive income, changes in equity, and cash flows, for each of the three years in the period ended December 31, 2025, and the related notes and the schedules listed in the Index at Item 15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We have also audited, in accordance with the standards of the Public Company Accounting Oversight Board (United States) (PCAOB), the Company's internal control over financial reporting as of December 31, 2025, based on criteria established in </w:t>
      </w:r>
      <w:r>
        <w:rPr>
          <w:rFonts w:ascii="Times New Roman;serif" w:hAnsi="Times New Roman;serif"/>
          <w:b w:val="false"/>
          <w:i/>
          <w:color w:val="000000"/>
          <w:sz w:val="20"/>
        </w:rPr>
        <w:t xml:space="preserve">Internal Control </w:t>
      </w:r>
      <w:r>
        <w:rPr>
          <w:rFonts w:ascii="Times New Roman;serif" w:hAnsi="Times New Roman;serif"/>
          <w:b w:val="false"/>
          <w:i/>
          <w:color w:val="000000"/>
          <w:sz w:val="18"/>
        </w:rPr>
        <w:t xml:space="preserve">-- </w:t>
      </w:r>
      <w:r>
        <w:rPr>
          <w:rFonts w:ascii="Times New Roman;serif" w:hAnsi="Times New Roman;serif"/>
          <w:b w:val="false"/>
          <w:i/>
          <w:color w:val="000000"/>
          <w:sz w:val="20"/>
        </w:rPr>
        <w:t>Integrated Framework (2013)</w:t>
      </w:r>
      <w:r>
        <w:rPr>
          <w:color w:val="000000"/>
        </w:rPr>
        <w:t xml:space="preserve"> </w:t>
      </w:r>
      <w:r>
        <w:rPr>
          <w:rFonts w:ascii="Times New Roman;serif" w:hAnsi="Times New Roman;serif"/>
          <w:b w:val="false"/>
          <w:color w:val="000000"/>
          <w:sz w:val="20"/>
        </w:rPr>
        <w:t xml:space="preserve">issued by the Committee of Sponsoring Organizations of the Treadway Commission and our report dated February 19, 2026, expressed an unqualified opinion on the Company's internal control over financial reporting.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before="0" w:after="0"/>
        <w:jc w:val="both"/>
        <w:rPr/>
      </w:pPr>
      <w:r>
        <w:rPr/>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 </w:t>
      </w:r>
    </w:p>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Critical Audit Matter</w:t>
      </w:r>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Lease Classification - See Note 12 to the Financial Statements</w:t>
      </w:r>
    </w:p>
    <w:p>
      <w:pPr>
        <w:pStyle w:val="TextBody"/>
        <w:bidi w:val="0"/>
        <w:spacing w:lineRule="auto" w:line="288" w:before="240" w:after="240"/>
        <w:jc w:val="both"/>
        <w:rPr>
          <w:rFonts w:ascii="Times New Roman;serif" w:hAnsi="Times New Roman;serif"/>
          <w:b w:val="false"/>
          <w:i/>
          <w:color w:val="000000"/>
          <w:sz w:val="20"/>
        </w:rPr>
      </w:pPr>
      <w:r>
        <w:rPr>
          <w:rFonts w:ascii="Times New Roman;serif" w:hAnsi="Times New Roman;serif"/>
          <w:b w:val="false"/>
          <w:i/>
          <w:color w:val="000000"/>
          <w:sz w:val="20"/>
        </w:rPr>
        <w:t>Critical Audit Matter Description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performs a lease classification test upon the entry into any new tenant lease or amendment or modification of an existing tenant lease to determine if the lease will be accounted for as an operating lease, sales-type lease, or direct financing lease. The accounting guidance under ASC 842 is complex and requires the use of judgements and assumptions by management to determine the proper accounting treatment of a lease. The lease classification tests require subjective judgments, such as the fair value of the underlying leased assets, the residual value of the assets at the end of the lease term and determining the likelihood a tenant will exercise renewal options in order to determine the lease term.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Table of Contents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Given the significant judgements made by management to determine the lease classification, we performed audit procedures to assess the reasonableness of such judgments, which required a high degree of auditor judgment. </w:t>
      </w:r>
    </w:p>
    <w:p>
      <w:pPr>
        <w:pStyle w:val="TextBody"/>
        <w:bidi w:val="0"/>
        <w:spacing w:lineRule="auto" w:line="288" w:before="240" w:after="240"/>
        <w:jc w:val="both"/>
        <w:rPr>
          <w:rFonts w:ascii="Times New Roman;serif" w:hAnsi="Times New Roman;serif"/>
          <w:b w:val="false"/>
          <w:i/>
          <w:color w:val="000000"/>
          <w:sz w:val="20"/>
        </w:rPr>
      </w:pPr>
      <w:r>
        <w:rPr>
          <w:rFonts w:ascii="Times New Roman;serif" w:hAnsi="Times New Roman;serif"/>
          <w:b w:val="false"/>
          <w:i/>
          <w:color w:val="000000"/>
          <w:sz w:val="20"/>
        </w:rPr>
        <w:t>How the Critical Audit Matter Was Addressed in the Audit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Our audit procedures related to the judgements surrounding the determination of the inputs and assumptions used in the lease classification test for any new, modified, or amended lease included the following, among others: </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We tested the design and operating effectiveness of relevant controls, including management’s review and approval of the underlying key inputs and assumptions.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We evaluated the significant judgements and assumptions made by management in determining the lease classification by:</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 xml:space="preserve">Engaging fair value specialists to evaluate the reasonableness of management's valuation and allocation methodology and related inputs and assumptions to determine fair value, residual value of the leased assets and purchase price allocation of the assets acquired. </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Performing sensitivity analyses over key assumptions utilized.</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 xml:space="preserve">Testing the mathematical accuracy of the calculations and comparing the key inputs used in the estimate to external market sources.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Evaluating the significance of leased assets to tenant's operations and the Company’s historical pattern of tenant lease amendments and modifications to assess the lease term.</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Reviewing lease agreements to examine material lease terms and provisions considered by management in their analysis.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 DELOITTE &amp; TOUCHE LLP</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New York, New York</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February 19, 2026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have served as the Company's auditor since 2016.</w:t>
      </w:r>
    </w:p>
    <w:p>
      <w:pPr>
        <w:pStyle w:val="TextBody"/>
        <w:bidi w:val="0"/>
        <w:spacing w:before="160" w:after="16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Table of Contents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Gaming and Leisure Properties,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data) </w:t>
      </w:r>
    </w:p>
    <w:tbl>
      <w:tblPr>
        <w:tblW w:w="10205" w:type="dxa"/>
        <w:jc w:val="left"/>
        <w:tblInd w:w="0" w:type="dxa"/>
        <w:tblLayout w:type="fixed"/>
        <w:tblCellMar>
          <w:top w:w="28" w:type="dxa"/>
          <w:left w:w="28" w:type="dxa"/>
          <w:bottom w:w="28" w:type="dxa"/>
          <w:right w:w="28" w:type="dxa"/>
        </w:tblCellMar>
      </w:tblPr>
      <w:tblGrid>
        <w:gridCol w:w="2625"/>
        <w:gridCol w:w="2153"/>
        <w:gridCol w:w="2171"/>
        <w:gridCol w:w="217"/>
        <w:gridCol w:w="1112"/>
        <w:gridCol w:w="111"/>
        <w:gridCol w:w="109"/>
        <w:gridCol w:w="109"/>
        <w:gridCol w:w="109"/>
        <w:gridCol w:w="216"/>
        <w:gridCol w:w="1110"/>
        <w:gridCol w:w="163"/>
      </w:tblGrid>
      <w:tr>
        <w:trPr/>
        <w:tc>
          <w:tcPr>
            <w:tcW w:w="2625" w:type="dxa"/>
            <w:tcBorders/>
            <w:vAlign w:val="center"/>
          </w:tcPr>
          <w:p>
            <w:pPr>
              <w:pStyle w:val="TableContents"/>
              <w:bidi w:val="0"/>
              <w:spacing w:before="0" w:after="283"/>
              <w:jc w:val="left"/>
              <w:rPr>
                <w:sz w:val="4"/>
                <w:szCs w:val="4"/>
              </w:rPr>
            </w:pPr>
            <w:r>
              <w:rPr>
                <w:sz w:val="4"/>
                <w:szCs w:val="4"/>
              </w:rPr>
            </w:r>
          </w:p>
        </w:tc>
        <w:tc>
          <w:tcPr>
            <w:tcW w:w="2153" w:type="dxa"/>
            <w:tcBorders/>
            <w:vAlign w:val="center"/>
          </w:tcPr>
          <w:p>
            <w:pPr>
              <w:pStyle w:val="TableContents"/>
              <w:bidi w:val="0"/>
              <w:spacing w:before="0" w:after="283"/>
              <w:jc w:val="left"/>
              <w:rPr>
                <w:sz w:val="4"/>
                <w:szCs w:val="4"/>
              </w:rPr>
            </w:pPr>
            <w:r>
              <w:rPr>
                <w:sz w:val="4"/>
                <w:szCs w:val="4"/>
              </w:rPr>
            </w:r>
          </w:p>
        </w:tc>
        <w:tc>
          <w:tcPr>
            <w:tcW w:w="217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6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investments, net</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8,474,261 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8,148,719 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Investment in leases, financing receivables, net </w:t>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2,557,504 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2,333,114 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leases, sales-type, net</w:t>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248,421 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254,821 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loans, net</w:t>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247,999 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160,590 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r>
      <w:tr>
        <w:trPr/>
        <w:tc>
          <w:tcPr>
            <w:tcW w:w="6949"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r>
      <w:tr>
        <w:trPr/>
        <w:tc>
          <w:tcPr>
            <w:tcW w:w="6949"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r>
      <w:tr>
        <w:trPr/>
        <w:tc>
          <w:tcPr>
            <w:tcW w:w="6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and land rights, net</w:t>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1,072,163 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1,091,783 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224,314 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462,632 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Held to maturity investment securities </w:t>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560,832 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84,947 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63,458 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12,909,609 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13,075,949 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r>
      <w:tr>
        <w:trPr/>
        <w:tc>
          <w:tcPr>
            <w:tcW w:w="6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106,253 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105,752 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salaries and wages</w:t>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242,481 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244,973 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lease liabilities</w:t>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61,219 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60,788 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 of unamortized debt issuance costs, bond premiums and original issuance discounts</w:t>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7,203,731 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7,735,877 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rental revenue</w:t>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205,786 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228,508 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r>
      <w:tr>
        <w:trPr/>
        <w:tc>
          <w:tcPr>
            <w:tcW w:w="6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65,029 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41,571 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3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7,901,349 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8,430,425 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shd w:fill="CCEEFF" w:val="clear"/>
              </w:rPr>
            </w:pPr>
            <w:r>
              <w:rPr>
                <w:rFonts w:ascii="Times New Roman;serif" w:hAnsi="Times New Roman;serif"/>
                <w:b/>
                <w:color w:val="000000"/>
                <w:sz w:val="20"/>
                <w:shd w:fill="CCEEFF" w:val="clear"/>
              </w:rPr>
              <w:t>Commitments and Contingencies (Note 11)</w:t>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Equity </w:t>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($.01 par value, 50,000,000 shares authorized, no shares issued or outstanding at December 31, 2025 and December 31, 2024)</w:t>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($.01 par value, 500,000,000 shares authorized, 283,037,310 and 274,422,549 shares issued and outstanding at December 31, 2025 and December 31, 2024, respectively)</w:t>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6,613,488 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6,209,827 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(1,990,770)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(1,944,009)</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 attributable to Gaming and Leisure Properties</w:t>
            </w:r>
          </w:p>
        </w:tc>
        <w:tc>
          <w:tcPr>
            <w:tcW w:w="13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4,626,452 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4,268,562 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Non-controlling interests in GLPI's Operating Partnership (8,224,939 units outstanding at December 31, 2025 and December 31, 2024, respectively)</w:t>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381,808 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376,962 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13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5,008,260 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4,645,524 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Total liabilities and equity </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12,909,609 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13,075,949 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Table of Contents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Gaming and Leisure Properties,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 and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data)</w:t>
      </w:r>
    </w:p>
    <w:p>
      <w:pPr>
        <w:pStyle w:val="TextBody"/>
        <w:bidi w:val="0"/>
        <w:spacing w:lineRule="auto" w:line="288" w:before="0" w:after="0"/>
        <w:jc w:val="center"/>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956"/>
        <w:gridCol w:w="1501"/>
        <w:gridCol w:w="1505"/>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56"/>
      </w:tblGrid>
      <w:tr>
        <w:trPr/>
        <w:tc>
          <w:tcPr>
            <w:tcW w:w="195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investment in leases, financing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from investment in leases, sales type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from real estate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income from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1,594,752 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1,531,546 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1,440,392 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rights and ground lease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Gains from dispositions of property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Property transfer tax recovery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393,299 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400,861 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371,688 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1,201,453 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1,130,685 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1,068,704 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income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(373,881)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(366,897)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(323,388)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Losses on debt extinguishment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(348,868)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(320,908)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(311,337)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850,356 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807,648 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755,370 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 in the Operating Partnership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attributable to common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825,111 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784,620 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734,283 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attributable to common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attributable to common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of derivative gain to 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cash flow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851,290 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807,648 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755,370 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non-controlling interest in the Operating Partnership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income attributable to common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826,015 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784,620 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734,283 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Table of Contents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Gaming and Leisure Properties,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Consolidated Statements of Changes in Equity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data)</w:t>
      </w:r>
    </w:p>
    <w:p>
      <w:pPr>
        <w:pStyle w:val="TextBody"/>
        <w:bidi w:val="0"/>
        <w:spacing w:before="0" w:after="0"/>
        <w:jc w:val="center"/>
        <w:rPr/>
      </w:pPr>
      <w:r>
        <w:rPr/>
      </w:r>
    </w:p>
    <w:tbl>
      <w:tblPr>
        <w:tblW w:w="11471" w:type="dxa"/>
        <w:jc w:val="left"/>
        <w:tblInd w:w="0" w:type="dxa"/>
        <w:tblLayout w:type="fixed"/>
        <w:tblCellMar>
          <w:top w:w="28" w:type="dxa"/>
          <w:left w:w="28" w:type="dxa"/>
          <w:bottom w:w="28" w:type="dxa"/>
          <w:right w:w="28" w:type="dxa"/>
        </w:tblCellMar>
      </w:tblPr>
      <w:tblGrid>
        <w:gridCol w:w="742"/>
        <w:gridCol w:w="244"/>
        <w:gridCol w:w="245"/>
        <w:gridCol w:w="525"/>
        <w:gridCol w:w="526"/>
        <w:gridCol w:w="211"/>
        <w:gridCol w:w="109"/>
        <w:gridCol w:w="109"/>
        <w:gridCol w:w="109"/>
        <w:gridCol w:w="196"/>
        <w:gridCol w:w="556"/>
        <w:gridCol w:w="109"/>
        <w:gridCol w:w="109"/>
        <w:gridCol w:w="109"/>
        <w:gridCol w:w="109"/>
        <w:gridCol w:w="196"/>
        <w:gridCol w:w="871"/>
        <w:gridCol w:w="109"/>
        <w:gridCol w:w="109"/>
        <w:gridCol w:w="109"/>
        <w:gridCol w:w="109"/>
        <w:gridCol w:w="196"/>
        <w:gridCol w:w="886"/>
        <w:gridCol w:w="109"/>
        <w:gridCol w:w="109"/>
        <w:gridCol w:w="109"/>
        <w:gridCol w:w="109"/>
        <w:gridCol w:w="352"/>
        <w:gridCol w:w="757"/>
        <w:gridCol w:w="197"/>
        <w:gridCol w:w="109"/>
        <w:gridCol w:w="109"/>
        <w:gridCol w:w="109"/>
        <w:gridCol w:w="237"/>
        <w:gridCol w:w="891"/>
        <w:gridCol w:w="133"/>
        <w:gridCol w:w="109"/>
        <w:gridCol w:w="109"/>
        <w:gridCol w:w="109"/>
        <w:gridCol w:w="196"/>
        <w:gridCol w:w="871"/>
        <w:gridCol w:w="154"/>
      </w:tblGrid>
      <w:tr>
        <w:trPr/>
        <w:tc>
          <w:tcPr>
            <w:tcW w:w="74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5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w:t>
              <w:br/>
              <w:t>Paid-In</w:t>
              <w:br/>
              <w:t>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Noncontrolling Interest Operating Partnership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br/>
              <w:t>Equity</w:t>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December 31, 2022</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260,727,030 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5,573,567 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(1,798,216)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340,138 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4,118,096 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net of costs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9,817,430 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469,213 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 activity</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378,259 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Dividends paid ($3.150 per common share)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(833,980)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(833,980)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operating partnership units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14,931 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non-controlling interest</w:t>
            </w:r>
          </w:p>
        </w:tc>
        <w:tc>
          <w:tcPr>
            <w:tcW w:w="12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(24,107)</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2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734,283 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21,087 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755,370 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December 31, 2023</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270,922,719 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6,052,109 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(1,897,913)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352,049 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4,508,954 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net of costs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3,072,137 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148,216 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 activity</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427,693 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Dividends paid ($3.040 per common share)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(830,716)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(830,716)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operating partnership units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26,471 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non-controlling interest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(24,586)</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784,620 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23,028 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807,648 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December 31, 2024</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274,422,549 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6,209,827 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(1,944,009)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376,962 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4,645,524 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net of costs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8,170,387 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402,792 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 and LTIP unit activity</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444,374 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Dividends paid ($3.100 per common share)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(871,872)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(871,872)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cash flow hedges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936 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Reclassification of derivative gain on cash flow hedges to interest expense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non-controlling interest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(25,834)</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25,245 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850,356 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December 31, 2025</w:t>
            </w:r>
          </w:p>
        </w:tc>
        <w:tc>
          <w:tcPr>
            <w:tcW w:w="10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283,037,310 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6,613,488 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(1,990,770)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904 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381,808 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5,008,260 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Table of Contents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Gaming and Leisure Properties, Inc. and Subsidiaries</w:t>
      </w:r>
    </w:p>
    <w:p>
      <w:pPr>
        <w:pStyle w:val="TextBody"/>
        <w:bidi w:val="0"/>
        <w:spacing w:lineRule="auto" w:line="288" w:before="0" w:after="0"/>
        <w:jc w:val="center"/>
        <w:rPr/>
      </w:pPr>
      <w:r>
        <w:rPr>
          <w:color w:val="000000"/>
        </w:rPr>
        <w:t> </w:t>
      </w:r>
      <w:r>
        <w:rPr>
          <w:rFonts w:ascii="Times New Roman;serif" w:hAnsi="Times New Roman;serif"/>
          <w:b/>
          <w:color w:val="000000"/>
          <w:sz w:val="18"/>
        </w:rPr>
        <w:t>Consolidated Statements of Cash Flows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thousands)</w:t>
      </w:r>
    </w:p>
    <w:tbl>
      <w:tblPr>
        <w:tblW w:w="10205" w:type="dxa"/>
        <w:jc w:val="left"/>
        <w:tblInd w:w="0" w:type="dxa"/>
        <w:tblLayout w:type="fixed"/>
        <w:tblCellMar>
          <w:top w:w="28" w:type="dxa"/>
          <w:left w:w="28" w:type="dxa"/>
          <w:bottom w:w="28" w:type="dxa"/>
          <w:right w:w="28" w:type="dxa"/>
        </w:tblCellMar>
      </w:tblPr>
      <w:tblGrid>
        <w:gridCol w:w="2124"/>
        <w:gridCol w:w="1794"/>
        <w:gridCol w:w="1800"/>
        <w:gridCol w:w="109"/>
        <w:gridCol w:w="109"/>
        <w:gridCol w:w="109"/>
        <w:gridCol w:w="212"/>
        <w:gridCol w:w="834"/>
        <w:gridCol w:w="109"/>
        <w:gridCol w:w="109"/>
        <w:gridCol w:w="109"/>
        <w:gridCol w:w="109"/>
        <w:gridCol w:w="212"/>
        <w:gridCol w:w="834"/>
        <w:gridCol w:w="109"/>
        <w:gridCol w:w="109"/>
        <w:gridCol w:w="109"/>
        <w:gridCol w:w="109"/>
        <w:gridCol w:w="211"/>
        <w:gridCol w:w="826"/>
        <w:gridCol w:w="159"/>
      </w:tblGrid>
      <w:tr>
        <w:trPr/>
        <w:tc>
          <w:tcPr>
            <w:tcW w:w="2124" w:type="dxa"/>
            <w:tcBorders/>
            <w:vAlign w:val="center"/>
          </w:tcPr>
          <w:p>
            <w:pPr>
              <w:pStyle w:val="TableContents"/>
              <w:bidi w:val="0"/>
              <w:spacing w:before="0" w:after="283"/>
              <w:jc w:val="left"/>
              <w:rPr>
                <w:sz w:val="4"/>
                <w:szCs w:val="4"/>
              </w:rPr>
            </w:pPr>
            <w:r>
              <w:rPr>
                <w:sz w:val="4"/>
                <w:szCs w:val="4"/>
              </w:rPr>
            </w:r>
          </w:p>
        </w:tc>
        <w:tc>
          <w:tcPr>
            <w:tcW w:w="1794"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57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755,370 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276,424 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items charged to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gain on cash flow hedges and loan discounts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on investment in leases and adjustments to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(22,587)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5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on held to maturity investment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5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Gains on dispositions of property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5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22,873 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Straight line rent and deferred rent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(39,881)</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5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Losses on debt extinguishment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Provision for credit losses,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interest rate swap termination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operating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accrued expenses , accrued salary and wages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57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5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57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5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1,129,417 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1,072,770 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1,009,372 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project and maintenance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(304,443)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(47,437)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property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Return of contingent consideration from previous acquisition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real estate assets and deposit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(640,863)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(463,186)</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Fundings under the Tropicana Las Vegas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Originations of real estate loans, net of origination discount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leases, financing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(184,097)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(203,486)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(100,202)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Maturities of held to maturity investment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Acquisition of held to maturity investment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(890,970)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(308,756)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(1,605,944)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(650,825)</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Dividends paid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(871,872)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(830,716)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(833,980)</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 distributions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(24,107)</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paid related to shares withheld for taxes on stock award vestings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(13,442)</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stock,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469,213 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1,077,784 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costs and costs paid to redeem senior unsecured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(1,826,017)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(463,619)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(585,149)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(1,058,979)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311,823 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86,353 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increase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(238,318)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(221,351)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444,900 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57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5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239,083 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224,314 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462,632 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683,983 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See accompanying Notes to the Consolidated Financial Statements and Note 17 for supplemental cash flow information and noncash investing and financing activities.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Table of Contents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Gaming and Leisure Properties,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0" w:after="0"/>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1.</w:t>
      </w:r>
      <w:r>
        <w:rPr>
          <w:color w:val="000000"/>
        </w:rPr>
        <w:t>    </w:t>
      </w:r>
      <w:r>
        <w:rPr>
          <w:rFonts w:ascii="Times New Roman;serif" w:hAnsi="Times New Roman;serif"/>
          <w:b/>
          <w:color w:val="000000"/>
          <w:sz w:val="20"/>
        </w:rPr>
        <w:t xml:space="preserve">Business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GLPI is a self-administered and self-managed Pennsylvania REIT. GLPI was incorporated on February 13, 2013, as a wholly-owned subsidiary of PENN. On November 1, 2013, PENN contributed to the Company, through a series of internal corporate restructurings, substantially all of the assets and liabilities associated with PENN's real property interests and real estate development business, as well as the assets and liabilities of the TRS Properties via the Spin-Off. </w:t>
      </w:r>
    </w:p>
    <w:p>
      <w:pPr>
        <w:pStyle w:val="TextBody"/>
        <w:bidi w:val="0"/>
        <w:spacing w:lineRule="auto" w:line="276" w:before="1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Since 2021, the Company has been structured as an umbrella partnership REIT under which substantially all of its business is conducted through GLP Capital, the day-to-day management of which is exclusively controlled by GLPI. GLPI has no material assets other than its investment in GLP Capital. GLPI issues equity from time to time and is obligated to contribute the net proceeds from those offerings to GLP Capital. As of December 31, 2025, GLPI owned 97.1% of the outstanding units of GLP Capital with the remaining units owned by third party limited partners who (directly or through affiliates) contributed properties to GLP Capital in exchange for consideration that was partially funded through the issuance of OP Units and holders of LTIP Units. The OP Units and LTIP Units once vested are exchangeable on a one for one basis for common shares of the Company. The Company's common stock is listed on the NASDAQ under the ticker symbol GLPI.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All debt of the Company, including revolving credit facilities, term loans and senior unsecured notes, is incurred by GLP Capital and its subsidiaries. GLPI has fully and unconditionally guaranteed all of the Company's outstanding senior unsecured notes.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seeks to provide an opportunity to invest in the growth opportunities afforded by the gaming industry, with the stability and cash flow opportunities of a REIT. GLPI’s primary business consists of acquiring, financing, and owning real estate property to be leased to gaming operators in triple-net lease arrangements. Under these arrangements, in addition to rent, the tenants are required to pay the following executory costs: (1) all facility maintenance, (2) all insurance required in connection with the leased properties and the business conducted on the leased properties, including coverage of the landlord's interests, (3) taxes levied on or with respect to the leased properties (other than taxes on the income of the lessor) and (4) all utilities and other services necessary or appropriate for the leased properties and the business conducted on the leased properties. The Company also extends loans that produce fixed or variable returns which may convert into leased rent upon project completion or stabilization.</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December 31, 2025, GLPI’s portfolio consisted of interests in 69 gaming and related facilities, the real property associated with 34 gaming and related facilities operated by PENN, the real property associated with 6 gaming and related facilities operated by Caesars, the real property associated with 4 gaming and related facilities operated by Boyd, the real property associated with 15 gaming and related facilities operated by Bally's and 1 facility under development with Bally's in Chicago, Illinois, the real property associated with 3 gaming and related facilities operated by Cordish, 1 gaming facility managed by a subsidiary of Hard Rock, 4 gaming and related facilities operated by Strategic and 1 gaming and related facility operated by American Racing. These facilities, including our corporate headquarters building, are geographically diversified across 20 states and we own over 5,600 acres and lease approximately 1,000 acres. As of December 31, 2025, the Company's properties were 100% occupied. GLPI expects to continue growing its portfolio by pursuing opportunities to acquire and/or develop additional gaming facilities to lease to gaming operators under prudent terms.</w:t>
      </w:r>
    </w:p>
    <w:p>
      <w:pPr>
        <w:pStyle w:val="TextBody"/>
        <w:bidi w:val="0"/>
        <w:spacing w:before="0" w:after="0"/>
        <w:jc w:val="both"/>
        <w:rPr/>
      </w:pPr>
      <w:r>
        <w:rPr/>
      </w:r>
    </w:p>
    <w:p>
      <w:pPr>
        <w:pStyle w:val="TextBody"/>
        <w:bidi w:val="0"/>
        <w:spacing w:lineRule="auto" w:line="276" w:before="160" w:after="160"/>
        <w:jc w:val="both"/>
        <w:rPr>
          <w:rFonts w:ascii="Times New Roman;serif" w:hAnsi="Times New Roman;serif"/>
          <w:b w:val="false"/>
          <w:i/>
          <w:color w:val="000000"/>
          <w:sz w:val="20"/>
        </w:rPr>
      </w:pPr>
      <w:r>
        <w:rPr>
          <w:rFonts w:ascii="Times New Roman;serif" w:hAnsi="Times New Roman;serif"/>
          <w:b w:val="false"/>
          <w:i/>
          <w:color w:val="000000"/>
          <w:sz w:val="20"/>
        </w:rPr>
        <w:t xml:space="preserve">PENN 2023 Master Lease and Amended PENN Master Lease </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1, 2023, the Company's Amended PENN Master Lease transferred five properties to the PENN 2023 Master Lease. In addition, the existing leases for the Hollywood Casino at The Meadows in Pennsylvania and the Hollywood Casino Perryville in Maryland were terminated and these properties were transferred into the PENN 2023 Master Lease. Both the Amended PENN Master Lease and the PENN 2023 Master Lease are triple-net operating leases, the terms of which expire on October 31, 2033, with no purchase options, followed by three remaining 5-year renewal options (exercisable by the tenant) on the same terms and conditions. </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Rent under the PENN 2023 Master Lease is fixed with annual escalations on the entirety of rent increasing by 1.5% annually on November 1. In addition to the fixed escalations, a one-time annualized increase of $1.4 million is scheduled to occur on November 1, 2027. The rent structure under the Amended PENN Master Lease includes a fixed component, a portion of which is subject to an annual 2% escalator if certain rent coverage ratio thresholds are met, and a component that is based on the revenues of the facilities, which is prospectively adjusted, subject to certain floors (namely the Hollywood Casino at Penn National Race Course property due to PENN's opening of a competing facility) every 5 years to an amount equal to 4%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Table of Contents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average net revenues of all facilities under the Amended PENN Master Lease during the preceding five years in excess of a contractual baseline.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GLPI also agreed to fund certain potential development projects in the PENN 2023 Master Lease. On August 1, 2025, GLPI funded $130 million for the relocation of Hollywood Casino Joliet, which opened on August 11, 2025, and is subject to a 7.75% capitalization rate. The Company also previously funded $5 million to reimburse PENN for land site development costs for the Joliet project. On November 3, 2025, GLPI funded $150 million for PENN's M Resort new hotel tower and conference center expansion, which opened to the public on December 1, 2025, at a capitalization rate of 7.79%. PENN anticipates completing the relocation of its riverboat casino in Aurora to a land based facility in the first half of 2026 which the Company anticipates funding $225 million at a 7.75% capitalization rate. Rent for each project begins accruing as the related funding is advanced.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Amended Pinnacle Master Lease, Boyd Master Lease and Belterra Park Lease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April 2016, the Company acquired substantially all of the real estate assets of Pinnacle and leased these assets back to Pinnacle, under the Pinnacle Master Lease, the term of which expires April 30, 2031, with no purchase option, followed by four remaining 5-year renewal options (exercisable by the tenant) on the same terms and conditions. The Pinnacle Master Lease includes a fixed component, a portion of which is subject to an annual escalator of up to 2% if certain rent coverage ratio thresholds are met and a component that is based on the performance of the facilities, which is prospectively adjusted subject to certain floors (namely the Bossier City Boomtown property due to PENN's acquisition of a competing facility), every two years to an amount equal to 4% of the average net revenues of all facilities under the Pinnacle Master Lease during the preceding two years in excess of a contractual baseline.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15, 2018, the Company completed transactions with PENN, Pinnacle and Boyd to accommodate PENN's acquisition of the majority of Pinnacle's operations, pursuant to the PENN-Pinnacle Merger. Concurrent with the PENN-Pinnacle Merger, the Company amended the Pinnacle Master Lease to allow for the sale of the operating assets of Ameristar Casino Hotel Kansas City, Ameristar Casino Resort Spa St. Charles and Belterra Casino Resort from Pinnacle to Boyd which resulted in the Amended Pinnacle Master Lease and the Boyd Master Lease for these properties on terms similar to the Company's Amended Pinnacle Master Lease. The Boyd Master Lease expires April 30, 2031, with no purchase option, followed by four 5-year renewal options (exercisable by the tenant) on the same terms and conditions. The Boyd Master Lease includes a fixed component, a portion of which is subject to an annual escalator of up to 2% if certain rent coverage ratio thresholds are met and a component that is based on the performance of the facilities, which is prospectively adjusted every two years to an amount equal to 4% of the average net revenues of all facilities under the Boyd Master Lease during the preceding two years in excess of a contractual baseline.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also purchased the real estate assets of Plainridge Park from PENN and added this property to the Amended Pinnacle Master Lease. The Amended Pinnacle Master Lease was assumed by PENN at the consummation of the PENN-Pinnacle Merger.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Company also entered into a mortgage loan agreement with Boyd in connection with Boyd's acquisition of Belterra Park, whereby the Company entered into the Belterra Park Loan. In May 2020, the Company acquired the real estate of Belterra Park in satisfaction of the Belterra Park Loan, subject to the Belterra Park Lease with a Boyd affiliate operating the property.</w:t>
      </w:r>
      <w:r>
        <w:rPr>
          <w:color w:val="000000"/>
        </w:rPr>
        <w:t xml:space="preserve"> </w:t>
      </w:r>
      <w:r>
        <w:rPr>
          <w:rFonts w:ascii="Times New Roman;serif" w:hAnsi="Times New Roman;serif"/>
          <w:b w:val="false"/>
          <w:color w:val="000000"/>
          <w:sz w:val="20"/>
        </w:rPr>
        <w:t>The Belterra Park Lease rent terms are consistent with the Boyd Master Lease and expires on April 30, 2031, with no purchase option, followed by four 5-year renewal options (exercisable by the tenant) on the same terms and conditions.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April 2025, PENN announced its intention to relocate its Ameristar Council Bluffs riverboat casino, for which GLPI has committed up to $150 million or the hard costs associated with the project, whichever is greater, at a 7.10% cap rate, which can be structured, at the discretion of PENN, as rent, or a 5-year term loan.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Amended and Restated Caesars Master Lease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October 1, 2018, the Company entered into the Amended and Restated Caesars Master Lease, which expires on September 30, 2038, with no purchase option, with four separate renewal options of 5 years each, exercisable at the tenant's option, on the same terms and conditions. The annual rent increases by 1.75% in the seventh and eighth lease years and 2% in the ninth lease year and each lease year thereafter.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Table of Contents</w:t>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Horseshoe St. Louis Lease</w:t>
      </w:r>
    </w:p>
    <w:p>
      <w:pPr>
        <w:pStyle w:val="TextBody"/>
        <w:bidi w:val="0"/>
        <w:spacing w:before="0" w:after="0"/>
        <w:ind w:left="0" w:right="0" w:firstLine="495"/>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Horseshoe St. Louis Lease is a single property lease with Caesars which became effective on September 29, 2020, with no purchase option, whose initial term expires on October 31, 2033, with four separate renewal options of five years each, exercisable at the tenant's option. The Horseshoe St. Louis Lease annual rent increases by 1.25% for the second through fifth lease years, increasing to 1.75% for the sixth and seventh lease years and thereafter increasing by 2.0% for the remainder of the lease. </w:t>
      </w:r>
    </w:p>
    <w:p>
      <w:pPr>
        <w:pStyle w:val="TextBody"/>
        <w:bidi w:val="0"/>
        <w:spacing w:before="0" w:after="0"/>
        <w:ind w:left="0" w:right="0" w:firstLine="720"/>
        <w:jc w:val="both"/>
        <w:rPr/>
      </w:pPr>
      <w:r>
        <w:rPr/>
      </w:r>
    </w:p>
    <w:p>
      <w:pPr>
        <w:pStyle w:val="TextBody"/>
        <w:bidi w:val="0"/>
        <w:spacing w:lineRule="auto" w:line="247" w:before="0" w:after="0"/>
        <w:jc w:val="both"/>
        <w:rPr>
          <w:rFonts w:ascii="Times New Roman;serif" w:hAnsi="Times New Roman;serif"/>
          <w:b w:val="false"/>
          <w:i/>
          <w:color w:val="000000"/>
          <w:sz w:val="20"/>
        </w:rPr>
      </w:pPr>
      <w:r>
        <w:rPr>
          <w:rFonts w:ascii="Times New Roman;serif" w:hAnsi="Times New Roman;serif"/>
          <w:b w:val="false"/>
          <w:i/>
          <w:color w:val="000000"/>
          <w:sz w:val="20"/>
        </w:rPr>
        <w:t>Bally's Master Lease, Bally's Chicago Lease, Bally's Master Lease II, the Casino Queen Master Lease and the Tropicana Las Vegas Lease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several leases and development agreements with Bally's. The Bally's Master Lease was entered into on June 3, 2021 and subsequent to this date several additional real estate assets of Bally's were added to it. The annual rent on the Bally's Master Lease is subject to contractual escalations based on CPI with a 1% floor and a 2% ceiling, subject to the CPI meeting a 0.5% threshold. The Bally's Master Lease has an initial term of 15 years, with no purchase option, followed by four 5-year renewal options (exercisable by the tenant) on the same terms and conditions.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11, 2024, the Company assumed the ground lease for the real estate of the Bally's Chicago site between the existing third party and Bally's for approximately $250 million. The ground lease was amended such that the Company receives initial annual rent of $20 million. In July 2025, the Company entered into the Bally's Chicago Lease. The Bally's Chicago Lease has an initial term of 15 years, followed by four 5-year renewals, exercisable at the tenant's option. The Bally's Chicago Lease's annual rent increases if the CPI increase is at least 0.5% for any lease year, then the rent shall increase by the greater of 1% of the rent as of the immediately preceding lease year and the CPI increase capped at 2%. If the CPI is less than 0.5% for such lease year, then the rent shall not increase for such lease year. Rental income on the land and development funding is being deferred until the project is substantially completed and ready for its intended use. This amount is recorded in deferred rental revenue on the Company's Consolidated Balance Sheet and totaled $28.7 million and $6.1 million at December 31, 2025 and December 31, 2024, respectively.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intends to fund real estate construction costs of up to $940.0 million for the planned Bally's Chicago. This development funding is expected to extend into 2027. The Company will own all funded improvements, which would be leased to Bally’s with rent commencing as advances are made at an annual yield of 8.5%. As of December 31, 2025, $201.6 million of real estate construction costs have been funded by the Company.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December 16, 2024, the Company completed the purchase of the real property assets of both Bally’s Kansas City Casino and Bally’s Shreveport Casino &amp; Hotel. The two properties are in Bally's Master Lease II which is cross defaulted with the Bally's Master Lease. The annual rent is subject to contractual escalations based on CPI with a 1% floor and a 2% ceiling, subject to CPI meeting a 0.5% threshold. Bally's Master Lease II has an initial term of 15 years, with no purchase option, followed by four 5-year renewal options (exercisable by the tenant) on the same terms and conditions. Effective July 1, 2025, the DraftKings at Casino Queen and The Queen Baton Rouge properties in the Casino Queen Master Lease were transferred to Bally's Master Lease II. Additionally, annual rental income of $28.9 million was reallocated from the Casino Queen Master Lease to Bally's Master Lease II.</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11, 2026, GLPI exercised its option to acquire the real property assets of Bally’s Twin River Lincoln Casino Resort (Bally's Lincoln") for a purchase price of $700 million and additional rent of $56.0 million which was added to Bally's Master Lease II.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7, 2025, Bally's completed its merger transactions with Standard General L.P. and its affiliates, and pursuant to the terms of a definitive merger agreement, among other changes resulting from the merger, Casino Queen became a subsidiary of Bally's.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Casino Queen Master Lease became effective December 17, 2021 and has an initial term of 15 years, with no purchase option, with four separate five-year renewal options exercisable by the tenant on the same terms and conditions. Annual rent increases by 0.5% for the first six years. Beginning with the seventh lease year through the remainder of the lease term, if the CPI increases by at least 0.25% for any lease year then annual rent shall be increased by 1.25%, and if the CPI is less than 0.25% then rent will remain unchanged for such lease year. Effective July 1, 2025, the DraftKings at Casino Queen and The Queen Baton Rouge properties in the Casino Queen Master Lease were moved to Bally's Master Lease II as previously discussed.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Table of Contents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June 3, 2024, the Company announced that it agreed to fund and oversee a landside development project and hotel renovation of The Belle for Casino Queen. GLPI funded approximately $111 million for the project. The landside development project was completed and opened to the public in December 2025 and has been rebranded as Bally's Baton Rouge. The renovated hotel was opened to the public on March 31, 2025. Casino Queen began paying an incremental rental yield of 9% on the development funding effective May 30, 2025. Rent was deferred on the landside development project until it was ready for its intended use. The Company is also funding certain construction costs for an amount not to exceed $16.5 million, for a landside development project at Casino Queen Marquette at a 8.25% capitalization rate. As of December 31, 2025, $9.6 million has been funded on the project.</w:t>
      </w:r>
    </w:p>
    <w:p>
      <w:pPr>
        <w:pStyle w:val="TextBody"/>
        <w:bidi w:val="0"/>
        <w:spacing w:before="0" w:after="0"/>
        <w:ind w:left="0" w:right="0" w:firstLine="495"/>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April 16, 2020, the Company and certain of its subsidiaries acquired the real property associated with the Tropicana Las Vegas from PENN in exchange for $307.5 million of rent credits which were applied against future rent obligations due under the parties' leases in effect during 2020.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26, 2022, Bally’s acquired both GLPI’s building assets and PENN's outstanding equity interests in Tropicana Las Vegas for an aggregate cash acquisition price, net of fees and expenses, of approximately $145 million. GLPI retained ownership of the land and concurrently entered into the Tropicana Las Vegas Lease which has an initial term of 50 years (with a maximum term of 99 years inclusive of tenant renewal options). All rent is subject to contractual escalations based on the CPI, with a 1% floor and 2% ceiling, subject to the CPI meeting a 0.5% threshold. The Tropicana Las Vegas Lease is supported by a Bally’s corporate guarantee.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May 13, 2023, the Company, Tropicana Las Vegas, Inc., a Nevada corporation and wholly owned subsidiary of Bally’s, and Athletics Holdings LLC (“Athletics”), which owns the Major League Baseball team currently known as the Athletics (the “Team”), entered into a binding letter of intent (the “LOI”) setting forth the terms for developing a stadium that would serve as the home venue for the Team (the “Stadium”). The Stadium is expected to complement the potential resort redevelopment envisioned at our 35-acre property in Clark County, Nevada (the “Tropicana Site”), owned indirectly by GLPI through its indirect subsidiary, Tropicana Land LLC, a Nevada limited liability company and leased by GLPI to Bally’s pursuant to the Tropicana Las Vegas Lease. The LOI allows for Athletics to be granted fee ownership by GLPI of approximately 9 acres of the Tropicana Site for construction of the Stadium. The LOI provides that following the Stadium site transfer, there will be no reduction in the rent obligations of Bally’s on the remaining portion of the Tropicana Site or other modifications to the ground lease, and that to the extent GLPI has any consent or approval rights under the Tropicana Las Vegas Lease, such rights shall remain enforceable unless expressly modified in writing in the definitive documents. Bally's and GLPI are agreeing to provide the Stadium site transfer in exchange for the benefits that the Stadium is expected to bring to the Tropicana Site. The LOI provides that Athletics shall pay all the costs associated with the design, development, and construction of the Stadium and Bally’s shall pay all costs for the redevelopment of the casino and hotel resort amenities. GLPI is expected to commit to up to $175.0 million of funding for hard construction costs, such as demolition and site preparation and build out of minimum public spaces needed for utilization of the Stadium. The LOI provides that during the development period, rent will be due at 8.5% of what has been funded, provided that the first $15.0 million advanced for the costs of construction of the food, beverage and retail entrance plaza shall not be subject to increased rent. GLPI may have the opportunity to fund additional amounts of the construction under certain circumstances. In addition, the LOI provides that the transaction will be subject to customary approvals and other conditions, including, without limitation, approval of a master plan for the site, and certain approvals by the Nevada Gaming Control Board and Nevada Gaming Commission.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late August 2024, the Company funded $48.5 million to Bally's that was used to pay for the demolition costs of the Tropicana Las Vegas as part of the development plans for the Stadium and annual rent was increased by $4.1 million as a result. The change in rent terms resulted in a lease reconsideration event that resulted in the lease being classified as a sales type lease, whereas previously it was accounted for as an operating lease.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Morgantown Lease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1, 2020, the Company acquired the land under PENN's gaming facility under construction in Morgantown, Pennsylvania. The Company is leasing the land back to an affiliate of PENN via the Morgantown Lease which has an initial term of 20 years with no purchase option, followed by six 5-year renewal options exercisable by the tenant. Under the terms of the Morgantown Lease, if the CPI increase is at least 0.5% for any lease year, the rent for such lease year shall increase by 1.25% of rent as of the immediately preceding lease year, and if the CPI increase is less than 0.5% for such lease year, then rent shall not increase for such lease year. </w:t>
      </w:r>
    </w:p>
    <w:p>
      <w:pPr>
        <w:pStyle w:val="TextBody"/>
        <w:bidi w:val="0"/>
        <w:spacing w:before="0" w:after="0"/>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Table of Contents</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Maryland Live! Lease and Pennsylvania Live! Master Lease and Virginia Live!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29, 2021, the Company completed its acquisition of the real property assets of Live! Casino &amp; Hotel Maryland and entered into the Maryland Live! Lease. On March 1, 2022, the Company completed its acquisition of the real estate assets of Live! Casino &amp; Hotel Philadelphia and Live! Casino Pittsburgh and leased back the real estate to Cordish pursuant to the Pennsylvania Live! Master Lease. The Pennsylvania Live! Master Lease and the Maryland Live! Lease each have initial lease terms of 39 years, with a maximum term of 60 years inclusive of tenant renewal options. Annual rent increases by 1.75% upon the second anniversary of both leases commencement through their remaining terms.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27, 2025, the Company announced that it intends to acquire the real estate of the future site for Live! Virginia Casino &amp; Hotel, a Cordish Company / Bruce Smith Enterprise casino and hotel development in Petersburg, Virginia ("Virginia Live!"). In addition, GLPI has committed to fund the hard costs associated with the development of the project. The cap rate on both the land acquisition of $27 million and the hard cost development funding of $440 million will be at 8.0%. The transaction also includes a 1.75% rent escalator, which will commence after the first anniversary of the permanent casino opening, which is anticipated in late 2027. Through the construction of this large-scale development, GLPI will be compensated for the funding on an as drawn basis. The Company has concluded that the lessee has control of the underlying asset being constructed while the project is under construction. This is because the tenant is leasing the land that property improvements will be constructed upon, the term of which, together with lessee renewal options, is for substantially all of the economic life of the property improvements. Therefore, the Company will account for any funds extended prior to the asset being ready for its intended use as loans. Additionally, the Company concluded that this was a loan commitment at December 31, 2025 and was therefore subject to ASC 326 "Credit Losses: ("ASC 326"). See Note 2 for further discussion of ASC 326. Once construction is complete and the facility is ready for its intended use, the Company will apply the sale and leaseback guidance to determine the appropriate lease classification. On January 15, 2026, the Company funded $27 million to acquire the land site for the project.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Rockford Lease and Rockford Loan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August 29, 2023, the Company acquired the land associated with a casino development project in Rockford, IL, that opened in late August 2024 and is managed by a subsidiary of Hard Rock, from an affiliate of 815 Entertainment. Simultaneously with the land acquisition, GLPI entered into the Rockford Lease which has 99-year lease term. The initial annual rent is subject to 2% annual escalations for the entirety of its term.</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the Rockford Lease, the Company committed to provide development funding via a senior secured delayed draw term loan (the "Rockford Loan"). Borrowings under the Rockford Loan were subject to an interest rate of 10% with a 5-year initial term. On January 1, 2025, the Company amended the terms of the Rockford Loan to reduce the interest rate to 8% with a maturity date of June 30, 2026, subject to a 6-month extension. As of December 31, 2025, $150 million was advanced and outstanding under the Rockford Loan. Additionally, the Company also received a right of first refusal on the building improvements of the Hard Rock Casino in Rockford, IL if there is a future decision to sell them once completed.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Tioga Downs Lease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6, 2024, the Company acquired the real estate assets of Tioga Downs in Nichols, New York from American Racing. Simultaneous with the acquisition, GLPI and American Racing entered into the Tioga Downs Lease which has an initial 30-year term, with no purchase option, followed by two renewal options of 10 years each and a third renewal option of approximately 12 years and ten months. The initial annual rent is subject to 1.75% annual escalations beginning with the first anniversary which increases to 2% beginning in year fifteen of the lease through the remainder of its initial term.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Strategic Gaming Leases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May 16, 2024, the Company acquired the real estate assets of Silverado, the DMG casino, and Baldini's from Strategic. Simultaneous with the acquisition, GLP Capital and affiliates of Strategic entered into the Strategic Gaming Leases which has an initial 25-year term with no purchase option and two ten-year renewal periods (exercisable by the tenant). The initial annual rent is subject to a 2% annual escalation beginning in year three of the lease and a CPI-based annual escalation beginning in year eleven of the lease, at the greater of 2% or CPI capped at 2.5%.</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October 15, 2025, the Company acquired the real estate assets of Sunland Park in Sunland Park, New Mexico for $183.75 million. The property was added to the Strategic Gaming Leases and annual rent was increased by $15.0 million.</w:t>
      </w:r>
    </w:p>
    <w:p>
      <w:pPr>
        <w:pStyle w:val="TextBody"/>
        <w:bidi w:val="0"/>
        <w:spacing w:before="0" w:after="0"/>
        <w:ind w:left="0" w:right="0" w:firstLine="72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Table of Contents</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Ione Loan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September 2024, the Company entered into a $110 million delayed draw term loan facility with the Ione Band of Miwok Indians ("Ione") (the "Ione Loan") to provide the tribe funding on a new casino development near Sacramento, California. Ione has an option at the end of the Ione Loan term to satisfy the loan obligation by converting the outstanding principal into a long-term triple net lease with an initial term of twenty five years and a maximum term of forty five years. These agreements were entered into subsequent to receiving a declination letter from the National Indian Gaming Commission covering the transaction documents, including the long-term lease. As of December 31, 2025, $56.6 million was advanced and outstanding under the Ione Loan which has a 5-year term and an interest rate of 11%. </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Dry Creek Rancheria Loan</w:t>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September 2, 2025, the Company announced, a $225.3 million commitment, subject to receipt of all required permits and approvals, to serve as the lead real estate financing partner for Caesars Republic Sonoma County, a new integrated resort to be developed on the site of the current River Rock Casino. Pursuant to its agreements with the Dry Creek, GLPI will initially act as a lender to the project through (i) a $180 million delayed draw term loan bearing interest at a fixed rate of 12.50% and (ii) a $45.3 million term loan B issued at an original issue discount of 3% and bearing interest at SOFR plus 900 basis points, subject to a SOFR floor of 1%. Each term loan has a maturity of 6 years.</w:t>
      </w:r>
    </w:p>
    <w:p>
      <w:pPr>
        <w:pStyle w:val="TextBody"/>
        <w:bidi w:val="0"/>
        <w:spacing w:before="0" w:after="0"/>
        <w:ind w:left="0" w:right="0" w:firstLine="720"/>
        <w:jc w:val="both"/>
        <w:rPr/>
      </w:pPr>
      <w:r>
        <w:rPr/>
      </w:r>
    </w:p>
    <w:p>
      <w:pPr>
        <w:pStyle w:val="TextBody"/>
        <w:bidi w:val="0"/>
        <w:spacing w:lineRule="auto" w:line="268" w:before="0" w:after="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Upon or prior to maturity of the 6-year loans, Dry Creek will lease back the property to an affiliate of GLPI, and GLPI will sublease the property back to an affiliate of Dry Creek for no less than $112.5 million for 45 years. Annual rent on the sublease will be based on a 9.75% capitalization rate. As of December 31, 2025, the Company has funded the $45.3 million term loan B while the delayed draw term loan remained undrawn. </w:t>
      </w:r>
    </w:p>
    <w:p>
      <w:pPr>
        <w:pStyle w:val="TextBody"/>
        <w:bidi w:val="0"/>
        <w:spacing w:before="0" w:after="0"/>
        <w:ind w:left="0" w:right="0" w:firstLine="720"/>
        <w:jc w:val="both"/>
        <w:rPr/>
      </w:pPr>
      <w:r>
        <w:rPr/>
      </w:r>
    </w:p>
    <w:p>
      <w:pPr>
        <w:pStyle w:val="TextBody"/>
        <w:bidi w:val="0"/>
        <w:spacing w:lineRule="auto" w:line="268" w:before="0" w:after="160"/>
        <w:ind w:left="0" w:right="0" w:firstLine="720"/>
        <w:jc w:val="both"/>
        <w:rPr>
          <w:rFonts w:ascii="Times New Roman;serif" w:hAnsi="Times New Roman;serif"/>
          <w:b/>
          <w:i/>
          <w:color w:val="000000"/>
          <w:sz w:val="20"/>
        </w:rPr>
      </w:pPr>
      <w:r>
        <w:rPr>
          <w:rFonts w:ascii="Times New Roman;serif" w:hAnsi="Times New Roman;serif"/>
          <w:b/>
          <w:i/>
          <w:color w:val="000000"/>
          <w:sz w:val="20"/>
        </w:rPr>
        <w:t>Guarantees</w:t>
      </w:r>
    </w:p>
    <w:p>
      <w:pPr>
        <w:pStyle w:val="TextBody"/>
        <w:bidi w:val="0"/>
        <w:spacing w:lineRule="auto" w:line="288"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obligations under the Amended PENN Master Lease, PENN 2023 Master Lease, Amended Pinnacle Master Lease and Morgantown Lease, are guaranteed by PENN and, with respect to each lease, jointly and severally by PENN's subsidiaries that occupy and operate the facilities covered by such lease. Similarly, the obligations under the Amended and Restated Caesars Master Lease, the Horseshoe St. Louis Lease, the Casino Queen Master Lease, the Bally's Master Lease, the Bally's Master Lease II, the Strategic Gaming Leases and the Tioga Downs Lease are each jointly and severally guaranteed by the applicable parent company and by the parent's subsidiaries that occupy and operate the leased facilities. The obligations under the Tropicana Las Vegas Lease are guaranteed by Bally's. The obligations under the Boyd Master Lease, the Belterra Park Lease, the Maryland Live! Lease, the Pennsylvania Live! Lease and the Rockford Lease are jointly and severally guaranteed by the subsidiaries that occupy and operate the facilities.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2.</w:t>
      </w:r>
      <w:r>
        <w:rPr>
          <w:color w:val="000000"/>
        </w:rPr>
        <w:t>    </w:t>
      </w:r>
      <w:r>
        <w:rPr>
          <w:rFonts w:ascii="Times New Roman;serif" w:hAnsi="Times New Roman;serif"/>
          <w:b/>
          <w:color w:val="000000"/>
          <w:sz w:val="20"/>
        </w:rPr>
        <w:t>Summary of Significant Accounting Policies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Basis of Presentation</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preparation of financial statements in conformity with accounting principles generally accepted in the United States ("GAAP") requires management to make estimates and assumptions that affect the reported amounts of assets and liabilities and disclosure of contingent assets and liabilities at the date of the financial statements, and the reported amounts of revenue and expenses for the reporting periods. Actual results may differ from those estimates.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Principles of Consolidation and Non-controlling interest</w:t>
      </w:r>
    </w:p>
    <w:p>
      <w:pPr>
        <w:pStyle w:val="TextBody"/>
        <w:bidi w:val="0"/>
        <w:spacing w:before="0" w:after="0"/>
        <w:jc w:val="left"/>
        <w:rPr/>
      </w:pPr>
      <w:r>
        <w:rPr/>
      </w:r>
    </w:p>
    <w:p>
      <w:pPr>
        <w:pStyle w:val="TextBody"/>
        <w:bidi w:val="0"/>
        <w:spacing w:lineRule="auto" w:line="288" w:before="1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consolidated financial statements include the accounts of GLPI and its subsidiaries as well as the Company's operating partnership, which is a variable interest entity ("VIE") in which the Company is the primary beneficiary. The Company presents non-controlling interests and classifies such interests as a separate component of equity, separate from GLPI's stockholders' equity and as net income attributable to non-controlling interest in the Consolidated Statement of Income. The operating partnership is a VIE in which the Company is the primary beneficiary because it has the power to direct the activities of the VIE that most significantly impact the partnership's economic performance and has the obligation to absorb losses of the VIE that could be potentially significant to the VIE and the right to receive benefits from the VIE that could potentially be significant to the VIE. Therefore, the Company consolidates the accounts of the operating partnership, and reflects the third party ownership in this entity as a noncontrolling interest in the Consolidated Balance Sheet. All intercompany accounts and transactions have been eliminated in consolidation. </w:t>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Table of Contents</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Real Estate Investments</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Real estate investments primarily represent land and buildings leased to the Company's tenants. The Company records the acquisition of real estate assets at fair value, including acquisition and closing costs. The cost of properties developed by the Company includes costs of construction, property taxes, interest and other miscellaneous costs incurred during the development period until the project is substantially complete and available for its intended use. The Company capitalizes interest on development projects by applying its weighted-average borrowing rate to qualifying construction expenditures incurred during the development period. The Company considers the period of future benefit of the asset to determine the appropriate useful lives. Depreciation is computed using a straight-line method over the estimated useful lives of the buildings and building improvements which are generally between 5 years to 31 years. </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continually monitors events and circumstances that could indicate that the carrying amount of its real estate investments may not be recoverable or realized. The factors considered by the Company in performing these assessments include evaluating whether the tenant is current on its lease payments, the tenant’s rent coverage ratio, the financial stability of the tenant and its parent company, and any other relevant factors. When indicators of potential impairment suggest that the carrying value of a real estate investment may not be recoverable, the Company determines whether the undiscounted cash flows from the underlying lease exceeds the real estate investments' carrying value. If we determine the estimated undiscounted cash flow are less than the asset's carrying value, then the Company would recognize an impairment charge equivalent to the amount required to reduce the carrying value of the asset to its estimated fair value, calculated in accordance with GAAP. The Company groups its real estate investments together by lease, the lowest level for which identifiable cash flows are available, in evaluating impairment. In assessing the recoverability of the carrying value, the Company must make assumptions regarding future cash flows and other factors. The factors considered by the Company in performing this assessment include current operating results, market and other applicable trends and residual values, as well as the effect of obsolescence, demand, competition and other factors. If these estimates or the related assumptions change in the future, the Company may be required to record an impairment loss. </w:t>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Investment in Leases - Financing receivables and Investment in Leases - Sales Type</w:t>
      </w:r>
    </w:p>
    <w:p>
      <w:pPr>
        <w:pStyle w:val="TextBody"/>
        <w:bidi w:val="0"/>
        <w:spacing w:lineRule="auto" w:line="288" w:before="160" w:after="160"/>
        <w:ind w:left="0" w:right="0" w:firstLine="720"/>
        <w:jc w:val="both"/>
        <w:rPr/>
      </w:pPr>
      <w:r>
        <w:rPr>
          <w:rFonts w:ascii="Times New Roman;serif" w:hAnsi="Times New Roman;serif"/>
          <w:b w:val="false"/>
          <w:color w:val="000000"/>
          <w:sz w:val="20"/>
        </w:rPr>
        <w:t xml:space="preserve">In accordance with ASC 842 - </w:t>
      </w:r>
      <w:r>
        <w:rPr>
          <w:rFonts w:ascii="Times New Roman;serif" w:hAnsi="Times New Roman;serif"/>
          <w:b w:val="false"/>
          <w:i/>
          <w:color w:val="000000"/>
          <w:sz w:val="20"/>
        </w:rPr>
        <w:t>Leases</w:t>
      </w:r>
      <w:r>
        <w:rPr>
          <w:color w:val="000000"/>
        </w:rPr>
        <w:t xml:space="preserve"> </w:t>
      </w:r>
      <w:r>
        <w:rPr>
          <w:rFonts w:ascii="Times New Roman;serif" w:hAnsi="Times New Roman;serif"/>
          <w:b w:val="false"/>
          <w:color w:val="000000"/>
          <w:sz w:val="20"/>
        </w:rPr>
        <w:t xml:space="preserve">("ASC 842"), for transactions in which the Company enters into a contract to acquire an asset and leases it back to the seller under a sales-type lease (i.e. a sale leaseback transaction), the Company must determine whether control of the asset has transferred to the Company. In cases whereby control has not transferred to the Company, we do not recognize the underlying asset but instead recognize a financial asset in accordance with ASC 310 "Receivables". The accounting for the financing receivable under ASC 310 is materially consistent with the accounting for our investments in leases - sales type under ASC 842. The Company recognizes interest income on Investment in leases - financing receivables under the effective yield method. Generally, we would recognize interest income to the extent the tenant is not more than 90 days delinquent on their rental obligations. Certain of the Company's leases were required to be accounted for as Investment in leases - financing receivable on the Consolidated Balance Sheets in accordance with ASC 310, since control of the underlying assets was not considered to have transferred to the Company under GAAP given the significant initial term of each of the leases. </w:t>
      </w:r>
    </w:p>
    <w:p>
      <w:pPr>
        <w:pStyle w:val="TextBody"/>
        <w:bidi w:val="0"/>
        <w:spacing w:lineRule="auto" w:line="288" w:before="160" w:after="160"/>
        <w:jc w:val="both"/>
        <w:rPr>
          <w:rFonts w:ascii="Times New Roman;serif" w:hAnsi="Times New Roman;serif"/>
          <w:b/>
          <w:color w:val="000000"/>
          <w:sz w:val="20"/>
        </w:rPr>
      </w:pPr>
      <w:r>
        <w:rPr>
          <w:rFonts w:ascii="Times New Roman;serif" w:hAnsi="Times New Roman;serif"/>
          <w:b/>
          <w:color w:val="000000"/>
          <w:sz w:val="20"/>
        </w:rPr>
        <w:t>Real Estate Loans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may periodically loan funds to casino owner-operators for the purchase or construction of gaming related real estate. Loans for the construction or purchase of real estate assets of gaming related properties are classified as real estate loans on the Company's Consolidated Balance Sheets. Interest income related to real estate loans is recorded as interest income from real estate loans within the Company's Consolidated Statements of Income in the period earned. Generally, we would recognize interest income to the extent the loan is not more than 90 days delinquent.</w:t>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Lease Assets and Lease Liabilities</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determines whether a contract is or contains a lease at its inception. A lease is defined as the right to control the use of identified property, plant, or equipment for a period of time in exchange for consideration. Right-of-use assets and lease liabilities are recorded on the Company's Consolidated Balance Sheet at the lease commencement date for leases in which the Company acts as lessee. Right-of-use assets represent the Company's rights to use underlying assets for the term of the lease and lease liabilities represent the Company's future obligations under the lease agreement. Right-of-use assets and lease liabilities are recognized at the lease commencement date based upon the estimated present value of the lease payments. As the rate implicit in the Company's leases (in which the Company acts as lessee) cannot readily be determined, the Company utilizes its own estimated incremental borrowing rates to determine the present value of its lease payments. Consideration is given to the Company's recent debt issuances, as well as publicly available data for instruments with similar characteristics, including tenor, when determining the incremental borrowing rates of the Company's leases.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Table of Contents</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includes options to extend a lease in its lease term when it is reasonably certain that the Company will exercise those renewal options. In the instance of the Company's ground leases associated with its tenant occupied properties, the Company has included all available renewal options in the lease term, as it intends to renew these leases indefinitely. The Company accounts for the lease and nonlease components (as necessary) of its leases of all classes of underlying assets as a single lease component. Leases with a term of 12 months or less are not recorded on the Company's Consolidated Balance Sheets.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Land rights, net represent the Company's rights to land subject to long-term ground leases. The Company obtained ground lease rights through the acquisition of several of its rental properties and immediately subleased the land to its tenants. These land rights represent the below market value of the related ground leases. The Company assessed the acquired ground leases to determine if the lease terms were favorable or unfavorable, given market conditions at the acquisition date. Because the market rents to be received under the Company's triple-net tenant leases were greater than the rents to be paid under the acquired ground leases, the Company concluded that the ground leases were below market and were therefore required to be recorded as a definite lived asset (land rights) on its books.</w:t>
      </w:r>
    </w:p>
    <w:p>
      <w:pPr>
        <w:pStyle w:val="TextBody"/>
        <w:bidi w:val="0"/>
        <w:spacing w:lineRule="auto" w:line="288" w:before="160" w:after="160"/>
        <w:ind w:left="0" w:right="0" w:firstLine="720"/>
        <w:jc w:val="both"/>
        <w:rPr/>
      </w:pPr>
      <w:r>
        <w:rPr>
          <w:rFonts w:ascii="Times New Roman;serif" w:hAnsi="Times New Roman;serif"/>
          <w:b w:val="false"/>
          <w:color w:val="000000"/>
          <w:sz w:val="20"/>
        </w:rPr>
        <w:t xml:space="preserve">Right-of-use assets and land rights are monitored for potential impairment in much the same way as the Company's real estate assets, using the impairment model in ASC 360 - </w:t>
      </w:r>
      <w:r>
        <w:rPr>
          <w:rFonts w:ascii="Times New Roman;serif" w:hAnsi="Times New Roman;serif"/>
          <w:b w:val="false"/>
          <w:i/>
          <w:color w:val="000000"/>
          <w:sz w:val="20"/>
        </w:rPr>
        <w:t>Property, Plant and Equipment</w:t>
      </w:r>
      <w:r>
        <w:rPr>
          <w:rFonts w:ascii="Times New Roman;serif" w:hAnsi="Times New Roman;serif"/>
          <w:b w:val="false"/>
          <w:color w:val="000000"/>
          <w:sz w:val="20"/>
        </w:rPr>
        <w:t>. If the Company determines the carrying amount of a right-of-use asset or land right is not recoverable, it would recognize an impairment charge equivalent to the amount required to reduce the carrying value of the asset to its estimated fair value, calculated in accordance with GAAP.</w:t>
      </w:r>
    </w:p>
    <w:p>
      <w:pPr>
        <w:pStyle w:val="TextBody"/>
        <w:bidi w:val="0"/>
        <w:spacing w:lineRule="auto" w:line="288" w:before="160" w:after="160"/>
        <w:jc w:val="both"/>
        <w:rPr>
          <w:rFonts w:ascii="Times New Roman;serif" w:hAnsi="Times New Roman;serif"/>
          <w:b/>
          <w:color w:val="000000"/>
          <w:sz w:val="20"/>
        </w:rPr>
      </w:pPr>
      <w:r>
        <w:rPr>
          <w:rFonts w:ascii="Times New Roman;serif" w:hAnsi="Times New Roman;serif"/>
          <w:b/>
          <w:color w:val="000000"/>
          <w:sz w:val="20"/>
        </w:rPr>
        <w:t>Cash and Cash Equivalents</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considers all cash balances and highly-liquid investments with original maturities of three months or less to be cash and cash equivalents.</w:t>
      </w:r>
    </w:p>
    <w:p>
      <w:pPr>
        <w:pStyle w:val="TextBody"/>
        <w:bidi w:val="0"/>
        <w:spacing w:lineRule="auto" w:line="288" w:before="160" w:after="160"/>
        <w:jc w:val="both"/>
        <w:rPr>
          <w:rFonts w:ascii="Times New Roman;serif" w:hAnsi="Times New Roman;serif"/>
          <w:b/>
          <w:color w:val="000000"/>
          <w:sz w:val="20"/>
        </w:rPr>
      </w:pPr>
      <w:r>
        <w:rPr>
          <w:rFonts w:ascii="Times New Roman;serif" w:hAnsi="Times New Roman;serif"/>
          <w:b/>
          <w:color w:val="000000"/>
          <w:sz w:val="20"/>
        </w:rPr>
        <w:t>Held to maturity investment securities</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February 2024, the Company purchased zero coupon United States Treasury Bills of approximately $341 million which matured in August 2024 for $350 million. In August 2024, the Company purchased zero coupon United States Treasury Bills of approximately $550 million which matured in January 2025 for $563 million. The Company classified these debt securities as held to maturity in accordance with ASC 320, Investments-Debt Securities since these are fixed income investments that the Company has the intent and ability to hold until maturity. The securities are recorded at amortized cost on the Consolidated Balance Sheet which approximated their fair value. </w:t>
      </w:r>
    </w:p>
    <w:p>
      <w:pPr>
        <w:pStyle w:val="TextBody"/>
        <w:bidi w:val="0"/>
        <w:spacing w:lineRule="auto" w:line="288" w:before="160" w:after="160"/>
        <w:jc w:val="both"/>
        <w:rPr>
          <w:rFonts w:ascii="Times New Roman;serif" w:hAnsi="Times New Roman;serif"/>
          <w:b/>
          <w:color w:val="000000"/>
          <w:sz w:val="20"/>
        </w:rPr>
      </w:pPr>
      <w:r>
        <w:rPr>
          <w:rFonts w:ascii="Times New Roman;serif" w:hAnsi="Times New Roman;serif"/>
          <w:b/>
          <w:color w:val="000000"/>
          <w:sz w:val="20"/>
        </w:rPr>
        <w:t>Other Assets</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Other assets primarily consists of accounts receivable and deferred compensation plan assets (See Note 11 for further details on the deferred compensation plan). Other assets also include prepaid expenditures for goods or services before the goods are used or the services are received. These amounts are deferred and charged to operations as the benefits are realized and primarily consist of prepayments for insurance, property taxes and other contracts that will be expensed during the subsequent year. </w:t>
      </w:r>
    </w:p>
    <w:p>
      <w:pPr>
        <w:pStyle w:val="TextBody"/>
        <w:bidi w:val="0"/>
        <w:spacing w:lineRule="auto" w:line="288" w:before="160" w:after="160"/>
        <w:jc w:val="both"/>
        <w:rPr>
          <w:rFonts w:ascii="Times New Roman;serif" w:hAnsi="Times New Roman;serif"/>
          <w:b/>
          <w:color w:val="000000"/>
          <w:sz w:val="20"/>
        </w:rPr>
      </w:pPr>
      <w:r>
        <w:rPr>
          <w:rFonts w:ascii="Times New Roman;serif" w:hAnsi="Times New Roman;serif"/>
          <w:b/>
          <w:color w:val="000000"/>
          <w:sz w:val="20"/>
        </w:rPr>
        <w:t>Derivative Financial Instruments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2025, the Company entered into a forward starting interest rate swaps indexed to USD-SOFR, with notionals totaling $300 million all of which had ten year terms. The swaps were designated as cash flow hedges to mitigate the risk of variability in future interest payments associated with the expected issuance of senior unsecured notes.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derivative instruments were recorded at fair value in either Other Assets or Other Liabilities on the Balance Sheet, with changes in fair value recognized in Other Comprehensive Income (OCI) in the statement of operations and comprehensive income, as the hedge qualifies for cash flow hedge accounting under ASC 815.</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formally documented the hedge relationship at the contract's inception, including the identification of the hedging instrument and the hedged expected transaction, risk management objectives, and the method used to assess hedge effectiveness.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evaluates hedge effectiveness on a quarterly basis. If it determines that a hedge is no longer highly effective, hedge accounting is discontinued prospectively, and subsequent changes in fair value are recognized in earnings. Amounts previously recorded in OCI are reclassified to earnings as the hedged interest payments are recognized.</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Table of Contents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year ended December 31, 2025, the Company issued $1.3 billion in senior unsecured notes (See Note 10 for additional details) and terminated the interest rate swaps described above. The Company received a net cash payment of approximately $1.0 million which is being recognized as a reduction in interest expense over 10 years. </w:t>
      </w:r>
    </w:p>
    <w:p>
      <w:pPr>
        <w:pStyle w:val="TextBody"/>
        <w:bidi w:val="0"/>
        <w:spacing w:lineRule="auto" w:line="288" w:before="160" w:after="160"/>
        <w:jc w:val="both"/>
        <w:rPr>
          <w:rFonts w:ascii="Times New Roman;serif" w:hAnsi="Times New Roman;serif"/>
          <w:b/>
          <w:color w:val="000000"/>
          <w:sz w:val="20"/>
        </w:rPr>
      </w:pPr>
      <w:r>
        <w:rPr>
          <w:rFonts w:ascii="Times New Roman;serif" w:hAnsi="Times New Roman;serif"/>
          <w:b/>
          <w:color w:val="000000"/>
          <w:sz w:val="20"/>
        </w:rPr>
        <w:t xml:space="preserve">Debt Issuance Costs and Bond Premiums and Discounts </w:t>
      </w:r>
    </w:p>
    <w:p>
      <w:pPr>
        <w:pStyle w:val="TextBody"/>
        <w:bidi w:val="0"/>
        <w:spacing w:lineRule="auto" w:line="288" w:before="160" w:after="160"/>
        <w:ind w:left="0" w:right="0" w:firstLine="720"/>
        <w:jc w:val="both"/>
        <w:rPr/>
      </w:pPr>
      <w:r>
        <w:rPr>
          <w:rFonts w:ascii="Times New Roman;serif" w:hAnsi="Times New Roman;serif"/>
          <w:b w:val="false"/>
          <w:color w:val="000000"/>
          <w:sz w:val="20"/>
        </w:rPr>
        <w:t xml:space="preserve">Debt issuance costs that are incurred by the Company in connection with the issuance of debt are deferred and amortized to interest expense over the contractual term of the underlying indebtedness. In accordance with ASU 2015-03, </w:t>
      </w:r>
      <w:r>
        <w:rPr>
          <w:rFonts w:ascii="Times New Roman;serif" w:hAnsi="Times New Roman;serif"/>
          <w:b w:val="false"/>
          <w:i/>
          <w:color w:val="000000"/>
          <w:sz w:val="20"/>
        </w:rPr>
        <w:t>Interest - Imputation of Interest (Subtopic 835-30): Simplifying the Presentation of Debt Issuance Costs,</w:t>
      </w:r>
      <w:r>
        <w:rPr>
          <w:color w:val="000000"/>
        </w:rPr>
        <w:t xml:space="preserve"> </w:t>
      </w:r>
      <w:r>
        <w:rPr>
          <w:rFonts w:ascii="Times New Roman;serif" w:hAnsi="Times New Roman;serif"/>
          <w:b w:val="false"/>
          <w:color w:val="000000"/>
          <w:sz w:val="20"/>
        </w:rPr>
        <w:t>the Company records long-term debt net of unamortized debt issuance costs on its Consolidated Balance Sheets. Similarly, the Company records long-term debt net of any unamortized bond premiums and original issuance discounts on its Consolidated Balance Sheets. Any original issuance discounts or bond premiums are also amortized to interest expense over the contractual term of the underlying indebtedness.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Fair Value of Financial Assets and Liabilities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Fair value is defined as the price that would be received to sell an asset or transfer a liability in an orderly transaction between market participants at the measurement date. Assets and liabilities recorded at fair value are classified based upon the level of judgment associated with the inputs used to measure their fair value. ASC 820 - </w:t>
      </w:r>
      <w:r>
        <w:rPr>
          <w:rFonts w:ascii="Times New Roman;serif" w:hAnsi="Times New Roman;serif"/>
          <w:b w:val="false"/>
          <w:i/>
          <w:color w:val="000000"/>
          <w:sz w:val="20"/>
        </w:rPr>
        <w:t>Fair Value Measurements and Disclosures</w:t>
      </w:r>
      <w:r>
        <w:rPr>
          <w:color w:val="000000"/>
        </w:rPr>
        <w:t xml:space="preserve"> </w:t>
      </w:r>
      <w:r>
        <w:rPr>
          <w:rFonts w:ascii="Times New Roman;serif" w:hAnsi="Times New Roman;serif"/>
          <w:b w:val="false"/>
          <w:color w:val="000000"/>
          <w:sz w:val="20"/>
        </w:rPr>
        <w:t>("ASC 820") establishes a hierarchy that prioritizes fair value measurements based on the types of inputs used for the various valuation techniques (market approach, income approach, and cost approach). The levels of the hierarchy related to the subjectivity of the valuation inputs are described below:</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Level 1: Observable inputs such as quoted prices in active markets for identical assets or liabilities.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Level 2: Inputs other than quoted prices that are observable for the asset or liability, either directly or indirectly; these include quoted prices for similar assets or liabilities in active markets, such as interest rates and yield curves that are observable at commonly quoted intervals.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Level 3: Unobservable inputs that reflect the reporting entity's own assumptions, as there is little, if any, related market activity.</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The Company's assessment of the significance of a particular input to the fair value measurement requires judgment and may affect the valuation of assets and liabilities and their placement within the fair value hierarchy.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Revenue Recognition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accounts for our investments in leases under ASC 842. Upon lease inception or lease modification, we assess lease classification to determine whether the lease should be classified as a sales-type, direct financing or operating lease. As required by ASC 842, we separately assess the land and building components of the property to determine the classification of each component. If the lease component is determined to be a sales-type lease or direct financing lease, we record a net investment in the lease, which is equal to the sum of the lease receivable and the unguaranteed residual asset, discounted at the rate implicit in the lease. Any difference between the fair value of the asset and the net investment in the lease is considered selling profit or loss and is either recognized at lease inception or the lease reassessment date or deferred and recognized over the life of the lease, depending on the classification of the lease. Since we purchase properties and simultaneously enter into new leases directly with the tenants, the net investment in the lease is generally equal to the purchase price of the asset, and, due to the long term nature of our leases, the land and building components of an investment generally have the same lease classification.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recognizes the related income from our financing receivables using an effective interest rate at a constant rate over the term of the applicable leases. As a result, the cash payments received under financing receivables will not equal the income recognized for accounting purposes. Rather, a portion of the cash rent the Company will receive is recorded as interest income with the remainder as a change to financing receivables. Initial direct costs incurred in connection with entering into financing receivables are included in the balance of the financing receivables. Such amounts will be recognized as a reduction to interest income from financing receivables over the term of the lease using the effective interest rate method. Costs that would have been incurred regardless of whether the lease was signed, such as legal fees and certain other third party fees, are expensed as incurred.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recognizes rental revenue from tenants, including rental abatements, lease incentives and contractually fixed increases attributable to operating leases, on a straight-line basis over the term of the related leases when collectability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Table of Contents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reasonably assured in accordance with ASC 842. Additionally, percentage rent that is fixed and determinable at the lease inception date is recorded on a straight-line basis over the lease term, resulting in the recognition of deferred rental revenue on the Company’s Consolidated Balance Sheets. Deferred rental revenue is amortized to rental revenue on a straight-line basis over the remainder of the lease term. The lease term includes the initial non-cancelable lease term and any reasonably assured renewable periods. Contingent rental income that is not fixed and determinable at lease inception is recognized only when the lessee achieves the specified target. Recognition of rental income commences when the asset is ready for its intended use.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in accordance with ASC 842, the Company records revenue for the ground lease rent paid by its tenants with an offsetting expense in land rights and ground lease expense within the Consolidated Statement of Income as the Company has concluded that as the lessee it is the primary obligor under the ground leases. The Company subleases these ground leases back to its tenants, who are responsible for payment directly to the landlord. </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may periodically loan funds to casino owner-operators for the purchase or development of gaming related real estate. Interest income related to real estate loans is recorded as revenue from real estate within the Company's consolidated statements of income in the period earned.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Allowance for Credit Losses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follows ASC 326, which requires that the Company measure and record current expected credit losses (“CECL”), the scope of which includes our Investments in leases - financing receivables, net, Investment in leases, sales type, net, as well as real estate loans.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elected to use an econometric default and loss rate model to estimate the Allowance for credit losses, or CECL allowance. This model requires us to calculate and input lease and property-specific credit and performance metrics which in conjunction with forward-looking economic forecasts, project estimated credit losses over the life of the lease or loan. The Company then records a CECL allowance based on the expected loss rate multiplied by the outstanding investment.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Expected losses within our cash flows are determined by estimating the probability of default (“PD”) and loss given default (“LGD”) of our investments subject to CECL. We have engaged a nationally recognized data analytics firm to assist us with estimating both the PD and LGD. The PD and LGD are estimated during the initial term of the instruments subject to CECL. The PD and LGD estimates were developed using current financial condition forecasts. The PD and LGD predictive model was developed using the average historical default rates and historical loss rates, respectively, of over 100,000 commercial real estate loans dating back to 1998 that have similar credit profiles or characteristics to the real estate underlying the Company's instruments subject to CECL. Management will monitor the credit risk related to its instruments subject to CECL by obtaining the applicable rent and interest coverage on a periodic basis. The Company also monitors legislative changes to assess whether it would have an impact on the underlying performance of its tenant or borrower. We are unable to use our historical data to estimate losses as the Company has no loss history to date on its lease and loan portfolios. Our tenants and borrowers are current on all of their obligations as of December 31, 2025 and December 31, 2024.</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CECL allowance is recorded as a reduction to our net Investments in leases - financing receivables, Investment in leases - sales type and real estate loans, on our Consolidated Balance Sheets. We are required to update our CECL allowance on a quarterly basis with the resulting change being recorded in the provision for credit losses, net, in the Consolidated Statement of Income for the relevant period. Finally, each time the Company makes a new investment in an asset subject to ASC 326, the Company will be required to record an initial CECL allowance for such asset, which will result in a non-cash charge to the Consolidated Statement of Income for the relevant period. See Note 7 for further information.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Charge-offs are deducted from the allowance in the period in which they are deemed uncollectible. Recoveries previously written off are recorded when received.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Stock-Based Compensation</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Amended 2013 Long Term Incentive Compensation Plan (the "2013 Plan") provides for the Company to issue restricted stock awards, including performance-based restricted stock awards, and other equity or cash based awards to employees. Any director, employee or consultant shall be eligible to receive such awards.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Table of Contents</w:t>
      </w:r>
    </w:p>
    <w:p>
      <w:pPr>
        <w:pStyle w:val="TextBody"/>
        <w:bidi w:val="0"/>
        <w:spacing w:lineRule="auto" w:line="276"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June 12, 2025, at the 2025 Annual Meeting of Shareholders of GLPI, the Company’s shareholders approved the 2013 Plan to (i) increase the number of shares of common stock reserved for issuance thereunder by 4,500,000 shares, (ii) provide for changes to provisions relating to the reuse of unissued shares, (iii) give the board of directors of the Company (the “Board”) and the Compensation Committee of the Board discretion to determine whether and to what extent holders of phantom stock units, if any, will have shareholder rights, and (iv) to remove provisions related to prior plans and awards that no longer apply to the 2013 Plan.</w:t>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The Company accounts for stock compensation under ASC 718 - </w:t>
      </w:r>
      <w:r>
        <w:rPr>
          <w:rFonts w:ascii="Times New Roman;serif" w:hAnsi="Times New Roman;serif"/>
          <w:b w:val="false"/>
          <w:i/>
          <w:color w:val="000000"/>
          <w:sz w:val="20"/>
        </w:rPr>
        <w:t>Compensation - Stock Compensation</w:t>
      </w:r>
      <w:r>
        <w:rPr>
          <w:rFonts w:ascii="Times New Roman;serif" w:hAnsi="Times New Roman;serif"/>
          <w:b w:val="false"/>
          <w:color w:val="000000"/>
          <w:sz w:val="20"/>
        </w:rPr>
        <w:t>, which requires the Company to expense the cost of employee services received in exchange for an award of equity instruments based on the grant-date fair value of the award. This expense is recognized ratably over the requisite service period following the date of grant. The fair value of the Company's time-based restricted stock awards is equivalent to the closing stock price on the day prior to grant. The Company utilizes a third-party valuation firm to measure the fair value of performance-based restricted stock awards at grant date using the Monte Carlo model.</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unrecognized compensation cost relating to restricted stock awards and performance-based restricted stock awards is recognized as expense over the awards’ remaining vesting periods. See Note 13 for further information related to stock-based compensation.</w:t>
      </w:r>
    </w:p>
    <w:p>
      <w:pPr>
        <w:pStyle w:val="TextBody"/>
        <w:bidi w:val="0"/>
        <w:spacing w:lineRule="auto" w:line="288" w:before="160" w:after="160"/>
        <w:jc w:val="both"/>
        <w:rPr>
          <w:rFonts w:ascii="Times New Roman;serif" w:hAnsi="Times New Roman;serif"/>
          <w:b/>
          <w:color w:val="000000"/>
          <w:sz w:val="20"/>
        </w:rPr>
      </w:pPr>
      <w:r>
        <w:rPr>
          <w:rFonts w:ascii="Times New Roman;serif" w:hAnsi="Times New Roman;serif"/>
          <w:b/>
          <w:color w:val="000000"/>
          <w:sz w:val="20"/>
        </w:rPr>
        <w:t>Income Taxes</w:t>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continues to be organized and operate in a manner that will permit it to qualify as a REIT. To qualify as a REIT, the Company must meet certain organizational and operational requirements, including a requirement to distribute at least 90% of its annual REIT taxable income to shareholders. As a REIT, the Company generally will not be subject to federal, state, or local income tax on income that it distributes as dividends to its shareholders, except in those jurisdictions that do not allow a deduction for such distributions. During the years ended December 31, 2025, 2024, and 2023, the Company’s subsidiary is subject to local taxes in jurisdictions that impose net income or earnings taxes.</w:t>
      </w:r>
    </w:p>
    <w:p>
      <w:pPr>
        <w:pStyle w:val="TextBody"/>
        <w:bidi w:val="0"/>
        <w:spacing w:before="0" w:after="0"/>
        <w:ind w:left="0" w:right="0" w:firstLine="720"/>
        <w:jc w:val="left"/>
        <w:rPr/>
      </w:pPr>
      <w:r>
        <w:rPr/>
      </w:r>
    </w:p>
    <w:p>
      <w:pPr>
        <w:pStyle w:val="TextBody"/>
        <w:bidi w:val="0"/>
        <w:spacing w:lineRule="auto" w:line="276" w:before="0" w:after="0"/>
        <w:jc w:val="left"/>
        <w:rPr>
          <w:color w:val="000000"/>
        </w:rPr>
      </w:pPr>
      <w:r>
        <w:rPr>
          <w:color w:val="000000"/>
        </w:rPr>
        <w:t>    </w:t>
      </w:r>
      <w:r>
        <w:rPr>
          <w:rFonts w:ascii="Times New Roman;serif" w:hAnsi="Times New Roman;serif"/>
          <w:b w:val="false"/>
          <w:color w:val="000000"/>
          <w:sz w:val="20"/>
        </w:rPr>
        <w:t>If the Company fails to qualify as a REIT in any taxable year, it will be subject to U.S. federal, state, and local income tax, including any applicable alternative minimum tax, on its taxable income at regular corporate income tax rates, and dividends paid to its shareholders would not be deductible by the Company in computing taxable income. Any resulting corporate liability could be substantial and could materially and adversely affect the Company's net income and net cash available for distribution to shareholders. Unless the Company was entitled to relief under certain Internal Revenue Code provisions, the Company also would be disqualified from re-electing to be taxed as a REIT for the four taxable years following the year in which it failed to qualify to be taxed as a REIT.</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TRS engaged in activities that generated income that would not qualify as REIT income. As a result, certain activities of the Company that occurred within its TRS are subject to federal and state income taxes. </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accounts for income taxes in accordance with ASC 740 - Income Taxes ("ASC 740"). Under ASC 740, deferred tax assets and liabilities are determined based on the differences between the financial statement carrying amounts and the tax bases of existing assets and liabilities and are measured at the prevailing enacted tax rates that will be in effect when these differences are settled or realized. Due to the Company’s status as a REIT, and the minimal amount of activity conducted by the Company’s TRS, the Company has not realized any deferred tax assets or liabilities on its balance sheet, nor has it had any uncertain tax positions, or related penalties and interest for the three years ended December 31, 2025.</w:t>
      </w:r>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Earnings Per Share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The Company calculates earnings per share ("EPS") in accordance with ASC 260 - </w:t>
      </w:r>
      <w:r>
        <w:rPr>
          <w:rFonts w:ascii="Times New Roman;serif" w:hAnsi="Times New Roman;serif"/>
          <w:b w:val="false"/>
          <w:i/>
          <w:color w:val="000000"/>
          <w:sz w:val="20"/>
        </w:rPr>
        <w:t xml:space="preserve">Earnings per Share </w:t>
      </w:r>
      <w:r>
        <w:rPr>
          <w:rFonts w:ascii="Times New Roman;serif" w:hAnsi="Times New Roman;serif"/>
          <w:b w:val="false"/>
          <w:color w:val="000000"/>
          <w:sz w:val="20"/>
        </w:rPr>
        <w:t>("ASC 260"</w:t>
      </w:r>
      <w:r>
        <w:rPr>
          <w:rFonts w:ascii="Times New Roman;serif" w:hAnsi="Times New Roman;serif"/>
          <w:b w:val="false"/>
          <w:i/>
          <w:color w:val="000000"/>
          <w:sz w:val="20"/>
        </w:rPr>
        <w:t>)</w:t>
      </w:r>
      <w:r>
        <w:rPr>
          <w:rFonts w:ascii="Times New Roman;serif" w:hAnsi="Times New Roman;serif"/>
          <w:b w:val="false"/>
          <w:color w:val="000000"/>
          <w:sz w:val="20"/>
        </w:rPr>
        <w:t xml:space="preserve">. Basic EPS is computed by dividing net income applicable to common stock by the weighted-average number of common shares outstanding during the period, excluding net income attributable to participating securities in accordance with the two class method. The Company's participating securities are related to certain employee equity awards that receive non-forfeitable dividends. Specifically, time based restricted stock awards receive non-forfeitable dividends equivalent to what common shareholders receive during these awards vesting periods. Diluted EPS for the Company's common stock is computed using the more dilutive of the two-class method or the treasury stock method. Diluted EPS reflects the additional dilution for all potentially-dilutive securities. The effect of the conversion of the LTIP Units and OP Units to common shares is excluded from the computation of basic and diluted earnings per share because the exchange of LTIP Units and OP Units into common stock is on a one-for-one basis and all net income attributable to the non-controlling interest holders are recorded as income attributable to non-controlling interests and thus is excluded from net income available to common shareholders. In accordance with ASC 260, the Company includes all performance-based restricted shares that would have vested based upon the Company’s performance at quarter-end in the calculation of diluted EPS.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Table of Contents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Segment Information</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operations consist solely of investments in real estate for which all such real estate properties and investments are similar to one another in that they consist of destination and leisure properties and related offerings, whose tenants offer casino gaming, hotel, convention, dining, entertainment and retail amenities, have similar economic characteristics and are governed by triple-net operating leases. As such, the Company has one reportable segment. The operating results of the Company's real estate investments are reviewed in the aggregate using the Company's consolidated financial statements, by the Company's chief executive officer who is the chief operating decision maker (as such term is defined in ASC 280 - Segment Reporting). See Note 18 for further information. </w:t>
      </w:r>
    </w:p>
    <w:p>
      <w:pPr>
        <w:pStyle w:val="TextBody"/>
        <w:bidi w:val="0"/>
        <w:spacing w:lineRule="auto" w:line="288" w:before="160" w:after="160"/>
        <w:jc w:val="both"/>
        <w:rPr>
          <w:rFonts w:ascii="Times New Roman;serif" w:hAnsi="Times New Roman;serif"/>
          <w:b/>
          <w:color w:val="000000"/>
          <w:sz w:val="20"/>
        </w:rPr>
      </w:pPr>
      <w:r>
        <w:rPr>
          <w:rFonts w:ascii="Times New Roman;serif" w:hAnsi="Times New Roman;serif"/>
          <w:b/>
          <w:color w:val="000000"/>
          <w:sz w:val="20"/>
        </w:rPr>
        <w:t>Concentration of Credit Risk</w:t>
      </w:r>
    </w:p>
    <w:p>
      <w:pPr>
        <w:pStyle w:val="TextBody"/>
        <w:bidi w:val="0"/>
        <w:spacing w:lineRule="auto" w:line="288" w:before="160" w:after="16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Concentrations of credit risk arise when a number of operators, tenants, or obligors related to the Company's investments are engaged in similar business activities, or activities in the same geographic region, or have similar economic features that would cause their ability to meet contractual obligations, including those to the Company, to be similarly affected by changes in economic conditions. Additionally, concentrations of credit risk may arise when revenues of the Company are derived from a small number of tenants. During the year ended December 31, 2025, approximately 59.1%, 12.7%, 10.1%, 7.7% and 6.7% of the Company's collective income from real estate was derived from tenant leases with PENN, Bally's, Cordish, Caesars and Boyd, respectively. PENN, Bally's, Caesars and Boyd are publicly traded companies that are subject to the informational filing requirements of the Securities Exchange Act of 1934, as amended, and are required to file periodic reports on Form 10-K and Form 10-Q and current reports on Form 8-K with the Securities and Exchange Commission ("SEC"). Readers are directed to PENN, Bally's, Caesars and Boyd respective websites for further financial information on these companies. Other than the Company's tenant concentration, management believes the Company's portfolio was reasonably diversified by geographical location and did not contain any other significant concentrations of credit risk. As of December 31, 2025, the Company's portfolio of 69 properties is diversified by location across 20 states.</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Financial instruments that subject the Company to credit risk consist of cash and cash equivalents, Investment in leases, financing receivables, Investment in leases, sales type and real estate loans. The Company's policy is to limit the amount of credit exposure to any one financial institution and place investments with financial institutions evaluated as being creditworthy, or in short-term money market and tax-free bond funds which are exposed to minimal interest rate and credit risk. At times, the Company has bank deposits and overnight repurchase agreements that exceed federally-insured limits.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3.    New Accounting Pronouncements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November 2024, the FASB issued ASU 2024-03, "Disaggregation of Income Statement Expenses" will require all public business entities to disclose in the notes to their financial statements the following items; the amounts of purchases of inventory, employee compensation, depreciation, intangible asset amortization, and depreciation, depletion, and amortization recognized as part of oil-and gas-producing activities included in each relevant expense caption. A relevant expense caption is an expense caption presented on the face of the income statement within continuing operations that contains any of the expense categories listed here. ASU 2024-03 will also require a qualitative description of the amounts remaining in relevant expense captions that are not separately disaggregated quantitatively and disclose the total amount of selling expenses and, in annual reporting periods, an entity's definition of selling expenses. The standard is effective for fiscal years beginning after December 15, 2026, and interim reporting periods beginning after December 15, 2027 with early adoption permitted. The Company is evaluating the impact this standard will have on the Company's financial statement disclosures but will be required to report employee compensation separately in the notes to its financial statements.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Table of Contents</w:t>
      </w:r>
    </w:p>
    <w:p>
      <w:pPr>
        <w:pStyle w:val="TextBody"/>
        <w:bidi w:val="0"/>
        <w:spacing w:lineRule="auto" w:line="288" w:before="0" w:after="0"/>
        <w:jc w:val="left"/>
        <w:rPr/>
      </w:pPr>
      <w:r>
        <w:rPr>
          <w:rFonts w:ascii="Times New Roman;serif" w:hAnsi="Times New Roman;serif"/>
          <w:b/>
          <w:color w:val="000000"/>
          <w:sz w:val="20"/>
        </w:rPr>
        <w:t>4.</w:t>
      </w:r>
      <w:r>
        <w:rPr>
          <w:color w:val="000000"/>
        </w:rPr>
        <w:t>    </w:t>
      </w:r>
      <w:r>
        <w:rPr>
          <w:rFonts w:ascii="Times New Roman;serif" w:hAnsi="Times New Roman;serif"/>
          <w:b/>
          <w:color w:val="000000"/>
          <w:sz w:val="20"/>
        </w:rPr>
        <w:t>Real Estate Investments, Net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Real estate investments, net, represent investments in rental properties and the corporate headquarters building (excluding our investments in transactions accounted for as real estate loans, investment in leases, financing receivables and investment in leases, sales-type that are described in Notes 5 and 7, respectively) and is summarized as follows:</w:t>
      </w:r>
    </w:p>
    <w:p>
      <w:pPr>
        <w:pStyle w:val="TextBody"/>
        <w:bidi w:val="0"/>
        <w:spacing w:lineRule="auto" w:line="288" w:before="0" w:after="0"/>
        <w:jc w:val="left"/>
        <w:rPr>
          <w:color w:val="000000"/>
        </w:rPr>
      </w:pPr>
      <w:r>
        <w:rPr>
          <w:color w:val="000000"/>
        </w:rPr>
        <w:t> </w:t>
      </w:r>
    </w:p>
    <w:tbl>
      <w:tblPr>
        <w:tblW w:w="5588" w:type="dxa"/>
        <w:jc w:val="center"/>
        <w:tblInd w:w="0" w:type="dxa"/>
        <w:tblLayout w:type="fixed"/>
        <w:tblCellMar>
          <w:top w:w="28" w:type="dxa"/>
          <w:left w:w="28" w:type="dxa"/>
          <w:bottom w:w="28" w:type="dxa"/>
          <w:right w:w="28" w:type="dxa"/>
        </w:tblCellMar>
      </w:tblPr>
      <w:tblGrid>
        <w:gridCol w:w="950"/>
        <w:gridCol w:w="835"/>
        <w:gridCol w:w="839"/>
        <w:gridCol w:w="211"/>
        <w:gridCol w:w="976"/>
        <w:gridCol w:w="109"/>
        <w:gridCol w:w="109"/>
        <w:gridCol w:w="109"/>
        <w:gridCol w:w="109"/>
        <w:gridCol w:w="211"/>
        <w:gridCol w:w="976"/>
        <w:gridCol w:w="154"/>
      </w:tblGrid>
      <w:tr>
        <w:trPr/>
        <w:tc>
          <w:tcPr>
            <w:tcW w:w="95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and improvements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3,588,793 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3,583,793 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 and improvements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7,353,409 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6,962,126 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real estate investments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11,173,033 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10,585,461 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(2,698,772)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(2,436,742)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investments,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8,474,261 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8,148,719 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47"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discussed in Note 1, the Company reimbursed PENN for $5 million for land site development costs for the new Joliet casino project. The increase in buildings and improvements relates to the hotel and landside development project for The Belle, along with $130 million funded to PENN for the relocation of the Joliet casino, and $150 million funded to PENN for the M Resort hotel tower. Construction in progress primarily represents development funding along with related capitalized interest on the Company's development projects.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5. Real estate loans, net</w:t>
      </w:r>
    </w:p>
    <w:p>
      <w:pPr>
        <w:pStyle w:val="TextBody"/>
        <w:bidi w:val="0"/>
        <w:spacing w:before="0" w:after="0"/>
        <w:jc w:val="left"/>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 xml:space="preserve">As discussed in Note 1, the Company entered into the Rockford Loan during the year ended December 31, 2023 and the entire $150 million commitment was drawn as of December 31, 2025. The Rockford Loan had a 10% interest rate and a maximum outstanding period of up to 6 years (5-year initial term with a 1-year extension). On January 1, 2025, the Company amended the terms of the Rockford Loan to reduce the interest rate to 8% with a maturity date of June 30, 2026, subject to a 6 month extension.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also entered into the Ione Loan for up to $110.0 million, of which $56.6 million and $15.1 million was drawn as of December 31, 2025 and December 31, 2024, respectively .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Finally, the Company entered into the Dry Creek Loan on December 4, 2025, and $45.3 million was drawn as of December 31, 2025. The term loan B was issued at an original issue discount of 3% and bears interest at SOFR plus 900 basis points, subject to a SOFR floor of 1%. Each term loan has a maturity of 6 years.</w:t>
      </w:r>
    </w:p>
    <w:p>
      <w:pPr>
        <w:pStyle w:val="TextBody"/>
        <w:bidi w:val="0"/>
        <w:spacing w:before="0" w:after="0"/>
        <w:ind w:left="0" w:right="0" w:firstLine="720"/>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the balances of the Company's Real estate loans, net.</w:t>
      </w:r>
    </w:p>
    <w:p>
      <w:pPr>
        <w:pStyle w:val="TextBody"/>
        <w:bidi w:val="0"/>
        <w:spacing w:before="0" w:after="0"/>
        <w:ind w:left="0" w:right="0" w:firstLine="720"/>
        <w:jc w:val="left"/>
        <w:rPr/>
      </w:pPr>
      <w:r>
        <w:rPr/>
      </w:r>
    </w:p>
    <w:tbl>
      <w:tblPr>
        <w:tblW w:w="5424" w:type="dxa"/>
        <w:jc w:val="left"/>
        <w:tblInd w:w="0" w:type="dxa"/>
        <w:tblLayout w:type="fixed"/>
        <w:tblCellMar>
          <w:top w:w="28" w:type="dxa"/>
          <w:left w:w="28" w:type="dxa"/>
          <w:bottom w:w="28" w:type="dxa"/>
          <w:right w:w="28" w:type="dxa"/>
        </w:tblCellMar>
      </w:tblPr>
      <w:tblGrid>
        <w:gridCol w:w="998"/>
        <w:gridCol w:w="876"/>
        <w:gridCol w:w="886"/>
        <w:gridCol w:w="211"/>
        <w:gridCol w:w="826"/>
        <w:gridCol w:w="109"/>
        <w:gridCol w:w="109"/>
        <w:gridCol w:w="109"/>
        <w:gridCol w:w="109"/>
        <w:gridCol w:w="211"/>
        <w:gridCol w:w="826"/>
        <w:gridCol w:w="154"/>
      </w:tblGrid>
      <w:tr>
        <w:trPr/>
        <w:tc>
          <w:tcPr>
            <w:tcW w:w="998"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Real estate loans </w:t>
            </w:r>
            <w:r>
              <w:rPr>
                <w:rFonts w:ascii="Times New Roman;serif" w:hAnsi="Times New Roman;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Allowance for credit losses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loans,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247,999 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160,590 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 xml:space="preserve">Includes an unearned discount of $1.4 million as of December 31, 2025.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change in the allowance for credit losses for the Company's Real estate loans is shown below (in thousands):</w:t>
      </w:r>
    </w:p>
    <w:p>
      <w:pPr>
        <w:pStyle w:val="TextBody"/>
        <w:bidi w:val="0"/>
        <w:spacing w:before="0" w:after="0"/>
        <w:ind w:left="0" w:right="0" w:firstLine="720"/>
        <w:jc w:val="left"/>
        <w:rPr/>
      </w:pPr>
      <w:r>
        <w:rPr/>
      </w:r>
    </w:p>
    <w:tbl>
      <w:tblPr>
        <w:tblW w:w="8774" w:type="dxa"/>
        <w:jc w:val="left"/>
        <w:tblInd w:w="0" w:type="dxa"/>
        <w:tblLayout w:type="fixed"/>
        <w:tblCellMar>
          <w:top w:w="28" w:type="dxa"/>
          <w:left w:w="28" w:type="dxa"/>
          <w:bottom w:w="28" w:type="dxa"/>
          <w:right w:w="28" w:type="dxa"/>
        </w:tblCellMar>
      </w:tblPr>
      <w:tblGrid>
        <w:gridCol w:w="1163"/>
        <w:gridCol w:w="1022"/>
        <w:gridCol w:w="1024"/>
        <w:gridCol w:w="291"/>
        <w:gridCol w:w="954"/>
        <w:gridCol w:w="150"/>
        <w:gridCol w:w="109"/>
        <w:gridCol w:w="109"/>
        <w:gridCol w:w="109"/>
        <w:gridCol w:w="239"/>
        <w:gridCol w:w="613"/>
        <w:gridCol w:w="123"/>
        <w:gridCol w:w="109"/>
        <w:gridCol w:w="109"/>
        <w:gridCol w:w="109"/>
        <w:gridCol w:w="364"/>
        <w:gridCol w:w="933"/>
        <w:gridCol w:w="188"/>
        <w:gridCol w:w="211"/>
        <w:gridCol w:w="691"/>
        <w:gridCol w:w="154"/>
      </w:tblGrid>
      <w:tr>
        <w:trPr/>
        <w:tc>
          <w:tcPr>
            <w:tcW w:w="1163"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Rockford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Ione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Dry Creek Loan</w:t>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December 31, 2023</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allowance</w:t>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(3,523)</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12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(4,487)</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allowance</w:t>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3,208 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Ending balance at December 31, 2025</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w:t>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amortized cost basis of the Company's real estate loans, financing receivables by year of origination is shown below as of December 31, 2025 (in thousands):</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485"/>
        <w:gridCol w:w="425"/>
        <w:gridCol w:w="428"/>
        <w:gridCol w:w="244"/>
        <w:gridCol w:w="956"/>
        <w:gridCol w:w="126"/>
        <w:gridCol w:w="348"/>
        <w:gridCol w:w="1131"/>
        <w:gridCol w:w="180"/>
        <w:gridCol w:w="453"/>
        <w:gridCol w:w="1776"/>
        <w:gridCol w:w="236"/>
        <w:gridCol w:w="109"/>
        <w:gridCol w:w="109"/>
        <w:gridCol w:w="109"/>
        <w:gridCol w:w="652"/>
        <w:gridCol w:w="620"/>
        <w:gridCol w:w="1818"/>
      </w:tblGrid>
      <w:tr>
        <w:trPr/>
        <w:tc>
          <w:tcPr>
            <w:tcW w:w="48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77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r>
      <w:tr>
        <w:trPr/>
        <w:tc>
          <w:tcPr>
            <w:tcW w:w="1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Origination year</w:t>
            </w:r>
          </w:p>
        </w:tc>
        <w:tc>
          <w:tcPr>
            <w:tcW w:w="1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Real estate loans</w:t>
            </w:r>
          </w:p>
        </w:tc>
        <w:tc>
          <w:tcPr>
            <w:tcW w:w="1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Allowance for credit losses</w:t>
            </w:r>
          </w:p>
        </w:tc>
        <w:tc>
          <w:tcPr>
            <w:tcW w:w="24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Amortized cost basis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Allowance as a percentage of outstanding real estate loans</w:t>
            </w:r>
          </w:p>
        </w:tc>
      </w:tr>
      <w:tr>
        <w:trPr/>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43,911 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43,073 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w:t>
            </w:r>
          </w:p>
        </w:tc>
        <w:tc>
          <w:tcPr>
            <w:tcW w:w="18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56,604 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56,205 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(0.70)</w:t>
            </w:r>
          </w:p>
        </w:tc>
        <w:tc>
          <w:tcPr>
            <w:tcW w:w="18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148,721 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(0.85)</w:t>
            </w:r>
          </w:p>
        </w:tc>
        <w:tc>
          <w:tcPr>
            <w:tcW w:w="18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250,515 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247,999 </w:t>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8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real estate loans are subject to CECL, which is described in Note 7. The Company recorded a benefit of $2.1 million and a provision of $3.6 million to the allowance for credit losses for the year ended December 31, 2025 and December 31, 2024, respectively on the Company's real estate loans. Additionally, the Company recorded a provision of $16.3 million and a benefit of $2.1 million for the year ended December 31, 2025 and December 31, 2024, respectively, on unfunded loan commitments. The reserve for the unfunded loan commitment is recorded in other liabilities on the Consolidated Balance Sheets and totaled $16.8 million and $0.5 million at December 31, 2025 and December 31, 2024, respectively. The increase in unfunded loan commitment reserves is the establishment of reserves on the Virginia Live! development project. The Company's borrowers are current on their loan obligations as of December 31, 2025.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18"/>
        </w:rPr>
        <w:t>6.    </w:t>
      </w:r>
      <w:r>
        <w:rPr>
          <w:rFonts w:ascii="Times New Roman;serif" w:hAnsi="Times New Roman;serif"/>
          <w:b/>
          <w:color w:val="000000"/>
          <w:sz w:val="20"/>
        </w:rPr>
        <w:t>Acquisitions</w:t>
      </w:r>
    </w:p>
    <w:p>
      <w:pPr>
        <w:pStyle w:val="TextBody"/>
        <w:bidi w:val="0"/>
        <w:spacing w:before="0" w:after="0"/>
        <w:jc w:val="left"/>
        <w:rPr/>
      </w:pPr>
      <w:r>
        <w:rPr/>
      </w:r>
    </w:p>
    <w:p>
      <w:pPr>
        <w:pStyle w:val="TextBody"/>
        <w:bidi w:val="0"/>
        <w:spacing w:lineRule="auto" w:line="276" w:before="0" w:after="0"/>
        <w:ind w:left="0" w:right="0" w:firstLine="720"/>
        <w:jc w:val="both"/>
        <w:rPr/>
      </w:pPr>
      <w:r>
        <w:rPr>
          <w:rFonts w:ascii="Times New Roman;serif" w:hAnsi="Times New Roman;serif"/>
          <w:b w:val="false"/>
          <w:color w:val="000000"/>
          <w:sz w:val="20"/>
        </w:rPr>
        <w:t xml:space="preserve">The Company accounts for its acquisitions of real estate assets as asset acquisitions under ASC 805 - </w:t>
      </w:r>
      <w:r>
        <w:rPr>
          <w:rFonts w:ascii="Times New Roman;serif" w:hAnsi="Times New Roman;serif"/>
          <w:b w:val="false"/>
          <w:i/>
          <w:color w:val="000000"/>
          <w:sz w:val="20"/>
        </w:rPr>
        <w:t>Business Combinations</w:t>
      </w:r>
      <w:r>
        <w:rPr>
          <w:rFonts w:ascii="Times New Roman;serif" w:hAnsi="Times New Roman;serif"/>
          <w:b w:val="false"/>
          <w:color w:val="000000"/>
          <w:sz w:val="20"/>
        </w:rPr>
        <w:t xml:space="preserve">. Under asset acquisition accounting, transaction costs incurred to acquire the purchased assets are also included as part of the asset cost.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color w:val="000000"/>
          <w:sz w:val="20"/>
        </w:rPr>
      </w:pPr>
      <w:r>
        <w:rPr>
          <w:rFonts w:ascii="Times New Roman;serif" w:hAnsi="Times New Roman;serif"/>
          <w:b/>
          <w:color w:val="000000"/>
          <w:sz w:val="20"/>
        </w:rPr>
        <w:t>Current year acquisitions</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discussed in Note 1, the Company completed the purchase of the real property assets of Sunland Park for $183.75 million which were added to the Strategic Gaming Lease. The transaction was accounted for as a failed sale leaseback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and as such the purchase price, along with incremental transaction costs, was allocated to Investment in leases, financing receivables in the amount of $184.1 million.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color w:val="000000"/>
          <w:sz w:val="20"/>
        </w:rPr>
      </w:pPr>
      <w:r>
        <w:rPr>
          <w:rFonts w:ascii="Times New Roman;serif" w:hAnsi="Times New Roman;serif"/>
          <w:b/>
          <w:color w:val="000000"/>
          <w:sz w:val="20"/>
        </w:rPr>
        <w:t>Prior year acquisitions</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discussed in Note 1, the Company completed the purchase of the real property assets of both Bally’s Kansas City and Bally’s Shreveport for total consideration of approximately $395 million and the properties were leased back to Bally's subject to the terms of the Bally's Master Lease II. The Company paid cash of $388.6 million and issued 137,309 OP Units valued at $6.8 million. The purchase price allocation of these assets based on their fair values at the acquisition date are summarized below (in thousands).</w:t>
      </w:r>
    </w:p>
    <w:p>
      <w:pPr>
        <w:pStyle w:val="TextBody"/>
        <w:bidi w:val="0"/>
        <w:spacing w:before="0" w:after="0"/>
        <w:ind w:left="0" w:right="0" w:firstLine="720"/>
        <w:jc w:val="both"/>
        <w:rPr/>
      </w:pPr>
      <w:r>
        <w:rPr/>
      </w:r>
    </w:p>
    <w:tbl>
      <w:tblPr>
        <w:tblW w:w="3591" w:type="dxa"/>
        <w:jc w:val="left"/>
        <w:tblInd w:w="0" w:type="dxa"/>
        <w:tblLayout w:type="fixed"/>
        <w:tblCellMar>
          <w:top w:w="28" w:type="dxa"/>
          <w:left w:w="28" w:type="dxa"/>
          <w:bottom w:w="28" w:type="dxa"/>
          <w:right w:w="28" w:type="dxa"/>
        </w:tblCellMar>
      </w:tblPr>
      <w:tblGrid>
        <w:gridCol w:w="867"/>
        <w:gridCol w:w="762"/>
        <w:gridCol w:w="771"/>
        <w:gridCol w:w="211"/>
        <w:gridCol w:w="826"/>
        <w:gridCol w:w="154"/>
      </w:tblGrid>
      <w:tr>
        <w:trPr/>
        <w:tc>
          <w:tcPr>
            <w:tcW w:w="867"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rights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221,189 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improvements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 and improvements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purchase price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395,489 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11, 2024, the Company completed its previously announced $250 million acquisition of the land on which Bally's permanent casino in Chicago, Illinois will be constructed. The Company will also fund construction costs of up to $940.0 million for certain real property improvements of the casino. Rental income being received on the land is being deferred and will be recognized once the development project is substantially complete and ready for its intended use.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May 16, 2024, the Company acquired the real estate assets of Silverado, DMG, and Baldini's for $105 million, plus an additional $5 million that was funded at closing to reimburse the tenant for capital improvements. Simultaneous with the acquisition, the Company and affiliates of Strategic entered into two cross-defaulted triple-net lease agreements, each for an initial 25-year term with two ten-year renewal periods. The transaction was accounted for as a failed sale leaseback and the purchase price allocation of these assets and liabilities based on their respective fair values at the acquisition date are summarized below (in thousands).</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tbl>
      <w:tblPr>
        <w:tblW w:w="4776" w:type="dxa"/>
        <w:jc w:val="left"/>
        <w:tblInd w:w="0" w:type="dxa"/>
        <w:tblLayout w:type="fixed"/>
        <w:tblCellMar>
          <w:top w:w="28" w:type="dxa"/>
          <w:left w:w="28" w:type="dxa"/>
          <w:bottom w:w="28" w:type="dxa"/>
          <w:right w:w="28" w:type="dxa"/>
        </w:tblCellMar>
      </w:tblPr>
      <w:tblGrid>
        <w:gridCol w:w="1298"/>
        <w:gridCol w:w="1142"/>
        <w:gridCol w:w="1145"/>
        <w:gridCol w:w="211"/>
        <w:gridCol w:w="826"/>
        <w:gridCol w:w="154"/>
      </w:tblGrid>
      <w:tr>
        <w:trPr/>
        <w:tc>
          <w:tcPr>
            <w:tcW w:w="1298"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leases, financing receivables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lease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purchase price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110,163 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February 6, 2024, the Company acquired the real estate assets of Tioga Downs, in Nichols, NY from American Racing for $175.0 million which comprised of cash, assumed debt that was repaid after closing, and OP Units. Simultaneously with the acquisition, the Company entered into the Tioga Downs Lease. The transaction was accounted for as a failed sale leaseback and as such the purchase price, along with incremental transaction costs, was allocated to Investment in leases, financing receivables in the amount of $176.4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7. Investment in leases, net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Certain of the Company's leases are recorded as an Investment in leases, financing receivables, net, as the sale lease back transactions were accounted for as failed sale leasebacks as control of the real estate did not transfer to the Company. Additionally, as described in Note 1, the Company reassessed the Tropicana Las Vegas Lease during 2024 which resulted in the lease being classified as a sales type lease. The following is a summary of the balances of the Company's investment in leases, financing receivables and investment in leases, sales type (in thousands).</w:t>
      </w:r>
    </w:p>
    <w:p>
      <w:pPr>
        <w:pStyle w:val="TextBody"/>
        <w:bidi w:val="0"/>
        <w:spacing w:before="0" w:after="0"/>
        <w:ind w:left="0" w:right="0" w:firstLine="720"/>
        <w:jc w:val="both"/>
        <w:rPr/>
      </w:pPr>
      <w:r>
        <w:rPr/>
      </w:r>
    </w:p>
    <w:p>
      <w:pPr>
        <w:pStyle w:val="TextBody"/>
        <w:bidi w:val="0"/>
        <w:spacing w:lineRule="auto" w:line="247"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096"/>
        <w:gridCol w:w="786"/>
        <w:gridCol w:w="788"/>
        <w:gridCol w:w="293"/>
        <w:gridCol w:w="1150"/>
        <w:gridCol w:w="151"/>
        <w:gridCol w:w="311"/>
        <w:gridCol w:w="1598"/>
        <w:gridCol w:w="160"/>
        <w:gridCol w:w="293"/>
        <w:gridCol w:w="1150"/>
        <w:gridCol w:w="151"/>
        <w:gridCol w:w="326"/>
        <w:gridCol w:w="1511"/>
        <w:gridCol w:w="168"/>
        <w:gridCol w:w="109"/>
        <w:gridCol w:w="164"/>
      </w:tblGrid>
      <w:tr>
        <w:trPr/>
        <w:tc>
          <w:tcPr>
            <w:tcW w:w="109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15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c>
          <w:tcPr>
            <w:tcW w:w="2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Investment in leases, sales type</w:t>
            </w:r>
          </w:p>
        </w:tc>
        <w:tc>
          <w:tcPr>
            <w:tcW w:w="20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Investment in leases, financing receivables</w:t>
            </w:r>
          </w:p>
        </w:tc>
        <w:tc>
          <w:tcPr>
            <w:tcW w:w="15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Investment in leases, sales type</w:t>
            </w:r>
          </w:p>
        </w:tc>
        <w:tc>
          <w:tcPr>
            <w:tcW w:w="20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Investment in leases, financing receivables</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Minimum lease payments receivable</w:t>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693,619 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10,090,473 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708,456 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9,806,998 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Estimated residual values of lease property (unguaranteed)</w:t>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278,500 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1,444,690 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278,500 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1,276,674 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4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972,119 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11,535,163 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986,956 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11,083,672 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2069"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20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Unearned income</w:t>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(693,622)</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(8,955,526)</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(708,454)</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(8,716,493)</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Allowance for credit losses</w:t>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(30,076)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(22,133)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(23,681)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(34,065)</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leases - net</w:t>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248,421 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2,557,504 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254,821 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2,333,114 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60" w:after="283"/>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present value of the net investment in the lease payment receivable and unguaranteed residual value at December 31, 2025 was $2,477.1 million and $102.6 million compared to $2,290.0 million and $77.1 million at December 31, 2024 for the Company's Investment in leases, financing receivables. The present value of the net investment in lease payment receivable and unguaranteed residual value at December 31, 2025 was $255.3 million and $23.2 million for the Company's Investment in leases, sales type compared to $256.7 million and $21.8 million at December 31, 2024.</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December 31, 2025, minimum lease payments owed to us for each of the five succeeding years under the Company's financing receivables were as follows (in thousands):</w:t>
      </w:r>
    </w:p>
    <w:tbl>
      <w:tblPr>
        <w:tblW w:w="10205" w:type="dxa"/>
        <w:jc w:val="left"/>
        <w:tblInd w:w="0" w:type="dxa"/>
        <w:tblLayout w:type="fixed"/>
        <w:tblCellMar>
          <w:top w:w="28" w:type="dxa"/>
          <w:left w:w="28" w:type="dxa"/>
          <w:bottom w:w="28" w:type="dxa"/>
          <w:right w:w="28" w:type="dxa"/>
        </w:tblCellMar>
      </w:tblPr>
      <w:tblGrid>
        <w:gridCol w:w="685"/>
        <w:gridCol w:w="602"/>
        <w:gridCol w:w="605"/>
        <w:gridCol w:w="564"/>
        <w:gridCol w:w="2208"/>
        <w:gridCol w:w="290"/>
        <w:gridCol w:w="765"/>
        <w:gridCol w:w="3924"/>
        <w:gridCol w:w="562"/>
      </w:tblGrid>
      <w:tr>
        <w:trPr/>
        <w:tc>
          <w:tcPr>
            <w:tcW w:w="685"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220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3924"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r>
      <w:tr>
        <w:trPr/>
        <w:tc>
          <w:tcPr>
            <w:tcW w:w="1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Year ending December 31,</w:t>
            </w:r>
          </w:p>
        </w:tc>
        <w:tc>
          <w:tcPr>
            <w:tcW w:w="30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Future Minimum Lease Payments- Sales Type</w:t>
            </w:r>
          </w:p>
        </w:tc>
        <w:tc>
          <w:tcPr>
            <w:tcW w:w="52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Future Minimum Lease Payments for Investment in leases, financing receivables</w:t>
            </w:r>
          </w:p>
        </w:tc>
      </w:tr>
      <w:tr>
        <w:trPr/>
        <w:tc>
          <w:tcPr>
            <w:tcW w:w="1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5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14,837 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182,092 </w:t>
            </w:r>
          </w:p>
        </w:tc>
        <w:tc>
          <w:tcPr>
            <w:tcW w:w="5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2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14,837 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185,336 </w:t>
            </w:r>
          </w:p>
        </w:tc>
        <w:tc>
          <w:tcPr>
            <w:tcW w:w="5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2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14,837 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188,639 </w:t>
            </w:r>
          </w:p>
        </w:tc>
        <w:tc>
          <w:tcPr>
            <w:tcW w:w="5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2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14,837 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192,000 </w:t>
            </w:r>
          </w:p>
        </w:tc>
        <w:tc>
          <w:tcPr>
            <w:tcW w:w="5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2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14,837 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195,423 </w:t>
            </w:r>
          </w:p>
        </w:tc>
        <w:tc>
          <w:tcPr>
            <w:tcW w:w="5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2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619,434 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9,146,983 </w:t>
            </w:r>
          </w:p>
        </w:tc>
        <w:tc>
          <w:tcPr>
            <w:tcW w:w="5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5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693,619 </w:t>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10,090,473 </w:t>
            </w:r>
          </w:p>
        </w:tc>
        <w:tc>
          <w:tcPr>
            <w:tcW w:w="5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4605" cy="14605"/>
                <wp:effectExtent l="0" t="0" r="0" b="0"/>
                <wp:wrapNone/>
                <wp:docPr id="88" name="Frame88"/>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change in the allowance for credit losses for the Company's investment in leases is illustrated below (in thousands):</w:t>
      </w:r>
    </w:p>
    <w:tbl>
      <w:tblPr>
        <w:tblW w:w="10205" w:type="dxa"/>
        <w:jc w:val="left"/>
        <w:tblInd w:w="0" w:type="dxa"/>
        <w:tblLayout w:type="fixed"/>
        <w:tblCellMar>
          <w:top w:w="28" w:type="dxa"/>
          <w:left w:w="28" w:type="dxa"/>
          <w:bottom w:w="28" w:type="dxa"/>
          <w:right w:w="28" w:type="dxa"/>
        </w:tblCellMar>
      </w:tblPr>
      <w:tblGrid>
        <w:gridCol w:w="395"/>
        <w:gridCol w:w="323"/>
        <w:gridCol w:w="325"/>
        <w:gridCol w:w="245"/>
        <w:gridCol w:w="838"/>
        <w:gridCol w:w="126"/>
        <w:gridCol w:w="289"/>
        <w:gridCol w:w="989"/>
        <w:gridCol w:w="149"/>
        <w:gridCol w:w="266"/>
        <w:gridCol w:w="910"/>
        <w:gridCol w:w="137"/>
        <w:gridCol w:w="259"/>
        <w:gridCol w:w="885"/>
        <w:gridCol w:w="133"/>
        <w:gridCol w:w="322"/>
        <w:gridCol w:w="940"/>
        <w:gridCol w:w="166"/>
        <w:gridCol w:w="268"/>
        <w:gridCol w:w="835"/>
        <w:gridCol w:w="138"/>
        <w:gridCol w:w="243"/>
        <w:gridCol w:w="833"/>
        <w:gridCol w:w="191"/>
      </w:tblGrid>
      <w:tr>
        <w:trPr/>
        <w:tc>
          <w:tcPr>
            <w:tcW w:w="395"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Balance at December 31, 2023</w:t>
            </w:r>
          </w:p>
        </w:tc>
        <w:tc>
          <w:tcPr>
            <w:tcW w:w="1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Initial allowance from current period investments</w:t>
            </w:r>
          </w:p>
        </w:tc>
        <w:tc>
          <w:tcPr>
            <w:tcW w:w="1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Current period change in credit allowance</w:t>
            </w:r>
          </w:p>
        </w:tc>
        <w:tc>
          <w:tcPr>
            <w:tcW w:w="1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Ending Balance at December 31, 2024</w:t>
            </w:r>
          </w:p>
        </w:tc>
        <w:tc>
          <w:tcPr>
            <w:tcW w:w="1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Initial allowance from current period investments</w:t>
            </w:r>
          </w:p>
        </w:tc>
        <w:tc>
          <w:tcPr>
            <w:tcW w:w="1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Current period change in credit allowance</w:t>
            </w:r>
          </w:p>
        </w:tc>
        <w:tc>
          <w:tcPr>
            <w:tcW w:w="1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Balance at December 31, 2025</w:t>
            </w:r>
          </w:p>
        </w:tc>
      </w:tr>
      <w:tr>
        <w:trPr/>
        <w:tc>
          <w:tcPr>
            <w:tcW w:w="1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Maryland Live Lease</w:t>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(6,143)</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2,589 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PA Live Master Lease</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18,471 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(6,536)</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11,935 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Rockford Lease</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(2,183)</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Tioga Lease</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1,579 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3,573 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Strategic Lease</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3,142 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Tropicana LV Lease</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21,293 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23,681 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30,076 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Total</w:t>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21,971 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23,728 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12,047 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57,746 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(6,787)</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52,209 </w:t>
            </w:r>
          </w:p>
        </w:tc>
        <w:tc>
          <w:tcPr>
            <w:tcW w:w="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amortized cost basis of the Company's investment in leases, financing receivables by year of origination is shown below as of December 31, 2025 (in thousands):</w:t>
      </w:r>
    </w:p>
    <w:p>
      <w:pPr>
        <w:pStyle w:val="TextBody"/>
        <w:bidi w:val="0"/>
        <w:spacing w:before="0" w:after="0"/>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465"/>
        <w:gridCol w:w="408"/>
        <w:gridCol w:w="410"/>
        <w:gridCol w:w="351"/>
        <w:gridCol w:w="1627"/>
        <w:gridCol w:w="181"/>
        <w:gridCol w:w="296"/>
        <w:gridCol w:w="1079"/>
        <w:gridCol w:w="152"/>
        <w:gridCol w:w="354"/>
        <w:gridCol w:w="1639"/>
        <w:gridCol w:w="182"/>
        <w:gridCol w:w="109"/>
        <w:gridCol w:w="109"/>
        <w:gridCol w:w="109"/>
        <w:gridCol w:w="586"/>
        <w:gridCol w:w="546"/>
        <w:gridCol w:w="1602"/>
      </w:tblGrid>
      <w:tr>
        <w:trP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62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r>
      <w:tr>
        <w:trPr/>
        <w:tc>
          <w:tcPr>
            <w:tcW w:w="1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Origination year</w:t>
            </w:r>
          </w:p>
        </w:tc>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Investment in leases, financing receivables</w:t>
            </w:r>
          </w:p>
        </w:tc>
        <w:tc>
          <w:tcPr>
            <w:tcW w:w="15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Allowance for credit losses</w:t>
            </w:r>
          </w:p>
        </w:tc>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Amortized cost basis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Allowance as a percentage of outstanding financing receivable</w:t>
            </w:r>
          </w:p>
        </w:tc>
      </w:tr>
      <w:tr>
        <w:trPr/>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184,594 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183,344 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(0.68)</w:t>
            </w:r>
          </w:p>
        </w:tc>
        <w:tc>
          <w:tcPr>
            <w:tcW w:w="16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299,216 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(5,465)</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293,751 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w:t>
            </w:r>
          </w:p>
        </w:tc>
        <w:tc>
          <w:tcPr>
            <w:tcW w:w="16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c>
          <w:tcPr>
            <w:tcW w:w="1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104,914 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104,020 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(0.85)</w:t>
            </w:r>
          </w:p>
        </w:tc>
        <w:tc>
          <w:tcPr>
            <w:tcW w:w="16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2022</w:t>
            </w:r>
          </w:p>
        </w:tc>
        <w:tc>
          <w:tcPr>
            <w:tcW w:w="1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722,488 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(11,935)</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710,553 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w:t>
            </w:r>
          </w:p>
        </w:tc>
        <w:tc>
          <w:tcPr>
            <w:tcW w:w="16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2021</w:t>
            </w:r>
          </w:p>
        </w:tc>
        <w:tc>
          <w:tcPr>
            <w:tcW w:w="1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1,268,425 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(2,589)</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1,265,836 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w:t>
            </w:r>
          </w:p>
        </w:tc>
        <w:tc>
          <w:tcPr>
            <w:tcW w:w="16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2,579,637 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(22,133)</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2,557,504 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(0.86)</w:t>
            </w:r>
          </w:p>
        </w:tc>
        <w:tc>
          <w:tcPr>
            <w:tcW w:w="16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center"/>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amortized cost basis of the Company's investment in leases, sales type by year of origination is shown below as of December 31, 2025 (in thousands):</w:t>
      </w:r>
    </w:p>
    <w:p>
      <w:pPr>
        <w:pStyle w:val="TextBody"/>
        <w:bidi w:val="0"/>
        <w:spacing w:before="0" w:after="0"/>
        <w:jc w:val="center"/>
        <w:rPr/>
      </w:pPr>
      <w:r>
        <w:rPr/>
      </w:r>
    </w:p>
    <w:p>
      <w:pPr>
        <w:pStyle w:val="TextBody"/>
        <w:bidi w:val="0"/>
        <w:spacing w:before="0" w:after="0"/>
        <w:ind w:left="0" w:right="0" w:firstLine="720"/>
        <w:jc w:val="center"/>
        <w:rPr/>
      </w:pPr>
      <w:r>
        <w:rPr/>
      </w:r>
    </w:p>
    <w:tbl>
      <w:tblPr>
        <w:tblW w:w="10205" w:type="dxa"/>
        <w:jc w:val="center"/>
        <w:tblInd w:w="0" w:type="dxa"/>
        <w:tblLayout w:type="fixed"/>
        <w:tblCellMar>
          <w:top w:w="28" w:type="dxa"/>
          <w:left w:w="28" w:type="dxa"/>
          <w:bottom w:w="28" w:type="dxa"/>
          <w:right w:w="28" w:type="dxa"/>
        </w:tblCellMar>
      </w:tblPr>
      <w:tblGrid>
        <w:gridCol w:w="471"/>
        <w:gridCol w:w="413"/>
        <w:gridCol w:w="416"/>
        <w:gridCol w:w="360"/>
        <w:gridCol w:w="1410"/>
        <w:gridCol w:w="185"/>
        <w:gridCol w:w="305"/>
        <w:gridCol w:w="1118"/>
        <w:gridCol w:w="157"/>
        <w:gridCol w:w="414"/>
        <w:gridCol w:w="1624"/>
        <w:gridCol w:w="216"/>
        <w:gridCol w:w="109"/>
        <w:gridCol w:w="109"/>
        <w:gridCol w:w="109"/>
        <w:gridCol w:w="644"/>
        <w:gridCol w:w="545"/>
        <w:gridCol w:w="1600"/>
      </w:tblGrid>
      <w:tr>
        <w:trPr/>
        <w:tc>
          <w:tcPr>
            <w:tcW w:w="47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r>
      <w:tr>
        <w:trPr/>
        <w:tc>
          <w:tcPr>
            <w:tcW w:w="1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Origination year</w:t>
            </w:r>
          </w:p>
        </w:tc>
        <w:tc>
          <w:tcPr>
            <w:tcW w:w="1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Investment in leases, sales type lease</w:t>
            </w:r>
          </w:p>
        </w:tc>
        <w:tc>
          <w:tcPr>
            <w:tcW w:w="1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Allowance for credit losses</w:t>
            </w:r>
          </w:p>
        </w:tc>
        <w:tc>
          <w:tcPr>
            <w:tcW w:w="22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Amortized cost basis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Allowance as a percentage of outstanding sales type lease</w:t>
            </w:r>
          </w:p>
        </w:tc>
      </w:tr>
      <w:tr>
        <w:trPr/>
        <w:tc>
          <w:tcPr>
            <w:tcW w:w="1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6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278,498 </w:t>
            </w:r>
          </w:p>
        </w:tc>
        <w:tc>
          <w:tcPr>
            <w:tcW w:w="185"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(30,076)</w:t>
            </w:r>
          </w:p>
        </w:tc>
        <w:tc>
          <w:tcPr>
            <w:tcW w:w="157"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248,422 </w:t>
            </w:r>
          </w:p>
        </w:tc>
        <w:tc>
          <w:tcPr>
            <w:tcW w:w="2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w:t>
            </w:r>
          </w:p>
        </w:tc>
        <w:tc>
          <w:tcPr>
            <w:tcW w:w="160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720"/>
        <w:jc w:val="left"/>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year ended December 31, 2025, the Company recorded a provision for credit losses, net of $8.7 million. As discussed in Note 5, the Company established a $16.3 million provision for loan commitments primarily related to the Virginia Live! development project. This was partially offset by net benefits of $5.5 million on our investment in leases and $2.1 million on real estate loans.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2024, the Company recorded a provision for credit losses, net of $37.3 million.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was primarily due to the initial establishment of reserves on the Tropicana Las Vegas Lease which was determined based on the underlying credit quality of the tenant, a decline in the estimated real estate values underlying the Company's Investment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leases, financing receivables and, to a lesser extent, the Company's real estate loans and loan commitments.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reason for differences in the allowance as a percentage of outstanding financing receivable for leases originated in each calendar year in the table above depends on various factors for the leases such as expected rent coverage ratios and loan to value ratios. Future changes in economic probability factors, economic projections and changes in the estimated value of our real estate property may result in non-cash provisions or recoveries in future periods that could materially impact our results of operations.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8. Lease Assets and Lease Liabilities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Lease Assets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is subject to various operating leases as lessee for both real estate and equipment, the majority of which are ground leases related to properties the Company leases to its tenants under triple-net operating leases. These ground leases may include fixed rent, as well as variable rent based upon an individual property’s performance or changes in an index such as the CPI and have maturity dates ranging from 2038 to 2108, when considering all renewal options. For certain of these ground leases, the Company’s tenants are responsible for payment directly to the third-party landlord. Under ASC 842, the Company is required to gross-up its consolidated financial statements for these ground leases as the Company is considered the primary obligor. In conjunction with the adoption of ASU 2016-02 on January 1, 2019, the Company recorded right-of-use assets and related lease liabilities on its Consolidated Balance Sheet to represent its rights to use the underlying leased assets and its future lease obligations, respectively, including for those ground leases paid directly by our tenants. Because the right-of-use asset relates, in part, to the same leases which resulted in the land right assets the Company recorded on its Consolidated Balance Sheet in conjunction with the Company's assumption of below market leases at the time it acquired the related land and building assets, the Company is required to report the right-of-use assets and land rights in the aggregate on the Consolidated Balance Sheet.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Land rights, net represent the Company's rights to land subject to long-term ground leases. The Company obtained ground lease rights through the acquisition of several of its rental properties and immediately subleased the land to its tenants. These land rights represent the below market value of the related ground leases. The Company assessed the acquired ground leases to determine if the lease terms were favorable or unfavorable, given market conditions at the acquisition date. Because the market rents to be received under the Company's triple-net tenant leases were greater than the rents to be paid under the acquired ground leases, the Company concluded that the ground leases were below market and were therefore required to be recorded as a definite lived asset (land rights) on its books.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Components of the Company's right-of use assets and land rights, net are detailed below (in thousands):</w:t>
      </w:r>
    </w:p>
    <w:tbl>
      <w:tblPr>
        <w:tblW w:w="6627" w:type="dxa"/>
        <w:jc w:val="center"/>
        <w:tblInd w:w="0" w:type="dxa"/>
        <w:tblLayout w:type="fixed"/>
        <w:tblCellMar>
          <w:top w:w="28" w:type="dxa"/>
          <w:left w:w="28" w:type="dxa"/>
          <w:bottom w:w="28" w:type="dxa"/>
          <w:right w:w="28" w:type="dxa"/>
        </w:tblCellMar>
      </w:tblPr>
      <w:tblGrid>
        <w:gridCol w:w="1178"/>
        <w:gridCol w:w="1036"/>
        <w:gridCol w:w="1041"/>
        <w:gridCol w:w="244"/>
        <w:gridCol w:w="1130"/>
        <w:gridCol w:w="126"/>
        <w:gridCol w:w="109"/>
        <w:gridCol w:w="109"/>
        <w:gridCol w:w="109"/>
        <w:gridCol w:w="243"/>
        <w:gridCol w:w="1125"/>
        <w:gridCol w:w="177"/>
      </w:tblGrid>
      <w:tr>
        <w:trPr/>
        <w:tc>
          <w:tcPr>
            <w:tcW w:w="1178"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Right-of-use assets - operating leases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242,053 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244,594 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rights, net</w:t>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830,110 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847,189 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and land rights, net</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1,072,163 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1,091,783 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ind w:left="0" w:right="0" w:firstLine="720"/>
        <w:jc w:val="center"/>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Land Rights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land rights are amortized over the individual lease term of the related ground lease, including all renewal options, which ranged from 10 years to 92 years at their respective acquisition dates. Land rights net, consist of the following:</w:t>
      </w:r>
    </w:p>
    <w:p>
      <w:pPr>
        <w:pStyle w:val="TextBody"/>
        <w:bidi w:val="0"/>
        <w:spacing w:before="0" w:after="0"/>
        <w:ind w:left="0" w:right="0" w:firstLine="720"/>
        <w:jc w:val="left"/>
        <w:rPr/>
      </w:pPr>
      <w:r>
        <w:rPr/>
      </w:r>
    </w:p>
    <w:tbl>
      <w:tblPr>
        <w:tblW w:w="5349" w:type="dxa"/>
        <w:jc w:val="center"/>
        <w:tblInd w:w="0" w:type="dxa"/>
        <w:tblLayout w:type="fixed"/>
        <w:tblCellMar>
          <w:top w:w="28" w:type="dxa"/>
          <w:left w:w="28" w:type="dxa"/>
          <w:bottom w:w="28" w:type="dxa"/>
          <w:right w:w="28" w:type="dxa"/>
        </w:tblCellMar>
      </w:tblPr>
      <w:tblGrid>
        <w:gridCol w:w="971"/>
        <w:gridCol w:w="850"/>
        <w:gridCol w:w="864"/>
        <w:gridCol w:w="211"/>
        <w:gridCol w:w="826"/>
        <w:gridCol w:w="109"/>
        <w:gridCol w:w="109"/>
        <w:gridCol w:w="109"/>
        <w:gridCol w:w="109"/>
        <w:gridCol w:w="211"/>
        <w:gridCol w:w="826"/>
        <w:gridCol w:w="154"/>
      </w:tblGrid>
      <w:tr>
        <w:trPr/>
        <w:tc>
          <w:tcPr>
            <w:tcW w:w="971"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Land rights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948,303 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Less accumulated amortization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rights,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830,110 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847,189 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before="10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December 31, 2025, estimated future amortization expense related to the Company’s land rights by fiscal year is as follows (in thousands):</w:t>
      </w:r>
    </w:p>
    <w:p>
      <w:pPr>
        <w:pStyle w:val="TextBody"/>
        <w:bidi w:val="0"/>
        <w:spacing w:before="0" w:after="0"/>
        <w:ind w:left="0" w:right="0" w:firstLine="720"/>
        <w:jc w:val="left"/>
        <w:rPr/>
      </w:pPr>
      <w:r>
        <w:rPr/>
      </w:r>
    </w:p>
    <w:tbl>
      <w:tblPr>
        <w:tblW w:w="3276" w:type="dxa"/>
        <w:jc w:val="center"/>
        <w:tblInd w:w="0" w:type="dxa"/>
        <w:tblLayout w:type="fixed"/>
        <w:tblCellMar>
          <w:top w:w="28" w:type="dxa"/>
          <w:left w:w="28" w:type="dxa"/>
          <w:bottom w:w="28" w:type="dxa"/>
          <w:right w:w="28" w:type="dxa"/>
        </w:tblCellMar>
      </w:tblPr>
      <w:tblGrid>
        <w:gridCol w:w="755"/>
        <w:gridCol w:w="663"/>
        <w:gridCol w:w="667"/>
        <w:gridCol w:w="211"/>
        <w:gridCol w:w="826"/>
        <w:gridCol w:w="154"/>
      </w:tblGrid>
      <w:tr>
        <w:trPr/>
        <w:tc>
          <w:tcPr>
            <w:tcW w:w="75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 xml:space="preserve">Year ending December 31, </w:t>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17,079 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17,079 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744,715 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830,110 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Operating Lease Liabilities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December 31, 2025, maturities of the Company's operating lease liabilities were as follows (in thousands):</w:t>
      </w:r>
    </w:p>
    <w:p>
      <w:pPr>
        <w:pStyle w:val="TextBody"/>
        <w:bidi w:val="0"/>
        <w:spacing w:before="0" w:after="0"/>
        <w:jc w:val="left"/>
        <w:rPr/>
      </w:pPr>
      <w:r>
        <w:rPr/>
      </w:r>
    </w:p>
    <w:tbl>
      <w:tblPr>
        <w:tblW w:w="3875" w:type="dxa"/>
        <w:jc w:val="center"/>
        <w:tblInd w:w="0" w:type="dxa"/>
        <w:tblLayout w:type="fixed"/>
        <w:tblCellMar>
          <w:top w:w="28" w:type="dxa"/>
          <w:left w:w="28" w:type="dxa"/>
          <w:bottom w:w="28" w:type="dxa"/>
          <w:right w:w="28" w:type="dxa"/>
        </w:tblCellMar>
      </w:tblPr>
      <w:tblGrid>
        <w:gridCol w:w="970"/>
        <w:gridCol w:w="856"/>
        <w:gridCol w:w="858"/>
        <w:gridCol w:w="211"/>
        <w:gridCol w:w="826"/>
        <w:gridCol w:w="154"/>
      </w:tblGrid>
      <w:tr>
        <w:trPr/>
        <w:tc>
          <w:tcPr>
            <w:tcW w:w="970"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Year ending December 31,</w:t>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771,202 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855,385 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interest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(612,904)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lease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242,481 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Lease Expense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Operating lease costs represent the entire amount of expense recognized for operating leases that are recorded on the Consolidated Balance Sheets. Variable lease costs are not included in the measurement of the lease liability and include both lease payments tied to a property's performance and changes in an index such as the CPI that are not determinable at lease commencement, while short-term lease costs are costs for those operating leases with a term of 12 months or less.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components of lease expense were as follows:</w:t>
      </w:r>
    </w:p>
    <w:tbl>
      <w:tblPr>
        <w:tblW w:w="7929" w:type="dxa"/>
        <w:jc w:val="left"/>
        <w:tblInd w:w="0" w:type="dxa"/>
        <w:tblLayout w:type="fixed"/>
        <w:tblCellMar>
          <w:top w:w="28" w:type="dxa"/>
          <w:left w:w="28" w:type="dxa"/>
          <w:bottom w:w="28" w:type="dxa"/>
          <w:right w:w="28" w:type="dxa"/>
        </w:tblCellMar>
      </w:tblPr>
      <w:tblGrid>
        <w:gridCol w:w="998"/>
        <w:gridCol w:w="877"/>
        <w:gridCol w:w="884"/>
        <w:gridCol w:w="486"/>
        <w:gridCol w:w="1662"/>
        <w:gridCol w:w="251"/>
        <w:gridCol w:w="109"/>
        <w:gridCol w:w="109"/>
        <w:gridCol w:w="109"/>
        <w:gridCol w:w="475"/>
        <w:gridCol w:w="1623"/>
        <w:gridCol w:w="346"/>
      </w:tblGrid>
      <w:tr>
        <w:trPr/>
        <w:tc>
          <w:tcPr>
            <w:tcW w:w="998"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 2024</w:t>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4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17,251 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14,651 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Variable lease cost</w:t>
            </w:r>
          </w:p>
        </w:tc>
        <w:tc>
          <w:tcPr>
            <w:tcW w:w="2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21,078 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19,753 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land right assets</w:t>
            </w:r>
          </w:p>
        </w:tc>
        <w:tc>
          <w:tcPr>
            <w:tcW w:w="2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17,079 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13,270 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cost</w:t>
            </w:r>
          </w:p>
        </w:tc>
        <w:tc>
          <w:tcPr>
            <w:tcW w:w="4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55,408 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47,674 </w:t>
            </w:r>
          </w:p>
        </w:tc>
        <w:tc>
          <w:tcPr>
            <w:tcW w:w="3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Amortization expense related to the land right intangibles, as well as variable lease costs and the majority of the Company's operating lease costs are recorded within land rights and ground lease expense in the consolidated statements of income.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Supplemental Disclosures Related to Operating Leases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Supplemental balance sheet information related to the Company's operating leases was as follows:</w:t>
      </w:r>
    </w:p>
    <w:tbl>
      <w:tblPr>
        <w:tblW w:w="6314" w:type="dxa"/>
        <w:jc w:val="left"/>
        <w:tblInd w:w="0" w:type="dxa"/>
        <w:tblLayout w:type="fixed"/>
        <w:tblCellMar>
          <w:top w:w="28" w:type="dxa"/>
          <w:left w:w="28" w:type="dxa"/>
          <w:bottom w:w="28" w:type="dxa"/>
          <w:right w:w="28" w:type="dxa"/>
        </w:tblCellMar>
      </w:tblPr>
      <w:tblGrid>
        <w:gridCol w:w="1726"/>
        <w:gridCol w:w="1517"/>
        <w:gridCol w:w="1527"/>
        <w:gridCol w:w="452"/>
        <w:gridCol w:w="452"/>
        <w:gridCol w:w="640"/>
      </w:tblGrid>
      <w:tr>
        <w:trPr/>
        <w:tc>
          <w:tcPr>
            <w:tcW w:w="1726"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remaining lease term - operating leases</w:t>
            </w:r>
          </w:p>
        </w:tc>
        <w:tc>
          <w:tcPr>
            <w:tcW w:w="15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52.43 years</w:t>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discount rate - operating leases</w:t>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6.26%</w:t>
            </w:r>
          </w:p>
        </w:tc>
      </w:tr>
    </w:tbl>
    <w:p>
      <w:pPr>
        <w:pStyle w:val="TextBody"/>
        <w:bidi w:val="0"/>
        <w:spacing w:before="100" w:after="283"/>
        <w:ind w:left="0" w:right="0" w:firstLine="720"/>
        <w:jc w:val="both"/>
        <w:rPr/>
      </w:pPr>
      <w:r>
        <w:rPr/>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Supplemental cash flow information related to the Company's operating leases was as follows:</w:t>
      </w:r>
    </w:p>
    <w:tbl>
      <w:tblPr>
        <w:tblW w:w="10205" w:type="dxa"/>
        <w:jc w:val="left"/>
        <w:tblInd w:w="0" w:type="dxa"/>
        <w:tblLayout w:type="fixed"/>
        <w:tblCellMar>
          <w:top w:w="28" w:type="dxa"/>
          <w:left w:w="28" w:type="dxa"/>
          <w:bottom w:w="28" w:type="dxa"/>
          <w:right w:w="28" w:type="dxa"/>
        </w:tblCellMar>
      </w:tblPr>
      <w:tblGrid>
        <w:gridCol w:w="1940"/>
        <w:gridCol w:w="1701"/>
        <w:gridCol w:w="1710"/>
        <w:gridCol w:w="504"/>
        <w:gridCol w:w="1474"/>
        <w:gridCol w:w="260"/>
        <w:gridCol w:w="109"/>
        <w:gridCol w:w="109"/>
        <w:gridCol w:w="109"/>
        <w:gridCol w:w="491"/>
        <w:gridCol w:w="1434"/>
        <w:gridCol w:w="364"/>
      </w:tblGrid>
      <w:tr>
        <w:trPr/>
        <w:tc>
          <w:tcPr>
            <w:tcW w:w="1940"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171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5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 2024</w:t>
            </w:r>
          </w:p>
        </w:tc>
      </w:tr>
      <w:tr>
        <w:trPr/>
        <w:tc>
          <w:tcPr>
            <w:tcW w:w="5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5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2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Operating cash flows from operating leases </w:t>
            </w:r>
            <w:r>
              <w:rPr>
                <w:rFonts w:ascii="Times New Roman;serif" w:hAnsi="Times New Roman;serif"/>
                <w:b w:val="false"/>
                <w:color w:val="000000"/>
                <w:sz w:val="13"/>
              </w:rPr>
              <w:t>(1)</w:t>
            </w:r>
          </w:p>
        </w:tc>
        <w:tc>
          <w:tcPr>
            <w:tcW w:w="5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1,666 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1,659 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1" w:type="dxa"/>
            <w:gridSpan w:val="3"/>
            <w:tcBorders/>
            <w:vAlign w:val="center"/>
          </w:tcPr>
          <w:p>
            <w:pPr>
              <w:pStyle w:val="TableContents"/>
              <w:bidi w:val="0"/>
              <w:spacing w:before="0" w:after="283"/>
              <w:jc w:val="left"/>
              <w:rPr>
                <w:sz w:val="4"/>
                <w:szCs w:val="4"/>
              </w:rPr>
            </w:pPr>
            <w:r>
              <w:rPr>
                <w:sz w:val="4"/>
                <w:szCs w:val="4"/>
              </w:rPr>
            </w:r>
          </w:p>
        </w:tc>
        <w:tc>
          <w:tcPr>
            <w:tcW w:w="2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9" w:type="dxa"/>
            <w:gridSpan w:val="3"/>
            <w:tcBorders/>
            <w:vAlign w:val="center"/>
          </w:tcPr>
          <w:p>
            <w:pPr>
              <w:pStyle w:val="TableContents"/>
              <w:bidi w:val="0"/>
              <w:spacing w:before="0" w:after="283"/>
              <w:jc w:val="left"/>
              <w:rPr>
                <w:sz w:val="4"/>
                <w:szCs w:val="4"/>
              </w:rPr>
            </w:pPr>
            <w:r>
              <w:rPr>
                <w:sz w:val="4"/>
                <w:szCs w:val="4"/>
              </w:rPr>
            </w:r>
          </w:p>
        </w:tc>
      </w:tr>
      <w:tr>
        <w:trPr/>
        <w:tc>
          <w:tcPr>
            <w:tcW w:w="5351" w:type="dxa"/>
            <w:gridSpan w:val="3"/>
            <w:tcBorders/>
            <w:vAlign w:val="center"/>
          </w:tcPr>
          <w:p>
            <w:pPr>
              <w:pStyle w:val="TableContents"/>
              <w:bidi w:val="0"/>
              <w:spacing w:before="0" w:after="283"/>
              <w:jc w:val="left"/>
              <w:rPr>
                <w:sz w:val="4"/>
                <w:szCs w:val="4"/>
              </w:rPr>
            </w:pPr>
            <w:r>
              <w:rPr>
                <w:sz w:val="4"/>
                <w:szCs w:val="4"/>
              </w:rPr>
            </w:r>
          </w:p>
        </w:tc>
        <w:tc>
          <w:tcPr>
            <w:tcW w:w="2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9" w:type="dxa"/>
            <w:gridSpan w:val="3"/>
            <w:tcBorders/>
            <w:vAlign w:val="center"/>
          </w:tcPr>
          <w:p>
            <w:pPr>
              <w:pStyle w:val="TableContents"/>
              <w:bidi w:val="0"/>
              <w:spacing w:before="0" w:after="283"/>
              <w:jc w:val="left"/>
              <w:rPr>
                <w:sz w:val="4"/>
                <w:szCs w:val="4"/>
              </w:rPr>
            </w:pPr>
            <w:r>
              <w:rPr>
                <w:sz w:val="4"/>
                <w:szCs w:val="4"/>
              </w:rPr>
            </w:r>
          </w:p>
        </w:tc>
      </w:tr>
      <w:tr>
        <w:trPr/>
        <w:tc>
          <w:tcPr>
            <w:tcW w:w="5351" w:type="dxa"/>
            <w:gridSpan w:val="3"/>
            <w:tcBorders/>
            <w:vAlign w:val="center"/>
          </w:tcPr>
          <w:p>
            <w:pPr>
              <w:pStyle w:val="TableContents"/>
              <w:bidi w:val="0"/>
              <w:spacing w:before="0" w:after="283"/>
              <w:jc w:val="left"/>
              <w:rPr>
                <w:sz w:val="4"/>
                <w:szCs w:val="4"/>
              </w:rPr>
            </w:pPr>
            <w:r>
              <w:rPr>
                <w:sz w:val="4"/>
                <w:szCs w:val="4"/>
              </w:rPr>
            </w:r>
          </w:p>
        </w:tc>
        <w:tc>
          <w:tcPr>
            <w:tcW w:w="2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13"/>
        </w:rPr>
        <w:t xml:space="preserve">(1) </w:t>
      </w:r>
      <w:r>
        <w:rPr>
          <w:rFonts w:ascii="Times New Roman;serif" w:hAnsi="Times New Roman;serif"/>
          <w:b w:val="false"/>
          <w:color w:val="000000"/>
          <w:sz w:val="20"/>
        </w:rPr>
        <w:t>The Company's cash paid for operating leases is significantly less than the lease cost for the same period due to the majority of the Company's ground lease rent being paid directly to the landlords by the Company's tenants. Although GLPI expends no cash related to these leases, they are required to be grossed up in the Company's financial statements under ASC 842.</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Financing Lease Liabilities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acquisition of certain real property assets included in the Maryland Live! Lease and the Strategic Gaming Leases, the Company acquired the rights to land subject to a long-term ground leases which expire in June 2111 and April 2062, respectively. As these leases were accounted for as Investment in leases, financing receivables, the underlying ground leases were accounted for as Financing lease liabilities on the Consolidated Balance Sheets. In accordance with ASC 842, the Company records revenue for the ground lease rent paid by its tenant with an offsetting expense in interest expense as the Company has concluded that as the lessee it is the primary obligor under the ground leases. The Company's weighted average discount rate on the fixed minimum annual payments was 5.07% to arrive at the initial lease obligations.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December 31, 2025, payments under the Company's financing lease liabilities were as follows (in thousands):</w:t>
      </w:r>
    </w:p>
    <w:p>
      <w:pPr>
        <w:pStyle w:val="TextBody"/>
        <w:bidi w:val="0"/>
        <w:spacing w:before="0" w:after="0"/>
        <w:jc w:val="both"/>
        <w:rPr/>
      </w:pPr>
      <w:r>
        <w:rPr/>
      </w:r>
    </w:p>
    <w:p>
      <w:pPr>
        <w:pStyle w:val="TextBody"/>
        <w:bidi w:val="0"/>
        <w:spacing w:before="0" w:after="0"/>
        <w:jc w:val="left"/>
        <w:rPr/>
      </w:pPr>
      <w:r>
        <w:rPr/>
      </w:r>
    </w:p>
    <w:tbl>
      <w:tblPr>
        <w:tblW w:w="4401" w:type="dxa"/>
        <w:jc w:val="left"/>
        <w:tblInd w:w="0" w:type="dxa"/>
        <w:tblLayout w:type="fixed"/>
        <w:tblCellMar>
          <w:top w:w="28" w:type="dxa"/>
          <w:left w:w="28" w:type="dxa"/>
          <w:bottom w:w="28" w:type="dxa"/>
          <w:right w:w="28" w:type="dxa"/>
        </w:tblCellMar>
      </w:tblPr>
      <w:tblGrid>
        <w:gridCol w:w="1163"/>
        <w:gridCol w:w="1021"/>
        <w:gridCol w:w="1026"/>
        <w:gridCol w:w="211"/>
        <w:gridCol w:w="826"/>
        <w:gridCol w:w="154"/>
      </w:tblGrid>
      <w:tr>
        <w:trPr/>
        <w:tc>
          <w:tcPr>
            <w:tcW w:w="1163"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Year ending December 31,</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308,234 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322,026 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Interest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(260,807)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finance lease liability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61,219 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9. Fair Value of Financial Assets and Liabilities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methods and assumptions are used to estimate the fair value of each class of financial instruments for which it is practicable to estimate: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Cash and Cash Equivalents</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fair value of the Company’s cash and cash equivalents approximates the carrying value of the Company’s cash and cash equivalents, due to the short maturity of the cash equivalents.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Investment securities held to maturity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August 2024, the Company purchased U.S. Treasury Bills that matured in January 2025. The fair value of the investment (which approximated its carrying value) is based on quoted prices in active markets and as such is a Level 1 measurement as defined in ASC 820.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Investment in leases, financing receivables, net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fair value of the Company's net investment in leases, financing receivables, is based on the value of the underlying</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real estate property the Company owns under these leases. The initial fair value was the price paid by the Company to acquire the real estate. The initial fair value is then adjusted for changes in the commercial real estate price index and as such is a Level 3 measurement as defined under ASC 820.</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Investment in leases, sales type, net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fair value of the Company's investment in leases, sales type, net was initially based on a third party valuation report which utilized both market based and income based valuation approaches to value the underlying land related to the applicable lease at the lease reassessment date. Subsequent changes in the fair value from this date are based on changes in the commercial real estate price index. As such, this was determined to be a Level 3 measurement as defined under ASC 820.</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 xml:space="preserve">Deferred Compensation Plan Assets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deferred compensation plan assets consist of open-ended mutual funds and as such the fair value measurement of the assets is considered a Level 1 measurement as defined under ASC 820. Deferred compensation plan assets are included within other assets on the Consolidated Balance Sheets.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Real Estate Loans, net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estimates the fair value of its fixed-rate loan portfolio for disclosure purposes using a discounted cash flow methodology. Fair value is estimated by discounting the loans’ remaining contractual cash flows using current market rates as of the measurement date for loans with similar credit characteristics and remaining terms. As a result, the estimated fair value is primarily driven by movements in market interest rates since origination, along with the remaining maturity and payment structure of the loans. The Company's variable-rate loans reprice to market at regular intervals and therefore the Company believes the carrying amount approximates its fair value. The fair value measurement of the real estate loans is considered a Level 3 measurement as defined in ASC 820.</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Long-term Debt</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fair value of the Senior Notes are estimated based on quoted prices in active markets and as such are Level 1 measurements as defined under ASC 820. The fair value of the obligations in our Amended Credit Agreement is based on indicative pricing from market information (Level 2 inputs).</w:t>
      </w:r>
    </w:p>
    <w:p>
      <w:pPr>
        <w:pStyle w:val="TextBody"/>
        <w:bidi w:val="0"/>
        <w:spacing w:lineRule="auto" w:line="288" w:before="0" w:after="0"/>
        <w:ind w:left="0" w:right="0" w:firstLine="720"/>
        <w:jc w:val="both"/>
        <w:rPr>
          <w:color w:val="000000"/>
        </w:rPr>
      </w:pPr>
      <w:r>
        <w:rPr>
          <w:color w:val="000000"/>
        </w:rPr>
        <w:t> </w:t>
      </w:r>
    </w:p>
    <w:p>
      <w:pPr>
        <w:pStyle w:val="TextBody"/>
        <w:bidi w:val="0"/>
        <w:spacing w:before="0" w:after="0"/>
        <w:ind w:left="0" w:right="0" w:firstLine="720"/>
        <w:jc w:val="both"/>
        <w:rPr/>
      </w:pPr>
      <w:r>
        <w:rPr/>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estimated fair values of the Company’s financial instruments are as follows (in thousands):</w:t>
      </w:r>
    </w:p>
    <w:tbl>
      <w:tblPr>
        <w:tblW w:w="9675" w:type="dxa"/>
        <w:jc w:val="left"/>
        <w:tblInd w:w="0" w:type="dxa"/>
        <w:tblLayout w:type="fixed"/>
        <w:tblCellMar>
          <w:top w:w="28" w:type="dxa"/>
          <w:left w:w="28" w:type="dxa"/>
          <w:bottom w:w="28" w:type="dxa"/>
          <w:right w:w="28" w:type="dxa"/>
        </w:tblCellMar>
      </w:tblPr>
      <w:tblGrid>
        <w:gridCol w:w="1473"/>
        <w:gridCol w:w="1291"/>
        <w:gridCol w:w="1301"/>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473"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assets:</w:t>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firstLine="180"/>
              <w:jc w:val="right"/>
              <w:rPr>
                <w:color w:val="000000"/>
              </w:rPr>
            </w:pPr>
            <w:r>
              <w:rPr>
                <w:color w:val="000000"/>
              </w:rPr>
              <w:t> </w:t>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462,632 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securities held to maturity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561,154 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leases, financing receivables,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2,557,504 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2,150,560 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2,333,114 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2,087,705 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leases, sales type lease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280,970 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loans,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Deferred compensation plan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90"/>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Agreement and Term Loan Credit Facility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932,455 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unsecured notes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6,295,709 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6,665,565 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Assets and Liabilities Measured at Fair Value on a Nonrecurring Basis</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There were no assets or liabilities measured at fair value on a nonrecurring basis during the years ended December 31, 2025 and 2024 other than what was described below.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discussed in Note 1, during the year ended December 31, 2024, the Company amended the Tropicana Las Vegas Lease due to a change in rent terms resulting from funding certain demolition costs at the site for Bally's. The lease was reassessed from an accounting perspective which resulted in the amended lease being accounted for as a sales type lease whereas previously it had been treated as an operating lease. The sales type lease was recorded at the estimated fair value of the land at the reassessment date based on a third party valuation report. This report utilized a combination of comparable land sales for its market based valuation approach as well as rent multiple capitalization rates for its income valuation approach to determine an estimated fair value which resulted in a $3.8 million gain. </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10.</w:t>
      </w:r>
      <w:r>
        <w:rPr>
          <w:color w:val="000000"/>
        </w:rPr>
        <w:t>    </w:t>
      </w:r>
      <w:r>
        <w:rPr>
          <w:rFonts w:ascii="Times New Roman;serif" w:hAnsi="Times New Roman;serif"/>
          <w:b/>
          <w:color w:val="000000"/>
          <w:sz w:val="20"/>
        </w:rPr>
        <w:t>Long-term Debt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Long-term debt, net of current maturities and unamortized debt issuance costs is as follows: </w:t>
      </w:r>
    </w:p>
    <w:tbl>
      <w:tblPr>
        <w:tblW w:w="10205" w:type="dxa"/>
        <w:jc w:val="center"/>
        <w:tblInd w:w="0" w:type="dxa"/>
        <w:tblLayout w:type="fixed"/>
        <w:tblCellMar>
          <w:top w:w="28" w:type="dxa"/>
          <w:left w:w="28" w:type="dxa"/>
          <w:bottom w:w="28" w:type="dxa"/>
          <w:right w:w="28" w:type="dxa"/>
        </w:tblCellMar>
      </w:tblPr>
      <w:tblGrid>
        <w:gridCol w:w="2618"/>
        <w:gridCol w:w="2307"/>
        <w:gridCol w:w="2314"/>
        <w:gridCol w:w="211"/>
        <w:gridCol w:w="976"/>
        <w:gridCol w:w="109"/>
        <w:gridCol w:w="109"/>
        <w:gridCol w:w="109"/>
        <w:gridCol w:w="109"/>
        <w:gridCol w:w="211"/>
        <w:gridCol w:w="976"/>
        <w:gridCol w:w="156"/>
      </w:tblGrid>
      <w:tr>
        <w:trPr/>
        <w:tc>
          <w:tcPr>
            <w:tcW w:w="2618"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sz w:val="4"/>
                <w:szCs w:val="4"/>
              </w:rPr>
            </w:pPr>
            <w:r>
              <w:rPr>
                <w:sz w:val="4"/>
                <w:szCs w:val="4"/>
              </w:rPr>
            </w:r>
          </w:p>
        </w:tc>
        <w:tc>
          <w:tcPr>
            <w:tcW w:w="23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72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Unsecured $2,090 million revolver due December 2028</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332,455 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Credit Facility due September 2027</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$850 million 5.250% senior unsecured notes due June 2025</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$975 million 5.375% senior unsecured notes due April 2026</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$500 million 5.750% senior unsecured notes due June 2028</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$750 million 5.300% senior unsecured notes due January 2029</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$700 million 4.000% senior unsecured notes due January 2030</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$700 million 4.000% senior unsecured notes due January 2031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$800 million 3.250% senior unsecured notes due January 2032</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$600 million 5.250% senior unsecured notes due February 2033</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$400 million 6.750% senior unsecured notes due December 2033</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$800 million 5.625% senior unsecured notes due September 2034</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$700 million 5.750% senior unsecured notes due November 2037</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$400 million 6.250% senior unsecured notes due September 2054</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7,281,764 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7,807,732 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debt issuance costs, bond premiums and original issuance discounts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(71,855)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long-term debt, net of unamortized debt issuance costs, bond premiums and original issuance discounts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7,203,731 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7,735,877 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is a schedule of future minimum repayments of long-term debt as of December 31, 2025 (in thousands): </w:t>
      </w:r>
    </w:p>
    <w:p>
      <w:pPr>
        <w:pStyle w:val="TextBody"/>
        <w:bidi w:val="0"/>
        <w:spacing w:before="0" w:after="0"/>
        <w:ind w:left="0" w:right="0" w:firstLine="720"/>
        <w:jc w:val="left"/>
        <w:rPr/>
      </w:pPr>
      <w:r>
        <w:rPr/>
      </w:r>
    </w:p>
    <w:tbl>
      <w:tblPr>
        <w:tblW w:w="3545" w:type="dxa"/>
        <w:jc w:val="center"/>
        <w:tblInd w:w="0" w:type="dxa"/>
        <w:tblLayout w:type="fixed"/>
        <w:tblCellMar>
          <w:top w:w="28" w:type="dxa"/>
          <w:left w:w="28" w:type="dxa"/>
          <w:bottom w:w="28" w:type="dxa"/>
          <w:right w:w="28" w:type="dxa"/>
        </w:tblCellMar>
      </w:tblPr>
      <w:tblGrid>
        <w:gridCol w:w="798"/>
        <w:gridCol w:w="700"/>
        <w:gridCol w:w="706"/>
        <w:gridCol w:w="211"/>
        <w:gridCol w:w="976"/>
        <w:gridCol w:w="154"/>
      </w:tblGrid>
      <w:tr>
        <w:trPr/>
        <w:tc>
          <w:tcPr>
            <w:tcW w:w="798"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603,325 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824,975 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Over 5 years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minimum payments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7,281,764 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Senior Unsecured Amended Credit Agreement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an Amended Credit Agreement providing for a revolving commitment capacity of $2.09 billion with a maturity date of December 2, 2028 (the "Revolver"). GLP Capital is the primary obligor under the Amended Credit Agreement, which is guaranteed by GLPI.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the Amended Credit Agreement provides GLP Capital with the right to elect to re-allocate up to $1.04 billion in existing revolving commitments under the Amended Credit Agreement to one or more new revolving credit facilities (“Amended Bridge Revolving Facility” and, collectively, the "Amended Bridge Revolving Facilities"). Loans under any Amended Bridge Revolving Facility are subject to 1% amortization per annum. Amounts repaid under any Amended Bridge Revolving Facility cannot be reborrowed and the corresponding commitments are automatically re-allocated to the existing revolving facility.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Amended Bridge Revolving Facilities are intended to be used solely to fund cash distributions to third-party contributors in connection with their contribution of one or more properties to GLP Capital. GLP Capital’s ability to borrow under any Amended Bridge Revolving Facility is subject to certain conditions including pro forma compliance with GLP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Capital’s financial covenants, as well as the receipt by the Agent of a satisfactory conditional guarantee of the loans under the applicable Amended Bridge Revolving Facility by the applicable contributor or its affiliate, subject to the prior enforcement of all remedies against GLP Capital, GLPI and other applicable sources other than such guarantor. Loans under the Amended Bridge Revolving Facility will not be treated pro rata with loans under the existing revolving credit facility.</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December 31, 2025, $331.6 million was outstanding under the Amended Credit Agreement. Additionally, at December 31, 2025, the Company was contingently obligated under letters of credit issued pursuant to the Amended Credit Agreement with face amounts aggregating approximately $0.4 million, resulting in $1,758.0 million of available borrowing capacity under the Amended Credit Agreement as of December 31, 2025.</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interest rates payable on the loans borrowed under the Amended Credit Agreement are, at GLP Capital's option, equal to either a SOFR based rate or a base rate plus an applicable margin, which ranges from 0.725% to 1.40% per annum for SOFR loans and 0.0% to 0.4% per annum for base rate loans, in each case, depending on the credit ratings assigned to the Amended Credit Agreement. The current applicable margin is 1.05% for SOFR loans and 0.05% for base rate loans. Notwithstanding the foregoing, in no event shall the base rate be less than 1.00%. In addition, GLP Capital will pay a facility fee on the commitments under the revolving facility, regardless of usage, at a rate that ranges from 0.125% to 0.3% per annum, depending on the credit rating assigned to the Amended Credit Agreement from time to time. The current facility fee rate is 0.25%. The Amended Credit Agreement is not subject to amortization except with respect to the Amended Bridge Revolving Facility. GLP Capital is not required to repay any loans under the Amended Credit Agreement prior to maturity except as set forth above with respect to the Amended Bridge Revolving Facility. GLP Capital may prepay all or any portion of the loans under the Amended Credit Agreement prior to maturity without premium or penalty, subject to reimbursement of any SOFR breakage costs of the lenders and may reborrow loans that it has repaid. Subject to customary conditions, including pro forma compliance with financial covenants, GLP Capital can obtain additional term loan commitments and incur incremental term loans or revolving commitments, and outstanding bridge revolving loans shall not exceed $3.5 billion outstanding under the Amended Credit Agreement. There is currently no commitment in respect of such incremental loans and commitments. The weighted average interest rate under the</w:t>
      </w:r>
      <w:r>
        <w:rPr>
          <w:color w:val="000000"/>
          <w:shd w:fill="FFFFFF" w:val="clear"/>
        </w:rPr>
        <w:t xml:space="preserve"> </w:t>
      </w:r>
      <w:r>
        <w:rPr>
          <w:rFonts w:ascii="Times New Roman;serif" w:hAnsi="Times New Roman;serif"/>
          <w:b w:val="false"/>
          <w:color w:val="000000"/>
          <w:sz w:val="20"/>
          <w:shd w:fill="FFFFFF" w:val="clear"/>
        </w:rPr>
        <w:t>Amended Credit A</w:t>
      </w:r>
      <w:r>
        <w:rPr>
          <w:rFonts w:ascii="Times New Roman;serif" w:hAnsi="Times New Roman;serif"/>
          <w:b w:val="false"/>
          <w:color w:val="000000"/>
          <w:sz w:val="20"/>
        </w:rPr>
        <w:t>greement at December 31, 2025 was 5.02%.</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Certain Covenants and Events of Default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Amended Credit Agreement contains customary covenants that, among other things, restrict, subject to certain exceptions, the ability of GLPI and its subsidiaries to grant liens on their assets, incur indebtedness, sell assets, make investments, engage in acquisitions, mergers or consolidations or pay certain dividends and make other restricted payments. The Amended Credit Agreement includes the following financial covenants, which are measured quarterly on a trailing four-quarter basis: a maximum total debt to total asset value ratio, a maximum senior secured debt to total asset value ratio, a maximum ratio of certain recourse debt to unencumbered asset value and a minimum fixed charge coverage ratio. GLPI is permitted to pay dividends to its shareholders as may be required in order to maintain REIT status, subject to the absence of payment or bankruptcy defaults. GLPI is also permitted to make other dividends and distributions subject to pro forma compliance with the financial covenants and the absence of defaults. The Amended Credit Agreement also contains certain customary affirmative covenants and events of default, including the occurrence of a change of control and termination of the Amended PENN Master Lease (subject to certain replacement rights). The occurrence and continuance of an event of default under the Amended Credit Agreement will enable the lenders under the Amended Credit Agreement to accelerate the loans and terminate the commitments thereunder. At December 31, 2025, the Company was in compliance with all required financial covenants under the Amended Credit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Term Loan Credit Agreement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September 2, 2022, GLP Capital entered into the Term Loan Credit Agreement with the Term Loan Agent, and the other agents and lenders party thereto from time to time, providing for a $600 million delayed draw credit facility with a maturity date of September 2, 2027 (the “Term Loan Credit Facility”). The Term Loan Credit Facility is guaranteed by GLPI. The Company drew down the entire $600 million Term Loan Credit Facility on January 3, 2023 in connection with the acquisition of the real property assets of Bally's Biloxi and Bally's Tiverton.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Interest Rate and Fees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interest rates per annum applicable to loans under the Term Loan Credit Facility are, at GLP Capital's option, equal to either a SOFR based rate or a base rate plus an applicable margin, which ranges from 0.85% to 1.7% per annum for SOFR loans and 0.0% to 0.7% per annum for base rate loans, in each case, depending on the credit ratings assigned to the Term Loan Credit Facility. The current applicable margin is 1.30% for SOFR loans and 0.30% for base rate loans. In addition, GLP Capital will pay a commitment fee on the unused commitments under the Term Loan Credit Facility at a rate that ranges from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0.125% to 0.3% per annum, depending on the credit ratings assigned to the Credit Agreement from time to time. The current commitment fee rate is 0.25%. The weighted average interest rate under the Term Loan Credit Facility at December 31, 2025 was 5.02%.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Amortization and Prepayments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Term Loan Credit Facility is not subject to interim amortization. GLP Capital is not required to repay any loans under the Term Loan Credit Facility prior to maturity. GLP Capital may prepay all or any portion of the loans under the Term Loan Credit Facility prior to maturity without premium or penalty, subject to reimbursement of any SOFR breakage costs of the lenders, and may reborrow loans that it has repaid.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Certain Covenants and Events of Default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Term Loan Credit Facility contains customary covenants that, among other things, restrict, subject to certain exceptions, the ability of GLPI and its subsidiaries, including GLP Capital, to grant liens on their assets, incur indebtedness, sell assets, engage in acquisitions, mergers or consolidations, or pay certain dividends and make other restricted payments. The financial covenants include the following, which are measured quarterly on a trailing four-quarter basis: (i) maximum total debt to total asset value ratio, (ii) maximum senior secured debt to total asset value ratio, (iii) maximum ratio of certain recourse debt to unencumbered asset value, and (iv) minimum fixed charge coverage ratio. GLPI is required to maintain its status as a REIT and is permitted to pay dividends to its shareholders as may be required in order to maintain REIT status. GLPI is also permitted to make other dividends and distributions, subject to pro forma compliance with the financial covenants and the absence of defaults. The Term Loan Credit Facility also contains certain customary affirmative covenants and events of default. The occurrence and continuance of an event of default, which includes, among others, nonpayment of principal or interest, material inaccuracy of representations and failure to comply with covenants, will enable the lenders to accelerate the loans and terminate the commitments thereunder. At December 31, 2025, the Company was in compliance with all required financial covenants under the Term Loan Credit Facility.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Senior Unsecured Notes</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0"/>
        </w:rPr>
        <w:t xml:space="preserve">At December 31, 2025, the Company had $6,350.0 million of outstanding Senior Notes. During the year ended December 31, 2025, the Company redeemed its $850 million, 5.250% senior unsecured notes due June 2025, and its $975 million, 5.375% senior unsecured notes due April 2026.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August 2025, the Company issued $600 million aggregate principal amount of the February 2033 Notes at a price of 99.642% of the principal amount, and issued $700 million aggregate principal amount of the November 2037 Notes at a price of 99.187% of the principal amount. In connection with the issuances, the Company terminated certain forward starting interest rate swap agreements and will recognize a benefit of approximately $1 million, amortized over ten years as a reduction of interest expense, with respect to the November 2037 Notes. The Company used the net proceeds from the offering to redeem in full its outstanding $975 million aggregate principal amount of 5.375% Senior Notes due April 2026 (the “April 2026 Notes”), including payment of the related make-whole premium. The Company intends to use the remaining net proceeds for general corporate purposes, which may include working capital, repayment of indebtedness, capital expenditures, and development or expansion projects at existing or new properties. The redemption of the April 2026 Notes resulted in the recognition of a debt extinguishment charge of $3.8 million, which consisted of the make-whole premium and the write-off of unamortized debt issuance costs and discounts.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August 2024, the Company issued $800 million of 5.625% Senior Notes that will mature on September 15, 2034 at an issue price equal to 99.094% of the principal amount and $400 million of 6.250% Senior Notes that will mature on September 15, 2054 at an issue price equal to 99.183% of the principal amount.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year ended December 31, 2024, the Company redeemed its $400 million, 3.350% senior unsecured notes due September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may redeem the Senior Notes of any series at any time, and from time to time, at a redemption price of 100% of the principal amount of the Senior Notes redeemed, plus a "make-whole" redemption premium described in the indenture governing the Senior Notes, together with accrued and unpaid interest to, but not including, the redemption date, except that if Senior Notes of a series are redeemed after their respective par call date (90-180 days prior to their maturity), the redemption price will be 100% of the principal amount of the Senior Notes redeemed, together with accrued and unpaid interest to, but not including, the redemption date. If GLPI experiences a change of control accompanied by a decline in the credit rating of the Senior Notes of a particular series, the Company will be required to give holders of the Senior Notes of such series the opportunity to sell their Senior Notes of such series at a price equal to 101% of the principal amount of the Senior Notes of such series, together with accrued and unpaid interest to, but not including, the repurchase date. The Senior Notes also are subject to mandatory redemption requirements imposed by gaming laws and regulations. </w:t>
      </w:r>
    </w:p>
    <w:p>
      <w:pPr>
        <w:pStyle w:val="TextBody"/>
        <w:bidi w:val="0"/>
        <w:spacing w:lineRule="auto" w:line="288" w:before="160" w:after="160"/>
        <w:ind w:left="0" w:right="0" w:firstLine="720"/>
        <w:jc w:val="both"/>
        <w:rPr/>
      </w:pPr>
      <w:r>
        <w:rPr>
          <w:rFonts w:ascii="Times New Roman;serif" w:hAnsi="Times New Roman;serif"/>
          <w:b w:val="false"/>
          <w:color w:val="000000"/>
          <w:sz w:val="20"/>
        </w:rPr>
        <w:t xml:space="preserve">The Senior Notes were issued by the Issuers, two consolidated subsidiaries of GLPI, and are guaranteed on a senior unsecured basis by GLPI. The guarantees of GLPI are full and unconditional. The Senior Notes are the Issuers' senior unsecured obligations and rank </w:t>
      </w:r>
      <w:r>
        <w:rPr>
          <w:rFonts w:ascii="Times New Roman;serif" w:hAnsi="Times New Roman;serif"/>
          <w:b w:val="false"/>
          <w:i/>
          <w:color w:val="000000"/>
          <w:sz w:val="20"/>
        </w:rPr>
        <w:t xml:space="preserve">pari passu </w:t>
      </w:r>
      <w:r>
        <w:rPr>
          <w:rFonts w:ascii="Times New Roman;serif" w:hAnsi="Times New Roman;serif"/>
          <w:b w:val="false"/>
          <w:color w:val="000000"/>
          <w:sz w:val="20"/>
        </w:rPr>
        <w:t xml:space="preserve">in right of payment with all of the Issuers' senior indebtedness, including the Amended Credit Agreement, and senior in right of payment to all of the Issuers' subordinated indebtedness, without giving effect to collateral arrangements.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Senior Notes contain covenants limiting the Company’s ability to: incur additional debt and use its assets to secure debt; merge or consolidate with another company; and make certain amendments to the Amended PENN Master Lease. The Senior Notes also require the Company to maintain a specified ratio of unencumbered assets to unsecured debt. These covenants are subject to a number of important and significant limitations, qualifications and exceptions.</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December 31, 2025, the Company was in compliance with all required financial covenants under its Senior Notes.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11.</w:t>
      </w:r>
      <w:r>
        <w:rPr>
          <w:color w:val="000000"/>
        </w:rPr>
        <w:t>    </w:t>
      </w:r>
      <w:r>
        <w:rPr>
          <w:rFonts w:ascii="Times New Roman;serif" w:hAnsi="Times New Roman;serif"/>
          <w:b/>
          <w:color w:val="000000"/>
          <w:sz w:val="20"/>
        </w:rPr>
        <w:t>Commitments and Contingencies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Litigation</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is subject to various legal and administrative proceedings relating to personal injuries, employment matters, commercial transactions, and other matters arising in the normal course of business. The Company does not believe that the final outcome of these matters will have a material adverse effect on the Company’s consolidated financial position or results of operations. In addition, the Company maintains what it believes is adequate insurance coverage to further mitigate the risks of such proceedings. However, such proceedings can be costly, time consuming, and unpredictable and, therefore, no assurance can be given that the final outcome of such proceedings may not materially impact the Company’s financial condition or results of operations. Further, no assurance can be given that the amount or scope of existing insurance coverage will be sufficient to cover losses arising from such matters. </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Funding commitments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the Company has entered into various commitments or call rights to finance/acquire future investments in gaming and related facilities for our tenants. These are detailed in the table below. Our tenants retain the option to decline our financing for certain projects and may seek alternative financing solutions. The inclusion of a commitment in this disclosure does not guarantee that the financing will be utilized by the tenant in circumstances where a tenant has the option. See Note 1 in the Notes to the Consolidated Financial Statements for further details. </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964"/>
        <w:gridCol w:w="1689"/>
        <w:gridCol w:w="1699"/>
        <w:gridCol w:w="109"/>
        <w:gridCol w:w="723"/>
        <w:gridCol w:w="723"/>
        <w:gridCol w:w="725"/>
        <w:gridCol w:w="752"/>
        <w:gridCol w:w="752"/>
        <w:gridCol w:w="1069"/>
      </w:tblGrid>
      <w:tr>
        <w:trPr/>
        <w:tc>
          <w:tcPr>
            <w:tcW w:w="1964" w:type="dxa"/>
            <w:tcBorders/>
            <w:vAlign w:val="center"/>
          </w:tcPr>
          <w:p>
            <w:pPr>
              <w:pStyle w:val="TableContents"/>
              <w:bidi w:val="0"/>
              <w:spacing w:before="0" w:after="283"/>
              <w:jc w:val="left"/>
              <w:rPr>
                <w:sz w:val="4"/>
                <w:szCs w:val="4"/>
              </w:rPr>
            </w:pPr>
            <w:r>
              <w:rPr>
                <w:sz w:val="4"/>
                <w:szCs w:val="4"/>
              </w:rPr>
            </w:r>
          </w:p>
        </w:tc>
        <w:tc>
          <w:tcPr>
            <w:tcW w:w="1689" w:type="dxa"/>
            <w:tcBorders/>
            <w:vAlign w:val="center"/>
          </w:tcPr>
          <w:p>
            <w:pPr>
              <w:pStyle w:val="TableContents"/>
              <w:bidi w:val="0"/>
              <w:spacing w:before="0" w:after="283"/>
              <w:jc w:val="left"/>
              <w:rPr>
                <w:sz w:val="4"/>
                <w:szCs w:val="4"/>
              </w:rPr>
            </w:pPr>
            <w:r>
              <w:rPr>
                <w:sz w:val="4"/>
                <w:szCs w:val="4"/>
              </w:rPr>
            </w:r>
          </w:p>
        </w:tc>
        <w:tc>
          <w:tcPr>
            <w:tcW w:w="16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r>
      <w:tr>
        <w:trPr/>
        <w:tc>
          <w:tcPr>
            <w:tcW w:w="5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Description</w:t>
            </w:r>
          </w:p>
        </w:tc>
        <w:tc>
          <w:tcPr>
            <w:tcW w:w="109" w:type="dxa"/>
            <w:tcBorders/>
            <w:vAlign w:val="center"/>
          </w:tcPr>
          <w:p>
            <w:pPr>
              <w:pStyle w:val="TableContents"/>
              <w:bidi w:val="0"/>
              <w:spacing w:before="0" w:after="283"/>
              <w:jc w:val="left"/>
              <w:rPr>
                <w:sz w:val="4"/>
                <w:szCs w:val="4"/>
              </w:rPr>
            </w:pPr>
            <w:r>
              <w:rPr>
                <w:sz w:val="4"/>
                <w:szCs w:val="4"/>
              </w:rPr>
            </w:r>
          </w:p>
        </w:tc>
        <w:tc>
          <w:tcPr>
            <w:tcW w:w="2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Estimated Commitment amount</w:t>
            </w:r>
          </w:p>
        </w:tc>
        <w:tc>
          <w:tcPr>
            <w:tcW w:w="25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Amount funded at December 31, 2025</w:t>
            </w:r>
          </w:p>
        </w:tc>
      </w:tr>
      <w:tr>
        <w:trPr/>
        <w:tc>
          <w:tcPr>
            <w:tcW w:w="53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Relocation of Hollywood Casino Aurora </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21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$225 million</w:t>
            </w:r>
          </w:p>
        </w:tc>
        <w:tc>
          <w:tcPr>
            <w:tcW w:w="25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None</w:t>
            </w:r>
          </w:p>
        </w:tc>
      </w:tr>
      <w:tr>
        <w:trPr/>
        <w:tc>
          <w:tcPr>
            <w:tcW w:w="53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Funding associated with a landside move at Ameristar Casino Council Bluffs </w:t>
            </w:r>
            <w:r>
              <w:rPr>
                <w:rFonts w:ascii="Times New Roman;serif" w:hAnsi="Times New Roman;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2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 million</w:t>
            </w:r>
          </w:p>
        </w:tc>
        <w:tc>
          <w:tcPr>
            <w:tcW w:w="25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None</w:t>
            </w:r>
          </w:p>
        </w:tc>
      </w:tr>
      <w:tr>
        <w:trPr/>
        <w:tc>
          <w:tcPr>
            <w:tcW w:w="5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Potential transaction at the former Tropicana Las Vegas site with Bally's</w:t>
            </w:r>
          </w:p>
        </w:tc>
        <w:tc>
          <w:tcPr>
            <w:tcW w:w="109" w:type="dxa"/>
            <w:tcBorders/>
            <w:vAlign w:val="center"/>
          </w:tcPr>
          <w:p>
            <w:pPr>
              <w:pStyle w:val="TableContents"/>
              <w:bidi w:val="0"/>
              <w:spacing w:before="0" w:after="283"/>
              <w:jc w:val="left"/>
              <w:rPr>
                <w:sz w:val="4"/>
                <w:szCs w:val="4"/>
              </w:rPr>
            </w:pPr>
            <w:r>
              <w:rPr>
                <w:sz w:val="4"/>
                <w:szCs w:val="4"/>
              </w:rPr>
            </w:r>
          </w:p>
        </w:tc>
        <w:tc>
          <w:tcPr>
            <w:tcW w:w="2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$175 million</w:t>
            </w:r>
          </w:p>
        </w:tc>
        <w:tc>
          <w:tcPr>
            <w:tcW w:w="25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$48.5 million</w:t>
            </w:r>
          </w:p>
        </w:tc>
      </w:tr>
      <w:tr>
        <w:trPr/>
        <w:tc>
          <w:tcPr>
            <w:tcW w:w="5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construction costs for Bally's Chicago</w:t>
            </w:r>
          </w:p>
        </w:tc>
        <w:tc>
          <w:tcPr>
            <w:tcW w:w="109" w:type="dxa"/>
            <w:tcBorders/>
            <w:vAlign w:val="center"/>
          </w:tcPr>
          <w:p>
            <w:pPr>
              <w:pStyle w:val="TableContents"/>
              <w:bidi w:val="0"/>
              <w:spacing w:before="0" w:after="283"/>
              <w:jc w:val="left"/>
              <w:rPr>
                <w:sz w:val="4"/>
                <w:szCs w:val="4"/>
              </w:rPr>
            </w:pPr>
            <w:r>
              <w:rPr>
                <w:sz w:val="4"/>
                <w:szCs w:val="4"/>
              </w:rPr>
            </w:r>
          </w:p>
        </w:tc>
        <w:tc>
          <w:tcPr>
            <w:tcW w:w="2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$940 million</w:t>
            </w:r>
          </w:p>
        </w:tc>
        <w:tc>
          <w:tcPr>
            <w:tcW w:w="25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$201.6 million</w:t>
            </w:r>
          </w:p>
        </w:tc>
      </w:tr>
      <w:tr>
        <w:trPr/>
        <w:tc>
          <w:tcPr>
            <w:tcW w:w="5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costs for a landside development project at Casino Queen Marquette</w:t>
            </w:r>
          </w:p>
        </w:tc>
        <w:tc>
          <w:tcPr>
            <w:tcW w:w="109" w:type="dxa"/>
            <w:tcBorders/>
            <w:vAlign w:val="center"/>
          </w:tcPr>
          <w:p>
            <w:pPr>
              <w:pStyle w:val="TableContents"/>
              <w:bidi w:val="0"/>
              <w:spacing w:before="0" w:after="283"/>
              <w:jc w:val="left"/>
              <w:rPr>
                <w:sz w:val="4"/>
                <w:szCs w:val="4"/>
              </w:rPr>
            </w:pPr>
            <w:r>
              <w:rPr>
                <w:sz w:val="4"/>
                <w:szCs w:val="4"/>
              </w:rPr>
            </w:r>
          </w:p>
        </w:tc>
        <w:tc>
          <w:tcPr>
            <w:tcW w:w="2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$16.5 million</w:t>
            </w:r>
          </w:p>
        </w:tc>
        <w:tc>
          <w:tcPr>
            <w:tcW w:w="25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$9.6 million</w:t>
            </w:r>
          </w:p>
        </w:tc>
      </w:tr>
      <w:tr>
        <w:trPr/>
        <w:tc>
          <w:tcPr>
            <w:tcW w:w="5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Ione Loan to fund a new casino development near Sacramento, California</w:t>
            </w:r>
          </w:p>
        </w:tc>
        <w:tc>
          <w:tcPr>
            <w:tcW w:w="109" w:type="dxa"/>
            <w:tcBorders/>
            <w:vAlign w:val="center"/>
          </w:tcPr>
          <w:p>
            <w:pPr>
              <w:pStyle w:val="TableContents"/>
              <w:bidi w:val="0"/>
              <w:spacing w:before="0" w:after="283"/>
              <w:jc w:val="left"/>
              <w:rPr>
                <w:sz w:val="4"/>
                <w:szCs w:val="4"/>
              </w:rPr>
            </w:pPr>
            <w:r>
              <w:rPr>
                <w:sz w:val="4"/>
                <w:szCs w:val="4"/>
              </w:rPr>
            </w:r>
          </w:p>
        </w:tc>
        <w:tc>
          <w:tcPr>
            <w:tcW w:w="2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$110 million</w:t>
            </w:r>
          </w:p>
        </w:tc>
        <w:tc>
          <w:tcPr>
            <w:tcW w:w="25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$56.6 million</w:t>
            </w:r>
          </w:p>
        </w:tc>
      </w:tr>
      <w:tr>
        <w:trPr/>
        <w:tc>
          <w:tcPr>
            <w:tcW w:w="5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Call right to acquire Bally's Lincoln</w:t>
            </w:r>
          </w:p>
        </w:tc>
        <w:tc>
          <w:tcPr>
            <w:tcW w:w="109" w:type="dxa"/>
            <w:tcBorders/>
            <w:vAlign w:val="center"/>
          </w:tcPr>
          <w:p>
            <w:pPr>
              <w:pStyle w:val="TableContents"/>
              <w:bidi w:val="0"/>
              <w:spacing w:before="0" w:after="283"/>
              <w:jc w:val="left"/>
              <w:rPr>
                <w:sz w:val="4"/>
                <w:szCs w:val="4"/>
              </w:rPr>
            </w:pPr>
            <w:r>
              <w:rPr>
                <w:sz w:val="4"/>
                <w:szCs w:val="4"/>
              </w:rPr>
            </w:r>
          </w:p>
        </w:tc>
        <w:tc>
          <w:tcPr>
            <w:tcW w:w="2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$700 million</w:t>
            </w:r>
          </w:p>
        </w:tc>
        <w:tc>
          <w:tcPr>
            <w:tcW w:w="25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None</w:t>
            </w:r>
          </w:p>
        </w:tc>
      </w:tr>
      <w:tr>
        <w:trPr/>
        <w:tc>
          <w:tcPr>
            <w:tcW w:w="5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Funding commitment for the future site and construction for Live! Virginia Casino &amp; Hotel</w:t>
            </w:r>
          </w:p>
        </w:tc>
        <w:tc>
          <w:tcPr>
            <w:tcW w:w="109" w:type="dxa"/>
            <w:tcBorders/>
            <w:vAlign w:val="center"/>
          </w:tcPr>
          <w:p>
            <w:pPr>
              <w:pStyle w:val="TableContents"/>
              <w:bidi w:val="0"/>
              <w:spacing w:before="0" w:after="283"/>
              <w:jc w:val="left"/>
              <w:rPr>
                <w:sz w:val="4"/>
                <w:szCs w:val="4"/>
              </w:rPr>
            </w:pPr>
            <w:r>
              <w:rPr>
                <w:sz w:val="4"/>
                <w:szCs w:val="4"/>
              </w:rPr>
            </w:r>
          </w:p>
        </w:tc>
        <w:tc>
          <w:tcPr>
            <w:tcW w:w="2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$467 million</w:t>
            </w:r>
          </w:p>
        </w:tc>
        <w:tc>
          <w:tcPr>
            <w:tcW w:w="25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None</w:t>
            </w:r>
          </w:p>
        </w:tc>
      </w:tr>
      <w:tr>
        <w:trPr/>
        <w:tc>
          <w:tcPr>
            <w:tcW w:w="5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Delayed draw term loan for Dry Creek Rancheria Resort development</w:t>
            </w:r>
          </w:p>
        </w:tc>
        <w:tc>
          <w:tcPr>
            <w:tcW w:w="109" w:type="dxa"/>
            <w:tcBorders/>
            <w:vAlign w:val="center"/>
          </w:tcPr>
          <w:p>
            <w:pPr>
              <w:pStyle w:val="TableContents"/>
              <w:bidi w:val="0"/>
              <w:spacing w:before="0" w:after="283"/>
              <w:jc w:val="left"/>
              <w:rPr>
                <w:sz w:val="4"/>
                <w:szCs w:val="4"/>
              </w:rPr>
            </w:pPr>
            <w:r>
              <w:rPr>
                <w:sz w:val="4"/>
                <w:szCs w:val="4"/>
              </w:rPr>
            </w:r>
          </w:p>
        </w:tc>
        <w:tc>
          <w:tcPr>
            <w:tcW w:w="2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$180 million</w:t>
            </w:r>
          </w:p>
        </w:tc>
        <w:tc>
          <w:tcPr>
            <w:tcW w:w="25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None</w:t>
            </w:r>
          </w:p>
        </w:tc>
      </w:tr>
    </w:tbl>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13"/>
        </w:rPr>
        <w:t>(1)</w:t>
      </w:r>
      <w:r>
        <w:rPr>
          <w:color w:val="000000"/>
        </w:rPr>
        <w:t>    </w:t>
      </w:r>
      <w:r>
        <w:rPr>
          <w:rFonts w:ascii="Times New Roman;serif" w:hAnsi="Times New Roman;serif"/>
          <w:b w:val="false"/>
          <w:color w:val="000000"/>
          <w:sz w:val="20"/>
        </w:rPr>
        <w:t>PENN anticipates completing the relocation of its riverboat casino in Aurora to a land based facility in the first half of 2026. The Company anticipates funding $225 million at a 7.75% capitalization rate.</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13"/>
        </w:rPr>
        <w:t>(2)</w:t>
      </w:r>
      <w:r>
        <w:rPr>
          <w:color w:val="000000"/>
        </w:rPr>
        <w:t>    </w:t>
      </w:r>
      <w:r>
        <w:rPr>
          <w:rFonts w:ascii="Times New Roman;serif" w:hAnsi="Times New Roman;serif"/>
          <w:b w:val="false"/>
          <w:color w:val="000000"/>
          <w:sz w:val="20"/>
        </w:rPr>
        <w:t>The Company has agreed to fund, if requested by PENN in their sole discretion, on or before March 31, 2029, construction improvements in an amount not to exceed the greater of (i) the hard costs associated with the project and (ii) $150.0 million at a 7.10% capitalization rate.</w:t>
      </w:r>
    </w:p>
    <w:p>
      <w:pPr>
        <w:pStyle w:val="TextBody"/>
        <w:bidi w:val="0"/>
        <w:spacing w:lineRule="auto" w:line="276" w:before="160" w:after="160"/>
        <w:jc w:val="both"/>
        <w:rPr>
          <w:rFonts w:ascii="Times New Roman;serif" w:hAnsi="Times New Roman;serif"/>
          <w:b/>
          <w:color w:val="000000"/>
          <w:sz w:val="20"/>
        </w:rPr>
      </w:pPr>
      <w:r>
        <w:rPr>
          <w:rFonts w:ascii="Times New Roman;serif" w:hAnsi="Times New Roman;serif"/>
          <w:b/>
          <w:color w:val="000000"/>
          <w:sz w:val="20"/>
        </w:rPr>
        <w:t>Employee Benefit Plans</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maintains a defined contribution plan under the provisions of Section 401(k) of the Internal Revenue Code of 1986, as amended, which covers all eligible employees. The plan enables participating employees to defer a portion of their salary and/or their annual bonus in a retirement fund to be administered by the Company. On January 1, 2023, the Company amended its defined contribution plan to be a Non-elective Safe Harbor Plan as defined by the Internal Revenue Code. The Company makes safe harbor non-elective contributions equal to 3% of each participant's compensation and such contributions are fully vested and non-forfeitable at all times. The matching contributions for the defined contribution plan were $0.1 million for the years ended December 31, 2025, 2024 and 2023.</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maintains a non-qualified deferred compensation plan that covers most management and other highly-compensated employees. The plan allows the participants to defer, on a pre-tax basis, a portion of their base annual salary and/or their annual bonus, and earn tax-deferred earnings on these deferrals. The plan also provides for matching Company contributions that vest over a five-year period. The Company has established a Trust, and transfers to the Trust, on a periodic basis, an amount necessary to provide for its respective future liabilities with respect to participant deferral and Company contribution amounts. The Company's matching contributions for the non-qualified deferred compensation plan for each of the years ended December 31, 2025, 2024 and 2023 were $0.6 million, $0.6 million, and $0.5 million, respectively. The Company's deferred compensation liability, which was included in other liabilities within the Consolidated Balance Sheets, was $46.2 million and $39.0 million at December 31, 2025 and 2024, respectively. Assets held in the Trust were $46.2 million  and $38.9 million  at December 31, 2025 and 2024, respectively, and are included in other assets within the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12. Revenue Recognition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Revenues from Real Estate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December 31, 2025, 14 of the Company’s real estate investment properties were leased to a subsidiary of PENN under the Amended PENN Master Lease, 7 of the Company's real estate investment properties were leased to a subsidiary under the PENN 2023 Master Lease, an additional 12 of the Company's real estate investment properties were leased to a subsidiary of PENN under the Amended Pinnacle Master Lease, 5 of the Company's real estate investment properties were leased to a subsidiary of Caesars under the Amended and Restated Caesars Master Lease, 3 of the Company's real estate investment properties were leased to a subsidiary of Boyd under the Boyd Master Lease, 8 of the Company's real estate investment properties were leased to a subsidiary of Bally's under the Bally's Master Lease, 4 of the Company's real estate investment properties were leased to a subsidiary of Bally's under Bally's Master Lease II, 2 of the Company's real estate investment properties were leased to a subsidiary of Cordish under the Pennsylvania Live! Master Lease, 2 of the Company's real estate properties were leased to a subsidiary of Bally's under the Casino Queen Master Lease and 4 of the Company's real estate investment properties were leased to subsidiaries of Strategic under the Strategic Gaming Leases. Additionally, the land under PENN's Hollywood Casino Morgantown is subject to the Morgantown Lease. Finally, the Company has single property triple net leases with Caesars under the Horseshoe St. Louis Lease, Boyd under the Belterra Park Lease, Bally's under the Tropicana Lease and Cordish under the Maryland Live! Lease, American Racing under the Tioga Downs Lease, 815 Entertainment under the Rockford Lease and a facility under development for Bally's in Chicago, Illinois.</w:t>
      </w:r>
    </w:p>
    <w:p>
      <w:pPr>
        <w:pStyle w:val="TextBody"/>
        <w:bidi w:val="0"/>
        <w:spacing w:before="0" w:after="0"/>
        <w:ind w:left="0" w:right="0" w:firstLine="720"/>
        <w:jc w:val="both"/>
        <w:rPr/>
      </w:pPr>
      <w:r>
        <w:rPr/>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Lease terms</w:t>
      </w:r>
    </w:p>
    <w:p>
      <w:pPr>
        <w:pStyle w:val="TextBody"/>
        <w:bidi w:val="0"/>
        <w:spacing w:before="0" w:after="0"/>
        <w:jc w:val="both"/>
        <w:rPr/>
      </w:pPr>
      <w:r>
        <w:rPr/>
      </w:r>
    </w:p>
    <w:p>
      <w:pPr>
        <w:pStyle w:val="TextBody"/>
        <w:bidi w:val="0"/>
        <w:spacing w:lineRule="auto" w:line="276" w:before="0" w:after="0"/>
        <w:ind w:left="0" w:right="0" w:firstLine="720"/>
        <w:jc w:val="both"/>
        <w:rPr/>
      </w:pPr>
      <w:r>
        <w:rPr>
          <w:rFonts w:ascii="Times New Roman;serif" w:hAnsi="Times New Roman;serif"/>
          <w:b w:val="false"/>
          <w:color w:val="000000"/>
          <w:sz w:val="20"/>
        </w:rPr>
        <w:t>Under ASC 842, the Company is required at lease inception (and if applicable at a lease reassessment date) to determine the term of the lease.</w:t>
      </w:r>
      <w:r>
        <w:rPr>
          <w:color w:val="000000"/>
        </w:rPr>
        <w:t xml:space="preserve"> </w:t>
      </w:r>
      <w:r>
        <w:rPr>
          <w:rFonts w:ascii="Times New Roman;serif" w:hAnsi="Times New Roman;serif"/>
          <w:b w:val="false"/>
          <w:color w:val="000000"/>
          <w:sz w:val="20"/>
        </w:rPr>
        <w:t>This requires concluding whether it is reasonably assured that our tenants will exercise their renewal options contained within the lease.</w:t>
      </w:r>
      <w:r>
        <w:rPr>
          <w:color w:val="000000"/>
        </w:rPr>
        <w:t xml:space="preserve"> </w:t>
      </w:r>
      <w:r>
        <w:rPr>
          <w:rFonts w:ascii="Times New Roman;serif" w:hAnsi="Times New Roman;serif"/>
          <w:b w:val="false"/>
          <w:color w:val="000000"/>
          <w:sz w:val="20"/>
        </w:rPr>
        <w:t>The initial lease term is a key judgment that is utilized in the lease classification test to determine whether the lease is an operating lease, sales type lease or direct financing lease. The Company currently has not included tenant renewal options in its determination of the initial lease term. The Company assesses whether to include tenant renewal options in its calculation of the lease term based on several factors, including but not limited to, whether its tenants' leases represent substantially all of the tenants' earnings and revenues, the ability of its tenants to sell their leased operations for fair value and whether the initial term of its leases is for a significant period of time. Since the formation of the Company on November 1, 2013, the Company has amended or reassessed many of its current leases.</w:t>
      </w:r>
      <w:r>
        <w:rPr>
          <w:color w:val="000000"/>
        </w:rPr>
        <w:t xml:space="preserve"> </w:t>
      </w:r>
      <w:r>
        <w:rPr>
          <w:rFonts w:ascii="Times New Roman;serif" w:hAnsi="Times New Roman;serif"/>
          <w:b w:val="false"/>
          <w:color w:val="000000"/>
          <w:sz w:val="20"/>
        </w:rPr>
        <w:t>All of these reassessments were the result of significant lease amendments and were completed during the initial lease terms and prior to any renewal options.</w:t>
      </w:r>
      <w:r>
        <w:rPr>
          <w:color w:val="000000"/>
        </w:rPr>
        <w:t xml:space="preserve"> </w:t>
      </w:r>
      <w:r>
        <w:rPr>
          <w:rFonts w:ascii="Times New Roman;serif" w:hAnsi="Times New Roman;serif"/>
          <w:b w:val="false"/>
          <w:color w:val="000000"/>
          <w:sz w:val="20"/>
        </w:rPr>
        <w:t>Additionally, Pinnacle sold its operations to PENN for fair value whose underlying real estate for the casino operations were leased from the Company.</w:t>
      </w:r>
      <w:r>
        <w:rPr>
          <w:color w:val="000000"/>
        </w:rPr>
        <w:t xml:space="preserve">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Details of the Company's rental income for the year ended December 31, 2025 was as follows (in thousands):</w:t>
      </w:r>
    </w:p>
    <w:tbl>
      <w:tblPr>
        <w:tblW w:w="5819" w:type="dxa"/>
        <w:jc w:val="left"/>
        <w:tblInd w:w="0" w:type="dxa"/>
        <w:tblLayout w:type="fixed"/>
        <w:tblCellMar>
          <w:top w:w="28" w:type="dxa"/>
          <w:left w:w="28" w:type="dxa"/>
          <w:bottom w:w="28" w:type="dxa"/>
          <w:right w:w="28" w:type="dxa"/>
        </w:tblCellMar>
      </w:tblPr>
      <w:tblGrid>
        <w:gridCol w:w="1223"/>
        <w:gridCol w:w="1073"/>
        <w:gridCol w:w="1079"/>
        <w:gridCol w:w="384"/>
        <w:gridCol w:w="1780"/>
        <w:gridCol w:w="280"/>
      </w:tblGrid>
      <w:tr>
        <w:trPr/>
        <w:tc>
          <w:tcPr>
            <w:tcW w:w="1223"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 2025</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 base rent</w:t>
            </w:r>
          </w:p>
        </w:tc>
        <w:tc>
          <w:tcPr>
            <w:tcW w:w="3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1,218,460 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base rent</w:t>
            </w:r>
          </w:p>
        </w:tc>
        <w:tc>
          <w:tcPr>
            <w:tcW w:w="2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198,228 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rent and other rental revenue</w:t>
            </w:r>
          </w:p>
        </w:tc>
        <w:tc>
          <w:tcPr>
            <w:tcW w:w="2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72,624 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on real estate loans</w:t>
            </w:r>
          </w:p>
        </w:tc>
        <w:tc>
          <w:tcPr>
            <w:tcW w:w="2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16,034 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cash income</w:t>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1,505,346 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Straight-line rent adjustments</w:t>
            </w:r>
          </w:p>
        </w:tc>
        <w:tc>
          <w:tcPr>
            <w:tcW w:w="2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22,468 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Ground rent in revenue</w:t>
            </w:r>
          </w:p>
        </w:tc>
        <w:tc>
          <w:tcPr>
            <w:tcW w:w="2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38,582 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on leases</w:t>
            </w:r>
          </w:p>
        </w:tc>
        <w:tc>
          <w:tcPr>
            <w:tcW w:w="2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28,356 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income from real estate</w:t>
            </w:r>
          </w:p>
        </w:tc>
        <w:tc>
          <w:tcPr>
            <w:tcW w:w="3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1,594,752 </w:t>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December 31, 2025, the future minimum rental income from the Company's rental properties under non-cancelable operating leases, including any reasonably assured renewal periods, was as follows (in thousands):</w:t>
      </w:r>
    </w:p>
    <w:tbl>
      <w:tblPr>
        <w:tblW w:w="10205" w:type="dxa"/>
        <w:jc w:val="left"/>
        <w:tblInd w:w="0" w:type="dxa"/>
        <w:tblLayout w:type="fixed"/>
        <w:tblCellMar>
          <w:top w:w="28" w:type="dxa"/>
          <w:left w:w="28" w:type="dxa"/>
          <w:bottom w:w="28" w:type="dxa"/>
          <w:right w:w="28" w:type="dxa"/>
        </w:tblCellMar>
      </w:tblPr>
      <w:tblGrid>
        <w:gridCol w:w="509"/>
        <w:gridCol w:w="447"/>
        <w:gridCol w:w="449"/>
        <w:gridCol w:w="282"/>
        <w:gridCol w:w="1448"/>
        <w:gridCol w:w="145"/>
        <w:gridCol w:w="109"/>
        <w:gridCol w:w="109"/>
        <w:gridCol w:w="109"/>
        <w:gridCol w:w="303"/>
        <w:gridCol w:w="1187"/>
        <w:gridCol w:w="156"/>
        <w:gridCol w:w="109"/>
        <w:gridCol w:w="109"/>
        <w:gridCol w:w="109"/>
        <w:gridCol w:w="321"/>
        <w:gridCol w:w="1259"/>
        <w:gridCol w:w="166"/>
        <w:gridCol w:w="109"/>
        <w:gridCol w:w="109"/>
        <w:gridCol w:w="109"/>
        <w:gridCol w:w="371"/>
        <w:gridCol w:w="1903"/>
        <w:gridCol w:w="278"/>
      </w:tblGrid>
      <w:tr>
        <w:trPr/>
        <w:tc>
          <w:tcPr>
            <w:tcW w:w="5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90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1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Year ending December 31,</w:t>
            </w:r>
          </w:p>
        </w:tc>
        <w:tc>
          <w:tcPr>
            <w:tcW w:w="187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Future Rental Payments Receivable</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Straight-Line Rent Adjustments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Future Base Ground Rents 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Future Income to be Recognized Related to Operating Leases</w:t>
            </w:r>
          </w:p>
        </w:tc>
      </w:tr>
      <w:tr>
        <w:trPr/>
        <w:tc>
          <w:tcPr>
            <w:tcW w:w="1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1,291,303 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48,457 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15,619 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1,355,379 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7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1,281,799 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47,132 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15,154 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1,344,085 </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1,284,186 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15,036 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1,339,224 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7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1,266,486 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33,986 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15,036 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1,315,508 </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1,272,602 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1,315,515 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7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3,835,923 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(23,478)</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58,509 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3,870,954 </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10,232,299 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173,969 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134,397 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10,540,665 </w:t>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hanging="720"/>
        <w:jc w:val="both"/>
        <w:rPr/>
      </w:pPr>
      <w:r>
        <w:rPr>
          <w:rFonts w:ascii="Times New Roman;serif" w:hAnsi="Times New Roman;serif"/>
          <w:b w:val="false"/>
          <w:color w:val="000000"/>
          <w:sz w:val="13"/>
        </w:rPr>
        <w:t xml:space="preserve">(1) </w:t>
      </w:r>
      <w:r>
        <w:rPr>
          <w:rFonts w:ascii="Times New Roman;serif" w:hAnsi="Times New Roman;serif"/>
          <w:b w:val="false"/>
          <w:color w:val="000000"/>
          <w:sz w:val="20"/>
        </w:rPr>
        <w:t xml:space="preserve">Includes tenant improvement allowance that is being amortized over the life of a tenant lease and excludes deferred income on the Bally's Chicago Land Lease as the facility is under development and as such is not ready for its intended use. </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table above presents the cash rent the Company expects to receive from its tenants, offset by adjustments to recognize this rent on a straight-line basis over the lease term. The Company also includes the future non-cash revenue it expects to recognize from the fixed portion of tenant paid ground leases in the table above. For further details on these tenant paid ground leases, refer to Note 8.</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may periodically loan funds to casino owner-operators for the purchase or development of real estate. Interest income related to real estate loans is recorded as revenue from real estate within the Company's Consolidated Statements of Income in the period earned. See Note 5 for further details.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13.    Stock-Based Compensation</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December 31, 2025, the Company had 4,988,607 shares available for future issuance under the 2013 Plan. The 2013 Plan provides for the Company to issue restricted stock awards, including performance-based restricted stock awards and other equity or cash based awards to employees. Any director, employee or consultant shall be eligible to receive such awards. The Company issues new authorized common shares to satisfy stock option exercises and restricted stock award releases.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there was $3.2 million of total unrecognized compensation cost for restricted stock awards that will be recognized over the grants' remaining weighted average vesting period of 1.88 years. For the years ended December 31, 2025, 2024 and 2023, the Company recognized $6.2 million, $8.7 million and $8.5 million, respectively, of compensation expense associated with these awards. The total fair value of awards released during the years ended December 31, 2025, 2024 and 2023, was $12.5 million, $12.3 million and $11.3 million, respectively.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contains information on restricted stock award activity for the years ended December 31, 2025 and 2024:</w:t>
      </w:r>
    </w:p>
    <w:p>
      <w:pPr>
        <w:pStyle w:val="TextBody"/>
        <w:bidi w:val="0"/>
        <w:spacing w:before="0" w:after="0"/>
        <w:jc w:val="left"/>
        <w:rPr/>
      </w:pPr>
      <w:r>
        <w:rPr/>
      </w:r>
    </w:p>
    <w:p>
      <w:pPr>
        <w:pStyle w:val="TextBody"/>
        <w:bidi w:val="0"/>
        <w:spacing w:lineRule="auto" w:line="288" w:before="0" w:after="0"/>
        <w:jc w:val="center"/>
        <w:rPr>
          <w:color w:val="000000"/>
        </w:rPr>
      </w:pPr>
      <w:r>
        <w:rPr>
          <w:color w:val="000000"/>
        </w:rPr>
        <w:t>        </w:t>
      </w:r>
    </w:p>
    <w:tbl>
      <w:tblPr>
        <w:tblW w:w="7687" w:type="dxa"/>
        <w:jc w:val="center"/>
        <w:tblInd w:w="0" w:type="dxa"/>
        <w:tblLayout w:type="fixed"/>
        <w:tblCellMar>
          <w:top w:w="28" w:type="dxa"/>
          <w:left w:w="28" w:type="dxa"/>
          <w:bottom w:w="28" w:type="dxa"/>
          <w:right w:w="28" w:type="dxa"/>
        </w:tblCellMar>
      </w:tblPr>
      <w:tblGrid>
        <w:gridCol w:w="1065"/>
        <w:gridCol w:w="935"/>
        <w:gridCol w:w="940"/>
        <w:gridCol w:w="449"/>
        <w:gridCol w:w="451"/>
        <w:gridCol w:w="296"/>
        <w:gridCol w:w="109"/>
        <w:gridCol w:w="109"/>
        <w:gridCol w:w="109"/>
        <w:gridCol w:w="692"/>
        <w:gridCol w:w="2023"/>
        <w:gridCol w:w="509"/>
      </w:tblGrid>
      <w:tr>
        <w:trPr/>
        <w:tc>
          <w:tcPr>
            <w:tcW w:w="106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Award</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Grant-Date Fair Value</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2023</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269,929 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49.49 </w:t>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263,328 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33.16 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Released</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(247,814)</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31.44 </w:t>
            </w:r>
          </w:p>
        </w:tc>
        <w:tc>
          <w:tcPr>
            <w:tcW w:w="5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Canceled </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50.15 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2024</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284,843 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50.10 </w:t>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211,307 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27.18 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Released</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(263,916)</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32.49 </w:t>
            </w:r>
          </w:p>
        </w:tc>
        <w:tc>
          <w:tcPr>
            <w:tcW w:w="5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50.26 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9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217,234 </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49.19 </w:t>
            </w:r>
          </w:p>
        </w:tc>
        <w:tc>
          <w:tcPr>
            <w:tcW w:w="5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Performance-based restricted stock awards have a three-year cliff vesting with the amount of restricted shares vesting at the end of the three-year period determined based upon the Company’s performance as measured against its peers. More specifically, the percentage of shares vesting at the end of the measurement period will be based on the Company’s three-year total shareholder return measured against the three-year total shareholder return of the companies included in the MSCI US REIT index and the Company's stock performance ranking among a group of triple-net REIT peer companies. As of December 31, 2025, there was $9.2 million of total unrecognized compensation cost for performance-based restricted stock awards, which will be recognized over the awards' remaining weighted average vesting period of 1.51 years.  For the years ended December 31, 2025, 2024 and 2023, the Company recognized $9.5 million, $15.6 million and $14.4 million, respectively, of compensation expense associated with these awards. The total fair value of performance-based stock awards released during the years ended December 31, 2025, 2024, and 2023 was $23.3 million, $23.6 million, and $21.7 million respectively.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contains information on performance-based restricted stock award activity for the years ended December 31, 2025 and 2024:</w:t>
      </w:r>
    </w:p>
    <w:p>
      <w:pPr>
        <w:pStyle w:val="TextBody"/>
        <w:bidi w:val="0"/>
        <w:spacing w:before="0" w:after="0"/>
        <w:ind w:left="0" w:right="0" w:firstLine="720"/>
        <w:jc w:val="left"/>
        <w:rPr/>
      </w:pPr>
      <w:r>
        <w:rPr/>
      </w:r>
    </w:p>
    <w:p>
      <w:pPr>
        <w:pStyle w:val="TextBody"/>
        <w:bidi w:val="0"/>
        <w:spacing w:lineRule="auto" w:line="288" w:before="0" w:after="0"/>
        <w:jc w:val="center"/>
        <w:rPr>
          <w:color w:val="000000"/>
        </w:rPr>
      </w:pPr>
      <w:r>
        <w:rPr>
          <w:color w:val="000000"/>
        </w:rPr>
        <w:t>        </w:t>
      </w:r>
    </w:p>
    <w:tbl>
      <w:tblPr>
        <w:tblW w:w="9956" w:type="dxa"/>
        <w:jc w:val="center"/>
        <w:tblInd w:w="0" w:type="dxa"/>
        <w:tblLayout w:type="fixed"/>
        <w:tblCellMar>
          <w:top w:w="28" w:type="dxa"/>
          <w:left w:w="28" w:type="dxa"/>
          <w:bottom w:w="28" w:type="dxa"/>
          <w:right w:w="28" w:type="dxa"/>
        </w:tblCellMar>
      </w:tblPr>
      <w:tblGrid>
        <w:gridCol w:w="1065"/>
        <w:gridCol w:w="935"/>
        <w:gridCol w:w="940"/>
        <w:gridCol w:w="1154"/>
        <w:gridCol w:w="1154"/>
        <w:gridCol w:w="1157"/>
        <w:gridCol w:w="109"/>
        <w:gridCol w:w="109"/>
        <w:gridCol w:w="109"/>
        <w:gridCol w:w="692"/>
        <w:gridCol w:w="2023"/>
        <w:gridCol w:w="509"/>
      </w:tblGrid>
      <w:tr>
        <w:trPr/>
        <w:tc>
          <w:tcPr>
            <w:tcW w:w="106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Performance-Based Award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Grant-Date Fair Value</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2023</w:t>
            </w:r>
          </w:p>
        </w:tc>
        <w:tc>
          <w:tcPr>
            <w:tcW w:w="23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1,492,000 </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29.36 </w:t>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2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523,000 </w:t>
            </w:r>
          </w:p>
        </w:tc>
        <w:tc>
          <w:tcPr>
            <w:tcW w:w="1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28.73 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Released</w:t>
            </w:r>
          </w:p>
        </w:tc>
        <w:tc>
          <w:tcPr>
            <w:tcW w:w="2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(478,000)</w:t>
            </w:r>
          </w:p>
        </w:tc>
        <w:tc>
          <w:tcPr>
            <w:tcW w:w="1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24.89 </w:t>
            </w:r>
          </w:p>
        </w:tc>
        <w:tc>
          <w:tcPr>
            <w:tcW w:w="5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3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24"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2024</w:t>
            </w:r>
          </w:p>
        </w:tc>
        <w:tc>
          <w:tcPr>
            <w:tcW w:w="23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1,537,000 </w:t>
            </w:r>
          </w:p>
        </w:tc>
        <w:tc>
          <w:tcPr>
            <w:tcW w:w="1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30.53 </w:t>
            </w:r>
          </w:p>
        </w:tc>
        <w:tc>
          <w:tcPr>
            <w:tcW w:w="5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2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245,000 </w:t>
            </w:r>
          </w:p>
        </w:tc>
        <w:tc>
          <w:tcPr>
            <w:tcW w:w="1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27.54 </w:t>
            </w:r>
          </w:p>
        </w:tc>
        <w:tc>
          <w:tcPr>
            <w:tcW w:w="5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Released</w:t>
            </w:r>
          </w:p>
        </w:tc>
        <w:tc>
          <w:tcPr>
            <w:tcW w:w="2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(488,500)</w:t>
            </w:r>
          </w:p>
        </w:tc>
        <w:tc>
          <w:tcPr>
            <w:tcW w:w="1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30.60 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Canceled </w:t>
            </w:r>
          </w:p>
        </w:tc>
        <w:tc>
          <w:tcPr>
            <w:tcW w:w="2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(131,500)</w:t>
            </w:r>
          </w:p>
        </w:tc>
        <w:tc>
          <w:tcPr>
            <w:tcW w:w="1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30.49 </w:t>
            </w:r>
          </w:p>
        </w:tc>
        <w:tc>
          <w:tcPr>
            <w:tcW w:w="5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230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1,162,000 </w:t>
            </w:r>
          </w:p>
        </w:tc>
        <w:tc>
          <w:tcPr>
            <w:tcW w:w="1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29.88 </w:t>
            </w:r>
          </w:p>
        </w:tc>
        <w:tc>
          <w:tcPr>
            <w:tcW w:w="5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December 31, 2025, there was $0.5 million of total unrecognized compensation cost for time based LTIP awards that will be recognized over the grants' remaining weighted average vesting period of 2.01 years. For the years ended December 31, 2025, the Company recognized an expense of $2.9 million of compensation associated with these awards within general and administrative expenses on the consolidated statements of income and noncontrolling interests on the Company's consolidated balance sheet.</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contains information on time based LTIP award activity for the years ended December 31, 2025:</w:t>
      </w:r>
    </w:p>
    <w:p>
      <w:pPr>
        <w:pStyle w:val="TextBody"/>
        <w:bidi w:val="0"/>
        <w:spacing w:before="0" w:after="0"/>
        <w:ind w:left="0" w:right="0" w:firstLine="720"/>
        <w:jc w:val="left"/>
        <w:rPr/>
      </w:pPr>
      <w:r>
        <w:rPr/>
      </w:r>
    </w:p>
    <w:tbl>
      <w:tblPr>
        <w:tblW w:w="9266" w:type="dxa"/>
        <w:jc w:val="center"/>
        <w:tblInd w:w="0" w:type="dxa"/>
        <w:tblLayout w:type="fixed"/>
        <w:tblCellMar>
          <w:top w:w="28" w:type="dxa"/>
          <w:left w:w="28" w:type="dxa"/>
          <w:bottom w:w="28" w:type="dxa"/>
          <w:right w:w="28" w:type="dxa"/>
        </w:tblCellMar>
      </w:tblPr>
      <w:tblGrid>
        <w:gridCol w:w="1065"/>
        <w:gridCol w:w="935"/>
        <w:gridCol w:w="940"/>
        <w:gridCol w:w="924"/>
        <w:gridCol w:w="924"/>
        <w:gridCol w:w="927"/>
        <w:gridCol w:w="109"/>
        <w:gridCol w:w="109"/>
        <w:gridCol w:w="109"/>
        <w:gridCol w:w="692"/>
        <w:gridCol w:w="2023"/>
        <w:gridCol w:w="509"/>
      </w:tblGrid>
      <w:tr>
        <w:trPr/>
        <w:tc>
          <w:tcPr>
            <w:tcW w:w="106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Time Based LTIP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Grant-Date Fair Value</w:t>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27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24"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2024</w:t>
            </w:r>
          </w:p>
        </w:tc>
        <w:tc>
          <w:tcPr>
            <w:tcW w:w="18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85,000 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48.16 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Released</w:t>
            </w:r>
          </w:p>
        </w:tc>
        <w:tc>
          <w:tcPr>
            <w:tcW w:w="1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Canceled </w:t>
            </w:r>
          </w:p>
        </w:tc>
        <w:tc>
          <w:tcPr>
            <w:tcW w:w="1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48.16 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184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70,000 </w:t>
            </w:r>
          </w:p>
        </w:tc>
        <w:tc>
          <w:tcPr>
            <w:tcW w:w="9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48.16 </w:t>
            </w:r>
          </w:p>
        </w:tc>
        <w:tc>
          <w:tcPr>
            <w:tcW w:w="5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Performance-based LTIP awards have a three-year cliff vesting with the amount of LTIP awards vesting at the end of the three-year period determined based upon the Company’s performance as measured against its peers. More specifically, the percentage of shares vesting at the end of the measurement period will be based on the Company’s three-year total shareholder return measured against the three-year total shareholder return of the companies included in the MSCI US REIT index and the Company's stock performance ranking among a group of triple-net REIT peer companies. As of December 31, 2025, there was $5.1 million of total unrecognized compensation cost, which will be recognized over the performance-based LTIP awards' remaining weighted average vesting period of 2.01 years. For the years ended December 31, 2025, the Company recognized $2.5 million of compensation expense associated with these awards within general and administrative expenses on the consolidated statements of income and noncontrolling interests on the Company's consolidated balance sheet.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contains information on performance-based LTIP award activity for the years ended December 31, 2025:</w:t>
      </w:r>
    </w:p>
    <w:p>
      <w:pPr>
        <w:pStyle w:val="TextBody"/>
        <w:bidi w:val="0"/>
        <w:spacing w:before="0" w:after="0"/>
        <w:ind w:left="0" w:right="0" w:firstLine="720"/>
        <w:jc w:val="left"/>
        <w:rPr/>
      </w:pPr>
      <w:r>
        <w:rPr/>
      </w:r>
    </w:p>
    <w:tbl>
      <w:tblPr>
        <w:tblW w:w="9911" w:type="dxa"/>
        <w:jc w:val="center"/>
        <w:tblInd w:w="0" w:type="dxa"/>
        <w:tblLayout w:type="fixed"/>
        <w:tblCellMar>
          <w:top w:w="28" w:type="dxa"/>
          <w:left w:w="28" w:type="dxa"/>
          <w:bottom w:w="28" w:type="dxa"/>
          <w:right w:w="28" w:type="dxa"/>
        </w:tblCellMar>
      </w:tblPr>
      <w:tblGrid>
        <w:gridCol w:w="1065"/>
        <w:gridCol w:w="935"/>
        <w:gridCol w:w="940"/>
        <w:gridCol w:w="1139"/>
        <w:gridCol w:w="1139"/>
        <w:gridCol w:w="1142"/>
        <w:gridCol w:w="109"/>
        <w:gridCol w:w="109"/>
        <w:gridCol w:w="109"/>
        <w:gridCol w:w="692"/>
        <w:gridCol w:w="2023"/>
        <w:gridCol w:w="509"/>
      </w:tblGrid>
      <w:tr>
        <w:trPr/>
        <w:tc>
          <w:tcPr>
            <w:tcW w:w="106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Performance- Based LTIP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Grant-Date Fair Value</w:t>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3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24"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2024</w:t>
            </w:r>
          </w:p>
        </w:tc>
        <w:tc>
          <w:tcPr>
            <w:tcW w:w="22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2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340,000 </w:t>
            </w:r>
          </w:p>
        </w:tc>
        <w:tc>
          <w:tcPr>
            <w:tcW w:w="1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27.06 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Released</w:t>
            </w:r>
          </w:p>
        </w:tc>
        <w:tc>
          <w:tcPr>
            <w:tcW w:w="2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Canceled </w:t>
            </w:r>
          </w:p>
        </w:tc>
        <w:tc>
          <w:tcPr>
            <w:tcW w:w="2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(60,000)</w:t>
            </w:r>
          </w:p>
        </w:tc>
        <w:tc>
          <w:tcPr>
            <w:tcW w:w="1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27.06 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227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280,000 </w:t>
            </w:r>
          </w:p>
        </w:tc>
        <w:tc>
          <w:tcPr>
            <w:tcW w:w="1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27.06 </w:t>
            </w:r>
          </w:p>
        </w:tc>
        <w:tc>
          <w:tcPr>
            <w:tcW w:w="5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14.    Income Taxes</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elected on its U.S. federal income tax return for its taxable year that began on January 1, 2014 to be treated as a REIT. The benefits of the intended REIT conversion on the Company's tax provision and effective income tax rate are reflected in the tables below. As a result of the Tax Cuts and Jobs Act, the corporate tax rate was permanently lowered from the previous maximum rate of 35% to 21%, effective for tax years including or commencing January 1, 2018. </w:t>
      </w:r>
    </w:p>
    <w:p>
      <w:pPr>
        <w:pStyle w:val="TextBody"/>
        <w:bidi w:val="0"/>
        <w:spacing w:lineRule="auto" w:line="288" w:before="16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provision for income taxes charged to operations for years ended December 31, 2025, 2024 and 2023 was as follows:</w:t>
      </w:r>
    </w:p>
    <w:tbl>
      <w:tblPr>
        <w:tblW w:w="6056" w:type="dxa"/>
        <w:jc w:val="left"/>
        <w:tblInd w:w="0" w:type="dxa"/>
        <w:tblLayout w:type="fixed"/>
        <w:tblCellMar>
          <w:top w:w="28" w:type="dxa"/>
          <w:left w:w="28" w:type="dxa"/>
          <w:bottom w:w="28" w:type="dxa"/>
          <w:right w:w="28" w:type="dxa"/>
        </w:tblCellMar>
      </w:tblPr>
      <w:tblGrid>
        <w:gridCol w:w="924"/>
        <w:gridCol w:w="810"/>
        <w:gridCol w:w="815"/>
        <w:gridCol w:w="211"/>
        <w:gridCol w:w="616"/>
        <w:gridCol w:w="109"/>
        <w:gridCol w:w="109"/>
        <w:gridCol w:w="109"/>
        <w:gridCol w:w="109"/>
        <w:gridCol w:w="211"/>
        <w:gridCol w:w="616"/>
        <w:gridCol w:w="109"/>
        <w:gridCol w:w="109"/>
        <w:gridCol w:w="109"/>
        <w:gridCol w:w="109"/>
        <w:gridCol w:w="211"/>
        <w:gridCol w:w="616"/>
        <w:gridCol w:w="154"/>
      </w:tblGrid>
      <w:tr>
        <w:trPr/>
        <w:tc>
          <w:tcPr>
            <w:tcW w:w="924"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Year ended December 31,</w:t>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tax expense</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w:t>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1,997 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(benefit) expense</w:t>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w:t>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provision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6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tables reconcile the statutory federal income tax rate to the actual effective income tax rate for the years ended December 31, 2025, 2024 and 2023:</w:t>
      </w:r>
    </w:p>
    <w:tbl>
      <w:tblPr>
        <w:tblW w:w="6372" w:type="dxa"/>
        <w:jc w:val="left"/>
        <w:tblInd w:w="0" w:type="dxa"/>
        <w:tblLayout w:type="fixed"/>
        <w:tblCellMar>
          <w:top w:w="28" w:type="dxa"/>
          <w:left w:w="28" w:type="dxa"/>
          <w:bottom w:w="28" w:type="dxa"/>
          <w:right w:w="28" w:type="dxa"/>
        </w:tblCellMar>
      </w:tblPr>
      <w:tblGrid>
        <w:gridCol w:w="1125"/>
        <w:gridCol w:w="987"/>
        <w:gridCol w:w="993"/>
        <w:gridCol w:w="291"/>
        <w:gridCol w:w="294"/>
        <w:gridCol w:w="271"/>
        <w:gridCol w:w="109"/>
        <w:gridCol w:w="109"/>
        <w:gridCol w:w="109"/>
        <w:gridCol w:w="291"/>
        <w:gridCol w:w="294"/>
        <w:gridCol w:w="271"/>
        <w:gridCol w:w="109"/>
        <w:gridCol w:w="109"/>
        <w:gridCol w:w="109"/>
        <w:gridCol w:w="291"/>
        <w:gridCol w:w="294"/>
        <w:gridCol w:w="316"/>
      </w:tblGrid>
      <w:tr>
        <w:trPr/>
        <w:tc>
          <w:tcPr>
            <w:tcW w:w="1125"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Year ended December 31,</w:t>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 of pretax income</w:t>
            </w:r>
          </w:p>
        </w:tc>
        <w:tc>
          <w:tcPr>
            <w:tcW w:w="8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federal statutory income tax rate</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05"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local income taxes</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05"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REIT conversion benefit</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Permanent differences</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miscellaneous items</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color w:val="000000"/>
        </w:rPr>
      </w:pPr>
      <w:r>
        <w:rPr>
          <w:color w:val="000000"/>
        </w:rPr>
        <w:t> </w:t>
      </w:r>
    </w:p>
    <w:tbl>
      <w:tblPr>
        <w:tblW w:w="7200" w:type="dxa"/>
        <w:jc w:val="left"/>
        <w:tblInd w:w="0" w:type="dxa"/>
        <w:tblLayout w:type="fixed"/>
        <w:tblCellMar>
          <w:top w:w="28" w:type="dxa"/>
          <w:left w:w="28" w:type="dxa"/>
          <w:bottom w:w="28" w:type="dxa"/>
          <w:right w:w="28" w:type="dxa"/>
        </w:tblCellMar>
      </w:tblPr>
      <w:tblGrid>
        <w:gridCol w:w="1070"/>
        <w:gridCol w:w="939"/>
        <w:gridCol w:w="945"/>
        <w:gridCol w:w="211"/>
        <w:gridCol w:w="826"/>
        <w:gridCol w:w="109"/>
        <w:gridCol w:w="109"/>
        <w:gridCol w:w="109"/>
        <w:gridCol w:w="109"/>
        <w:gridCol w:w="211"/>
        <w:gridCol w:w="826"/>
        <w:gridCol w:w="109"/>
        <w:gridCol w:w="109"/>
        <w:gridCol w:w="109"/>
        <w:gridCol w:w="109"/>
        <w:gridCol w:w="211"/>
        <w:gridCol w:w="826"/>
        <w:gridCol w:w="109"/>
        <w:gridCol w:w="154"/>
      </w:tblGrid>
      <w:tr>
        <w:trPr/>
        <w:tc>
          <w:tcPr>
            <w:tcW w:w="1070"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Year ended December 31,</w:t>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 based upon pretax income</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federal statutory income tax</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local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REIT conversion benefit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(179,041)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(159,047)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Permanent differences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miscellaneous items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still subject to federal income tax examinations for its years ended December 31, 2022 and forward.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15. Earnings Per Share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reconciles the weighted-average common shares outstanding used in the calculation of basic EPS to the weighted-average common shares outstanding used in the calculation of diluted EPS for the years ended December 31, 2025, 2024 and 2023: </w:t>
      </w:r>
    </w:p>
    <w:tbl>
      <w:tblPr>
        <w:tblW w:w="9254" w:type="dxa"/>
        <w:jc w:val="left"/>
        <w:tblInd w:w="0" w:type="dxa"/>
        <w:tblLayout w:type="fixed"/>
        <w:tblCellMar>
          <w:top w:w="28" w:type="dxa"/>
          <w:left w:w="28" w:type="dxa"/>
          <w:bottom w:w="28" w:type="dxa"/>
          <w:right w:w="28" w:type="dxa"/>
        </w:tblCellMar>
      </w:tblPr>
      <w:tblGrid>
        <w:gridCol w:w="1979"/>
        <w:gridCol w:w="1738"/>
        <w:gridCol w:w="1742"/>
        <w:gridCol w:w="413"/>
        <w:gridCol w:w="413"/>
        <w:gridCol w:w="156"/>
        <w:gridCol w:w="132"/>
        <w:gridCol w:w="132"/>
        <w:gridCol w:w="132"/>
        <w:gridCol w:w="413"/>
        <w:gridCol w:w="413"/>
        <w:gridCol w:w="156"/>
        <w:gridCol w:w="132"/>
        <w:gridCol w:w="132"/>
        <w:gridCol w:w="132"/>
        <w:gridCol w:w="413"/>
        <w:gridCol w:w="413"/>
        <w:gridCol w:w="213"/>
      </w:tblGrid>
      <w:tr>
        <w:trPr/>
        <w:tc>
          <w:tcPr>
            <w:tcW w:w="1979"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c>
          <w:tcPr>
            <w:tcW w:w="174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9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54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54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9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Determination of shares:</w:t>
            </w:r>
          </w:p>
        </w:tc>
        <w:tc>
          <w:tcPr>
            <w:tcW w:w="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279,605 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272,802 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264,053 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Assumed conversion of restricted stock awards (1)</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Assumed conversion of performance-based restricted stock awards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Dilution attributable to equity forward contract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weighted-average common shares outstanding</w:t>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280,043 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273,534 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264,993 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calculation of basic and diluted EPS for the Company’s common stock for the years ended December 31, 2025, 2024 and 2023: </w:t>
      </w:r>
    </w:p>
    <w:tbl>
      <w:tblPr>
        <w:tblW w:w="10205" w:type="dxa"/>
        <w:jc w:val="left"/>
        <w:tblInd w:w="0" w:type="dxa"/>
        <w:tblLayout w:type="fixed"/>
        <w:tblCellMar>
          <w:top w:w="28" w:type="dxa"/>
          <w:left w:w="28" w:type="dxa"/>
          <w:bottom w:w="28" w:type="dxa"/>
          <w:right w:w="28" w:type="dxa"/>
        </w:tblCellMar>
      </w:tblPr>
      <w:tblGrid>
        <w:gridCol w:w="2255"/>
        <w:gridCol w:w="1903"/>
        <w:gridCol w:w="1908"/>
        <w:gridCol w:w="211"/>
        <w:gridCol w:w="826"/>
        <w:gridCol w:w="109"/>
        <w:gridCol w:w="109"/>
        <w:gridCol w:w="109"/>
        <w:gridCol w:w="109"/>
        <w:gridCol w:w="211"/>
        <w:gridCol w:w="826"/>
        <w:gridCol w:w="109"/>
        <w:gridCol w:w="109"/>
        <w:gridCol w:w="109"/>
        <w:gridCol w:w="109"/>
        <w:gridCol w:w="211"/>
        <w:gridCol w:w="826"/>
        <w:gridCol w:w="156"/>
      </w:tblGrid>
      <w:tr>
        <w:trPr/>
        <w:tc>
          <w:tcPr>
            <w:tcW w:w="2255" w:type="dxa"/>
            <w:tcBorders/>
            <w:vAlign w:val="center"/>
          </w:tcPr>
          <w:p>
            <w:pPr>
              <w:pStyle w:val="TableContents"/>
              <w:bidi w:val="0"/>
              <w:spacing w:before="0" w:after="283"/>
              <w:jc w:val="left"/>
              <w:rPr>
                <w:sz w:val="4"/>
                <w:szCs w:val="4"/>
              </w:rPr>
            </w:pPr>
            <w:r>
              <w:rPr>
                <w:sz w:val="4"/>
                <w:szCs w:val="4"/>
              </w:rPr>
            </w:r>
          </w:p>
        </w:tc>
        <w:tc>
          <w:tcPr>
            <w:tcW w:w="1903" w:type="dxa"/>
            <w:tcBorders/>
            <w:vAlign w:val="center"/>
          </w:tcPr>
          <w:p>
            <w:pPr>
              <w:pStyle w:val="TableContents"/>
              <w:bidi w:val="0"/>
              <w:spacing w:before="0" w:after="283"/>
              <w:jc w:val="left"/>
              <w:rPr>
                <w:sz w:val="4"/>
                <w:szCs w:val="4"/>
              </w:rPr>
            </w:pPr>
            <w:r>
              <w:rPr>
                <w:sz w:val="4"/>
                <w:szCs w:val="4"/>
              </w:rPr>
            </w:r>
          </w:p>
        </w:tc>
        <w:tc>
          <w:tcPr>
            <w:tcW w:w="19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60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0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 share data)</w:t>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Calculation of basic EPS:</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606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shareholders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734,283 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allocated to participating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for earnings per share purposes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824,370 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784,161 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733,849 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264,053 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EPS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Calculation of diluted EPS:</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shareholders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734,283 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weighted-average common shares outstanding (1)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264,993 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EPS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Antidilutive securities excluded from the computation of diluted earnings per share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(1) During the year ended December 31, 2025, these awards which are participating securities were accounted for under the two class method and excluded from diluted shares as they are a separate class.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16.</w:t>
      </w:r>
      <w:r>
        <w:rPr>
          <w:color w:val="000000"/>
        </w:rPr>
        <w:t xml:space="preserve">      </w:t>
      </w:r>
      <w:r>
        <w:rPr>
          <w:rFonts w:ascii="Times New Roman;serif" w:hAnsi="Times New Roman;serif"/>
          <w:b/>
          <w:color w:val="000000"/>
          <w:sz w:val="20"/>
        </w:rPr>
        <w:t>Equity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Common Stock</w: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May 2, 2025, the Company entered into its $1.25 billion 2025 ATM Program. The issuance of securities through the 2025 ATM Program will depend on a variety of factors, including market conditions, the trading price of the Company's common stock and determinations of the appropriate sources of funding. The Company may sell the shares in amounts and at times to be determined by the Company, but has no obligation to sell any of the shares in the 2025 ATM Program. The 2025 ATM Program also allows the Company to enter into forward sale agreements. In no event will the aggregate number of shares sold under the 2025 ATM Program (whether under any forward sale agreement or through a sales agent), have an aggregate sales price in excess of $1.25 billion. The Company expects, that if it enters into a forward sale contract, to physically settle each forward sale agreement with the forward purchaser on one or more dates specified by the Company prior to the maturity date of that particular forward sale agreement, in which case the aggregate net cash proceeds at settlement will equal the number of shares underlying the particular forward sale agreement multiplied by the relevant forward sale price. However, the Company may also elect to cash settle or net share settle a particular forward sale agreement, in which case cash proceeds may or may not be received or cash may be owed to the forward purchaser.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2025 ATM Program, the Company would engage a sales agent who may receive compensation of up to 2% of the gross sales price of the shares sold. Similarly, in the event the Company enters into a forward sale agreement, it will pay the relevant forward seller a commission of up to 2% of the sales price of all borrowed shares of common stock sold during the applicable selling period of the forward sale agreement.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year ended December 31, 2025, the Company sold 7,589,487 shares of common stock under forward sale agreements, that will raise gross proceeds of $363.3 million subject to certain contractual adjustments. No amounts are recorded on the Company's balance sheet until the forward is settled (which contractually mature in the third quarter of 2026 but may be settled prior to this time period at the Company's election). Until settlement of the forward sale agreements, earnings per share dilution resulting from the forward sale agreements will be determined under the treasury stock method. Share dilution occurs when the average market price of the Company's common stock is higher than the average forward sales price (which is reduced by the maximum specified fixed amounts in the contracts). Reflecting the impact of these forward sale agreements, the Company has $886.7 million remaining for issuance under the 2025 ATM Program.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21, 2022, the Company commenced a continuous equity offering under which the Company may sell up to an aggregate of $1.0 billion of its common stock from time to time through a sales agent in "at the market" offerings (the "2022 ATM Program"). On June 2, 2025, the Company settled a forward sale agreement and issued 8,170,387 shares for a net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sales price of $404.0 million inclusive of certain contractual adjustments. In connection with the 2025 ATM Program, the 2022 ATM Program was terminated.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Noncontrolling Interests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partial consideration for the closing of various real property assets over the past few years, the Company's operating partnership has issued OP Units. The OP Units are exchangeable for common shares of the Company on a one-for-one basis, subject to certain terms and conditions. As of December 31, 2025, the Company holds a 97.1% controlling financial interest in the operating partnership. The operating partnership is a VIE in which the Company is the primary beneficiary because it has the power to direct the activities of the VIE that most significantly impact the partnership's economic performance and has the obligation to absorb losses of the VIE that could be potentially significant to the VIE and the right to receive benefits from the VIE that could potentially be significant to the VIE. Therefore, the Company consolidates the accounts of the operating partnership, and reflects the third party ownership in this entity as a non-controlling interest in the Consolidated Balance Sheets. The Company paid $25.8 million, $24.6 million and $24.1 million in distributions to the non-controlling interest holders concurrently with the dividends paid to the Company's common shareholders, during the year ended December 31, 2025, December 31, 2024 and December 31, 2023 respectively.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net income or loss is allocated to noncontrolling interests based on the respective ownership or voting percentage in the Operating Partnership associated with such noncontrolling interests and is removed from consolidated income or loss on the Consolidated Statements of Operations in order to derive net income or loss attributable to common stockholders. The noncontrolling ownership percentage is calculated by dividing the aggregate number of LTIP Units and OP Units by the total number of units and shares outstanding. </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Accumulated Other Comprehensive Income (Loss)</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discussed in Note 2, the Company had derivative instruments designated as cash flow hedges which it terminated in connection with the August 2025 issuance of Senior Notes. The amount in other comprehensive income before reclassifications is being amortized as a reduction in interest expense over ten years, which was the life of the derivative instruments. The amount expected to be amortized out of other comprehensive income to interest expense over the next 12 months is $0.1 million.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Dividends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lists the regular dividends declared and paid by the Company during the years ended December 31, 2025, 2024 and 2023:</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433"/>
        <w:gridCol w:w="381"/>
        <w:gridCol w:w="383"/>
        <w:gridCol w:w="109"/>
        <w:gridCol w:w="109"/>
        <w:gridCol w:w="109"/>
        <w:gridCol w:w="469"/>
        <w:gridCol w:w="469"/>
        <w:gridCol w:w="470"/>
        <w:gridCol w:w="109"/>
        <w:gridCol w:w="109"/>
        <w:gridCol w:w="109"/>
        <w:gridCol w:w="335"/>
        <w:gridCol w:w="335"/>
        <w:gridCol w:w="336"/>
        <w:gridCol w:w="109"/>
        <w:gridCol w:w="109"/>
        <w:gridCol w:w="109"/>
        <w:gridCol w:w="277"/>
        <w:gridCol w:w="661"/>
        <w:gridCol w:w="155"/>
        <w:gridCol w:w="109"/>
        <w:gridCol w:w="109"/>
        <w:gridCol w:w="109"/>
        <w:gridCol w:w="353"/>
        <w:gridCol w:w="353"/>
        <w:gridCol w:w="354"/>
        <w:gridCol w:w="109"/>
        <w:gridCol w:w="109"/>
        <w:gridCol w:w="109"/>
        <w:gridCol w:w="406"/>
        <w:gridCol w:w="406"/>
        <w:gridCol w:w="408"/>
        <w:gridCol w:w="109"/>
        <w:gridCol w:w="109"/>
        <w:gridCol w:w="109"/>
        <w:gridCol w:w="225"/>
        <w:gridCol w:w="847"/>
        <w:gridCol w:w="187"/>
      </w:tblGrid>
      <w:tr>
        <w:trPr/>
        <w:tc>
          <w:tcPr>
            <w:tcW w:w="433"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Declaration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Shareholder Record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Securities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Dividend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Period Covered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Distribution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Dividend Amount</w:t>
            </w:r>
          </w:p>
        </w:tc>
      </w:tr>
      <w:tr>
        <w:trPr/>
        <w:tc>
          <w:tcPr>
            <w:tcW w:w="11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1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February 13,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March 14,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First Quarter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March 28,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208,873 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1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May 15,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June 13,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Second Quarter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June 27,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220,743 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August 28,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September 12,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Third Quarter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September 26,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220,747 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November 24,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December 5,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Fourth Quarter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December 19,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220,769 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1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February 26,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March 15,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First Quarter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March 29,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206,340 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1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May 20,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June 7,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Second Quarter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June 21,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206,340 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August 28,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September 13,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Third Quarter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September 27,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208,538 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November 25,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December 6,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Fourth Quarter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December 20,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208,559 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February 22,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March 10,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First Quarter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March 24,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188,896 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February 22,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March 10,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First Quarter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8"/>
              </w:rPr>
              <w:t xml:space="preserve">March 24, 2023 </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65,588 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June 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June 16,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Second Quarter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189,095 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August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September 15,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Third Quarter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September 29,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192,085 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November 22,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December 8,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Fourth Quarter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December 22,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197,394 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(1) On February 22, 2023, the Company declared a first quarter dividend of $0.72 per share in addition to a special earnings and profit dividend related to the sale of the Tropicana Las Vegas building of $0.25 per share on the Company's common stock.</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for the years ended December 31, 2025, 2024 and 2023, dividend payments were made to GLPI restricted stock award holders in the amount of, $0.7 million, $0.9 million and $0.9 million, respectively. </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summary of the Company's taxable common stock distributions for the years ended December 31, 2025, 2024 and 2023 is as follows (unaudited):</w:t>
      </w:r>
    </w:p>
    <w:p>
      <w:pPr>
        <w:pStyle w:val="TextBody"/>
        <w:bidi w:val="0"/>
        <w:spacing w:before="0" w:after="0"/>
        <w:ind w:left="0" w:right="0" w:firstLine="720"/>
        <w:jc w:val="left"/>
        <w:rPr/>
      </w:pPr>
      <w:r>
        <w:rPr/>
      </w:r>
    </w:p>
    <w:tbl>
      <w:tblPr>
        <w:tblW w:w="8057" w:type="dxa"/>
        <w:jc w:val="center"/>
        <w:tblInd w:w="0" w:type="dxa"/>
        <w:tblLayout w:type="fixed"/>
        <w:tblCellMar>
          <w:top w:w="28" w:type="dxa"/>
          <w:left w:w="28" w:type="dxa"/>
          <w:bottom w:w="28" w:type="dxa"/>
          <w:right w:w="28" w:type="dxa"/>
        </w:tblCellMar>
      </w:tblPr>
      <w:tblGrid>
        <w:gridCol w:w="1587"/>
        <w:gridCol w:w="1391"/>
        <w:gridCol w:w="1401"/>
        <w:gridCol w:w="211"/>
        <w:gridCol w:w="511"/>
        <w:gridCol w:w="271"/>
        <w:gridCol w:w="109"/>
        <w:gridCol w:w="109"/>
        <w:gridCol w:w="109"/>
        <w:gridCol w:w="211"/>
        <w:gridCol w:w="511"/>
        <w:gridCol w:w="271"/>
        <w:gridCol w:w="109"/>
        <w:gridCol w:w="109"/>
        <w:gridCol w:w="109"/>
        <w:gridCol w:w="211"/>
        <w:gridCol w:w="511"/>
        <w:gridCol w:w="316"/>
      </w:tblGrid>
      <w:tr>
        <w:trPr/>
        <w:tc>
          <w:tcPr>
            <w:tcW w:w="1587"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8"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8"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dollars per share)</w:t>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Qualified dividends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Non-qualified dividends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3.0010 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2.9584 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3.0215 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gains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0.0018 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0.0178 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0.0004 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Non-taxable return of capital</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0.0972 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0.0638 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0.1281 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distributions per common share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classified as qualified dividends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Percentage classified as non-qualified dividends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classified as capital gains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Percentage classified as non-taxable return of capital</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100" w:after="283"/>
        <w:ind w:left="0" w:right="0" w:firstLine="7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18"/>
        </w:rPr>
        <w:t>17.    </w:t>
      </w:r>
      <w:r>
        <w:rPr>
          <w:rFonts w:ascii="Times New Roman;serif" w:hAnsi="Times New Roman;serif"/>
          <w:b/>
          <w:color w:val="000000"/>
          <w:sz w:val="20"/>
        </w:rPr>
        <w:t>Supplemental Disclosures of Cash Flow Information and Noncash Activities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Supplemental disclosures of cash flow information are as follows:</w:t>
      </w:r>
    </w:p>
    <w:p>
      <w:pPr>
        <w:pStyle w:val="TextBody"/>
        <w:bidi w:val="0"/>
        <w:spacing w:before="0" w:after="0"/>
        <w:ind w:left="0" w:right="0" w:firstLine="720"/>
        <w:jc w:val="left"/>
        <w:rPr/>
      </w:pPr>
      <w:r>
        <w:rPr/>
      </w:r>
    </w:p>
    <w:tbl>
      <w:tblPr>
        <w:tblW w:w="7752" w:type="dxa"/>
        <w:jc w:val="center"/>
        <w:tblInd w:w="0" w:type="dxa"/>
        <w:tblLayout w:type="fixed"/>
        <w:tblCellMar>
          <w:top w:w="28" w:type="dxa"/>
          <w:left w:w="28" w:type="dxa"/>
          <w:bottom w:w="28" w:type="dxa"/>
          <w:right w:w="28" w:type="dxa"/>
        </w:tblCellMar>
      </w:tblPr>
      <w:tblGrid>
        <w:gridCol w:w="1535"/>
        <w:gridCol w:w="1353"/>
        <w:gridCol w:w="1357"/>
        <w:gridCol w:w="211"/>
        <w:gridCol w:w="616"/>
        <w:gridCol w:w="109"/>
        <w:gridCol w:w="109"/>
        <w:gridCol w:w="109"/>
        <w:gridCol w:w="109"/>
        <w:gridCol w:w="211"/>
        <w:gridCol w:w="616"/>
        <w:gridCol w:w="109"/>
        <w:gridCol w:w="109"/>
        <w:gridCol w:w="109"/>
        <w:gridCol w:w="109"/>
        <w:gridCol w:w="211"/>
        <w:gridCol w:w="616"/>
        <w:gridCol w:w="154"/>
      </w:tblGrid>
      <w:tr>
        <w:trPr/>
        <w:tc>
          <w:tcPr>
            <w:tcW w:w="1535"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Year ended December 31,</w:t>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income taxes, net of refunds received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309,924 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Noncash Investing and Financing Activities</w:t>
      </w:r>
    </w:p>
    <w:p>
      <w:pPr>
        <w:pStyle w:val="TextBody"/>
        <w:bidi w:val="0"/>
        <w:spacing w:before="0" w:after="0"/>
        <w:ind w:left="0" w:right="0" w:firstLine="720"/>
        <w:jc w:val="left"/>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December 16, 2024, as part of the consideration for the land and real estate assets of Bally's Kansas City and Bally's Shreveport, the Company issued 137,309 OP Units to affiliates of Bally's that were valued at $6.8 million for accounting</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purposes at closing. The Company also recognized a right of use asset and liability of $49.2 million on two ground leases in connection with the transaction.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rental term changes on the Tropicana Las Vegas Lease during the three months ended September 30, 2024, the Company reclassified this lease from an operating lease to a sales type lease which resulted in a non-cash gain of $3.8 million which represented the fair value of the land at the reassessment date in excess of the carrying value of the land and the additional funding under the lease of $274.7 million.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May 16, 2024, the Company recorded a non-cash increase to Investment in leases, financing receivables and Financing lease liabilities of $6.1 million associated with the acquisition of certain real estate assets of Strategic. See Note 6 for further details.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6, 2024, as partial consideration for the closing of the real property assets under the Tioga Downs Lease, the Company’s operating partnership issued 434,304 newly-issued OP units to an affiliate of Tioga Downs which were valued at $19.6 million for accounting purposes at closing and assumed debt of $63.5 million that was repaid after closing with the offsetting increase to Investment in leases, financing receivables, net.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January 3, 2023, as part of the consideration for the land and real estate assets of Bally's Biloxi and Bally's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Tiverton, the Company issued 286,643 OP Units to affiliates of Bally's that were valued at $14.9 million for accounting</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purposes at closing. The Company also recognized a right of use asset and liability of $37.1 million on a ground lease which was subsequently remeasured due to a renegotiation and reduced the right of use asset and lease liability to $18.4 million for the year ended December 31,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18.</w:t>
      </w:r>
      <w:r>
        <w:rPr>
          <w:color w:val="000000"/>
        </w:rPr>
        <w:t>    </w:t>
      </w:r>
      <w:r>
        <w:rPr>
          <w:rFonts w:ascii="Times New Roman;serif" w:hAnsi="Times New Roman;serif"/>
          <w:b/>
          <w:color w:val="000000"/>
          <w:sz w:val="20"/>
        </w:rPr>
        <w:t>Segment information</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operations consist solely of investments in real estate for which all such real estate properties are similar to one another in that they consist of destination and leisure properties and related offerings, whose tenants offer casino gaming, hotel, convention, dining, entertainment and retail amenities, have similar economic characteristics and are governed by triple-net operating leases. Accordingly, the Company has one operating and reportable segment and the accounting policies of the segment are the same as those described in the summary of significant accounting policies in Note 2. The operating results of the Company's real estate investments are reviewed in the aggregate using the Company's consolidated financial statements, by the Company's chief executive officer who is the chief operating decision maker (as such term is defined in ASC 280 - Segment Reporting). The Company's chief executive officer assesses performance for the segment and decides how to allocate resources based on measures that are most closely aligned with consolidated net income, as well as other measures to evaluate the Company's results. These measures are utilized to decide whether to pursue additional real estate investments, to monitor results against budgeted targets, and in competitive analysis in certain benchmarking against peer group companies to assess the performance of the segment and in establishing management's compensation for certain performance based equity plans. The measure of segment assets is reported on the Company's Consolidated Balance Sheet as total assets.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19.     Subsequent Events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January 15, 2026, the Company acquired the land for the future site Virginia Live! for $27 million which has a capitalization rate of 8.0%.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11, 2026, the Company exercised its call right for Bally's Lincoln and acquired the real estate assets for a purchase price of $700 million and additional rent of $56.0 million. </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jc w:val="left"/>
        <w:rPr/>
      </w:pPr>
      <w:r>
        <w:rPr/>
      </w:r>
    </w:p>
    <w:p>
      <w:pPr>
        <w:pStyle w:val="TextBody"/>
        <w:bidi w:val="0"/>
        <w:spacing w:before="0" w:after="0"/>
        <w:ind w:left="0" w:right="0" w:firstLine="720"/>
        <w:jc w:val="both"/>
        <w:rPr/>
      </w:pPr>
      <w:r>
        <w:rPr/>
      </w:r>
    </w:p>
    <w:p>
      <w:pPr>
        <w:pStyle w:val="TextBody"/>
        <w:bidi w:val="0"/>
        <w:spacing w:before="0" w:after="0"/>
        <w:jc w:val="left"/>
        <w:rPr/>
      </w:pPr>
      <w:r>
        <w:rPr/>
      </w:r>
    </w:p>
    <w:p>
      <w:pPr>
        <w:pStyle w:val="TextBody"/>
        <w:bidi w:val="0"/>
        <w:spacing w:before="0" w:after="0"/>
        <w:ind w:left="0" w:right="0" w:firstLine="720"/>
        <w:jc w:val="both"/>
        <w:rPr/>
      </w:pPr>
      <w:r>
        <w:rPr/>
      </w:r>
    </w:p>
    <w:p>
      <w:pPr>
        <w:pStyle w:val="TextBody"/>
        <w:bidi w:val="0"/>
        <w:spacing w:before="0" w:after="0"/>
        <w:ind w:left="0" w:right="0" w:firstLine="720"/>
        <w:jc w:val="left"/>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SCHEDULE III</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REAL ESTATE ASSETS AND ACCUMULATED DEPRECIATION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December 31, 2025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tbl>
      <w:tblPr>
        <w:tblW w:w="15970" w:type="dxa"/>
        <w:jc w:val="center"/>
        <w:tblInd w:w="0" w:type="dxa"/>
        <w:tblLayout w:type="fixed"/>
        <w:tblCellMar>
          <w:top w:w="28" w:type="dxa"/>
          <w:left w:w="28" w:type="dxa"/>
          <w:bottom w:w="28" w:type="dxa"/>
          <w:right w:w="28" w:type="dxa"/>
        </w:tblCellMar>
      </w:tblPr>
      <w:tblGrid>
        <w:gridCol w:w="399"/>
        <w:gridCol w:w="258"/>
        <w:gridCol w:w="259"/>
        <w:gridCol w:w="109"/>
        <w:gridCol w:w="109"/>
        <w:gridCol w:w="109"/>
        <w:gridCol w:w="309"/>
        <w:gridCol w:w="309"/>
        <w:gridCol w:w="313"/>
        <w:gridCol w:w="109"/>
        <w:gridCol w:w="109"/>
        <w:gridCol w:w="109"/>
        <w:gridCol w:w="253"/>
        <w:gridCol w:w="569"/>
        <w:gridCol w:w="154"/>
        <w:gridCol w:w="109"/>
        <w:gridCol w:w="109"/>
        <w:gridCol w:w="109"/>
        <w:gridCol w:w="209"/>
        <w:gridCol w:w="625"/>
        <w:gridCol w:w="127"/>
        <w:gridCol w:w="109"/>
        <w:gridCol w:w="109"/>
        <w:gridCol w:w="109"/>
        <w:gridCol w:w="191"/>
        <w:gridCol w:w="653"/>
        <w:gridCol w:w="117"/>
        <w:gridCol w:w="109"/>
        <w:gridCol w:w="109"/>
        <w:gridCol w:w="109"/>
        <w:gridCol w:w="109"/>
        <w:gridCol w:w="109"/>
        <w:gridCol w:w="275"/>
        <w:gridCol w:w="458"/>
        <w:gridCol w:w="168"/>
        <w:gridCol w:w="109"/>
        <w:gridCol w:w="109"/>
        <w:gridCol w:w="109"/>
        <w:gridCol w:w="209"/>
        <w:gridCol w:w="625"/>
        <w:gridCol w:w="127"/>
        <w:gridCol w:w="109"/>
        <w:gridCol w:w="109"/>
        <w:gridCol w:w="109"/>
        <w:gridCol w:w="191"/>
        <w:gridCol w:w="653"/>
        <w:gridCol w:w="117"/>
        <w:gridCol w:w="109"/>
        <w:gridCol w:w="109"/>
        <w:gridCol w:w="109"/>
        <w:gridCol w:w="181"/>
        <w:gridCol w:w="616"/>
        <w:gridCol w:w="109"/>
        <w:gridCol w:w="109"/>
        <w:gridCol w:w="109"/>
        <w:gridCol w:w="109"/>
        <w:gridCol w:w="181"/>
        <w:gridCol w:w="616"/>
        <w:gridCol w:w="109"/>
        <w:gridCol w:w="109"/>
        <w:gridCol w:w="109"/>
        <w:gridCol w:w="109"/>
        <w:gridCol w:w="295"/>
        <w:gridCol w:w="591"/>
        <w:gridCol w:w="327"/>
        <w:gridCol w:w="646"/>
        <w:gridCol w:w="327"/>
        <w:gridCol w:w="916"/>
      </w:tblGrid>
      <w:tr>
        <w:trPr/>
        <w:tc>
          <w:tcPr>
            <w:tcW w:w="39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Initial Cost to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Net Capitalized Costs (Retirements) Subsequent to Acquisition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Gross Amount at which Carried at Close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Life on</w:t>
              <w:br/>
              <w:t>which</w:t>
              <w:br/>
              <w:t>Depreciation</w:t>
              <w:br/>
              <w:t>in Latest</w:t>
              <w:br/>
              <w:t>Income</w:t>
              <w:br/>
              <w:t>Statement is</w:t>
              <w:br/>
              <w:t>Computed</w:t>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Original</w:t>
              <w:br/>
              <w:t>Date of</w:t>
              <w:br/>
              <w:t>Construction /</w:t>
              <w:br/>
              <w:t>Renovation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3"/>
              </w:rPr>
            </w:pPr>
            <w:r>
              <w:rPr>
                <w:rFonts w:ascii="Times New Roman;serif" w:hAnsi="Times New Roman;serif"/>
                <w:b/>
                <w:color w:val="000000"/>
                <w:sz w:val="13"/>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Encumbrances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Land and Improvements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Buildings and</w:t>
              <w:br/>
              <w:t>Improvements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Land and Improvements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Buildings and</w:t>
              <w:br/>
              <w:t>Improvements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3"/>
              </w:rPr>
              <w:t xml:space="preserve">Total </w:t>
            </w:r>
            <w:r>
              <w:rPr>
                <w:rFonts w:ascii="Times New Roman;serif" w:hAnsi="Times New Roman;serif"/>
                <w:b/>
                <w:color w:val="000000"/>
                <w:sz w:val="8"/>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Accumulated</w:t>
              <w:br/>
              <w:t>Depreciation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3"/>
              </w:rPr>
              <w:t>Date Acquire</w:t>
            </w:r>
            <w:r>
              <w:rPr>
                <w:rFonts w:ascii="Times New Roman;serif" w:hAnsi="Times New Roman;serif"/>
                <w:b w:val="false"/>
                <w:color w:val="000000"/>
                <w:sz w:val="13"/>
              </w:rPr>
              <w: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3"/>
              </w:rPr>
            </w:pPr>
            <w:r>
              <w:rPr>
                <w:rFonts w:ascii="Times New Roman;serif" w:hAnsi="Times New Roman;serif"/>
                <w:b/>
                <w:i/>
                <w:color w:val="000000"/>
                <w:sz w:val="13"/>
              </w:rPr>
              <w:t>Rental Properties: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Hollywood Casino Lawrenceburg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Lawrenceburg, IN</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15,251 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342,393 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4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(30)</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15,221 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342,393 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357,614 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224,587 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1997/2009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11/1/2013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31</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 xml:space="preserve">Hollywood Casino Aurora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Aurora, IL</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4,937 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98,378 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8,385 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13,656 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98,044 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111,700 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101,562 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1993/2002/ 2012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11/1/2013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6</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 xml:space="preserve">Hollywood Casino Joliet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Joliet, IL</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12,630 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130,000 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12,630 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130,000 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142,630 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8/11/2025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31</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Argosy Casino Alton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Alton, IL</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6,462 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6,462 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6,462 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5,451 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1991/1999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11/1/2013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31</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Hollywood Casino Toledo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Toledo, OH</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12,003 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144,093 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(201)</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11,802 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144,093 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155,895 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71,723 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2012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11/1/2013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31</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Hollywood Casino Columbus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Columbus, OH</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38,240 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188,543 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105 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38,266 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188,622 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226,888 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97,138 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2012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11/1/2013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31</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3"/>
              </w:rPr>
            </w:pPr>
            <w:r>
              <w:rPr>
                <w:rFonts w:ascii="Times New Roman;serif" w:hAnsi="Times New Roman;serif"/>
                <w:b w:val="false"/>
                <w:color w:val="000000"/>
                <w:sz w:val="13"/>
              </w:rPr>
              <w:t>Hollywood Casino at Charles Town Races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Charles Town, WV</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35,102 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233,069 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35,102 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233,069 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268,171 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184,668 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1997/2010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11/1/2013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31</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3"/>
              </w:rPr>
            </w:pPr>
            <w:r>
              <w:rPr>
                <w:rFonts w:ascii="Times New Roman;serif" w:hAnsi="Times New Roman;serif"/>
                <w:b w:val="false"/>
                <w:color w:val="000000"/>
                <w:sz w:val="13"/>
              </w:rPr>
              <w:t>Hollywood Casino at Penn National Race Course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Grantville, PA</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25,500 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161,810 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25,500 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161,810 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187,310 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117,455 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2008/2010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11/1/2013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31</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M Resort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Henderson,  NV</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66,104 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126,689 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149,564 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65,668 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276,689 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342,357 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68,611 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2009/2012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11/1/2013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30</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Hollywood Casino Bangor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Bangor, ME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12,883 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84,257 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12,883 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84,257 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97,140 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52,589 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2008/2012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11/1/2013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31</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Zia Park Casino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Hobbs, NM</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9,313 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38,947 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9,313 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38,947 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48,260 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30,236 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2005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11/1/2013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31</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Hollywood Casino Gulf Coast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Bay St. Louis, MS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59,388 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87,352 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(229)</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59,176 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87,335 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146,511 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69,124 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1992/2006/ 2011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11/1/2013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40</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Argosy Casino Riverside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Riverside, MO</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23,468 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143,301 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(77)</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23,391 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143,301 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166,692 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94,583 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1994/2007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11/1/2013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37</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Hollywood Casino Tunica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Tunica, MS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4,634 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42,031 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4,634 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42,031 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46,665 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35,706 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1994/2012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11/1/2013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31</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Boomtown Biloxi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Biloxi, MS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3,423 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63,083 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(137)</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3,286 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63,083 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66,369 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57,764 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1994/2006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11/1/2013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15</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Hollywood Casino St. Louis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Maryland Heights, MO</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44,198 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177,063 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(3,239)</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40,959 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177,063 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218,022 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157,114 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1997/2013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11/1/2013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3"/>
              </w:rPr>
            </w:pPr>
            <w:r>
              <w:rPr>
                <w:rFonts w:ascii="Times New Roman;serif" w:hAnsi="Times New Roman;serif"/>
                <w:b w:val="false"/>
                <w:color w:val="000000"/>
                <w:sz w:val="13"/>
              </w:rPr>
              <w:t>13</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 xml:space="preserve">Hollywood Casino at Dayton Raceway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Dayton, OH</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3,211 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86,288 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3,211 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86,288 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89,499 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31,649 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2014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11/1/2013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3"/>
              </w:rPr>
            </w:pPr>
            <w:r>
              <w:rPr>
                <w:rFonts w:ascii="Times New Roman;serif" w:hAnsi="Times New Roman;serif"/>
                <w:b w:val="false"/>
                <w:color w:val="000000"/>
                <w:sz w:val="13"/>
              </w:rPr>
              <w:t>31</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Hollywood Casino at Mahoning Valley Race Track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Youngstown, OH</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5,683 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94,314 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5,833 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94,164 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99,997 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34,351 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2014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11/1/2013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31</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Resorts Casino Tunica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Tunica, 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12,860 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(12,860)</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1994/1996/ 2005/2014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5/1/2017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N/A</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3"/>
              </w:rPr>
              <w:t>1</w:t>
            </w:r>
            <w:r>
              <w:rPr>
                <w:rFonts w:ascii="Times New Roman;serif" w:hAnsi="Times New Roman;serif"/>
                <w:b w:val="false"/>
                <w:color w:val="000000"/>
                <w:sz w:val="8"/>
              </w:rPr>
              <w:t>st</w:t>
            </w:r>
            <w:r>
              <w:rPr>
                <w:color w:val="000000"/>
              </w:rPr>
              <w:t xml:space="preserve"> </w:t>
            </w:r>
            <w:r>
              <w:rPr>
                <w:rFonts w:ascii="Times New Roman;serif" w:hAnsi="Times New Roman;serif"/>
                <w:b w:val="false"/>
                <w:color w:val="000000"/>
                <w:sz w:val="13"/>
              </w:rPr>
              <w:t xml:space="preserve">Jackpot Casino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Tunica, 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161 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10,100 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161 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10,100 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10,261 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1995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5/1/2017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31</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 xml:space="preserve">Ameristar Black Hawk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Black Hawk, CO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243,092 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334,024 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243,117 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334,024 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577,141 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81,232 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2000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4/28/2016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31</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 xml:space="preserve">Ameristar East Chicago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East Chicago, 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4,198 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123,430 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4,198 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123,430 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127,628 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32,799 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1997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4/28/2016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31</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 xml:space="preserve">Belterra Casino Resort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Florence, 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63,420 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172,876 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63,420 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172,876 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236,296 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46,452 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2000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4/28/2016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31</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 xml:space="preserve">Ameristar Council Bluffs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Council Bluffs, 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84,009 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109,027 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84,009 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109,027 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193,036 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32,871 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1996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4/28/2016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31</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 xml:space="preserve">L'Auberge Baton Rouge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Baton Rouge, LA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205,274 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178,426 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205,274 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178,426 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383,700 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46,214 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2012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4/28/2016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31</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 xml:space="preserve">Boomtown Bossier City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Bossier City, LA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79,022 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107,067 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79,022 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107,067 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186,089 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26,845 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2002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4/28/2016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31</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 xml:space="preserve">L'Auberge Lake Charles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Lake Charles, LA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14,831 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310,877 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(92)</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14,739 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310,877 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325,616 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83,626 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2005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4/28/2016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31</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 xml:space="preserve">Boomtown New Orleans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Boomtown, LA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46,019 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58,258 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46,019 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58,258 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104,277 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16,099 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1994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4/28/2016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31</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 xml:space="preserve">Ameristar Vicksburg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Vicksburg, 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128,068 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96,106 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128,068 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96,106 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224,174 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33,590 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1994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4/28/2016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31</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 xml:space="preserve">River City Casino &amp; Hotel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St Louis, MO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8,117 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221,038 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8,117 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221,038 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229,155 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59,204 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2010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4/28/2016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31</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4931" w:type="dxa"/>
        <w:jc w:val="center"/>
        <w:tblInd w:w="0" w:type="dxa"/>
        <w:tblLayout w:type="fixed"/>
        <w:tblCellMar>
          <w:top w:w="28" w:type="dxa"/>
          <w:left w:w="28" w:type="dxa"/>
          <w:bottom w:w="28" w:type="dxa"/>
          <w:right w:w="28" w:type="dxa"/>
        </w:tblCellMar>
      </w:tblPr>
      <w:tblGrid>
        <w:gridCol w:w="515"/>
        <w:gridCol w:w="215"/>
        <w:gridCol w:w="216"/>
        <w:gridCol w:w="109"/>
        <w:gridCol w:w="109"/>
        <w:gridCol w:w="109"/>
        <w:gridCol w:w="359"/>
        <w:gridCol w:w="341"/>
        <w:gridCol w:w="171"/>
        <w:gridCol w:w="109"/>
        <w:gridCol w:w="109"/>
        <w:gridCol w:w="109"/>
        <w:gridCol w:w="181"/>
        <w:gridCol w:w="406"/>
        <w:gridCol w:w="109"/>
        <w:gridCol w:w="109"/>
        <w:gridCol w:w="109"/>
        <w:gridCol w:w="109"/>
        <w:gridCol w:w="181"/>
        <w:gridCol w:w="721"/>
        <w:gridCol w:w="109"/>
        <w:gridCol w:w="109"/>
        <w:gridCol w:w="109"/>
        <w:gridCol w:w="109"/>
        <w:gridCol w:w="181"/>
        <w:gridCol w:w="721"/>
        <w:gridCol w:w="109"/>
        <w:gridCol w:w="109"/>
        <w:gridCol w:w="109"/>
        <w:gridCol w:w="109"/>
        <w:gridCol w:w="109"/>
        <w:gridCol w:w="109"/>
        <w:gridCol w:w="181"/>
        <w:gridCol w:w="616"/>
        <w:gridCol w:w="109"/>
        <w:gridCol w:w="109"/>
        <w:gridCol w:w="109"/>
        <w:gridCol w:w="109"/>
        <w:gridCol w:w="181"/>
        <w:gridCol w:w="721"/>
        <w:gridCol w:w="109"/>
        <w:gridCol w:w="109"/>
        <w:gridCol w:w="109"/>
        <w:gridCol w:w="109"/>
        <w:gridCol w:w="181"/>
        <w:gridCol w:w="721"/>
        <w:gridCol w:w="109"/>
        <w:gridCol w:w="109"/>
        <w:gridCol w:w="109"/>
        <w:gridCol w:w="109"/>
        <w:gridCol w:w="181"/>
        <w:gridCol w:w="796"/>
        <w:gridCol w:w="109"/>
        <w:gridCol w:w="109"/>
        <w:gridCol w:w="109"/>
        <w:gridCol w:w="109"/>
        <w:gridCol w:w="181"/>
        <w:gridCol w:w="721"/>
        <w:gridCol w:w="109"/>
        <w:gridCol w:w="109"/>
        <w:gridCol w:w="109"/>
        <w:gridCol w:w="109"/>
        <w:gridCol w:w="149"/>
        <w:gridCol w:w="302"/>
        <w:gridCol w:w="327"/>
        <w:gridCol w:w="406"/>
        <w:gridCol w:w="327"/>
        <w:gridCol w:w="372"/>
      </w:tblGrid>
      <w:tr>
        <w:trPr/>
        <w:tc>
          <w:tcPr>
            <w:tcW w:w="5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 xml:space="preserve">Ameristar Kansas City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Kansas City, MO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239,111 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271,598 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239,111 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271,598 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510,709 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81,073 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1997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4/28/2016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31</w:t>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 xml:space="preserve">Ameristar St. Charles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St. Charles, MO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375,596 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437,908 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375,596 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437,908 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813,504 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108,695 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1994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4/28/2016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31</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 xml:space="preserve">Jackpot Properties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Jackpot, NV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48,784 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61,550 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48,784 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61,550 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110,334 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18,837 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1954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4/28/2016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31</w:t>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3"/>
              </w:rPr>
            </w:pPr>
            <w:r>
              <w:rPr>
                <w:rFonts w:ascii="Times New Roman;serif" w:hAnsi="Times New Roman;serif"/>
                <w:b w:val="false"/>
                <w:color w:val="000000"/>
                <w:sz w:val="13"/>
              </w:rPr>
              <w:t>Plainridge Park Casino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Plainridge, MA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127,068 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123,850 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127,068 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123,850 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250,918 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28,799 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2015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10/15/2018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3"/>
              </w:rPr>
            </w:pPr>
            <w:r>
              <w:rPr>
                <w:rFonts w:ascii="Times New Roman;serif" w:hAnsi="Times New Roman;serif"/>
                <w:b w:val="false"/>
                <w:color w:val="000000"/>
                <w:sz w:val="13"/>
              </w:rPr>
              <w:t>31</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 xml:space="preserve">Belterra Park Gaming and Entertainment Center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Cincinnati, OH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11,689 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45,995 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11,689 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45,995 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57,684 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12,613 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2013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5/6/2020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31</w:t>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3"/>
              </w:rPr>
            </w:pPr>
            <w:r>
              <w:rPr>
                <w:rFonts w:ascii="Times New Roman;serif" w:hAnsi="Times New Roman;serif"/>
                <w:b w:val="false"/>
                <w:color w:val="000000"/>
                <w:sz w:val="13"/>
              </w:rPr>
              <w:t>The Meadows Racetrack and Casino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Washington, PA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181,532 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141,370 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(2,864)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179,598 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140,440 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320,038 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49,711 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2006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9/9/2016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3"/>
              </w:rPr>
            </w:pPr>
            <w:r>
              <w:rPr>
                <w:rFonts w:ascii="Times New Roman;serif" w:hAnsi="Times New Roman;serif"/>
                <w:b w:val="false"/>
                <w:color w:val="000000"/>
                <w:sz w:val="13"/>
              </w:rPr>
              <w:t>31</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DraftKings at Casino Queen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East St. Louis, 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70,716 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70,014 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8,700 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70,716 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78,714 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149,430 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31,350 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1999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1/23/2014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31</w:t>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3"/>
              </w:rPr>
            </w:pPr>
            <w:r>
              <w:rPr>
                <w:rFonts w:ascii="Times New Roman;serif" w:hAnsi="Times New Roman;serif"/>
                <w:b w:val="false"/>
                <w:color w:val="000000"/>
                <w:sz w:val="13"/>
              </w:rPr>
              <w:t>Tropicana Atlantic City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Atlantic City, NJ</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166,974 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392,923 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(1,067)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165,907 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392,923 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558,830 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91,436 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1981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10/1/2018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31</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 xml:space="preserve">Tropicana Evansville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Evansville, 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47,439 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146,930 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(194,369)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1995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10/1/2018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N/A</w:t>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Bally's Evansville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Evansville, 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120,473 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153,130 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120,473 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153,130 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273,603 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23,014 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1995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6/3/2021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31</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3"/>
              </w:rPr>
            </w:pPr>
            <w:r>
              <w:rPr>
                <w:rFonts w:ascii="Times New Roman;serif" w:hAnsi="Times New Roman;serif"/>
                <w:b w:val="false"/>
                <w:color w:val="000000"/>
                <w:sz w:val="13"/>
              </w:rPr>
              <w:t>Tropicana Laughlin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Laughlin, NV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20,671 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80,530 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20,539 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80,530 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101,069 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20,981 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1988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10/1/2018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27</w:t>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3"/>
              </w:rPr>
            </w:pPr>
            <w:r>
              <w:rPr>
                <w:rFonts w:ascii="Times New Roman;serif" w:hAnsi="Times New Roman;serif"/>
                <w:b w:val="false"/>
                <w:color w:val="000000"/>
                <w:sz w:val="13"/>
              </w:rPr>
              <w:t>Trop Casino Greenville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Greenville, 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21,680 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21,680 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21,680 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5,041 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2012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10/1/2018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3"/>
              </w:rPr>
            </w:pPr>
            <w:r>
              <w:rPr>
                <w:rFonts w:ascii="Times New Roman;serif" w:hAnsi="Times New Roman;serif"/>
                <w:b w:val="false"/>
                <w:color w:val="000000"/>
                <w:sz w:val="13"/>
              </w:rPr>
              <w:t>31</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Bally's Baton Rouge (formerly Belle of Baton Rouge)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Baton Rouge, LA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11,873 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52,400 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114,406 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13,072 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165,607 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178,679 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13,064 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1994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10/1/2018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31</w:t>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 xml:space="preserve">Isle Casino Waterloo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Waterloo, 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64,263 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77,958 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63,852 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77,958 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141,810 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12,679 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2005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12/18/2020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31</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 xml:space="preserve">Isle Casino Bettendorf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Bettendorf, 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29,636 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85,150 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29,447 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85,150 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114,597 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13,848 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2015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12/18/2020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31</w:t>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Horseshoe St. Louis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St Louis, MO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26,930 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219,070 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26,930 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219,070 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246,000 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39,028 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2005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10/1/2020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31</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Hollywood Casino Morgantown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Morgantown, PA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30,253 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30,253 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30,253 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10/1/2020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N/A</w:t>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Hollywood Casino Perryville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Perryville, MD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23,266 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31,079 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23,266 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31,079 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54,345 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22,194 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2010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07/1/2021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31</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Bally's Dover Casino Resort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Dover, 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99,106 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48,300 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99,106 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48,300 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147,406 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23,241 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1995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06/3/2021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31</w:t>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The Queen Baton Rouge (formerly Casino Queen Baton Rouge)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Baton Rouge, LA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40,812 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72,697 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113,509 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120,829 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35,064 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1994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12/17/2021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31</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Bally's Black Hawk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Black Hawk, CO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17,537 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13,730 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17,537 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13,730 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31,267 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1991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04/01/2022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3"/>
              </w:rPr>
            </w:pPr>
            <w:r>
              <w:rPr>
                <w:rFonts w:ascii="Times New Roman;serif" w:hAnsi="Times New Roman;serif"/>
                <w:b w:val="false"/>
                <w:color w:val="000000"/>
                <w:sz w:val="13"/>
              </w:rPr>
              <w:t>27</w:t>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 xml:space="preserve">Bally's Quad Cities Casino &amp; Hotel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Rock Island, 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36,848 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82,010 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36,848 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82,010 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118,858 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12,180 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2007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04/01/2022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3"/>
              </w:rPr>
            </w:pPr>
            <w:r>
              <w:rPr>
                <w:rFonts w:ascii="Times New Roman;serif" w:hAnsi="Times New Roman;serif"/>
                <w:b w:val="false"/>
                <w:color w:val="000000"/>
                <w:sz w:val="13"/>
              </w:rPr>
              <w:t>31</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Hard Rock Hotel &amp; Casino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Biloxi, 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204,533 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195,950 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204,533 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195,950 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400,483 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19,944 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2005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01/03/2023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3"/>
              </w:rPr>
            </w:pPr>
            <w:r>
              <w:rPr>
                <w:rFonts w:ascii="Times New Roman;serif" w:hAnsi="Times New Roman;serif"/>
                <w:b w:val="false"/>
                <w:color w:val="000000"/>
                <w:sz w:val="13"/>
              </w:rPr>
              <w:t>31</w:t>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Bally's Tiverton Hotel &amp; Casino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Tiverton, RI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116,622 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110,150 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116,622 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110,150 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226,772 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12,573 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2017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01/03/2023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3"/>
              </w:rPr>
            </w:pPr>
            <w:r>
              <w:rPr>
                <w:rFonts w:ascii="Times New Roman;serif" w:hAnsi="Times New Roman;serif"/>
                <w:b w:val="false"/>
                <w:color w:val="000000"/>
                <w:sz w:val="13"/>
              </w:rPr>
              <w:t>31</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Casino Queen Marquette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Marquette, 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32,032 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9,728 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41,760 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42,450 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2000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09/06/2023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6</w:t>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Bally's Chicago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Chicago, 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250,745 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221,102 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267,261 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204,586 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471,847 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9/11/2024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N/A</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Bally's Kansas City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Kansas City, MO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96,400 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96,400 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97,340 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1996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12/16/2024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31</w:t>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Bally's Shreveport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Shreveport, LA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76,770 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76,770 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76,960 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1999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12/16/2024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31</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3"/>
              </w:rPr>
            </w:pPr>
            <w:r>
              <w:rPr>
                <w:rFonts w:ascii="Times New Roman;serif" w:hAnsi="Times New Roman;serif"/>
                <w:b/>
                <w:i/>
                <w:color w:val="000000"/>
                <w:sz w:val="13"/>
              </w:rPr>
              <w:t>Subtotal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3,614,326 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6,879,507 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549,417 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3,595,093 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7,448,157 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11,043,250 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2,582,976 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3"/>
              </w:rPr>
            </w:pPr>
            <w:r>
              <w:rPr>
                <w:rFonts w:ascii="Times New Roman;serif" w:hAnsi="Times New Roman;serif"/>
                <w:b/>
                <w:i/>
                <w:color w:val="000000"/>
                <w:sz w:val="13"/>
              </w:rPr>
              <w:t>Headquarters Property: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GLPI Corporate Office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Wyomissing, PA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8,465 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8,735 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9,485 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2014/2015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3"/>
              </w:rPr>
            </w:pPr>
            <w:r>
              <w:rPr>
                <w:rFonts w:ascii="Times New Roman;serif" w:hAnsi="Times New Roman;serif"/>
                <w:b w:val="false"/>
                <w:color w:val="000000"/>
                <w:sz w:val="13"/>
              </w:rPr>
              <w:t>9/19/2014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31</w:t>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3"/>
              </w:rPr>
            </w:pPr>
            <w:r>
              <w:rPr>
                <w:rFonts w:ascii="Times New Roman;serif" w:hAnsi="Times New Roman;serif"/>
                <w:b/>
                <w:i/>
                <w:color w:val="000000"/>
                <w:sz w:val="13"/>
              </w:rPr>
              <w:t>Other Properties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3"/>
              </w:rPr>
              <w:t>Other owned land/buildings</w:t>
            </w:r>
            <w:r>
              <w:rPr>
                <w:color w:val="000000"/>
              </w:rPr>
              <w:t xml:space="preserve"> </w:t>
            </w:r>
            <w:r>
              <w:rPr>
                <w:rFonts w:ascii="Times New Roman;serif" w:hAnsi="Times New Roman;serif"/>
                <w:b w:val="false"/>
                <w:color w:val="000000"/>
                <w:sz w:val="8"/>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25,992 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101,104 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(6,798)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19,194 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101,104 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120,298 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112,970 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3,641,068 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6,989,076 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542,889 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3,615,037 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7,557,996 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11,173,033 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2,698,772 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3"/>
        </w:rPr>
        <w:t>(1)    </w:t>
      </w:r>
      <w:r>
        <w:rPr>
          <w:rFonts w:ascii="Times New Roman;serif" w:hAnsi="Times New Roman;serif"/>
          <w:b w:val="false"/>
          <w:color w:val="000000"/>
          <w:sz w:val="20"/>
        </w:rPr>
        <w:t>The aggregate cost for federal income tax purposes of the properties listed above was $9.9 billion at December 31, 2025. This amount does not include the real estate part of Investment in Financing Lease, net or Investment in Sales-type leases, net.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3"/>
        </w:rPr>
        <w:t>(2)    </w:t>
      </w:r>
      <w:r>
        <w:rPr>
          <w:rFonts w:ascii="Times New Roman;serif" w:hAnsi="Times New Roman;serif"/>
          <w:b w:val="false"/>
          <w:color w:val="000000"/>
          <w:sz w:val="20"/>
        </w:rPr>
        <w:t xml:space="preserve">This amount includes the land value associated with the previous Joliet facility since it is no longer part of the Penn Fixed Lease and is being evaluated for other potential uses due to the opening of the new landside casino which opened on August 11,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summary of activity for real estate and accumulated depreciation for the years ended December 31, 2025, 2024 and 2023 is as follows:</w:t>
      </w:r>
    </w:p>
    <w:p>
      <w:pPr>
        <w:pStyle w:val="TextBody"/>
        <w:bidi w:val="0"/>
        <w:spacing w:before="0" w:after="0"/>
        <w:ind w:left="0" w:right="0" w:firstLine="720"/>
        <w:jc w:val="both"/>
        <w:rPr/>
      </w:pPr>
      <w:r>
        <w:rPr/>
      </w:r>
    </w:p>
    <w:tbl>
      <w:tblPr>
        <w:tblW w:w="8142" w:type="dxa"/>
        <w:jc w:val="center"/>
        <w:tblInd w:w="0" w:type="dxa"/>
        <w:tblLayout w:type="fixed"/>
        <w:tblCellMar>
          <w:top w:w="28" w:type="dxa"/>
          <w:left w:w="28" w:type="dxa"/>
          <w:bottom w:w="28" w:type="dxa"/>
          <w:right w:w="28" w:type="dxa"/>
        </w:tblCellMar>
      </w:tblPr>
      <w:tblGrid>
        <w:gridCol w:w="1174"/>
        <w:gridCol w:w="1029"/>
        <w:gridCol w:w="1037"/>
        <w:gridCol w:w="211"/>
        <w:gridCol w:w="1081"/>
        <w:gridCol w:w="109"/>
        <w:gridCol w:w="109"/>
        <w:gridCol w:w="109"/>
        <w:gridCol w:w="109"/>
        <w:gridCol w:w="211"/>
        <w:gridCol w:w="1081"/>
        <w:gridCol w:w="109"/>
        <w:gridCol w:w="109"/>
        <w:gridCol w:w="109"/>
        <w:gridCol w:w="109"/>
        <w:gridCol w:w="211"/>
        <w:gridCol w:w="1081"/>
        <w:gridCol w:w="154"/>
      </w:tblGrid>
      <w:tr>
        <w:trPr/>
        <w:tc>
          <w:tcPr>
            <w:tcW w:w="1174"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Real Estate:</w:t>
            </w:r>
          </w:p>
        </w:tc>
        <w:tc>
          <w:tcPr>
            <w:tcW w:w="4902"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the beginning of the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10,585,461 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10,347,315 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9,626,018 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678,130 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Dispositions </w:t>
            </w:r>
            <w:r>
              <w:rPr>
                <w:rFonts w:ascii="Times New Roman;serif" w:hAnsi="Times New Roman;serif"/>
                <w:b w:val="false"/>
                <w:color w:val="000000"/>
                <w:sz w:val="13"/>
              </w:rPr>
              <w:t>(1)</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(227,958)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the end of the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11,173,033 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10,585,461 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10,347,315 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Accumulated Depreciation:</w:t>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the beginning of the period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(2,436,742)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(2,178,523)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(1,918,083)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expense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(263,920)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(258,219)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(260,440)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Additions </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Dispositions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the end of the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(2,698,772)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(2,436,742)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(2,178,523)</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(1) The 2024 amount primarily represents the reclassification of the Tropicana Las Vegas Lease to a sales type lease from an operating lease due to a lease         reclassification event due to a change in terms.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SCHEDULE IV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MORTGAGE LOANS ON REAL ESTATE </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December 31,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400"/>
        <w:gridCol w:w="352"/>
        <w:gridCol w:w="353"/>
        <w:gridCol w:w="109"/>
        <w:gridCol w:w="109"/>
        <w:gridCol w:w="109"/>
        <w:gridCol w:w="254"/>
        <w:gridCol w:w="254"/>
        <w:gridCol w:w="255"/>
        <w:gridCol w:w="109"/>
        <w:gridCol w:w="109"/>
        <w:gridCol w:w="109"/>
        <w:gridCol w:w="300"/>
        <w:gridCol w:w="300"/>
        <w:gridCol w:w="301"/>
        <w:gridCol w:w="109"/>
        <w:gridCol w:w="109"/>
        <w:gridCol w:w="109"/>
        <w:gridCol w:w="300"/>
        <w:gridCol w:w="300"/>
        <w:gridCol w:w="301"/>
        <w:gridCol w:w="109"/>
        <w:gridCol w:w="109"/>
        <w:gridCol w:w="109"/>
        <w:gridCol w:w="220"/>
        <w:gridCol w:w="195"/>
        <w:gridCol w:w="196"/>
        <w:gridCol w:w="109"/>
        <w:gridCol w:w="109"/>
        <w:gridCol w:w="109"/>
        <w:gridCol w:w="218"/>
        <w:gridCol w:w="854"/>
        <w:gridCol w:w="112"/>
        <w:gridCol w:w="109"/>
        <w:gridCol w:w="109"/>
        <w:gridCol w:w="109"/>
        <w:gridCol w:w="222"/>
        <w:gridCol w:w="869"/>
        <w:gridCol w:w="114"/>
        <w:gridCol w:w="109"/>
        <w:gridCol w:w="109"/>
        <w:gridCol w:w="109"/>
        <w:gridCol w:w="361"/>
        <w:gridCol w:w="361"/>
        <w:gridCol w:w="524"/>
      </w:tblGrid>
      <w:tr>
        <w:trPr/>
        <w:tc>
          <w:tcPr>
            <w:tcW w:w="400"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r>
      <w:tr>
        <w:trPr/>
        <w:tc>
          <w:tcPr>
            <w:tcW w:w="1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Final Maturity Date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Periodic Payment Terms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Prior Liens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Face Amount of Mortgage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Carrying Amount of Mortgage </w:t>
            </w:r>
            <w:r>
              <w:rPr>
                <w:rFonts w:ascii="Times New Roman;serif" w:hAnsi="Times New Roman;serif"/>
                <w:b/>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Principal Amount of Loans Subject to Delinquent Principal or Interest</w:t>
            </w:r>
          </w:p>
        </w:tc>
      </w:tr>
      <w:tr>
        <w:trPr/>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1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Rockford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6/30/2026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paid monthly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148,721 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Ione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9/19/2029</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paid monthly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56,604 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56,205 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Dry Creek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11/24/2031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paid monthly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45,250 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43,073 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251,854 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247,999 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 xml:space="preserve">Interest at SOFR plus 900 basis points, subject to a SOFR floor of 1%.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 xml:space="preserve">The aggregate cost for federal income tax purposes of the mortgage loan listed above was approximately $251 million at December 31, 2025. The difference between the face amount of the loans and the carrying amount of the loans are the allowance for credit losses and a loan discount on the Dry Creek loan that have been recorded in accordance with the Company's accounting policies as described in Note 2. </w:t>
      </w:r>
    </w:p>
    <w:p>
      <w:pPr>
        <w:pStyle w:val="TextBody"/>
        <w:bidi w:val="0"/>
        <w:spacing w:before="0" w:after="0"/>
        <w:jc w:val="left"/>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694"/>
        <w:gridCol w:w="1467"/>
        <w:gridCol w:w="1473"/>
        <w:gridCol w:w="438"/>
        <w:gridCol w:w="1716"/>
        <w:gridCol w:w="226"/>
        <w:gridCol w:w="109"/>
        <w:gridCol w:w="109"/>
        <w:gridCol w:w="109"/>
        <w:gridCol w:w="438"/>
        <w:gridCol w:w="1716"/>
        <w:gridCol w:w="226"/>
        <w:gridCol w:w="109"/>
        <w:gridCol w:w="109"/>
        <w:gridCol w:w="109"/>
        <w:gridCol w:w="157"/>
      </w:tblGrid>
      <w:tr>
        <w:trPr/>
        <w:tc>
          <w:tcPr>
            <w:tcW w:w="1694"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Year Ended December 31, 2025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Year Ended December 31, 2024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Mortgage Loans:</w:t>
            </w:r>
          </w:p>
        </w:tc>
        <w:tc>
          <w:tcPr>
            <w:tcW w:w="23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the beginning of the period</w:t>
            </w:r>
          </w:p>
        </w:tc>
        <w:tc>
          <w:tcPr>
            <w:tcW w:w="4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160,590 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39,036 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Additions during the period:</w:t>
            </w:r>
          </w:p>
        </w:tc>
        <w:tc>
          <w:tcPr>
            <w:tcW w:w="2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New mortgage loans, net of loan origination discount</w:t>
            </w:r>
          </w:p>
        </w:tc>
        <w:tc>
          <w:tcPr>
            <w:tcW w:w="2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85,336 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125,160 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Amortization of loan discount</w:t>
            </w:r>
          </w:p>
        </w:tc>
        <w:tc>
          <w:tcPr>
            <w:tcW w:w="2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Deductions during the period:</w:t>
            </w:r>
          </w:p>
        </w:tc>
        <w:tc>
          <w:tcPr>
            <w:tcW w:w="2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Collections of principal</w:t>
            </w:r>
          </w:p>
        </w:tc>
        <w:tc>
          <w:tcPr>
            <w:tcW w:w="2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Change in allowance for credit losses </w:t>
            </w:r>
          </w:p>
        </w:tc>
        <w:tc>
          <w:tcPr>
            <w:tcW w:w="2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the end of the period</w:t>
            </w:r>
          </w:p>
        </w:tc>
        <w:tc>
          <w:tcPr>
            <w:tcW w:w="4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247,999 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160,590 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3"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60" w:after="160"/>
        <w:ind w:left="0" w:right="0" w:hanging="990"/>
        <w:jc w:val="left"/>
        <w:rPr>
          <w:rFonts w:ascii="Times New Roman;serif" w:hAnsi="Times New Roman;serif"/>
          <w:b/>
          <w:color w:val="000000"/>
          <w:sz w:val="20"/>
        </w:rPr>
      </w:pPr>
      <w:r>
        <w:rPr>
          <w:rFonts w:ascii="Times New Roman;serif" w:hAnsi="Times New Roman;serif"/>
          <w:b/>
          <w:color w:val="000000"/>
          <w:sz w:val="20"/>
        </w:rPr>
        <w:t>ITEM 9.  CHANGES IN AND DISAGREEMENTS WITH ACCOUNTANTS ON ACCOUNTING AND FINANCIAL DISCLOSURE</w:t>
      </w:r>
    </w:p>
    <w:p>
      <w:pPr>
        <w:pStyle w:val="TextBody"/>
        <w:bidi w:val="0"/>
        <w:spacing w:lineRule="auto" w:line="288" w:before="16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ITEM 9A.    CONTROLS AND PROCEDURES</w:t>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management, under the supervision and with the participation of the principal executive officer and principal financial officer, has evaluated the effectiveness of the Company's disclosure controls and procedures, as such term is defined under Rule 13a-15(e) promulgated under the Securities Exchange Act of 1934, as amended (the "Exchange Act"), as of December 31, 2025, which is the end of the period covered by this Annual Report on Form 10-K. In designing and evaluating the disclosure controls and procedures, management recognized that any controls and procedures, no matter how well-designed and operated, can provide only reasonable assurance of achieving the desired control objectives, and management was required to apply its judgment in evaluating the cost-benefit relationship of possible controls and procedures. Based on this evaluation, our principal executive officer and principal financial officer concluded that as of December 31, 2025 the Company's disclosure controls and procedures were effective to ensure that information required to be disclosed by the Company in reports it files or submits under the Exchange Act is (i) recorded, processed, summarized, evaluated and reported, as applicable, within the time periods specified in the United States Securities and Exchange Commission's rules and forms and (ii) accumulated and communicated to the Company's management, including the Company's principal executive officer and principal financial officer, as appropriate to allow timely decisions regarding required disclosures.</w:t>
      </w:r>
    </w:p>
    <w:p>
      <w:pPr>
        <w:pStyle w:val="TextBody"/>
        <w:bidi w:val="0"/>
        <w:spacing w:lineRule="auto" w:line="288" w:before="160" w:after="160"/>
        <w:jc w:val="both"/>
        <w:rPr>
          <w:rFonts w:ascii="Times New Roman;serif" w:hAnsi="Times New Roman;serif"/>
          <w:b/>
          <w:color w:val="000000"/>
          <w:sz w:val="20"/>
        </w:rPr>
      </w:pPr>
      <w:r>
        <w:rPr>
          <w:rFonts w:ascii="Times New Roman;serif" w:hAnsi="Times New Roman;serif"/>
          <w:b/>
          <w:color w:val="000000"/>
          <w:sz w:val="20"/>
        </w:rPr>
        <w:t>Management's Report on Internal Control over Financial Reporting</w:t>
      </w:r>
    </w:p>
    <w:p>
      <w:pPr>
        <w:pStyle w:val="TextBody"/>
        <w:bidi w:val="0"/>
        <w:spacing w:lineRule="auto" w:line="288" w:before="160" w:after="160"/>
        <w:ind w:left="0" w:right="0" w:firstLine="720"/>
        <w:jc w:val="both"/>
        <w:rPr/>
      </w:pPr>
      <w:r>
        <w:rPr>
          <w:rFonts w:ascii="Times New Roman;serif" w:hAnsi="Times New Roman;serif"/>
          <w:b w:val="false"/>
          <w:color w:val="000000"/>
          <w:sz w:val="20"/>
        </w:rPr>
        <w:t xml:space="preserve">The Company's management is responsible for establishing and maintaining an adequate system of internal control over financial reporting, as defined in Exchange Act Rules 13a-15(f) and 15d-15(f). The Company's management conducted an assessment of the Company's internal control over financial reporting and concluded it was effective as of December 31, 2025. In making this assessment, management used the criteria established by the Committee of Sponsoring Organizations of the Treadway Commission in </w:t>
      </w:r>
      <w:r>
        <w:rPr>
          <w:rFonts w:ascii="Times New Roman;serif" w:hAnsi="Times New Roman;serif"/>
          <w:b w:val="false"/>
          <w:i/>
          <w:color w:val="000000"/>
          <w:sz w:val="20"/>
        </w:rPr>
        <w:t>Internal Control - Integrated Framework (2013)</w:t>
      </w:r>
      <w:r>
        <w:rPr>
          <w:rFonts w:ascii="Times New Roman;serif" w:hAnsi="Times New Roman;serif"/>
          <w:b w:val="false"/>
          <w:color w:val="000000"/>
          <w:sz w:val="20"/>
        </w:rPr>
        <w:t xml:space="preserve">. </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Deloitte &amp; Touche LLP (PCAOB ID No. 34), the Company's independent registered accounting firm, issued an audit report on the effectiveness of the Company's internal control over financial reporting as of December 31, 2025, which is included on the following page of this Annual Report on Form 10-K.</w:t>
      </w:r>
    </w:p>
    <w:p>
      <w:pPr>
        <w:pStyle w:val="TextBody"/>
        <w:bidi w:val="0"/>
        <w:spacing w:lineRule="auto" w:line="288" w:before="160" w:after="160"/>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There have been no changes in the Company's internal control over financial reporting (as defined in Exchange Act Rules 13a-15(f) and 15d-15(f)) that occurred during the fiscal quarter ended December 31, 2025, that have materially affected, or are reasonably likely to materially affect, the Company's internal control over financial reporting. </w:t>
      </w:r>
    </w:p>
    <w:p>
      <w:pPr>
        <w:pStyle w:val="TextBody"/>
        <w:bidi w:val="0"/>
        <w:spacing w:before="160" w:after="1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4"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 xml:space="preserve">REPORT OF INDEPENDENT REGISTERED PUBLIC ACCOUNTING FIRM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 the shareholders and the Board of Directors of</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Gaming and Leisure Properties, Inc. and subsidiaries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Opinion on Internal Control over Financial Reporting</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We have audited the internal control over financial reporting of Gaming and Leisure Properties, Inc. and subsidiaries (the "Company") as of December 31, 2025, based on criteria established in </w:t>
      </w:r>
      <w:r>
        <w:rPr>
          <w:rFonts w:ascii="Times New Roman;serif" w:hAnsi="Times New Roman;serif"/>
          <w:b w:val="false"/>
          <w:i/>
          <w:color w:val="000000"/>
          <w:sz w:val="20"/>
        </w:rPr>
        <w:t xml:space="preserve">Internal Control </w:t>
      </w:r>
      <w:r>
        <w:rPr>
          <w:rFonts w:ascii="Times New Roman;serif" w:hAnsi="Times New Roman;serif"/>
          <w:b w:val="false"/>
          <w:i/>
          <w:color w:val="000000"/>
          <w:sz w:val="18"/>
        </w:rPr>
        <w:t xml:space="preserve">-- </w:t>
      </w:r>
      <w:r>
        <w:rPr>
          <w:rFonts w:ascii="Times New Roman;serif" w:hAnsi="Times New Roman;serif"/>
          <w:b w:val="false"/>
          <w:i/>
          <w:color w:val="000000"/>
          <w:sz w:val="20"/>
        </w:rPr>
        <w:t>Integrated Framework (2013)</w:t>
      </w:r>
      <w:r>
        <w:rPr>
          <w:color w:val="000000"/>
        </w:rPr>
        <w:t xml:space="preserve"> </w:t>
      </w:r>
      <w:r>
        <w:rPr>
          <w:rFonts w:ascii="Times New Roman;serif" w:hAnsi="Times New Roman;serif"/>
          <w:b w:val="false"/>
          <w:color w:val="000000"/>
          <w:sz w:val="20"/>
        </w:rPr>
        <w:t xml:space="preserve">issued by the Committee of Sponsoring Organizations of the Treadway Commission (COSO). In our opinion, the Company maintained, in all material respects, effective internal control over financial reporting as of December 31, 2025, based on criteria established in </w:t>
      </w:r>
      <w:r>
        <w:rPr>
          <w:rFonts w:ascii="Times New Roman;serif" w:hAnsi="Times New Roman;serif"/>
          <w:b w:val="false"/>
          <w:i/>
          <w:color w:val="000000"/>
          <w:sz w:val="20"/>
        </w:rPr>
        <w:t xml:space="preserve">Internal </w:t>
      </w:r>
      <w:r>
        <w:rPr>
          <w:rFonts w:ascii="Times New Roman;serif" w:hAnsi="Times New Roman;serif"/>
          <w:b w:val="false"/>
          <w:i/>
          <w:color w:val="000000"/>
          <w:sz w:val="18"/>
        </w:rPr>
        <w:t xml:space="preserve">Control -- </w:t>
      </w:r>
      <w:r>
        <w:rPr>
          <w:rFonts w:ascii="Times New Roman;serif" w:hAnsi="Times New Roman;serif"/>
          <w:b w:val="false"/>
          <w:i/>
          <w:color w:val="000000"/>
          <w:sz w:val="20"/>
        </w:rPr>
        <w:t>Integrated Framework (2013)</w:t>
      </w:r>
      <w:r>
        <w:rPr>
          <w:color w:val="000000"/>
        </w:rPr>
        <w:t xml:space="preserve"> </w:t>
      </w:r>
      <w:r>
        <w:rPr>
          <w:rFonts w:ascii="Times New Roman;serif" w:hAnsi="Times New Roman;serif"/>
          <w:b w:val="false"/>
          <w:color w:val="000000"/>
          <w:sz w:val="20"/>
        </w:rPr>
        <w:t>issued by COSO.</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also audited, in accordance with the standards of the Public Company Accounting Oversight Board (United States) (PCAOB), the consolidated financial statements and financial statement schedules as of and for the year ended December 31, 2025, of the Company and our report dated February 19, 2026, expressed an unqualified opinion on those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Definition and Limitations of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 Deloitte &amp; Touche LLP</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New York, New York</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February 19, 2026 </w:t>
      </w:r>
    </w:p>
    <w:p>
      <w:pPr>
        <w:pStyle w:val="TextBody"/>
        <w:bidi w:val="0"/>
        <w:spacing w:before="16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5"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ITEM 9B.    OTHER INFORMATION</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9C. DISCLOSURE REGARDING FOREIGN JURISDICTIONS THAT PREVENT INSPECTIONS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6"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PART III</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Times New Roman;serif" w:hAnsi="Times New Roman;serif"/>
          <w:b/>
          <w:color w:val="000000"/>
          <w:sz w:val="20"/>
        </w:rPr>
      </w:pPr>
      <w:r>
        <w:rPr>
          <w:rFonts w:ascii="Times New Roman;serif" w:hAnsi="Times New Roman;serif"/>
          <w:b/>
          <w:color w:val="000000"/>
          <w:sz w:val="20"/>
        </w:rPr>
        <w:t>ITEM 10.    DIRECTORS, EXECUTIVE OFFICERS AND CORPORATE GOVERNANCE</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concerning directors is hereby incorporated by reference to the Company's definitive proxy statement for its 2026 Annual Meeting of Shareholders (the "2026 Proxy Statement"), to be filed with the U.S. Securities and Exchange Commission within 120 days after December 31, 2025, pursuant to Regulation 14A under the Securities Exchange Act of 1934, as amended. Information required by this item concerning executive officers is included in Part I of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ITEM 11.    EXECUTIVE COMPENSATION</w:t>
      </w:r>
    </w:p>
    <w:p>
      <w:pPr>
        <w:pStyle w:val="TextBody"/>
        <w:bidi w:val="0"/>
        <w:spacing w:lineRule="auto" w:line="288" w:before="100" w:after="1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information called for in this item is hereby incorporated by reference to the 2026 Proxy Statement.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ind w:left="0" w:right="0" w:hanging="1080"/>
        <w:jc w:val="both"/>
        <w:rPr>
          <w:rFonts w:ascii="Times New Roman;serif" w:hAnsi="Times New Roman;serif"/>
          <w:b/>
          <w:color w:val="000000"/>
          <w:sz w:val="20"/>
        </w:rPr>
      </w:pPr>
      <w:r>
        <w:rPr>
          <w:rFonts w:ascii="Times New Roman;serif" w:hAnsi="Times New Roman;serif"/>
          <w:b/>
          <w:color w:val="000000"/>
          <w:sz w:val="20"/>
        </w:rPr>
        <w:t>ITEM 12.    SECURITY OWNERSHIP OF CERTAIN BENEFICIAL OWNERS AND MANAGEMENT AND RELATED STOCKHOLDERS MATTERS</w:t>
      </w:r>
    </w:p>
    <w:p>
      <w:pPr>
        <w:pStyle w:val="TextBody"/>
        <w:bidi w:val="0"/>
        <w:spacing w:lineRule="auto" w:line="288" w:before="100" w:after="1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information called for in this item is hereby incorporated by reference to the 2026 Proxy Statement.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ITEM 13.    CERTAIN RELATIONSHIPS AND RELATED TRANSACTIONS AND DIRECTOR INDEPENDENCE</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information called for in this item is hereby incorporated by reference to the 2026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Times New Roman;serif" w:hAnsi="Times New Roman;serif"/>
          <w:b/>
          <w:color w:val="000000"/>
          <w:sz w:val="20"/>
        </w:rPr>
      </w:pPr>
      <w:r>
        <w:rPr>
          <w:rFonts w:ascii="Times New Roman;serif" w:hAnsi="Times New Roman;serif"/>
          <w:b/>
          <w:color w:val="000000"/>
          <w:sz w:val="20"/>
        </w:rPr>
        <w:t>ITEM 14.    PRINCIPAL ACCOUNTING FEES AND SERVICES</w:t>
      </w:r>
    </w:p>
    <w:p>
      <w:pPr>
        <w:pStyle w:val="TextBody"/>
        <w:bidi w:val="0"/>
        <w:spacing w:lineRule="auto" w:line="288" w:before="100" w:after="1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information called for in this item is hereby incorporated by reference to the 2026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7"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ITEM 15.    EXHIBITS AND FINANCIAL STATEMENT SCHEDULES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1. Financial Statements. The following is a list of the Consolidated Financial Statements of the Company and its subsidiaries and supplementary data filed as part of Item 8 hereof:</w:t>
      </w:r>
    </w:p>
    <w:p>
      <w:pPr>
        <w:pStyle w:val="TextBody"/>
        <w:bidi w:val="0"/>
        <w:spacing w:lineRule="auto" w:line="288" w:before="160" w:after="16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Report of Independent Registered Public Accounting Firm</w:t>
      </w:r>
    </w:p>
    <w:p>
      <w:pPr>
        <w:pStyle w:val="TextBody"/>
        <w:bidi w:val="0"/>
        <w:spacing w:lineRule="auto" w:line="288" w:before="160" w:after="16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Consolidated Balance Sheets as of December 31, 2025 and 2024 </w:t>
      </w:r>
    </w:p>
    <w:p>
      <w:pPr>
        <w:pStyle w:val="TextBody"/>
        <w:bidi w:val="0"/>
        <w:spacing w:lineRule="auto" w:line="288" w:before="160" w:after="16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Consolidated Statements of Operations and Comprehensive Income for the years ended December 31, 2025, 2024 and 2023 </w:t>
      </w:r>
    </w:p>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Consolidated Statements of Changes in Equity for the years ended December 31, 2025, 2024 and 2023 </w:t>
      </w:r>
    </w:p>
    <w:p>
      <w:pPr>
        <w:pStyle w:val="TextBody"/>
        <w:bidi w:val="0"/>
        <w:spacing w:lineRule="auto" w:line="288" w:before="160" w:after="16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Consolidated Statements of Cash Flows for the years ended December 31, 2025, 2024 and 2023 </w:t>
      </w:r>
    </w:p>
    <w:p>
      <w:pPr>
        <w:pStyle w:val="TextBody"/>
        <w:bidi w:val="0"/>
        <w:spacing w:lineRule="auto" w:line="288" w:before="160" w:after="283"/>
        <w:jc w:val="left"/>
        <w:rPr>
          <w:color w:val="000000"/>
        </w:rPr>
      </w:pPr>
      <w:r>
        <w:rPr>
          <w:color w:val="000000"/>
        </w:rPr>
        <w:t>    </w:t>
      </w:r>
      <w:r>
        <w:rPr>
          <w:rFonts w:ascii="Times New Roman;serif" w:hAnsi="Times New Roman;serif"/>
          <w:b w:val="false"/>
          <w:color w:val="000000"/>
          <w:sz w:val="20"/>
        </w:rPr>
        <w:t>2. Financial Statement Schedules:</w:t>
      </w:r>
    </w:p>
    <w:p>
      <w:pPr>
        <w:pStyle w:val="TextBody"/>
        <w:bidi w:val="0"/>
        <w:spacing w:lineRule="auto" w:line="288" w:before="160" w:after="160"/>
        <w:ind w:left="0" w:right="0" w:firstLine="900"/>
        <w:jc w:val="left"/>
        <w:rPr>
          <w:color w:val="000000"/>
        </w:rPr>
      </w:pPr>
      <w:r>
        <w:rPr>
          <w:color w:val="000000"/>
        </w:rPr>
        <w:t>    </w:t>
      </w:r>
      <w:r>
        <w:rPr>
          <w:rFonts w:ascii="Times New Roman;serif" w:hAnsi="Times New Roman;serif"/>
          <w:b w:val="false"/>
          <w:color w:val="000000"/>
          <w:sz w:val="20"/>
        </w:rPr>
        <w:t>Schedule III. Real Estate and Accumulated Depreciation as of December 31, 2025</w:t>
      </w:r>
    </w:p>
    <w:p>
      <w:pPr>
        <w:pStyle w:val="TextBody"/>
        <w:bidi w:val="0"/>
        <w:spacing w:lineRule="auto" w:line="288" w:before="160" w:after="160"/>
        <w:ind w:left="0" w:right="0" w:firstLine="900"/>
        <w:jc w:val="left"/>
        <w:rPr>
          <w:rFonts w:ascii="Times New Roman;serif" w:hAnsi="Times New Roman;serif"/>
          <w:b w:val="false"/>
          <w:color w:val="000000"/>
          <w:sz w:val="20"/>
        </w:rPr>
      </w:pPr>
      <w:r>
        <w:rPr>
          <w:rFonts w:ascii="Times New Roman;serif" w:hAnsi="Times New Roman;serif"/>
          <w:b w:val="false"/>
          <w:color w:val="000000"/>
          <w:sz w:val="20"/>
        </w:rPr>
        <w:t>Schedule IV. Mortgage Loans on Real Estate as of December 31, 2025</w:t>
      </w:r>
    </w:p>
    <w:p>
      <w:pPr>
        <w:pStyle w:val="TextBody"/>
        <w:bidi w:val="0"/>
        <w:spacing w:lineRule="auto" w:line="288" w:before="160" w:after="283"/>
        <w:jc w:val="left"/>
        <w:rPr>
          <w:color w:val="000000"/>
        </w:rPr>
      </w:pPr>
      <w:r>
        <w:rPr>
          <w:color w:val="000000"/>
        </w:rPr>
        <w:t>    </w:t>
      </w:r>
      <w:r>
        <w:rPr>
          <w:rFonts w:ascii="Times New Roman;serif" w:hAnsi="Times New Roman;serif"/>
          <w:b w:val="false"/>
          <w:color w:val="000000"/>
          <w:sz w:val="20"/>
        </w:rPr>
        <w:t>3. Exhibits, Including Those Incorporated by Reference.</w:t>
      </w:r>
    </w:p>
    <w:p>
      <w:pPr>
        <w:pStyle w:val="TextBody"/>
        <w:bidi w:val="0"/>
        <w:spacing w:lineRule="auto" w:line="288" w:before="160" w:after="160"/>
        <w:ind w:left="0" w:right="0" w:firstLine="900"/>
        <w:jc w:val="left"/>
        <w:rPr>
          <w:color w:val="000000"/>
        </w:rPr>
      </w:pPr>
      <w:r>
        <w:rPr>
          <w:color w:val="000000"/>
        </w:rPr>
        <w:t>    </w:t>
      </w:r>
      <w:r>
        <w:rPr>
          <w:rFonts w:ascii="Times New Roman;serif" w:hAnsi="Times New Roman;serif"/>
          <w:b w:val="false"/>
          <w:color w:val="000000"/>
          <w:sz w:val="20"/>
        </w:rPr>
        <w:t>The exhibits to this Report are listed on the accompanying index to exhibits and are incorporated herein by reference or are filed as part of this annual report on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16.    FORM 10-K SUMMARY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8"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234"/>
        <w:gridCol w:w="205"/>
        <w:gridCol w:w="207"/>
        <w:gridCol w:w="109"/>
        <w:gridCol w:w="109"/>
        <w:gridCol w:w="109"/>
        <w:gridCol w:w="2995"/>
        <w:gridCol w:w="2640"/>
        <w:gridCol w:w="3597"/>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5" w:type="dxa"/>
            <w:tcBorders/>
            <w:vAlign w:val="center"/>
          </w:tcPr>
          <w:p>
            <w:pPr>
              <w:pStyle w:val="TableContents"/>
              <w:bidi w:val="0"/>
              <w:spacing w:before="0" w:after="283"/>
              <w:jc w:val="left"/>
              <w:rPr>
                <w:sz w:val="4"/>
                <w:szCs w:val="4"/>
              </w:rPr>
            </w:pPr>
            <w:r>
              <w:rPr>
                <w:sz w:val="4"/>
                <w:szCs w:val="4"/>
              </w:rPr>
            </w:r>
          </w:p>
        </w:tc>
        <w:tc>
          <w:tcPr>
            <w:tcW w:w="2640" w:type="dxa"/>
            <w:tcBorders/>
            <w:vAlign w:val="center"/>
          </w:tcPr>
          <w:p>
            <w:pPr>
              <w:pStyle w:val="TableContents"/>
              <w:bidi w:val="0"/>
              <w:spacing w:before="0" w:after="283"/>
              <w:jc w:val="left"/>
              <w:rPr>
                <w:sz w:val="4"/>
                <w:szCs w:val="4"/>
              </w:rPr>
            </w:pPr>
            <w:r>
              <w:rPr>
                <w:sz w:val="4"/>
                <w:szCs w:val="4"/>
              </w:rPr>
            </w:r>
          </w:p>
        </w:tc>
        <w:tc>
          <w:tcPr>
            <w:tcW w:w="3597"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 of Exhibit</w:t>
            </w:r>
          </w:p>
        </w:tc>
      </w:tr>
      <w:tr>
        <w:trPr/>
        <w:tc>
          <w:tcPr>
            <w:tcW w:w="43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0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Separation and Distribution Agreement, dated November 1, 2013, by and between Penn National Gaming, Inc. and Gaming and Leisure Properties, Inc. (Incorporated by reference to Exhibit 2.1 to the Company's current report on Form 8-K filed on November 7, 2013).</w:t>
              </w:r>
            </w:hyperlink>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Separation and Distribution Agreement, dated April 28, 2016, by and between PNK Entertainment, Inc., Pinnacle Entertainment, Inc. and solely with respect to Article VIII, Gaming and Leisure Properties, Inc. (Incorporated by reference to Exhibit 2.4 to the Company's current report on Form 8-K filed on April 28, 2016).</w:t>
              </w:r>
            </w:hyperlink>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Amended and Restated Articles of Incorporation of Gaming and Leisure Properties, Inc. (Incorporated by reference to Exhibit 3.1 to the Company's current report on Form 8-K filed on June 15, 2018).</w:t>
              </w:r>
            </w:hyperlink>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Second Amended and Restated Bylaws of Gaming and Leisure Properties, Inc. (Incorporated by reference to Exhibit 3.1 to the Company's current report on Form 8-K filed on December 13, 2023).</w:t>
              </w:r>
            </w:hyperlink>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Indenture, dated as of October 30, 2013, among GLP Capital, L.P. and GLP Financing II, Inc., as Issuers, Gaming and Leisure Properties, Inc., as Parent Guarantor, and Wells Fargo Bank, National Association, as Trustee. (Incorporated by reference to Exhibit 4.1 to the Company's current report on Form 8-K filed on November 1, 2013).</w:t>
              </w:r>
            </w:hyperlink>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20"/>
                  <w:u w:val="single"/>
                </w:rPr>
                <w:t>First Supplemental Indenture, dated as of March 28, 2016, by and among GLP Capital, L.P. and GLP Financing II, Inc., as Issuers and Wells Fargo Bank, National Association, as Trustee. (Incorporated by reference to Exhibit 4.1 to the Company's current report on Form 8-K filed on March 28, 2016).</w:t>
              </w:r>
            </w:hyperlink>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20"/>
                  <w:u w:val="single"/>
                </w:rPr>
                <w:t>Second Supplemental Indenture, dated as of April 28, 2016, by and among GLP Capital, L.P. and GLP Financing II, Inc. as Issuers and Gaming and Leisure Properties, Inc, as Parent Guarantor and Wells Fargo Bank, National Association, as Trustee. (Incorporated by reference to Exhibit 4.3 to the Company's current report on Form 8-K filed on April 28, 2016).</w:t>
              </w:r>
            </w:hyperlink>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20"/>
                  <w:u w:val="single"/>
                </w:rPr>
                <w:t>Third Supplemental Indenture, dated as of April 28, 2016, by and among GLP Capital, L.P. and GLP Financing II, Inc. as Issuers and Gaming and Leisure Properties, Inc. as Parent Guarantor and Wells Fargo Bank, National Association, as Trustee. (Incorporated by reference to Exhibit 4.4 to the Company's current report on Form 8-K filed on April 28, 2016).</w:t>
              </w:r>
            </w:hyperlink>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FF"/>
                  <w:sz w:val="20"/>
                  <w:u w:val="single"/>
                </w:rPr>
                <w:t>Fourth Supplemental Indenture, dated May 21, 2018, by and among GLP Capital, L.P. and GLP Financing II, Inc. as Issuers, Gaming and Leisure Properties, Inc., as Parent Guarantor, and Wells Fargo Bank, National Association, as Trustee, relating to the Issuers' 4.375% Senior Notes due 2018. (Incorporated by reference to Exhibit 4.3 to the Company's current report on Form 8-K, filed on May 22, 2018).</w:t>
              </w:r>
            </w:hyperlink>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erif" w:hAnsi="Times New Roman;serif"/>
                  <w:b w:val="false"/>
                  <w:color w:val="0000FF"/>
                  <w:sz w:val="20"/>
                  <w:u w:val="single"/>
                </w:rPr>
                <w:t>Fifth Supplemental Indenture, dated May 21, 2018, among GLP Capital, L.P. and GLP Financing II, Inc. as Issuers, Gaming and Leisure Properties, Inc., as Parent Guarantor, and Wells Fargo Bank, National Association, as Trustee, relating to the Issuers' 5.250% Senior Notes due 2025. (Incorporated by reference to Exhibit 4.4 to the Company's current report on Form 8-K, filed on May 22, 2018).</w:t>
              </w:r>
            </w:hyperlink>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erif" w:hAnsi="Times New Roman;serif"/>
                  <w:b w:val="false"/>
                  <w:color w:val="0000FF"/>
                  <w:sz w:val="20"/>
                  <w:u w:val="single"/>
                </w:rPr>
                <w:t>Sixth Supplemental Indenture, dated May 21, 2018, by and among GLP Capital, L.P. and GLP Financing II, Inc. as Issuers, Gaming and Leisure Properties, Inc., as Parent Guarantor, and Wells Fargo Bank, National Association, as Trustee, relating to the Issuers' 5.750% Senior Notes due 2028. (Incorporated by reference to Exhibit 4.5 to the Company's current report on Form 8-K, filed on May 22, 2018).</w:t>
              </w:r>
            </w:hyperlink>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erif" w:hAnsi="Times New Roman;serif"/>
                  <w:b w:val="false"/>
                  <w:color w:val="0000FF"/>
                  <w:sz w:val="20"/>
                  <w:u w:val="single"/>
                </w:rPr>
                <w:t>Seventh Supplemental Indenture, dated as of September 26, 2018, by and among GLP Capital, L.P. and GLP Financing II, Inc. as Issuers, Gaming and Leisure Properties, Inc., as Parent Guarantor, and Wells Fargo Bank, National Association, as Trustee, relating to the Issuers' 5.300% Senior Notes due 2029. (Incorporated by reference to Exhibit 4.4 to the Company's current report on Form 8-K, filed on September 26, 2018).</w:t>
              </w:r>
            </w:hyperlink>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erif" w:hAnsi="Times New Roman;serif"/>
                  <w:b w:val="false"/>
                  <w:color w:val="0000FF"/>
                  <w:sz w:val="20"/>
                  <w:u w:val="single"/>
                </w:rPr>
                <w:t>Eighth Supplemental Indenture, dated August 29, 2019, among GLP Capital, L.P. and GLP Financing II, Inc., as issuers, Gaming and Leisure Properties, Inc., as parent guarantor, and Wells Fargo Bank, National Association, as trustee, relating to the issuers’ 3.350% Senior Notes due 2024. (Incorporated by reference to Exhibit 4.3 of the Company's current report on Form 8-K, filed on September 5, 2019).</w:t>
              </w:r>
            </w:hyperlink>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9"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116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79"/>
        <w:gridCol w:w="247"/>
        <w:gridCol w:w="109"/>
        <w:gridCol w:w="109"/>
        <w:gridCol w:w="109"/>
        <w:gridCol w:w="109"/>
        <w:gridCol w:w="2757"/>
        <w:gridCol w:w="2678"/>
        <w:gridCol w:w="3808"/>
      </w:tblGrid>
      <w:tr>
        <w:trPr/>
        <w:tc>
          <w:tcPr>
            <w:tcW w:w="27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7" w:type="dxa"/>
            <w:tcBorders/>
            <w:vAlign w:val="center"/>
          </w:tcPr>
          <w:p>
            <w:pPr>
              <w:pStyle w:val="TableContents"/>
              <w:bidi w:val="0"/>
              <w:spacing w:before="0" w:after="283"/>
              <w:jc w:val="left"/>
              <w:rPr>
                <w:sz w:val="4"/>
                <w:szCs w:val="4"/>
              </w:rPr>
            </w:pPr>
            <w:r>
              <w:rPr>
                <w:sz w:val="4"/>
                <w:szCs w:val="4"/>
              </w:rPr>
            </w:r>
          </w:p>
        </w:tc>
        <w:tc>
          <w:tcPr>
            <w:tcW w:w="2678" w:type="dxa"/>
            <w:tcBorders/>
            <w:vAlign w:val="center"/>
          </w:tcPr>
          <w:p>
            <w:pPr>
              <w:pStyle w:val="TableContents"/>
              <w:bidi w:val="0"/>
              <w:spacing w:before="0" w:after="283"/>
              <w:jc w:val="left"/>
              <w:rPr>
                <w:sz w:val="4"/>
                <w:szCs w:val="4"/>
              </w:rPr>
            </w:pPr>
            <w:r>
              <w:rPr>
                <w:sz w:val="4"/>
                <w:szCs w:val="4"/>
              </w:rPr>
            </w:r>
          </w:p>
        </w:tc>
        <w:tc>
          <w:tcPr>
            <w:tcW w:w="3808" w:type="dxa"/>
            <w:tcBorders/>
            <w:vAlign w:val="center"/>
          </w:tcPr>
          <w:p>
            <w:pPr>
              <w:pStyle w:val="TableContents"/>
              <w:bidi w:val="0"/>
              <w:spacing w:before="0" w:after="283"/>
              <w:jc w:val="left"/>
              <w:rPr>
                <w:sz w:val="4"/>
                <w:szCs w:val="4"/>
              </w:rPr>
            </w:pPr>
            <w:r>
              <w:rPr>
                <w:sz w:val="4"/>
                <w:szCs w:val="4"/>
              </w:rPr>
            </w:r>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erif" w:hAnsi="Times New Roman;serif"/>
                  <w:b w:val="false"/>
                  <w:color w:val="0000FF"/>
                  <w:sz w:val="20"/>
                  <w:u w:val="single"/>
                </w:rPr>
                <w:t>Ninth Supplemental Indenture, dated August 29, 2019, among GLP Capital, L.P. and GLP Financing II, Inc., as issuers, Gaming and Leisure Properties, Inc., as parent guarantor, and Wells Fargo Bank, National Association, as trustee, relating to the issuers’ 4.000% Senior Notes due 2030. (Incorporated by reference to Exhibit 4.4 of the Company's current report on Form 8-K, filed on September 5, 2019).</w:t>
              </w:r>
            </w:hyperlink>
          </w:p>
        </w:tc>
      </w:tr>
      <w:tr>
        <w:trPr/>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erif" w:hAnsi="Times New Roman;serif"/>
                  <w:b w:val="false"/>
                  <w:color w:val="0000FF"/>
                  <w:sz w:val="20"/>
                  <w:u w:val="single"/>
                </w:rPr>
                <w:t>Tenth Supplemental Indenture, dated as of June 25, 2020, among GLP Capital, L.P. and GLP Financing II, Inc., as Issuers, Gaming and Leisure Properties, Inc., as Parent Guarantor, and Wells Fargo Bank, National Association, as Trustee (Incorporated by reference to Exhibit 4.3 of the Company's current report on Form 8-K filed on July 1, 2020).</w:t>
              </w:r>
            </w:hyperlink>
          </w:p>
        </w:tc>
      </w:tr>
      <w:tr>
        <w:trPr/>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erif" w:hAnsi="Times New Roman;serif"/>
                  <w:b w:val="false"/>
                  <w:color w:val="0000FF"/>
                  <w:sz w:val="20"/>
                  <w:u w:val="single"/>
                </w:rPr>
                <w:t>Eleventh Supplemental Indenture, dated as of December 13, 2021, among GLP Capital, L.P. and GLP Financing II, Inc., as Issuers, Gaming and Leisure Properties, Inc. as Parent Guarantor, and Computershare Trust Company, N.A. as successor to Wells Fargo Bank, National Association, as Trustee. (Incorporated by reference to Exhibit 4.3 of the Company's current report on Form 8-K filed on December 17, 2021).</w:t>
              </w:r>
            </w:hyperlink>
          </w:p>
        </w:tc>
      </w:tr>
      <w:tr>
        <w:trPr/>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erif" w:hAnsi="Times New Roman;serif"/>
                  <w:b w:val="false"/>
                  <w:color w:val="0000FF"/>
                  <w:sz w:val="20"/>
                  <w:u w:val="single"/>
                </w:rPr>
                <w:t>Twelfth Supplemental Indenture, dated as of November 22, 2023, among GLP Capital, L.P. and GLP Financing II, Inc., as Issuers, Gaming and Leisure Properties, Inc., as Parent Guarantor, and Computershare Trust Company, N.A. as successor to Wells Fargo Bank, National Association, as Trustee (Incorporated by reference to Exhibit 4.3 to the Company's current report on Form 8-K filed on November 28, 2023).</w:t>
              </w:r>
            </w:hyperlink>
          </w:p>
        </w:tc>
      </w:tr>
      <w:tr>
        <w:trPr/>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erif" w:hAnsi="Times New Roman;serif"/>
                  <w:b w:val="false"/>
                  <w:color w:val="0000FF"/>
                  <w:sz w:val="20"/>
                  <w:u w:val="single"/>
                </w:rPr>
                <w:t>Thirteenth Supplemental Indenture, dated as of August 6, 2024, among GLP Capital, L.P. and GLP Financing II, Inc., as Issuers, Gaming and Leisure Properties, Inc., as Parent Guarantor, and Computershare Trust Company, N.A. as successor to Wells Fargo Bank, National Association, as Trustee (Incorporated by reference to Exhibit 4.3 to the Company's current report on Form 8-K filed on August 12, 2024).</w:t>
              </w:r>
            </w:hyperlink>
          </w:p>
        </w:tc>
      </w:tr>
      <w:tr>
        <w:trPr/>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erif" w:hAnsi="Times New Roman;serif"/>
                  <w:b w:val="false"/>
                  <w:color w:val="0000FF"/>
                  <w:sz w:val="20"/>
                  <w:u w:val="single"/>
                </w:rPr>
                <w:t>Fourteenth Supplemental Indenture, dated as of August 6, 2024, among GLP Capital, L.P. and GLP Financing II, Inc., as Issuers, Gaming and Leisure Properties, Inc., as Parent Guarantor, and Computershare Trust Company, N.A. as successor to Wells Fargo Bank, National Association, as Trustee (Incorporated by reference to Exhibit 4.4 to the Company's current report on Form 8-K filed on August 12, 2024).</w:t>
              </w:r>
            </w:hyperlink>
          </w:p>
        </w:tc>
      </w:tr>
      <w:tr>
        <w:trPr/>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erif" w:hAnsi="Times New Roman;serif"/>
                  <w:b w:val="false"/>
                  <w:color w:val="0000FF"/>
                  <w:sz w:val="20"/>
                  <w:u w:val="single"/>
                </w:rPr>
                <w:t>Fifteenth Supplemental Indenture, dated as of August 27, 2025, among GLP Capital, L.P. and GLP Financing II, Inc., as Issuers, Gaming and Leisure Properties, Inc., as Parent Guarantor, and Computershare Trust Company, N.A. as successor to Wells Fargo Bank, National Association, as Trustee. (Incorporated by reference to Exhibit 4.3 to the Company's Current Report on Form 8-K filed on August 27, 2025).</w:t>
              </w:r>
            </w:hyperlink>
          </w:p>
        </w:tc>
      </w:tr>
      <w:tr>
        <w:trPr/>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erif" w:hAnsi="Times New Roman;serif"/>
                  <w:b w:val="false"/>
                  <w:color w:val="0000FF"/>
                  <w:sz w:val="20"/>
                  <w:u w:val="single"/>
                </w:rPr>
                <w:t>Sixteenth Supplemental Indenture, dated as of August 27, 2025, among GLP Capital, L.P. and GLP Financing II, Inc., as Issuers, Gaming and Leisure Properties, Inc., as Parent Guarantor, and Computershare Trust Company, N.A. as successor to Wells Fargo Bank, National Association, as Trustee. (Incorporated by reference to Exhibit 4.4 to the Company's Current Report on Form 8-K filed on August 27, 2025).</w:t>
              </w:r>
            </w:hyperlink>
          </w:p>
        </w:tc>
      </w:tr>
      <w:tr>
        <w:trPr/>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erif" w:hAnsi="Times New Roman;serif"/>
                  <w:b w:val="false"/>
                  <w:color w:val="0000FF"/>
                  <w:sz w:val="20"/>
                  <w:u w:val="single"/>
                </w:rPr>
                <w:t>Form of 2026 Note (Incorporated by reference to Exhibit 4.4 and included in Exhibit 4.4 to the Company's current report on Form 8-K filed on April 28, 2016).</w:t>
              </w:r>
            </w:hyperlink>
          </w:p>
        </w:tc>
      </w:tr>
      <w:tr>
        <w:trPr/>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erif" w:hAnsi="Times New Roman;serif"/>
                  <w:b w:val="false"/>
                  <w:color w:val="0000FF"/>
                  <w:sz w:val="20"/>
                  <w:u w:val="single"/>
                </w:rPr>
                <w:t>Form of 2025 Note (Incorporated by reference to Exhibit 4.6 and included in Exhibit 4.4 to the Company's current report on Form 8-K, filed on May 22, 2018).</w:t>
              </w:r>
            </w:hyperlink>
            <w:r>
              <w:rPr>
                <w:color w:val="000000"/>
              </w:rPr>
              <w:t xml:space="preserve"> </w:t>
            </w:r>
          </w:p>
        </w:tc>
      </w:tr>
      <w:tr>
        <w:trPr/>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erif" w:hAnsi="Times New Roman;serif"/>
                  <w:b w:val="false"/>
                  <w:color w:val="0000FF"/>
                  <w:sz w:val="20"/>
                  <w:u w:val="single"/>
                </w:rPr>
                <w:t xml:space="preserve">Form of 2028 Note (Incorporated by reference to Exhibit 4.7 and included in Exhibit 4.5 to the Company's current report on Form 8-K, filed on May 22, 2018). </w:t>
              </w:r>
            </w:hyperlink>
          </w:p>
        </w:tc>
      </w:tr>
      <w:tr>
        <w:trPr/>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erif" w:hAnsi="Times New Roman;serif"/>
                  <w:b w:val="false"/>
                  <w:color w:val="0000FF"/>
                  <w:sz w:val="20"/>
                  <w:u w:val="single"/>
                </w:rPr>
                <w:t xml:space="preserve">Form of 2029 Note (Incorporated by reference to Exhibit 4.8 and included in Exhibit 4.4 to the Company's current report on Form 8-K, filed on September 26, 2018). </w:t>
              </w:r>
            </w:hyperlink>
          </w:p>
        </w:tc>
      </w:tr>
      <w:tr>
        <w:trPr/>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erif" w:hAnsi="Times New Roman;serif"/>
                  <w:b w:val="false"/>
                  <w:color w:val="0000FF"/>
                  <w:sz w:val="20"/>
                  <w:u w:val="single"/>
                </w:rPr>
                <w:t>Form of 2024 Note. (Incorporated by reference to Exhibit 4.9 and included in Exhibit 4.3 of the Company's current report on Form 8-K, filed on September 5, 2019).</w:t>
              </w:r>
            </w:hyperlink>
          </w:p>
        </w:tc>
      </w:tr>
      <w:tr>
        <w:trPr/>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erif" w:hAnsi="Times New Roman;serif"/>
                  <w:b w:val="false"/>
                  <w:color w:val="0000FF"/>
                  <w:sz w:val="20"/>
                  <w:u w:val="single"/>
                </w:rPr>
                <w:t>Form of 2030 Note (Incorporated by reference to Exhibit 4.10 and included in Exhibit 4.4 of the Company's current report on Form 8-K, filed on September 5, 2019).</w:t>
              </w:r>
            </w:hyperlink>
          </w:p>
        </w:tc>
      </w:tr>
      <w:tr>
        <w:trPr/>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9">
              <w:r>
                <w:rPr>
                  <w:rStyle w:val="InternetLink"/>
                  <w:rFonts w:ascii="Times New Roman;serif" w:hAnsi="Times New Roman;serif"/>
                  <w:b w:val="false"/>
                  <w:color w:val="0000FF"/>
                  <w:sz w:val="20"/>
                  <w:u w:val="single"/>
                </w:rPr>
                <w:t>Form of 2031 Note (Incorporated by reference to Exhibit 4.11 and included in Exhibit 4.3 to the Company's current report on Form 8-K filed on August 18, 2020).</w:t>
              </w:r>
            </w:hyperlink>
          </w:p>
        </w:tc>
      </w:tr>
      <w:tr>
        <w:trPr/>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20"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117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334"/>
        <w:gridCol w:w="297"/>
        <w:gridCol w:w="109"/>
        <w:gridCol w:w="109"/>
        <w:gridCol w:w="109"/>
        <w:gridCol w:w="109"/>
        <w:gridCol w:w="2676"/>
        <w:gridCol w:w="2676"/>
        <w:gridCol w:w="3786"/>
      </w:tblGrid>
      <w:tr>
        <w:trPr/>
        <w:tc>
          <w:tcPr>
            <w:tcW w:w="334"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6" w:type="dxa"/>
            <w:tcBorders/>
            <w:vAlign w:val="center"/>
          </w:tcPr>
          <w:p>
            <w:pPr>
              <w:pStyle w:val="TableContents"/>
              <w:bidi w:val="0"/>
              <w:spacing w:before="0" w:after="283"/>
              <w:jc w:val="left"/>
              <w:rPr>
                <w:sz w:val="4"/>
                <w:szCs w:val="4"/>
              </w:rPr>
            </w:pPr>
            <w:r>
              <w:rPr>
                <w:sz w:val="4"/>
                <w:szCs w:val="4"/>
              </w:rPr>
            </w:r>
          </w:p>
        </w:tc>
        <w:tc>
          <w:tcPr>
            <w:tcW w:w="2676" w:type="dxa"/>
            <w:tcBorders/>
            <w:vAlign w:val="center"/>
          </w:tcPr>
          <w:p>
            <w:pPr>
              <w:pStyle w:val="TableContents"/>
              <w:bidi w:val="0"/>
              <w:spacing w:before="0" w:after="283"/>
              <w:jc w:val="left"/>
              <w:rPr>
                <w:sz w:val="4"/>
                <w:szCs w:val="4"/>
              </w:rPr>
            </w:pPr>
            <w:r>
              <w:rPr>
                <w:sz w:val="4"/>
                <w:szCs w:val="4"/>
              </w:rPr>
            </w:r>
          </w:p>
        </w:tc>
        <w:tc>
          <w:tcPr>
            <w:tcW w:w="3786" w:type="dxa"/>
            <w:tcBorders/>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erif" w:hAnsi="Times New Roman;serif"/>
                  <w:b w:val="false"/>
                  <w:color w:val="0000FF"/>
                  <w:sz w:val="20"/>
                  <w:u w:val="single"/>
                </w:rPr>
                <w:t>Form of 2032 Note (Incorporated by reference to Exhibit 4.12 and included in Exhibit 4.3 to the Company's current report on Form 8-K filed on December 17, 2021).</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erif" w:hAnsi="Times New Roman;serif"/>
                  <w:b w:val="false"/>
                  <w:color w:val="0000FF"/>
                  <w:sz w:val="20"/>
                  <w:u w:val="single"/>
                </w:rPr>
                <w:t>Form of 2033 Note (Incorporated by reference to Exhibit 4.13 and included in Exhibit 4.3 to the Company's current report on Form 8-K filed on November 28, 2023).</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erif" w:hAnsi="Times New Roman;serif"/>
                  <w:b w:val="false"/>
                  <w:color w:val="0000FF"/>
                  <w:sz w:val="20"/>
                  <w:u w:val="single"/>
                </w:rPr>
                <w:t>Form of 2034 Note (Incorporated by reference to Exhibit 4.5 and included in Exhibit 4.3 to the Company's current report on Form 8-K filed on August 12, 2024)</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erif" w:hAnsi="Times New Roman;serif"/>
                  <w:b w:val="false"/>
                  <w:color w:val="0000FF"/>
                  <w:sz w:val="20"/>
                  <w:u w:val="single"/>
                </w:rPr>
                <w:t>Form of 2054 Note (Incorporated by reference to Exhibit 4.6 and included in Exhibit 4.4 to the Company's current report on Form 8-K filed on August 12, 2024)</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Times New Roman;serif" w:hAnsi="Times New Roman;serif"/>
                  <w:b w:val="false"/>
                  <w:color w:val="0000FF"/>
                  <w:sz w:val="20"/>
                  <w:u w:val="single"/>
                </w:rPr>
                <w:t>Form of 2033 Note (Incorporated by reference to Exhibit 4.5 to the Company's Current Report on Form 8-K filed on August 27, 2025).</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Times New Roman;serif" w:hAnsi="Times New Roman;serif"/>
                  <w:b w:val="false"/>
                  <w:color w:val="0000FF"/>
                  <w:sz w:val="20"/>
                  <w:u w:val="single"/>
                </w:rPr>
                <w:t>Form of 2037 Note (Incorporated by reference to Exhibit 4.6 to the Company's Current Report on Form 8-K filed on August 27, 2025).</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lpi-ex4descriptionofsecur.htm">
              <w:r>
                <w:rPr>
                  <w:rStyle w:val="InternetLink"/>
                  <w:rFonts w:ascii="Times New Roman;serif" w:hAnsi="Times New Roman;serif"/>
                  <w:b w:val="false"/>
                  <w:color w:val="0000FF"/>
                  <w:sz w:val="20"/>
                  <w:u w:val="single"/>
                </w:rPr>
                <w:t>Description of securities registered pursuant to Section 12 of the Securities Exchange Act of 1934.</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Times New Roman;serif" w:hAnsi="Times New Roman;serif"/>
                  <w:b w:val="false"/>
                  <w:color w:val="0000FF"/>
                  <w:sz w:val="20"/>
                  <w:u w:val="single"/>
                </w:rPr>
                <w:t>Master Lease, dated November 1, 2013, by and among GLP Capital L.P. and Penn Tenant, LLC. (Incorporated by reference to Exhibit 10.1 to the Company's current report on Form 8-K filed on November 7, 2013).</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Times New Roman;serif" w:hAnsi="Times New Roman;serif"/>
                  <w:b w:val="false"/>
                  <w:color w:val="0000FF"/>
                  <w:sz w:val="20"/>
                  <w:u w:val="single"/>
                </w:rPr>
                <w:t>First Amendment to the Master Lease Agreement, dated as of March 5, 2014, by and among GLP Capital L.P. and Penn Tenant, LLC. (Incorporated by reference to Exhibit 10.1 to the Company's quarterly report on Form 10-Q filed on May 12, 2014).</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Times New Roman;serif" w:hAnsi="Times New Roman;serif"/>
                  <w:b w:val="false"/>
                  <w:color w:val="0000FF"/>
                  <w:sz w:val="20"/>
                  <w:u w:val="single"/>
                </w:rPr>
                <w:t>Second Amendment to the Master Lease Agreement, dated as of April 18, 2014, by and among GLP Capital L.P. and Penn Tenant, LLC. (Incorporated by reference to Exhibit 10.1 to the Company's quarterly report on Form 10-Q filed on August 1, 2014).</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9">
              <w:r>
                <w:rPr>
                  <w:rStyle w:val="InternetLink"/>
                  <w:rFonts w:ascii="Times New Roman;serif" w:hAnsi="Times New Roman;serif"/>
                  <w:b w:val="false"/>
                  <w:color w:val="0000FF"/>
                  <w:sz w:val="20"/>
                  <w:u w:val="single"/>
                </w:rPr>
                <w:t>Third Amendment to the Master Lease Agreement, dated as of September 20, 2016, by and among GLP Capital L.P. and Penn Tenant, LLC. (Incorporated by reference to Exhibit 10.2 to the Company's quarterly report on Form 10-Q filed on November 9, 2016).</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0">
              <w:r>
                <w:rPr>
                  <w:rStyle w:val="InternetLink"/>
                  <w:rFonts w:ascii="Times New Roman;serif" w:hAnsi="Times New Roman;serif"/>
                  <w:b w:val="false"/>
                  <w:color w:val="0000FF"/>
                  <w:sz w:val="20"/>
                  <w:u w:val="single"/>
                </w:rPr>
                <w:t>Fourth Amendment to the Master Lease Agreement, dated as of May 1, 2017, by and among GLP Capital L.P. and Penn Tenant, LLC. (Incorporated by reference to Exhibit 10.2 to the Company's quarterly report on Form 10-Q filed on May 3, 2017).</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1">
              <w:r>
                <w:rPr>
                  <w:rStyle w:val="InternetLink"/>
                  <w:rFonts w:ascii="Times New Roman;serif" w:hAnsi="Times New Roman;serif"/>
                  <w:b w:val="false"/>
                  <w:color w:val="0000FF"/>
                  <w:sz w:val="20"/>
                  <w:u w:val="single"/>
                </w:rPr>
                <w:t>Fifth Amendment to the Master Lease Agreement, dated as of June 19, 2018, by and among GLP Capital L.P. and Penn Tenant, LLC. (Incorporated by reference to Exhibit 10.3 to the Company's quarterly report on Form 10-Q filed on August 1, 2018).</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2">
              <w:r>
                <w:rPr>
                  <w:rStyle w:val="InternetLink"/>
                  <w:rFonts w:ascii="Times New Roman;serif" w:hAnsi="Times New Roman;serif"/>
                  <w:b w:val="false"/>
                  <w:color w:val="0000FF"/>
                  <w:sz w:val="20"/>
                  <w:u w:val="single"/>
                </w:rPr>
                <w:t>Sixth Amendment to the Master Lease Agreement, dated as of August 8, 2018, by and among GLP Capital L.P. and Penn Tenant, LLC. (Incorporated by reference to Exhibit 10.1 to the Company's quarterly report on Form 10-Q filed on November 1, 2018).</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3">
              <w:r>
                <w:rPr>
                  <w:rStyle w:val="InternetLink"/>
                  <w:rFonts w:ascii="Times New Roman;serif" w:hAnsi="Times New Roman;serif"/>
                  <w:b w:val="false"/>
                  <w:color w:val="0000FF"/>
                  <w:sz w:val="20"/>
                  <w:u w:val="single"/>
                </w:rPr>
                <w:t>Seventh Amendment to the Master Lease Agreement, dated as of October 31, 2018, by and among GLP Capital L.P. and Penn Tenant, LLC. (Incorporated by reference to Exhibit 10.16 to the Company's annual report on Form 10-K filed on February 13, 2019).</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4">
              <w:r>
                <w:rPr>
                  <w:rStyle w:val="InternetLink"/>
                  <w:rFonts w:ascii="Times New Roman;serif" w:hAnsi="Times New Roman;serif"/>
                  <w:b w:val="false"/>
                  <w:color w:val="0000FF"/>
                  <w:sz w:val="20"/>
                  <w:u w:val="single"/>
                </w:rPr>
                <w:t>Eighth Amendment to the Master Lease Agreement, dated as of November 20, 2018, by and among GLP Capital L.P. and Penn Tenant, LLC. (Incorporated by reference to Exhibit 10.17 to the Company's annual report on Form 10-K filed on February 13, 2019).</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5">
              <w:r>
                <w:rPr>
                  <w:rStyle w:val="InternetLink"/>
                  <w:rFonts w:ascii="Times New Roman;serif" w:hAnsi="Times New Roman;serif"/>
                  <w:b w:val="false"/>
                  <w:color w:val="0000FF"/>
                  <w:sz w:val="20"/>
                  <w:u w:val="single"/>
                </w:rPr>
                <w:t>Ninth Amendment to the Master Lease Agreement, dated as of January 14, 2022, by and among GLP Capital, L.P. and Penn Tenant, LLC (Incorporated by reference to Exhibit 10.18 to the Company's annual report on Form 10-K filed on February 23, 2023).</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6">
              <w:r>
                <w:rPr>
                  <w:rStyle w:val="InternetLink"/>
                  <w:rFonts w:ascii="Times New Roman;serif" w:hAnsi="Times New Roman;serif"/>
                  <w:b w:val="false"/>
                  <w:color w:val="0000FF"/>
                  <w:sz w:val="20"/>
                  <w:u w:val="single"/>
                </w:rPr>
                <w:t>Amended and Restated Master Lease, dated February 21, 2023, by and among GLP Capital, L.P. and Penn Tenant, LLC (Incorporated by reference to Exhibit 10.19 to the Company's annual report on Form 10-K filed on February 23, 2023).</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21"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118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335"/>
        <w:gridCol w:w="296"/>
        <w:gridCol w:w="109"/>
        <w:gridCol w:w="109"/>
        <w:gridCol w:w="109"/>
        <w:gridCol w:w="109"/>
        <w:gridCol w:w="2728"/>
        <w:gridCol w:w="2655"/>
        <w:gridCol w:w="3755"/>
      </w:tblGrid>
      <w:tr>
        <w:trPr/>
        <w:tc>
          <w:tcPr>
            <w:tcW w:w="33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8" w:type="dxa"/>
            <w:tcBorders/>
            <w:vAlign w:val="center"/>
          </w:tcPr>
          <w:p>
            <w:pPr>
              <w:pStyle w:val="TableContents"/>
              <w:bidi w:val="0"/>
              <w:spacing w:before="0" w:after="283"/>
              <w:jc w:val="left"/>
              <w:rPr>
                <w:sz w:val="4"/>
                <w:szCs w:val="4"/>
              </w:rPr>
            </w:pPr>
            <w:r>
              <w:rPr>
                <w:sz w:val="4"/>
                <w:szCs w:val="4"/>
              </w:rPr>
            </w:r>
          </w:p>
        </w:tc>
        <w:tc>
          <w:tcPr>
            <w:tcW w:w="2655" w:type="dxa"/>
            <w:tcBorders/>
            <w:vAlign w:val="center"/>
          </w:tcPr>
          <w:p>
            <w:pPr>
              <w:pStyle w:val="TableContents"/>
              <w:bidi w:val="0"/>
              <w:spacing w:before="0" w:after="283"/>
              <w:jc w:val="left"/>
              <w:rPr>
                <w:sz w:val="4"/>
                <w:szCs w:val="4"/>
              </w:rPr>
            </w:pPr>
            <w:r>
              <w:rPr>
                <w:sz w:val="4"/>
                <w:szCs w:val="4"/>
              </w:rPr>
            </w:r>
          </w:p>
        </w:tc>
        <w:tc>
          <w:tcPr>
            <w:tcW w:w="3755" w:type="dxa"/>
            <w:tcBorders/>
            <w:vAlign w:val="center"/>
          </w:tcPr>
          <w:p>
            <w:pPr>
              <w:pStyle w:val="TableContents"/>
              <w:bidi w:val="0"/>
              <w:spacing w:before="0" w:after="283"/>
              <w:jc w:val="left"/>
              <w:rPr>
                <w:sz w:val="4"/>
                <w:szCs w:val="4"/>
              </w:rPr>
            </w:pPr>
            <w:r>
              <w:rPr>
                <w:sz w:val="4"/>
                <w:szCs w:val="4"/>
              </w:rPr>
            </w:r>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7">
              <w:r>
                <w:rPr>
                  <w:rStyle w:val="InternetLink"/>
                  <w:rFonts w:ascii="Times New Roman;serif" w:hAnsi="Times New Roman;serif"/>
                  <w:b w:val="false"/>
                  <w:color w:val="0000FF"/>
                  <w:sz w:val="20"/>
                  <w:u w:val="single"/>
                </w:rPr>
                <w:t>Master Lease, dated February 21, 2023, by and among GLP Capital, L.P., Penn Tenant LLC, Penn Cecil Maryland, LLC, and PNK Development 33, LLC (Incorporated by reference to Exhibit 10.20 to the Company's annual report on Form 10-K filed on February 23, 2023).</w:t>
              </w:r>
            </w:hyperlink>
            <w:r>
              <w:rPr>
                <w:color w:val="000000"/>
              </w:rPr>
              <w:t xml:space="preserve"> </w:t>
            </w:r>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8">
              <w:r>
                <w:rPr>
                  <w:rStyle w:val="InternetLink"/>
                  <w:rFonts w:ascii="Times New Roman;serif" w:hAnsi="Times New Roman;serif"/>
                  <w:b w:val="false"/>
                  <w:color w:val="0000FF"/>
                  <w:sz w:val="20"/>
                  <w:u w:val="single"/>
                </w:rPr>
                <w:t>Master Lease, dated April 28, 2016, by and among Gold Merger Sub, LLC (as successor to Pinnacle Entertainment, Inc.) and Pinnacle MLS, LLC. (Incorporated by reference to Exhibit 2.3 to the Company's current report on Form 8-K filed on April 28, 2016).</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9">
              <w:r>
                <w:rPr>
                  <w:rStyle w:val="InternetLink"/>
                  <w:rFonts w:ascii="Times New Roman;serif" w:hAnsi="Times New Roman;serif"/>
                  <w:b w:val="false"/>
                  <w:color w:val="0000FF"/>
                  <w:sz w:val="20"/>
                  <w:u w:val="single"/>
                </w:rPr>
                <w:t>First Amendment to the Master Lease, dated August 29, 2016, by and among Gold Merger Sub, LLC (as successor to Pinnacle Entertainment, Inc.) and Pinnacle MLS, LLC. (Incorporated by reference to Exhibit 10.1 to the Company's quarterly report on Form 10-Q filed on November 9, 2016).</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0">
              <w:r>
                <w:rPr>
                  <w:rStyle w:val="InternetLink"/>
                  <w:rFonts w:ascii="Times New Roman;serif" w:hAnsi="Times New Roman;serif"/>
                  <w:b w:val="false"/>
                  <w:color w:val="0000FF"/>
                  <w:sz w:val="20"/>
                  <w:u w:val="single"/>
                </w:rPr>
                <w:t>Second Amendment to the Master Lease, dated October 25, 2016, by and among Gold Merger Sub, LLC (as successor to Pinnacle Entertainment, Inc.) and Pinnacle MLS, LLC. (Incorporated by reference to Exhibit 10.13 to the Company's annual report on Form 10-K filed on February 22, 2017).</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1">
              <w:r>
                <w:rPr>
                  <w:rStyle w:val="InternetLink"/>
                  <w:rFonts w:ascii="Times New Roman;serif" w:hAnsi="Times New Roman;serif"/>
                  <w:b w:val="false"/>
                  <w:color w:val="0000FF"/>
                  <w:sz w:val="20"/>
                  <w:u w:val="single"/>
                </w:rPr>
                <w:t>Third Amendment to the Master Lease, dated March 24, 2017, by and among Gold Merger Sub, LLC (as successor to Pinnacle Entertainment, Inc.) and Pinnacle MLS, LLC. (Incorporated by reference to Exhibit 10.1 to the Company's quarterly report on Form 10-Q filed on May 3, 2017).</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2">
              <w:r>
                <w:rPr>
                  <w:rStyle w:val="InternetLink"/>
                  <w:rFonts w:ascii="Times New Roman;serif" w:hAnsi="Times New Roman;serif"/>
                  <w:b w:val="false"/>
                  <w:color w:val="0000FF"/>
                  <w:sz w:val="20"/>
                  <w:u w:val="single"/>
                </w:rPr>
                <w:t>Fourth Amendment to the Master Lease, dated October 15, 2018, by and between Gold Merger Sub, LLC (as successor to Pinnacle Entertainment, Inc.) and Pinnacle MLS, LLC. (Incorporated by reference to Exhibit 10.1 to the Company's current report on Form 8-K, filed on October 16, 2018).</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3">
              <w:r>
                <w:rPr>
                  <w:rStyle w:val="InternetLink"/>
                  <w:rFonts w:ascii="Times New Roman;serif" w:hAnsi="Times New Roman;serif"/>
                  <w:b w:val="false"/>
                  <w:color w:val="0000FF"/>
                  <w:sz w:val="20"/>
                  <w:u w:val="single"/>
                </w:rPr>
                <w:t>Fifth Amendment to the Master Lease, dated January 14, 2022, by and among Gold Merger Sub, LLC (as successor to Pinnacle Entertainment, Inc.) and Pinnacle MLS, LLC (Incorporated by reference to Exhibit 10.26 to the Company's annual report on Form 10-K filed on February 23, 2023).</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4">
              <w:r>
                <w:rPr>
                  <w:rStyle w:val="InternetLink"/>
                  <w:rFonts w:ascii="Times New Roman;serif" w:hAnsi="Times New Roman;serif"/>
                  <w:b w:val="false"/>
                  <w:color w:val="0000FF"/>
                  <w:sz w:val="20"/>
                  <w:u w:val="single"/>
                </w:rPr>
                <w:t>Master Lease Agreement, dated October 15, 2018, by and between Gold Merger Sub, LLC and Boyd TCIV, LLC. (Incorporated by reference to Exhibit 10.2 to the Company's current report on Form 8-K, filed on October 16, 2018).</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5">
              <w:r>
                <w:rPr>
                  <w:rStyle w:val="InternetLink"/>
                  <w:rFonts w:ascii="Times New Roman;serif" w:hAnsi="Times New Roman;serif"/>
                  <w:b w:val="false"/>
                  <w:color w:val="0000FF"/>
                  <w:sz w:val="20"/>
                  <w:u w:val="single"/>
                </w:rPr>
                <w:t>Tax Matters Agreement, dated as of November 1, 2013, by and among Penn National Gaming, Inc. and Gaming and Leisure Properties, Inc. (Incorporated by reference to Exhibit 10.2 to the Company's current report on Form 8-K filed on November 7, 2013).</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6">
              <w:r>
                <w:rPr>
                  <w:rStyle w:val="InternetLink"/>
                  <w:rFonts w:ascii="Times New Roman;serif" w:hAnsi="Times New Roman;serif"/>
                  <w:b w:val="false"/>
                  <w:color w:val="0000FF"/>
                  <w:sz w:val="20"/>
                  <w:u w:val="single"/>
                </w:rPr>
                <w:t>Tax Matters Agreement, dated as of July 20, 2015, by and among Pinnacle Entertainment, Inc. and Gaming and Leisure Properties, Inc. (Incorporated by reference to Exhibit 10.1 to the Company's current report on Form 8-K filed on July 22, 2015).</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7">
              <w:r>
                <w:rPr>
                  <w:rStyle w:val="InternetLink"/>
                  <w:rFonts w:ascii="Times New Roman;serif" w:hAnsi="Times New Roman;serif"/>
                  <w:b w:val="false"/>
                  <w:color w:val="0000FF"/>
                  <w:sz w:val="20"/>
                  <w:u w:val="single"/>
                </w:rPr>
                <w:t>Gaming and Leisure Properties, Inc.’s Second Amended and Restated 2013 Long-Term Incentive Compensation Plan (Incorporated by reference to Appendix A to the Company’s Definitive Proxy Statement on Schedule 14A, filed April 29, 2020).</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8">
              <w:r>
                <w:rPr>
                  <w:rStyle w:val="InternetLink"/>
                  <w:rFonts w:ascii="Times New Roman;serif" w:hAnsi="Times New Roman;serif"/>
                  <w:b w:val="false"/>
                  <w:color w:val="0000FF"/>
                  <w:sz w:val="20"/>
                  <w:u w:val="single"/>
                </w:rPr>
                <w:t>Gaming and Leisure Properties, Inc. Amended and Restated 2013 Long-Term Incentive Compensation Plan (Incorporated by reference to Exhibit 10.1 to the Company's quarterly report on Form 10-Q, filed on July 24, 2025).</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9">
              <w:bookmarkStart w:id="0" w:name="i97066b6beb444e0e8db83dba696b144b_107-2-"/>
              <w:bookmarkEnd w:id="0"/>
              <w:r>
                <w:rPr>
                  <w:rStyle w:val="InternetLink"/>
                  <w:rFonts w:ascii="Times New Roman;serif" w:hAnsi="Times New Roman;serif"/>
                  <w:b w:val="false"/>
                  <w:color w:val="0000FF"/>
                  <w:sz w:val="20"/>
                  <w:u w:val="single"/>
                </w:rPr>
                <w:t>Form of Restricted Stock Award under the Gaming and Leisure Properties, Inc. 2013 Long-Term Incentive Compensation Plan for Awards issued after January 1, 2020. (Incorporated by reference to Exhibit 10.30 to the Company's annual report on Form 10-K filed on February 24, 2022).</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0">
              <w:r>
                <w:rPr>
                  <w:rStyle w:val="InternetLink"/>
                  <w:rFonts w:ascii="Times New Roman;serif" w:hAnsi="Times New Roman;serif"/>
                  <w:b w:val="false"/>
                  <w:color w:val="0000FF"/>
                  <w:sz w:val="20"/>
                  <w:u w:val="single"/>
                </w:rPr>
                <w:t>Form of Restricted Stock Award under the Gaming and Leisure Properties, Inc. Second Amended and Restated 2013 Long-Term Incentive Compensation Plan for Awards issued after January 1, 2021. (Incorporated by reference to Exhibit 10.31 to the Company's annual report on Form 10-K filed on February 24, 2022).</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1">
              <w:r>
                <w:rPr>
                  <w:rStyle w:val="InternetLink"/>
                  <w:rFonts w:ascii="Times New Roman;serif" w:hAnsi="Times New Roman;serif"/>
                  <w:b w:val="false"/>
                  <w:color w:val="0000FF"/>
                  <w:sz w:val="20"/>
                  <w:u w:val="single"/>
                </w:rPr>
                <w:t>Form of Director Restricted Stock Award with Quarterly Vesting under the Gaming and Leisure Properties, Inc. 2013 Long-Term Incentive Compensation Plan for Awards issued after January 1, 2020. (Incorporated by reference to Exhibit 10.32 to the Company's annual report on Form 10-K filed on February 24, 2022).</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2">
              <w:r>
                <w:rPr>
                  <w:rStyle w:val="InternetLink"/>
                  <w:rFonts w:ascii="Times New Roman;serif" w:hAnsi="Times New Roman;serif"/>
                  <w:b w:val="false"/>
                  <w:color w:val="0000FF"/>
                  <w:sz w:val="20"/>
                  <w:u w:val="single"/>
                </w:rPr>
                <w:t>Form of Director Restricted Stock Award under the Gaming and Leisure Properties, Inc. Second Amended and Restated 2013 Long-Term Incentive Compensation Plan for Awards Issued after January 1, 2022. (Incorporated by reference to Exhibit 10.33 to the Company's annual report on Form 10-K filed on February 24, 2022).</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22"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119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336"/>
        <w:gridCol w:w="295"/>
        <w:gridCol w:w="211"/>
        <w:gridCol w:w="109"/>
        <w:gridCol w:w="109"/>
        <w:gridCol w:w="109"/>
        <w:gridCol w:w="2651"/>
        <w:gridCol w:w="2641"/>
        <w:gridCol w:w="3744"/>
      </w:tblGrid>
      <w:tr>
        <w:trPr/>
        <w:tc>
          <w:tcPr>
            <w:tcW w:w="33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c>
          <w:tcPr>
            <w:tcW w:w="3744" w:type="dxa"/>
            <w:tcBorders/>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3">
              <w:r>
                <w:rPr>
                  <w:rStyle w:val="InternetLink"/>
                  <w:rFonts w:ascii="Times New Roman;serif" w:hAnsi="Times New Roman;serif"/>
                  <w:b w:val="false"/>
                  <w:color w:val="000080"/>
                  <w:sz w:val="20"/>
                  <w:u w:val="single"/>
                </w:rPr>
                <w:t xml:space="preserve">Form of </w:t>
              </w:r>
            </w:hyperlink>
            <w:hyperlink r:id="rId64">
              <w:r>
                <w:rPr>
                  <w:rStyle w:val="InternetLink"/>
                  <w:rFonts w:ascii="Times New Roman;serif" w:hAnsi="Times New Roman;serif"/>
                  <w:b w:val="false"/>
                  <w:color w:val="000080"/>
                  <w:sz w:val="20"/>
                  <w:u w:val="single"/>
                </w:rPr>
                <w:t xml:space="preserve">Performance </w:t>
              </w:r>
            </w:hyperlink>
            <w:hyperlink r:id="rId65">
              <w:r>
                <w:rPr>
                  <w:rStyle w:val="InternetLink"/>
                  <w:rFonts w:ascii="Times New Roman;serif" w:hAnsi="Times New Roman;serif"/>
                  <w:b w:val="false"/>
                  <w:color w:val="000080"/>
                  <w:sz w:val="20"/>
                  <w:u w:val="single"/>
                </w:rPr>
                <w:t xml:space="preserve">Restricted Stock </w:t>
              </w:r>
            </w:hyperlink>
            <w:hyperlink r:id="rId66">
              <w:r>
                <w:rPr>
                  <w:rStyle w:val="InternetLink"/>
                  <w:rFonts w:ascii="Times New Roman;serif" w:hAnsi="Times New Roman;serif"/>
                  <w:b w:val="false"/>
                  <w:color w:val="000080"/>
                  <w:sz w:val="20"/>
                  <w:u w:val="single"/>
                </w:rPr>
                <w:t>Award MSCI under the Gaming and Leisure Properties, Inc. 2013 Long-Term Incentive Compensation Plan for Awards issued after January 1, 2020. (Incorporated by reference to Exhibit 10.34 to the Company's annual report on Form 10-K filed on February 24, 2022).</w:t>
              </w:r>
            </w:hyperlink>
          </w:p>
        </w:tc>
      </w:tr>
      <w:tr>
        <w:trPr/>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7">
              <w:r>
                <w:rPr>
                  <w:rStyle w:val="InternetLink"/>
                  <w:rFonts w:ascii="Times New Roman;serif" w:hAnsi="Times New Roman;serif"/>
                  <w:b w:val="false"/>
                  <w:color w:val="000080"/>
                  <w:sz w:val="20"/>
                  <w:u w:val="single"/>
                </w:rPr>
                <w:t xml:space="preserve">Form of </w:t>
              </w:r>
            </w:hyperlink>
            <w:hyperlink r:id="rId68">
              <w:r>
                <w:rPr>
                  <w:rStyle w:val="InternetLink"/>
                  <w:rFonts w:ascii="Times New Roman;serif" w:hAnsi="Times New Roman;serif"/>
                  <w:b w:val="false"/>
                  <w:color w:val="000080"/>
                  <w:sz w:val="20"/>
                  <w:u w:val="single"/>
                </w:rPr>
                <w:t xml:space="preserve">Performance </w:t>
              </w:r>
            </w:hyperlink>
            <w:hyperlink r:id="rId69">
              <w:r>
                <w:rPr>
                  <w:rStyle w:val="InternetLink"/>
                  <w:rFonts w:ascii="Times New Roman;serif" w:hAnsi="Times New Roman;serif"/>
                  <w:b w:val="false"/>
                  <w:color w:val="000080"/>
                  <w:sz w:val="20"/>
                  <w:u w:val="single"/>
                </w:rPr>
                <w:t xml:space="preserve">Restricted Stock </w:t>
              </w:r>
            </w:hyperlink>
            <w:hyperlink r:id="rId70">
              <w:r>
                <w:rPr>
                  <w:rStyle w:val="InternetLink"/>
                  <w:rFonts w:ascii="Times New Roman;serif" w:hAnsi="Times New Roman;serif"/>
                  <w:b w:val="false"/>
                  <w:color w:val="000080"/>
                  <w:sz w:val="20"/>
                  <w:u w:val="single"/>
                </w:rPr>
                <w:t>Award MSCI under the Gaming and Leisure Properties, Inc. Second Amended and Restated 2013 Long-Term Incentive Compensation Plan for Awards Issued after January 1, 2021. (Incorporated by reference to Exhibit 10.35 to the Company's annual report on Form 10-K filed on February 24, 2022).</w:t>
              </w:r>
            </w:hyperlink>
          </w:p>
        </w:tc>
      </w:tr>
      <w:tr>
        <w:trPr/>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1">
              <w:r>
                <w:rPr>
                  <w:rStyle w:val="InternetLink"/>
                  <w:rFonts w:ascii="Times New Roman;serif" w:hAnsi="Times New Roman;serif"/>
                  <w:b w:val="false"/>
                  <w:color w:val="000080"/>
                  <w:sz w:val="20"/>
                  <w:u w:val="single"/>
                </w:rPr>
                <w:t xml:space="preserve">Form of </w:t>
              </w:r>
            </w:hyperlink>
            <w:hyperlink r:id="rId72">
              <w:r>
                <w:rPr>
                  <w:rStyle w:val="InternetLink"/>
                  <w:rFonts w:ascii="Times New Roman;serif" w:hAnsi="Times New Roman;serif"/>
                  <w:b w:val="false"/>
                  <w:color w:val="000080"/>
                  <w:sz w:val="20"/>
                  <w:u w:val="single"/>
                </w:rPr>
                <w:t xml:space="preserve">Performance </w:t>
              </w:r>
            </w:hyperlink>
            <w:hyperlink r:id="rId73">
              <w:r>
                <w:rPr>
                  <w:rStyle w:val="InternetLink"/>
                  <w:rFonts w:ascii="Times New Roman;serif" w:hAnsi="Times New Roman;serif"/>
                  <w:b w:val="false"/>
                  <w:color w:val="000080"/>
                  <w:sz w:val="20"/>
                  <w:u w:val="single"/>
                </w:rPr>
                <w:t xml:space="preserve">Restricted Stock </w:t>
              </w:r>
            </w:hyperlink>
            <w:hyperlink r:id="rId74">
              <w:r>
                <w:rPr>
                  <w:rStyle w:val="InternetLink"/>
                  <w:rFonts w:ascii="Times New Roman;serif" w:hAnsi="Times New Roman;serif"/>
                  <w:b w:val="false"/>
                  <w:color w:val="000080"/>
                  <w:sz w:val="20"/>
                  <w:u w:val="single"/>
                </w:rPr>
                <w:t>Award NNN under the Gaming and Leisure Properties, Inc. 2013 Long-Term Incentive Compensation Plan for Awards issued in 2020. (Incorporated by reference to Exhibit 10.36 to the Company's annual report on Form 10-K filed on February 24, 2022).</w:t>
              </w:r>
            </w:hyperlink>
          </w:p>
        </w:tc>
      </w:tr>
      <w:tr>
        <w:trPr/>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5">
              <w:r>
                <w:rPr>
                  <w:rStyle w:val="InternetLink"/>
                  <w:rFonts w:ascii="Times New Roman;serif" w:hAnsi="Times New Roman;serif"/>
                  <w:b w:val="false"/>
                  <w:color w:val="000080"/>
                  <w:sz w:val="20"/>
                  <w:u w:val="single"/>
                </w:rPr>
                <w:t xml:space="preserve">Form of </w:t>
              </w:r>
            </w:hyperlink>
            <w:hyperlink r:id="rId76">
              <w:r>
                <w:rPr>
                  <w:rStyle w:val="InternetLink"/>
                  <w:rFonts w:ascii="Times New Roman;serif" w:hAnsi="Times New Roman;serif"/>
                  <w:b w:val="false"/>
                  <w:color w:val="000080"/>
                  <w:sz w:val="20"/>
                  <w:u w:val="single"/>
                </w:rPr>
                <w:t>Perfor</w:t>
              </w:r>
            </w:hyperlink>
            <w:hyperlink r:id="rId77">
              <w:r>
                <w:rPr>
                  <w:rStyle w:val="InternetLink"/>
                  <w:rFonts w:ascii="Times New Roman;serif" w:hAnsi="Times New Roman;serif"/>
                  <w:b w:val="false"/>
                  <w:color w:val="000080"/>
                  <w:sz w:val="20"/>
                  <w:u w:val="single"/>
                </w:rPr>
                <w:t xml:space="preserve">mance </w:t>
              </w:r>
            </w:hyperlink>
            <w:hyperlink r:id="rId78">
              <w:r>
                <w:rPr>
                  <w:rStyle w:val="InternetLink"/>
                  <w:rFonts w:ascii="Times New Roman;serif" w:hAnsi="Times New Roman;serif"/>
                  <w:b w:val="false"/>
                  <w:color w:val="000080"/>
                  <w:sz w:val="20"/>
                  <w:u w:val="single"/>
                </w:rPr>
                <w:t xml:space="preserve">Restricted Stock </w:t>
              </w:r>
            </w:hyperlink>
            <w:hyperlink r:id="rId79">
              <w:r>
                <w:rPr>
                  <w:rStyle w:val="InternetLink"/>
                  <w:rFonts w:ascii="Times New Roman;serif" w:hAnsi="Times New Roman;serif"/>
                  <w:b w:val="false"/>
                  <w:color w:val="000080"/>
                  <w:sz w:val="20"/>
                  <w:u w:val="single"/>
                </w:rPr>
                <w:t>Award NNN under the Gaming and Leisure Properties, Inc. Second Amended and Restated 2013 Long-Term Incentive Compensation Plan for Awards issued in 2021. (Incorporated by reference to Exhibit 10.37 to the Company's annual report on Form 10-K filed on February 24, 2022).</w:t>
              </w:r>
            </w:hyperlink>
          </w:p>
        </w:tc>
      </w:tr>
      <w:tr>
        <w:trPr/>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0">
              <w:r>
                <w:rPr>
                  <w:rStyle w:val="InternetLink"/>
                  <w:rFonts w:ascii="Times New Roman;serif" w:hAnsi="Times New Roman;serif"/>
                  <w:b w:val="false"/>
                  <w:color w:val="000080"/>
                  <w:sz w:val="20"/>
                  <w:u w:val="single"/>
                </w:rPr>
                <w:t xml:space="preserve">Form of </w:t>
              </w:r>
            </w:hyperlink>
            <w:hyperlink r:id="rId81">
              <w:r>
                <w:rPr>
                  <w:rStyle w:val="InternetLink"/>
                  <w:rFonts w:ascii="Times New Roman;serif" w:hAnsi="Times New Roman;serif"/>
                  <w:b w:val="false"/>
                  <w:color w:val="000080"/>
                  <w:sz w:val="20"/>
                  <w:u w:val="single"/>
                </w:rPr>
                <w:t xml:space="preserve">Performance </w:t>
              </w:r>
            </w:hyperlink>
            <w:hyperlink r:id="rId82">
              <w:r>
                <w:rPr>
                  <w:rStyle w:val="InternetLink"/>
                  <w:rFonts w:ascii="Times New Roman;serif" w:hAnsi="Times New Roman;serif"/>
                  <w:b w:val="false"/>
                  <w:color w:val="000080"/>
                  <w:sz w:val="20"/>
                  <w:u w:val="single"/>
                </w:rPr>
                <w:t xml:space="preserve">Restricted Stock </w:t>
              </w:r>
            </w:hyperlink>
            <w:hyperlink r:id="rId83">
              <w:r>
                <w:rPr>
                  <w:rStyle w:val="InternetLink"/>
                  <w:rFonts w:ascii="Times New Roman;serif" w:hAnsi="Times New Roman;serif"/>
                  <w:b w:val="false"/>
                  <w:color w:val="000080"/>
                  <w:sz w:val="20"/>
                  <w:u w:val="single"/>
                </w:rPr>
                <w:t>Award NNN under the Gaming and Leisure Properties, Inc. Second Amended and Restated 2013 Long-Term Incentive Compensation Plan for Awards issued in 2022. (Incorporated by reference to Exhibit 10.38 to the Company's annual report on Form 10-K filed on February 24, 2022).</w:t>
              </w:r>
            </w:hyperlink>
          </w:p>
        </w:tc>
      </w:tr>
      <w:tr>
        <w:trPr/>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4">
              <w:r>
                <w:rPr>
                  <w:rStyle w:val="InternetLink"/>
                  <w:rFonts w:ascii="Times New Roman;serif" w:hAnsi="Times New Roman;serif"/>
                  <w:b w:val="false"/>
                  <w:color w:val="000080"/>
                  <w:sz w:val="20"/>
                  <w:u w:val="single"/>
                </w:rPr>
                <w:t xml:space="preserve">Form of </w:t>
              </w:r>
            </w:hyperlink>
            <w:hyperlink r:id="rId85">
              <w:r>
                <w:rPr>
                  <w:rStyle w:val="InternetLink"/>
                  <w:rFonts w:ascii="Times New Roman;serif" w:hAnsi="Times New Roman;serif"/>
                  <w:b w:val="false"/>
                  <w:color w:val="000080"/>
                  <w:sz w:val="20"/>
                  <w:u w:val="single"/>
                </w:rPr>
                <w:t xml:space="preserve">Performance </w:t>
              </w:r>
            </w:hyperlink>
            <w:hyperlink r:id="rId86">
              <w:r>
                <w:rPr>
                  <w:rStyle w:val="InternetLink"/>
                  <w:rFonts w:ascii="Times New Roman;serif" w:hAnsi="Times New Roman;serif"/>
                  <w:b w:val="false"/>
                  <w:color w:val="000080"/>
                  <w:sz w:val="20"/>
                  <w:u w:val="single"/>
                </w:rPr>
                <w:t xml:space="preserve">Restricted Stock </w:t>
              </w:r>
            </w:hyperlink>
            <w:hyperlink r:id="rId87">
              <w:r>
                <w:rPr>
                  <w:rStyle w:val="InternetLink"/>
                  <w:rFonts w:ascii="Times New Roman;serif" w:hAnsi="Times New Roman;serif"/>
                  <w:b w:val="false"/>
                  <w:color w:val="000080"/>
                  <w:sz w:val="20"/>
                  <w:u w:val="single"/>
                </w:rPr>
                <w:t xml:space="preserve">Award NNN under the Gaming and Leisure Properties, Inc. Second Amended and Restated 2013 Long-Term Incentive Compensation Plan for Awards issued in 2023. (Incorporated by reference to Exhibit 10.39 to the Company's annual report on Form 10-K filed on February 27, 2024). </w:t>
              </w:r>
            </w:hyperlink>
          </w:p>
        </w:tc>
      </w:tr>
      <w:tr>
        <w:trPr/>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8">
              <w:r>
                <w:rPr>
                  <w:rStyle w:val="InternetLink"/>
                  <w:rFonts w:ascii="Times New Roman;serif" w:hAnsi="Times New Roman;serif"/>
                  <w:b w:val="false"/>
                  <w:color w:val="0000FF"/>
                  <w:sz w:val="20"/>
                  <w:u w:val="single"/>
                </w:rPr>
                <w:t>Form of Performance Restricted Stock Award NNN under the Gaming and Leisure Properties, Inc. Second Amended and Restated 2013 Long-Term Incentive Compensation Plan for Awards issued in 2024. (Incorporated by reference to Exhibit 10.36 to the Company's annual report on Form 10-K filed on February 20, 2025).</w:t>
              </w:r>
            </w:hyperlink>
          </w:p>
        </w:tc>
      </w:tr>
      <w:tr>
        <w:trPr/>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9">
              <w:r>
                <w:rPr>
                  <w:rStyle w:val="InternetLink"/>
                  <w:rFonts w:ascii="Times New Roman;serif" w:hAnsi="Times New Roman;serif"/>
                  <w:b w:val="false"/>
                  <w:color w:val="0000FF"/>
                  <w:sz w:val="20"/>
                  <w:u w:val="single"/>
                </w:rPr>
                <w:t>Form of Performance Restricted Stock Award NNN under the Gaming and Leisure Properties, Inc. Second Amended and Restated 2013 Long-Term Incentive Compensation Plan for Awards issued in 2025. (Incorporated by reference to Exhibit 10.37 to the Company's annual report on Form 10-K filed on February 20, 2025).</w:t>
              </w:r>
            </w:hyperlink>
          </w:p>
        </w:tc>
      </w:tr>
      <w:tr>
        <w:trPr/>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lpi_formofrestrictedstock.htm">
              <w:r>
                <w:rPr>
                  <w:rStyle w:val="InternetLink"/>
                  <w:rFonts w:ascii="Times New Roman;serif" w:hAnsi="Times New Roman;serif"/>
                  <w:b w:val="false"/>
                  <w:color w:val="0000FF"/>
                  <w:sz w:val="20"/>
                  <w:u w:val="single"/>
                </w:rPr>
                <w:t xml:space="preserve">Form of Performance Restricted Stock Award NNN under the Gaming and Leisure Properties, Inc. Second Amended and Restated 2013 Long-Term Incentive Compensation Plan for Awards issued in 2026. </w:t>
              </w:r>
            </w:hyperlink>
          </w:p>
        </w:tc>
      </w:tr>
      <w:tr>
        <w:trPr/>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0">
              <w:r>
                <w:rPr>
                  <w:rStyle w:val="InternetLink"/>
                  <w:rFonts w:ascii="Times New Roman;serif" w:hAnsi="Times New Roman;serif"/>
                  <w:b w:val="false"/>
                  <w:color w:val="0000FF"/>
                  <w:sz w:val="20"/>
                  <w:u w:val="single"/>
                </w:rPr>
                <w:t>Form on Time Based LTIP Unit Award Agreement under the Gaming and Leisure Properties, Inc. Second Amended and Restated 2013 Long Term Incentive Compensation Plan. (Incorporated by reference to Exhibit 10.33 to the Company's annual report on Form 10-K filed on February 20, 2025).</w:t>
              </w:r>
            </w:hyperlink>
          </w:p>
        </w:tc>
      </w:tr>
      <w:tr>
        <w:trPr/>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1">
              <w:r>
                <w:rPr>
                  <w:rStyle w:val="InternetLink"/>
                  <w:rFonts w:ascii="Times New Roman;serif" w:hAnsi="Times New Roman;serif"/>
                  <w:b w:val="false"/>
                  <w:color w:val="0000FF"/>
                  <w:sz w:val="20"/>
                  <w:u w:val="single"/>
                </w:rPr>
                <w:t>Form of Performance LTIP Unit Award Agreement - MSCI Index under the Gaming and Leisure Properties, Inc. Second Amended and Restated 2013 Long-Term Incentive Compensation Plan for Awards issued in 2025. (Incorporated by reference to Exhibit 10.34 to the Company's annual report on Form 10-K filed on February 20, 2025).</w:t>
              </w:r>
            </w:hyperlink>
          </w:p>
        </w:tc>
      </w:tr>
      <w:tr>
        <w:trPr/>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lpi-2026performanceltipun.htm">
              <w:r>
                <w:rPr>
                  <w:rStyle w:val="InternetLink"/>
                  <w:rFonts w:ascii="Times New Roman;serif" w:hAnsi="Times New Roman;serif"/>
                  <w:b w:val="false"/>
                  <w:color w:val="0000FF"/>
                  <w:sz w:val="20"/>
                  <w:u w:val="single"/>
                </w:rPr>
                <w:t xml:space="preserve">Form of Performance LTIP Unit Award Agreement - MSCI Index under the Gaming and Leisure Properties, Inc. Second Amended and Restated 2013 Long-Term Incentive Compensation Plan for Awards issued in 2026. </w:t>
              </w:r>
            </w:hyperlink>
          </w:p>
        </w:tc>
      </w:tr>
      <w:tr>
        <w:trPr/>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2">
              <w:r>
                <w:rPr>
                  <w:rStyle w:val="InternetLink"/>
                  <w:rFonts w:ascii="Times New Roman;serif" w:hAnsi="Times New Roman;serif"/>
                  <w:b w:val="false"/>
                  <w:color w:val="0000FF"/>
                  <w:sz w:val="20"/>
                  <w:u w:val="single"/>
                </w:rPr>
                <w:t>Form of Performance LTIP Unit Award Agreement NNN under the Gaming and Leisure Properties, Inc. Second Amended and Restated 2013 Long-Term Incentive Compensation Plan for Awards issued in 2025. (Incorporated by reference to Exhibit 10.35 to the Company's annual report on Form 10-K filed on February 20, 2025).</w:t>
              </w:r>
            </w:hyperlink>
          </w:p>
        </w:tc>
      </w:tr>
      <w:tr>
        <w:trPr/>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lpi-2026performanceltipnn.htm">
              <w:r>
                <w:rPr>
                  <w:rStyle w:val="InternetLink"/>
                  <w:rFonts w:ascii="Times New Roman;serif" w:hAnsi="Times New Roman;serif"/>
                  <w:b w:val="false"/>
                  <w:color w:val="0000FF"/>
                  <w:sz w:val="20"/>
                  <w:u w:val="single"/>
                </w:rPr>
                <w:t xml:space="preserve">Form of Performance LTIP Unit Award Agreement NNN under the Gaming and Leisure Properties, Inc. Second Amended and Restated 2013 Long-Term Incentive Compensation Plan for Awards issued in 2026. </w:t>
              </w:r>
            </w:hyperlink>
          </w:p>
        </w:tc>
      </w:tr>
      <w:tr>
        <w:trPr/>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3">
              <w:r>
                <w:rPr>
                  <w:rStyle w:val="InternetLink"/>
                  <w:rFonts w:ascii="Times New Roman;serif" w:hAnsi="Times New Roman;serif"/>
                  <w:b w:val="false"/>
                  <w:color w:val="0000FF"/>
                  <w:sz w:val="20"/>
                  <w:u w:val="single"/>
                </w:rPr>
                <w:t>Gaming and Leisure Properties, Inc. Executive Change in Control and Severance Plan. (Incorporated by reference to Exhibit 10.1 to the Company's current report on Form 8-K, filed on February 4, 2019).</w:t>
              </w:r>
            </w:hyperlink>
          </w:p>
        </w:tc>
      </w:tr>
      <w:tr>
        <w:trPr/>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4">
              <w:r>
                <w:rPr>
                  <w:rStyle w:val="InternetLink"/>
                  <w:rFonts w:ascii="Times New Roman;serif" w:hAnsi="Times New Roman;serif"/>
                  <w:b w:val="false"/>
                  <w:color w:val="0000FF"/>
                  <w:sz w:val="20"/>
                  <w:u w:val="single"/>
                </w:rPr>
                <w:t>Second Amended and Restated Master Lease by and among GLP Capital, L.P., as landlord, and Tropicana Entertainment, Inc., IOC Black Hawk Country, Inc. and Isle of Capri Bettendorf, L.L.C., as tenant, dated December 18, 2020. (Incorporated by reference to Exhibit 10.40 to the Company's annual report on Form 10-K filed on February 24, 2022).</w:t>
              </w:r>
            </w:hyperlink>
          </w:p>
        </w:tc>
      </w:tr>
      <w:tr>
        <w:trPr/>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23"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120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335"/>
        <w:gridCol w:w="296"/>
        <w:gridCol w:w="109"/>
        <w:gridCol w:w="109"/>
        <w:gridCol w:w="109"/>
        <w:gridCol w:w="109"/>
        <w:gridCol w:w="2775"/>
        <w:gridCol w:w="2636"/>
        <w:gridCol w:w="3727"/>
      </w:tblGrid>
      <w:tr>
        <w:trPr/>
        <w:tc>
          <w:tcPr>
            <w:tcW w:w="33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5" w:type="dxa"/>
            <w:tcBorders/>
            <w:vAlign w:val="center"/>
          </w:tcPr>
          <w:p>
            <w:pPr>
              <w:pStyle w:val="TableContents"/>
              <w:bidi w:val="0"/>
              <w:spacing w:before="0" w:after="283"/>
              <w:jc w:val="left"/>
              <w:rPr>
                <w:sz w:val="4"/>
                <w:szCs w:val="4"/>
              </w:rPr>
            </w:pPr>
            <w:r>
              <w:rPr>
                <w:sz w:val="4"/>
                <w:szCs w:val="4"/>
              </w:rPr>
            </w:r>
          </w:p>
        </w:tc>
        <w:tc>
          <w:tcPr>
            <w:tcW w:w="2636" w:type="dxa"/>
            <w:tcBorders/>
            <w:vAlign w:val="center"/>
          </w:tcPr>
          <w:p>
            <w:pPr>
              <w:pStyle w:val="TableContents"/>
              <w:bidi w:val="0"/>
              <w:spacing w:before="0" w:after="283"/>
              <w:jc w:val="left"/>
              <w:rPr>
                <w:sz w:val="4"/>
                <w:szCs w:val="4"/>
              </w:rPr>
            </w:pPr>
            <w:r>
              <w:rPr>
                <w:sz w:val="4"/>
                <w:szCs w:val="4"/>
              </w:rPr>
            </w:r>
          </w:p>
        </w:tc>
        <w:tc>
          <w:tcPr>
            <w:tcW w:w="3727" w:type="dxa"/>
            <w:tcBorders/>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5">
              <w:r>
                <w:rPr>
                  <w:rStyle w:val="InternetLink"/>
                  <w:rFonts w:ascii="Times New Roman;serif" w:hAnsi="Times New Roman;serif"/>
                  <w:b w:val="false"/>
                  <w:color w:val="0000FF"/>
                  <w:sz w:val="20"/>
                  <w:u w:val="single"/>
                </w:rPr>
                <w:t>Separation Agreement dated July 27, 2020 by and between the Company and Steven T. Snyder (Incorporated by reference to Exhibit 10.1 to the Company's current report on Form 8-K filed on July 29, 2020).</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6">
              <w:r>
                <w:rPr>
                  <w:rStyle w:val="InternetLink"/>
                  <w:rFonts w:ascii="Times New Roman;serif" w:hAnsi="Times New Roman;serif"/>
                  <w:b w:val="false"/>
                  <w:color w:val="0000FF"/>
                  <w:sz w:val="20"/>
                  <w:u w:val="single"/>
                </w:rPr>
                <w:t>Amended and Restated Agreement of Limited Partnership of GLP Capital, L.P., dated as of December 29, 2021 (Incorporated by reference to Exhibit 10.1 to the Company's current report on Form 8-K filed on December 29, 2021).</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7">
              <w:r>
                <w:rPr>
                  <w:rStyle w:val="InternetLink"/>
                  <w:rFonts w:ascii="Times New Roman;serif" w:hAnsi="Times New Roman;serif"/>
                  <w:b w:val="false"/>
                  <w:color w:val="0000FF"/>
                  <w:sz w:val="20"/>
                  <w:u w:val="single"/>
                </w:rPr>
                <w:t>Credit Agreement dated as of May 13, 2022 by and among GLP Capital, L.P., Wells Fargo Bank, National Association, as administrative agent, and the other agents and lenders party thereto from time to time (Incorporated by reference to Exhibit 10.1 to the Company's quarterly report on Form 10-Q filed on July 28, 2022).</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8">
              <w:r>
                <w:rPr>
                  <w:rStyle w:val="InternetLink"/>
                  <w:rFonts w:ascii="Times New Roman;serif" w:hAnsi="Times New Roman;serif"/>
                  <w:b w:val="false"/>
                  <w:color w:val="0000FF"/>
                  <w:sz w:val="20"/>
                  <w:u w:val="single"/>
                </w:rPr>
                <w:t xml:space="preserve">Term Loan Credit Agreement, dated as of September 2, 2022, by and among GLP Capital, L.P., Wells Fargo Bank, National Association, as administrative agent, and the lenders party thereto (Incorporated by reference to Exhibit 10.1 to the Company's Form 8-K filed on September 8, 2022). </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9">
              <w:r>
                <w:rPr>
                  <w:rStyle w:val="InternetLink"/>
                  <w:rFonts w:ascii="Times New Roman;serif" w:hAnsi="Times New Roman;serif"/>
                  <w:b w:val="false"/>
                  <w:color w:val="0000FF"/>
                  <w:sz w:val="20"/>
                  <w:u w:val="single"/>
                </w:rPr>
                <w:t>Amendment No. 1 to Credit Agreement, dated as of September 2, 2022, by and among GLP Capital, L.P., Wells Fargo Bank, National Association, as administrative agent, and the lenders party thereto (Incorporated by reference to Exhibit 10.2 to the Company's Form 8-K filed on September 8, 2022).</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0">
              <w:r>
                <w:rPr>
                  <w:rStyle w:val="InternetLink"/>
                  <w:rFonts w:ascii="Times New Roman;serif" w:hAnsi="Times New Roman;serif"/>
                  <w:b w:val="false"/>
                  <w:color w:val="0000FF"/>
                  <w:sz w:val="20"/>
                  <w:u w:val="single"/>
                </w:rPr>
                <w:t>Amendment No 2. to Credit Agreement, dated as of December 2, 2024, by and among GLP Capital, L.P., Wells Fargo Bank, National Association, as administrative agent, and the lenders party thereto (Incorporated by reference to Exhibit 10.2 to the Company's Form 8-K filed on December 4, 2024)</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1">
              <w:r>
                <w:rPr>
                  <w:rStyle w:val="InternetLink"/>
                  <w:rFonts w:ascii="Times New Roman;serif" w:hAnsi="Times New Roman;serif"/>
                  <w:b w:val="false"/>
                  <w:color w:val="0000FF"/>
                  <w:sz w:val="20"/>
                  <w:u w:val="single"/>
                </w:rPr>
                <w:t>Binding Term Sheet, dated July 11, 2024, by and between GLP Capital, L.P. and Bally's Corporation (Incorporated by reference to Exhibit 10.1 to the Company's current report on Form 8-K filed on July 12, 2024).</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2">
              <w:r>
                <w:rPr>
                  <w:rStyle w:val="InternetLink"/>
                  <w:rFonts w:ascii="Times New Roman;serif" w:hAnsi="Times New Roman;serif"/>
                  <w:b w:val="false"/>
                  <w:color w:val="0000FF"/>
                  <w:sz w:val="20"/>
                  <w:u w:val="single"/>
                </w:rPr>
                <w:t>Separation Agreement and Release by and between the Company and Matthew Demchyk (Incorporated by reference to Exhibit 10.1 to the Company's quarterly report on Form 10-Q filed on October 30, 2025).</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03">
              <w:r>
                <w:rPr>
                  <w:rStyle w:val="InternetLink"/>
                  <w:rFonts w:ascii="Times New Roman;serif" w:hAnsi="Times New Roman;serif"/>
                  <w:b w:val="false"/>
                  <w:color w:val="0000FF"/>
                  <w:sz w:val="20"/>
                  <w:u w:val="single"/>
                </w:rPr>
                <w:t>Gaming and Leisure Properties, Inc. Policy Statement on Trading in Company Securities (Incorporated by reference to Exhibit 19.1 to the Company's 10-K filed on February 27, 2024).</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lpi-20241231exhibit21.htm">
              <w:r>
                <w:rPr>
                  <w:rStyle w:val="InternetLink"/>
                  <w:rFonts w:ascii="Times New Roman;serif" w:hAnsi="Times New Roman;serif"/>
                  <w:b w:val="false"/>
                  <w:color w:val="0000FF"/>
                  <w:sz w:val="20"/>
                  <w:u w:val="single"/>
                </w:rPr>
                <w:t>Subsidiaries of the Registrant.</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lpi-20251231ex221.htm">
              <w:r>
                <w:rPr>
                  <w:rStyle w:val="InternetLink"/>
                  <w:rFonts w:ascii="Times New Roman;serif" w:hAnsi="Times New Roman;serif"/>
                  <w:b w:val="false"/>
                  <w:color w:val="0000FF"/>
                  <w:sz w:val="20"/>
                  <w:u w:val="single"/>
                </w:rPr>
                <w:t>List of Subsidiary Issuers of Guaranteed Securities.</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lpi-20251231exhibit23.htm">
              <w:r>
                <w:rPr>
                  <w:rStyle w:val="InternetLink"/>
                  <w:rFonts w:ascii="Times New Roman;serif" w:hAnsi="Times New Roman;serif"/>
                  <w:b w:val="false"/>
                  <w:color w:val="0000FF"/>
                  <w:sz w:val="20"/>
                  <w:u w:val="single"/>
                </w:rPr>
                <w:t>Consent of Deloitte &amp; Touche LLP, Independent Registered Public Accounting Firm.</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lpi-20251231exhibit311.htm">
              <w:r>
                <w:rPr>
                  <w:rStyle w:val="InternetLink"/>
                  <w:rFonts w:ascii="Times New Roman;serif" w:hAnsi="Times New Roman;serif"/>
                  <w:b w:val="false"/>
                  <w:color w:val="0000FF"/>
                  <w:sz w:val="20"/>
                  <w:u w:val="single"/>
                </w:rPr>
                <w:t>Principal Executive Officer Certification pursuant to rule 13a-14(a) or 15d-14(a) of the Securities Exchange Act of 1934.</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lpi-20251231exhibit312.htm">
              <w:r>
                <w:rPr>
                  <w:rStyle w:val="InternetLink"/>
                  <w:rFonts w:ascii="Times New Roman;serif" w:hAnsi="Times New Roman;serif"/>
                  <w:b w:val="false"/>
                  <w:color w:val="0000FF"/>
                  <w:sz w:val="20"/>
                  <w:u w:val="single"/>
                </w:rPr>
                <w:t>Principal Financial Officer Certification pursuant to rule 13a-14(a) or 15d-14(a) of the Securities Exchange Act of 1934.</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lpi-20251231exhibit321.htm">
              <w:r>
                <w:rPr>
                  <w:rStyle w:val="InternetLink"/>
                  <w:rFonts w:ascii="Times New Roman;serif" w:hAnsi="Times New Roman;serif"/>
                  <w:b w:val="false"/>
                  <w:color w:val="0000FF"/>
                  <w:sz w:val="20"/>
                  <w:u w:val="single"/>
                </w:rPr>
                <w:t>Principal Executive Officer Certification pursuant to 18 U.S.C. Section 1350, As Adopted Pursuant to Section 906 of The Sarbanes - Oxley Act of 2002.</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lpi-20251231exhibit322.htm">
              <w:r>
                <w:rPr>
                  <w:rStyle w:val="InternetLink"/>
                  <w:rFonts w:ascii="Times New Roman;serif" w:hAnsi="Times New Roman;serif"/>
                  <w:b w:val="false"/>
                  <w:color w:val="0000FF"/>
                  <w:sz w:val="20"/>
                  <w:u w:val="single"/>
                </w:rPr>
                <w:t>Principal Financial Officer Certification pursuant to 18 U.S.C Section 1350, As Adopted Pursuant to Section 906 of The Sarbanes - Oxley Act of 2022.</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4">
              <w:r>
                <w:rPr>
                  <w:rStyle w:val="InternetLink"/>
                  <w:rFonts w:ascii="Times New Roman;serif" w:hAnsi="Times New Roman;serif"/>
                  <w:b w:val="false"/>
                  <w:color w:val="0000FF"/>
                  <w:sz w:val="20"/>
                  <w:u w:val="single"/>
                </w:rPr>
                <w:t>Gaming and Leisure Properties, Inc. Policy Regarding the Mandatory Recovery of Compensation (Incorporated by reference to Exhibit 97.1 to the Company's 10-K filed on February 27, 2024)</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3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financial information from Gaming and Leisure Properties, Inc.'s Annual Report on Form 10-K for the year ended December 31, 2025, formatted in Inline XBRL: (i) Consolidated Balance Sheets, ii) Consolidated Statements of Operations and Comprehensive Income, (iii) Consolidated Statements of Changes in Equity, (iv) Consolidated Statements of Cash Flows and (v) Notes to the Consolidated Financial Statements.</w:t>
            </w:r>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cover page from the Company's Annual Report on Form 10-K for the year ended December 31, 2025, formatted in Inline XBRL and contained in Exhibit 101.</w:t>
            </w:r>
          </w:p>
        </w:tc>
      </w:tr>
    </w:tbl>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    Compensation plans and arrangements for executives and others.</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    Filed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4"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121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88" w:before="16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558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10"/>
        <w:gridCol w:w="410"/>
        <w:gridCol w:w="410"/>
        <w:gridCol w:w="410"/>
        <w:gridCol w:w="410"/>
        <w:gridCol w:w="410"/>
        <w:gridCol w:w="715"/>
        <w:gridCol w:w="715"/>
        <w:gridCol w:w="10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1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GAMING AND LEISURE PROPERTIES, INC.</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PETER M. CARLINO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Peter M. Carlino</w:t>
            </w:r>
          </w:p>
          <w:p>
            <w:pPr>
              <w:pStyle w:val="TableContents"/>
              <w:bidi w:val="0"/>
              <w:spacing w:lineRule="auto" w:line="240" w:before="0" w:after="0"/>
              <w:jc w:val="center"/>
              <w:rPr/>
            </w:pPr>
            <w:r>
              <w:rPr>
                <w:color w:val="000000"/>
              </w:rPr>
              <w:t> </w:t>
            </w:r>
            <w:r>
              <w:rPr>
                <w:rFonts w:ascii="Times New Roman;serif" w:hAnsi="Times New Roman;serif"/>
                <w:b w:val="false"/>
                <w:i/>
                <w:color w:val="000000"/>
                <w:sz w:val="20"/>
              </w:rPr>
              <w:t>Chairman of the Board and</w:t>
            </w:r>
          </w:p>
          <w:p>
            <w:pPr>
              <w:pStyle w:val="TableContents"/>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Chief Executive Officer</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Dated: February 19, 2026 </w:t>
      </w:r>
    </w:p>
    <w:p>
      <w:pPr>
        <w:pStyle w:val="TextBody"/>
        <w:bidi w:val="0"/>
        <w:spacing w:lineRule="auto" w:line="288" w:before="160" w:after="16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this report has been signed below by the following persons on behalf of the registrant and in the capacities and on the dates indicated.</w:t>
      </w:r>
    </w:p>
    <w:tbl>
      <w:tblPr>
        <w:tblW w:w="10205" w:type="dxa"/>
        <w:jc w:val="center"/>
        <w:tblInd w:w="0" w:type="dxa"/>
        <w:tblLayout w:type="fixed"/>
        <w:tblCellMar>
          <w:top w:w="28" w:type="dxa"/>
          <w:left w:w="28" w:type="dxa"/>
          <w:bottom w:w="28" w:type="dxa"/>
          <w:right w:w="28" w:type="dxa"/>
        </w:tblCellMar>
      </w:tblPr>
      <w:tblGrid>
        <w:gridCol w:w="900"/>
        <w:gridCol w:w="730"/>
        <w:gridCol w:w="736"/>
        <w:gridCol w:w="109"/>
        <w:gridCol w:w="109"/>
        <w:gridCol w:w="109"/>
        <w:gridCol w:w="1955"/>
        <w:gridCol w:w="1910"/>
        <w:gridCol w:w="1935"/>
        <w:gridCol w:w="109"/>
        <w:gridCol w:w="109"/>
        <w:gridCol w:w="109"/>
        <w:gridCol w:w="403"/>
        <w:gridCol w:w="403"/>
        <w:gridCol w:w="579"/>
      </w:tblGrid>
      <w:tr>
        <w:trPr/>
        <w:tc>
          <w:tcPr>
            <w:tcW w:w="90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c>
          <w:tcPr>
            <w:tcW w:w="1910" w:type="dxa"/>
            <w:tcBorders/>
            <w:vAlign w:val="center"/>
          </w:tcPr>
          <w:p>
            <w:pPr>
              <w:pStyle w:val="TableContents"/>
              <w:bidi w:val="0"/>
              <w:spacing w:before="0" w:after="283"/>
              <w:jc w:val="left"/>
              <w:rPr>
                <w:sz w:val="4"/>
                <w:szCs w:val="4"/>
              </w:rPr>
            </w:pPr>
            <w:r>
              <w:rPr>
                <w:sz w:val="4"/>
                <w:szCs w:val="4"/>
              </w:rPr>
            </w:r>
          </w:p>
        </w:tc>
        <w:tc>
          <w:tcPr>
            <w:tcW w:w="19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r>
      <w:tr>
        <w:trPr/>
        <w:tc>
          <w:tcPr>
            <w:tcW w:w="23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Signature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8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Title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Date</w:t>
            </w:r>
          </w:p>
        </w:tc>
      </w:tr>
      <w:tr>
        <w:trPr/>
        <w:tc>
          <w:tcPr>
            <w:tcW w:w="236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366"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/s/ PETER M. CARLINO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left"/>
              <w:rPr>
                <w:color w:val="000000"/>
              </w:rPr>
            </w:pPr>
            <w:r>
              <w:rPr>
                <w:color w:val="000000"/>
              </w:rPr>
              <w:t> </w:t>
            </w:r>
          </w:p>
        </w:tc>
        <w:tc>
          <w:tcPr>
            <w:tcW w:w="5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of the Board and Chief Executive Officer (Principal Executive Officer)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19, 2026</w:t>
            </w:r>
          </w:p>
        </w:tc>
      </w:tr>
      <w:tr>
        <w:trPr/>
        <w:tc>
          <w:tcPr>
            <w:tcW w:w="23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Peter M. Carlino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/s/ DESIREE A. BURKE</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5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Treasurer (Principal Financial Officer and 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19, 2026</w:t>
            </w:r>
          </w:p>
        </w:tc>
      </w:tr>
      <w:tr>
        <w:trPr/>
        <w:tc>
          <w:tcPr>
            <w:tcW w:w="23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Desiree A. Burke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6"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/s/ CAROL LYNTON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19, 2026</w:t>
            </w:r>
          </w:p>
        </w:tc>
      </w:tr>
      <w:tr>
        <w:trPr/>
        <w:tc>
          <w:tcPr>
            <w:tcW w:w="23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Carol Lynton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6"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/s/ JOSEPH W. MARSHALL</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19, 2026</w:t>
            </w:r>
          </w:p>
        </w:tc>
      </w:tr>
      <w:tr>
        <w:trPr/>
        <w:tc>
          <w:tcPr>
            <w:tcW w:w="2366"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Joseph W. Marshall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6"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/s/ JAMES B. PERRY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19, 2026</w:t>
            </w:r>
          </w:p>
        </w:tc>
      </w:tr>
      <w:tr>
        <w:trPr/>
        <w:tc>
          <w:tcPr>
            <w:tcW w:w="2366"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James B. Perry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3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/s/ MICHAEL BOROFSKY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19, 2026</w:t>
            </w:r>
          </w:p>
        </w:tc>
      </w:tr>
      <w:tr>
        <w:trPr/>
        <w:tc>
          <w:tcPr>
            <w:tcW w:w="23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Michael Borofsky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6"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/s/ EARL C. SHANKS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19, 2026</w:t>
            </w:r>
          </w:p>
        </w:tc>
      </w:tr>
      <w:tr>
        <w:trPr/>
        <w:tc>
          <w:tcPr>
            <w:tcW w:w="2366"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Earl C. Shanks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6"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/s/ E. SCOTT URDANG</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19, 2026</w:t>
            </w:r>
          </w:p>
        </w:tc>
      </w:tr>
      <w:tr>
        <w:trPr/>
        <w:tc>
          <w:tcPr>
            <w:tcW w:w="23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 Scott Urdang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3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/s/ DEBRA MARTIN CHASE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19, 2026</w:t>
            </w:r>
          </w:p>
        </w:tc>
      </w:tr>
      <w:tr>
        <w:trPr/>
        <w:tc>
          <w:tcPr>
            <w:tcW w:w="23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Debra Martin Chase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5" name="Frame1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122</w:t>
                      </w:r>
                    </w:p>
                  </w:txbxContent>
                </v:textbox>
                <w10:wrap type="none"/>
              </v:rect>
            </w:pict>
          </mc:Fallback>
        </mc:AlternateContent>
      </w: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Exhibit 4.31</w:t>
      </w:r>
    </w:p>
    <w:p>
      <w:pPr>
        <w:pStyle w:val="TextBody"/>
        <w:bidi w:val="0"/>
        <w:spacing w:before="0" w:after="0"/>
        <w:jc w:val="right"/>
        <w:rPr/>
      </w:pPr>
      <w:r>
        <w:rPr/>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 xml:space="preserve">DESCRIPTION OF GAMING AND LEISURE PROPERTIES, INC.’S SECURITIES </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REGISTERED PURSUANT TO SECTION 12 OF THE SECURITIES EXCHANGE ACT OF 1934</w:t>
      </w:r>
    </w:p>
    <w:p>
      <w:pPr>
        <w:pStyle w:val="TextBody"/>
        <w:bidi w:val="0"/>
        <w:spacing w:lineRule="auto" w:line="333" w:before="240" w:after="283"/>
        <w:jc w:val="left"/>
        <w:rPr/>
      </w:pPr>
      <w:r>
        <w:rPr>
          <w:rFonts w:ascii="Times New Roman;serif" w:hAnsi="Times New Roman;serif"/>
          <w:b w:val="false"/>
          <w:i/>
          <w:color w:val="000000"/>
          <w:sz w:val="20"/>
        </w:rPr>
        <w:t xml:space="preserve">The following is a summary of certain information concerning Gaming and Leisure Properties, Inc.’s (“GLPI,” “we,” “us,” or “our”) securities registered pursuant to Section 12 of the Securities Exchange Act of 1934, as amended (the “Exchange Act”). The summaries and descriptions below do not purport to be complete statements of the relevant provisions of GLPI’s amended and restated articles of incorporation (the “Articles of Incorporation”) and second amended and restated bylaws (the “Bylaws”). The summaries are qualified in their entirety by reference to the full text of GLPI’s Articles of Incorporation and Bylaws, which are included as exhibits to GLPI’s Annual Report on Form 10-K for the year ended </w:t>
      </w:r>
      <w:r>
        <w:rPr>
          <w:rFonts w:ascii="Times New Roman;serif" w:hAnsi="Times New Roman;serif"/>
          <w:b w:val="false"/>
          <w:color w:val="000000"/>
          <w:sz w:val="20"/>
        </w:rPr>
        <w:t>December 31, 2025</w:t>
      </w:r>
      <w:r>
        <w:rPr>
          <w:rFonts w:ascii="Times New Roman;serif" w:hAnsi="Times New Roman;serif"/>
          <w:b w:val="false"/>
          <w:i/>
          <w:color w:val="000000"/>
          <w:sz w:val="20"/>
        </w:rPr>
        <w:t xml:space="preserve">, of which this exhibit is a part. </w:t>
      </w:r>
    </w:p>
    <w:p>
      <w:pPr>
        <w:pStyle w:val="TextBody"/>
        <w:bidi w:val="0"/>
        <w:spacing w:lineRule="auto" w:line="333" w:before="240" w:after="283"/>
        <w:jc w:val="center"/>
        <w:rPr>
          <w:rFonts w:ascii="Times New Roman;serif" w:hAnsi="Times New Roman;serif"/>
          <w:b/>
          <w:color w:val="000000"/>
          <w:sz w:val="20"/>
        </w:rPr>
      </w:pPr>
      <w:r>
        <w:rPr>
          <w:rFonts w:ascii="Times New Roman;serif" w:hAnsi="Times New Roman;serif"/>
          <w:b/>
          <w:color w:val="000000"/>
          <w:sz w:val="20"/>
        </w:rPr>
        <w:t>DESCRIPTION OF CAPITAL STOCK</w:t>
      </w:r>
    </w:p>
    <w:p>
      <w:pPr>
        <w:pStyle w:val="TextBody"/>
        <w:bidi w:val="0"/>
        <w:spacing w:lineRule="auto" w:line="333" w:before="360" w:after="283"/>
        <w:jc w:val="left"/>
        <w:rPr>
          <w:rFonts w:ascii="Times New Roman;serif" w:hAnsi="Times New Roman;serif"/>
          <w:b/>
          <w:color w:val="000000"/>
          <w:sz w:val="20"/>
        </w:rPr>
      </w:pPr>
      <w:r>
        <w:rPr>
          <w:rFonts w:ascii="Times New Roman;serif" w:hAnsi="Times New Roman;serif"/>
          <w:b/>
          <w:color w:val="000000"/>
          <w:sz w:val="20"/>
        </w:rPr>
        <w:t xml:space="preserve">General </w:t>
      </w:r>
    </w:p>
    <w:p>
      <w:pPr>
        <w:pStyle w:val="TextBody"/>
        <w:bidi w:val="0"/>
        <w:spacing w:lineRule="auto" w:line="333"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Articles of Incorporation provide that GLPI may issue up to 500,000,000 shares of common stock, par value $0.01 per share, and 50,000,000 shares of preferred stock, par value $0.01 per share. No shares of our preferred stock are issued and outstanding. </w:t>
      </w:r>
    </w:p>
    <w:p>
      <w:pPr>
        <w:pStyle w:val="TextBody"/>
        <w:bidi w:val="0"/>
        <w:spacing w:lineRule="auto" w:line="333" w:before="120" w:after="283"/>
        <w:jc w:val="left"/>
        <w:rPr>
          <w:rFonts w:ascii="Times New Roman;serif" w:hAnsi="Times New Roman;serif"/>
          <w:b w:val="false"/>
          <w:color w:val="000000"/>
          <w:sz w:val="20"/>
        </w:rPr>
      </w:pPr>
      <w:r>
        <w:rPr>
          <w:rFonts w:ascii="Times New Roman;serif" w:hAnsi="Times New Roman;serif"/>
          <w:b w:val="false"/>
          <w:color w:val="000000"/>
          <w:sz w:val="20"/>
        </w:rPr>
        <w:t>GLPI may issue common stock from time to time. GLPI’s board of directors must approve the amount of stock it sells and the price for which it is sold.</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issued and outstanding shares of GLPI common stock are fully paid and nonassessable. This means the full purchase price for the outstanding shares of common stock has been paid and the holders of such shares will not be assessed any additional amounts for such shares. Any additional shares of common stock that GLPI may issue in the future will also be fully paid and nonassessable. </w:t>
      </w:r>
    </w:p>
    <w:p>
      <w:pPr>
        <w:pStyle w:val="TextBody"/>
        <w:bidi w:val="0"/>
        <w:spacing w:lineRule="auto" w:line="333" w:before="360" w:after="283"/>
        <w:jc w:val="left"/>
        <w:rPr>
          <w:rFonts w:ascii="Times New Roman;serif" w:hAnsi="Times New Roman;serif"/>
          <w:b/>
          <w:color w:val="000000"/>
          <w:sz w:val="20"/>
        </w:rPr>
      </w:pPr>
      <w:r>
        <w:rPr>
          <w:rFonts w:ascii="Times New Roman;serif" w:hAnsi="Times New Roman;serif"/>
          <w:b/>
          <w:color w:val="000000"/>
          <w:sz w:val="20"/>
        </w:rPr>
        <w:t xml:space="preserve">Dividends </w:t>
      </w:r>
    </w:p>
    <w:p>
      <w:pPr>
        <w:pStyle w:val="TextBody"/>
        <w:bidi w:val="0"/>
        <w:spacing w:lineRule="auto" w:line="333"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Subject to prior dividend rights of the holders of any preferred stock, applicable law and the restrictions of the Articles of Incorporation on ownership and transfer of GLPI’s stock, holders of GLPI common stock will be entitled to receive dividends when and if declared by its board of directors out of funds legally available for that purpose. </w:t>
      </w:r>
    </w:p>
    <w:p>
      <w:pPr>
        <w:pStyle w:val="TextBody"/>
        <w:bidi w:val="0"/>
        <w:spacing w:before="120" w:after="283"/>
        <w:jc w:val="left"/>
        <w:rPr/>
      </w:pPr>
      <w:r>
        <w:rPr/>
      </w:r>
    </w:p>
    <w:p>
      <w:pPr>
        <w:pStyle w:val="TextBody"/>
        <w:bidi w:val="0"/>
        <w:spacing w:lineRule="auto" w:line="333" w:before="120" w:after="283"/>
        <w:jc w:val="left"/>
        <w:rPr>
          <w:rFonts w:ascii="Times New Roman;serif" w:hAnsi="Times New Roman;serif"/>
          <w:b/>
          <w:color w:val="000000"/>
          <w:sz w:val="20"/>
        </w:rPr>
      </w:pPr>
      <w:r>
        <w:rPr>
          <w:rFonts w:ascii="Times New Roman;serif" w:hAnsi="Times New Roman;serif"/>
          <w:b/>
          <w:color w:val="000000"/>
          <w:sz w:val="20"/>
        </w:rPr>
        <w:t>Liquidation</w:t>
      </w:r>
    </w:p>
    <w:p>
      <w:pPr>
        <w:pStyle w:val="TextBody"/>
        <w:bidi w:val="0"/>
        <w:spacing w:lineRule="auto" w:line="333"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the event of any liquidation, dissolution or winding up of GLPI after the satisfaction in full of the liquidation preferences of holders of any preferred stock, holders of shares of our common stock will be entitled to ratable distribution of the remaining assets available for distribution to shareholders. </w:t>
      </w:r>
    </w:p>
    <w:p>
      <w:pPr>
        <w:pStyle w:val="TextBody"/>
        <w:bidi w:val="0"/>
        <w:spacing w:lineRule="auto" w:line="333" w:before="360" w:after="283"/>
        <w:jc w:val="left"/>
        <w:rPr>
          <w:rFonts w:ascii="Times New Roman;serif" w:hAnsi="Times New Roman;serif"/>
          <w:b/>
          <w:color w:val="000000"/>
          <w:sz w:val="20"/>
        </w:rPr>
      </w:pPr>
      <w:r>
        <w:rPr>
          <w:rFonts w:ascii="Times New Roman;serif" w:hAnsi="Times New Roman;serif"/>
          <w:b/>
          <w:color w:val="000000"/>
          <w:sz w:val="20"/>
        </w:rPr>
        <w:t xml:space="preserve">Voting Rights </w:t>
      </w:r>
    </w:p>
    <w:p>
      <w:pPr>
        <w:pStyle w:val="TextBody"/>
        <w:bidi w:val="0"/>
        <w:spacing w:lineRule="auto" w:line="333"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Subject to the rights of the holders of preferred stock, applicable law and restrictions of the Articles of Incorporation on ownership and transfer of GLPI’s stock, each share of common stock will be entitled to one vote on all matters submitted to a vote of shareholders, including the election of directors, and the holders of common stock possess the exclusive voting power. Holders of shares of common stock will not have cumulative voting rights in the election of directors of GLPI. Generally, all matters to be voted on by shareholders must be approved by a majority of the votes cast by the holders of shares entitled to vote at a meeting at which a quorum is present, subject to any voting rights granted to holders of any then outstanding preferred stock. </w:t>
      </w:r>
    </w:p>
    <w:p>
      <w:pPr>
        <w:pStyle w:val="TextBody"/>
        <w:bidi w:val="0"/>
        <w:spacing w:before="36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320675"/>
                <wp:effectExtent l="0" t="0" r="0" b="0"/>
                <wp:wrapNone/>
                <wp:docPr id="126" name="Frame126"/>
                <a:graphic xmlns:a="http://schemas.openxmlformats.org/drawingml/2006/main">
                  <a:graphicData uri="http://schemas.microsoft.com/office/word/2010/wordprocessingShape">
                    <wps:wsp>
                      <wps:cNvSpPr txBox="1"/>
                      <wps:spPr>
                        <a:xfrm>
                          <a:off x="0" y="0"/>
                          <a:ext cx="6480175" cy="32067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101945986.3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101945986.3</w:t>
                      </w:r>
                    </w:p>
                  </w:txbxContent>
                </v:textbox>
                <w10:wrap type="none"/>
              </v:rect>
            </w:pict>
          </mc:Fallback>
        </mc:AlternateContent>
      </w:r>
    </w:p>
    <w:p>
      <w:pPr>
        <w:pStyle w:val="TextBody"/>
        <w:bidi w:val="0"/>
        <w:spacing w:lineRule="auto" w:line="333" w:before="360" w:after="283"/>
        <w:jc w:val="left"/>
        <w:rPr>
          <w:rFonts w:ascii="Times New Roman;serif" w:hAnsi="Times New Roman;serif"/>
          <w:b/>
          <w:color w:val="000000"/>
          <w:sz w:val="20"/>
        </w:rPr>
      </w:pPr>
      <w:r>
        <w:rPr>
          <w:rFonts w:ascii="Times New Roman;serif" w:hAnsi="Times New Roman;serif"/>
          <w:b/>
          <w:color w:val="000000"/>
          <w:sz w:val="20"/>
        </w:rPr>
        <w:t xml:space="preserve">Other Rights </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Holders of GLPI’s common stock do not have any preemptive, subscription, redemption, conversion or sinking fund rights with respect to the common stock, or any instruments convertible (directly or indirectly) into GLPI stock. </w:t>
      </w:r>
    </w:p>
    <w:p>
      <w:pPr>
        <w:pStyle w:val="TextBody"/>
        <w:bidi w:val="0"/>
        <w:spacing w:lineRule="auto" w:line="333" w:before="120" w:after="283"/>
        <w:jc w:val="left"/>
        <w:rPr/>
      </w:pPr>
      <w:r>
        <w:rPr>
          <w:rFonts w:ascii="Times New Roman;serif" w:hAnsi="Times New Roman;serif"/>
          <w:b w:val="false"/>
          <w:color w:val="000000"/>
          <w:sz w:val="20"/>
        </w:rPr>
        <w:t xml:space="preserve">Subject to the restrictions of the Articles of Incorporation on ownership and transfer of GLPI’s stock, holders of shares of GLPI common stock generally will have no preference or appraisal rights. Subject to the restrictions in the Articles of Incorporation on ownership and transfer of GLPI’s stock, holders of shares of GLPI’s common stock initially will have equal dividend, liquidation and other rights. </w:t>
      </w:r>
      <w:r>
        <w:rPr>
          <w:color w:val="000000"/>
        </w:rPr>
        <w:t> </w:t>
      </w:r>
    </w:p>
    <w:p>
      <w:pPr>
        <w:pStyle w:val="TextBody"/>
        <w:bidi w:val="0"/>
        <w:spacing w:before="120" w:after="283"/>
        <w:jc w:val="left"/>
        <w:rPr/>
      </w:pPr>
      <w:r>
        <w:rPr/>
      </w:r>
    </w:p>
    <w:p>
      <w:pPr>
        <w:pStyle w:val="TextBody"/>
        <w:bidi w:val="0"/>
        <w:spacing w:lineRule="auto" w:line="333" w:before="120" w:after="283"/>
        <w:jc w:val="left"/>
        <w:rPr>
          <w:rFonts w:ascii="Times New Roman;serif" w:hAnsi="Times New Roman;serif"/>
          <w:b/>
          <w:color w:val="000000"/>
          <w:sz w:val="20"/>
        </w:rPr>
      </w:pPr>
      <w:r>
        <w:rPr>
          <w:rFonts w:ascii="Times New Roman;serif" w:hAnsi="Times New Roman;serif"/>
          <w:b/>
          <w:color w:val="000000"/>
          <w:sz w:val="20"/>
        </w:rPr>
        <w:t>Trading Symbol</w:t>
      </w:r>
    </w:p>
    <w:p>
      <w:pPr>
        <w:pStyle w:val="TextBody"/>
        <w:bidi w:val="0"/>
        <w:spacing w:lineRule="auto" w:line="333" w:before="120" w:after="283"/>
        <w:jc w:val="left"/>
        <w:rPr>
          <w:rFonts w:ascii="Times New Roman;serif" w:hAnsi="Times New Roman;serif"/>
          <w:b w:val="false"/>
          <w:color w:val="000000"/>
          <w:sz w:val="20"/>
        </w:rPr>
      </w:pPr>
      <w:r>
        <w:rPr>
          <w:rFonts w:ascii="Times New Roman;serif" w:hAnsi="Times New Roman;serif"/>
          <w:b w:val="false"/>
          <w:color w:val="000000"/>
          <w:sz w:val="20"/>
        </w:rPr>
        <w:t>Our common stock is traded on the NASDAQ Global Select Market under the symbol “GLPI.”</w:t>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color w:val="000000"/>
          <w:sz w:val="20"/>
        </w:rPr>
      </w:pPr>
      <w:r>
        <w:rPr>
          <w:rFonts w:ascii="Times New Roman;serif" w:hAnsi="Times New Roman;serif"/>
          <w:b/>
          <w:color w:val="000000"/>
          <w:sz w:val="20"/>
        </w:rPr>
        <w:t xml:space="preserve">Preferred Stock </w:t>
      </w:r>
    </w:p>
    <w:p>
      <w:pPr>
        <w:pStyle w:val="TextBody"/>
        <w:bidi w:val="0"/>
        <w:spacing w:lineRule="auto" w:line="333"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Under the Articles of Incorporation, GLPI’s board of directors may from time to time establish and cause GLPI to issue one or more series of preferred stock and set the terms, preferences, conversion or other rights, voting powers, restrictions, limitations as to dividends or other distributions, qualifications, or terms or conditions of redemption of such class or series. The authority of GLPI’s board of directors with respect to each series of preferred stock includes, but is not limited to, the determination of the following: </w:t>
      </w:r>
    </w:p>
    <w:p>
      <w:pPr>
        <w:pStyle w:val="TextBody"/>
        <w:bidi w:val="0"/>
        <w:spacing w:before="120" w:after="283"/>
        <w:jc w:val="left"/>
        <w:rPr/>
      </w:pPr>
      <w:r>
        <w:rPr/>
      </w:r>
    </w:p>
    <w:p>
      <w:pPr>
        <w:pStyle w:val="TextBody"/>
        <w:bidi w:val="0"/>
        <w:spacing w:lineRule="auto" w:line="333" w:before="120" w:after="283"/>
        <w:ind w:left="0" w:right="0" w:hanging="360"/>
        <w:jc w:val="left"/>
        <w:rPr/>
      </w:pPr>
      <w:r>
        <w:rPr>
          <w:color w:val="000000"/>
        </w:rPr>
        <w:t>•</w:t>
      </w:r>
      <w:r>
        <w:rPr>
          <w:rFonts w:ascii="Times New Roman;serif" w:hAnsi="Times New Roman;serif"/>
          <w:b w:val="false"/>
          <w:color w:val="000000"/>
          <w:sz w:val="20"/>
        </w:rPr>
        <w:t xml:space="preserve">the designation of the series, which may be by distinguishing number, letter or title; </w:t>
      </w:r>
    </w:p>
    <w:p>
      <w:pPr>
        <w:pStyle w:val="TextBody"/>
        <w:bidi w:val="0"/>
        <w:spacing w:lineRule="auto" w:line="333" w:before="120" w:after="283"/>
        <w:ind w:left="0" w:right="0" w:hanging="360"/>
        <w:jc w:val="left"/>
        <w:rPr/>
      </w:pPr>
      <w:r>
        <w:rPr>
          <w:color w:val="000000"/>
        </w:rPr>
        <w:t>•</w:t>
      </w:r>
      <w:r>
        <w:rPr>
          <w:rFonts w:ascii="Times New Roman;serif" w:hAnsi="Times New Roman;serif"/>
          <w:b w:val="false"/>
          <w:color w:val="000000"/>
          <w:sz w:val="20"/>
        </w:rPr>
        <w:t xml:space="preserve">the number of shares constituting such series, including the authority to increase or decrease such number (but not below the number of shares thereof then outstanding); </w:t>
      </w:r>
    </w:p>
    <w:p>
      <w:pPr>
        <w:pStyle w:val="TextBody"/>
        <w:bidi w:val="0"/>
        <w:spacing w:lineRule="auto" w:line="333" w:before="120" w:after="283"/>
        <w:ind w:left="0" w:right="0" w:hanging="360"/>
        <w:jc w:val="left"/>
        <w:rPr/>
      </w:pPr>
      <w:r>
        <w:rPr>
          <w:color w:val="000000"/>
        </w:rPr>
        <w:t>•</w:t>
      </w:r>
      <w:r>
        <w:rPr>
          <w:rFonts w:ascii="Times New Roman;serif" w:hAnsi="Times New Roman;serif"/>
          <w:b w:val="false"/>
          <w:color w:val="000000"/>
          <w:sz w:val="20"/>
        </w:rPr>
        <w:t xml:space="preserve">the dividend rate of the shares of such series, whether the dividends shall be cumulative and, if so, the date from which they shall be cumulative, and the relative rights of priority, if any, of payment of dividends on shares of such series; </w:t>
      </w:r>
    </w:p>
    <w:p>
      <w:pPr>
        <w:pStyle w:val="TextBody"/>
        <w:bidi w:val="0"/>
        <w:spacing w:lineRule="auto" w:line="333" w:before="120" w:after="283"/>
        <w:ind w:left="0" w:right="0" w:hanging="360"/>
        <w:jc w:val="left"/>
        <w:rPr/>
      </w:pPr>
      <w:r>
        <w:rPr>
          <w:color w:val="000000"/>
        </w:rPr>
        <w:t>•</w:t>
      </w:r>
      <w:r>
        <w:rPr>
          <w:rFonts w:ascii="Times New Roman;serif" w:hAnsi="Times New Roman;serif"/>
          <w:b w:val="false"/>
          <w:color w:val="000000"/>
          <w:sz w:val="20"/>
        </w:rPr>
        <w:t xml:space="preserve">the dates at which dividends, if any, shall be payable; </w:t>
      </w:r>
    </w:p>
    <w:p>
      <w:pPr>
        <w:pStyle w:val="TextBody"/>
        <w:bidi w:val="0"/>
        <w:spacing w:lineRule="auto" w:line="333" w:before="120" w:after="283"/>
        <w:ind w:left="0" w:right="0" w:hanging="360"/>
        <w:jc w:val="left"/>
        <w:rPr/>
      </w:pPr>
      <w:r>
        <w:rPr>
          <w:color w:val="000000"/>
        </w:rPr>
        <w:t>•</w:t>
      </w:r>
      <w:r>
        <w:rPr>
          <w:rFonts w:ascii="Times New Roman;serif" w:hAnsi="Times New Roman;serif"/>
          <w:b w:val="false"/>
          <w:color w:val="000000"/>
          <w:sz w:val="20"/>
        </w:rPr>
        <w:t xml:space="preserve">the right, if any, of GLPI to redeem shares of such series and the terms and conditions of such redemption; </w:t>
      </w:r>
    </w:p>
    <w:p>
      <w:pPr>
        <w:pStyle w:val="TextBody"/>
        <w:bidi w:val="0"/>
        <w:spacing w:lineRule="auto" w:line="333" w:before="120" w:after="283"/>
        <w:ind w:left="0" w:right="0" w:hanging="360"/>
        <w:jc w:val="left"/>
        <w:rPr/>
      </w:pPr>
      <w:r>
        <w:rPr>
          <w:color w:val="000000"/>
        </w:rPr>
        <w:t>•</w:t>
      </w:r>
      <w:r>
        <w:rPr>
          <w:rFonts w:ascii="Times New Roman;serif" w:hAnsi="Times New Roman;serif"/>
          <w:b w:val="false"/>
          <w:color w:val="000000"/>
          <w:sz w:val="20"/>
        </w:rPr>
        <w:t xml:space="preserve">the rights of the shares in case of a voluntary or involuntary liquidation, dissolution or winding up of GLPI, and the relative rights of priority, if any, of payment of shares of such series; </w:t>
      </w:r>
    </w:p>
    <w:p>
      <w:pPr>
        <w:pStyle w:val="TextBody"/>
        <w:bidi w:val="0"/>
        <w:spacing w:lineRule="auto" w:line="333" w:before="120" w:after="283"/>
        <w:ind w:left="0" w:right="0" w:hanging="360"/>
        <w:jc w:val="left"/>
        <w:rPr/>
      </w:pPr>
      <w:r>
        <w:rPr>
          <w:color w:val="000000"/>
        </w:rPr>
        <w:t>•</w:t>
      </w:r>
      <w:r>
        <w:rPr>
          <w:rFonts w:ascii="Times New Roman;serif" w:hAnsi="Times New Roman;serif"/>
          <w:b w:val="false"/>
          <w:color w:val="000000"/>
          <w:sz w:val="20"/>
        </w:rPr>
        <w:t>the voting power, if any, of such series and the terms and conditions under which such voting power may be exercised;</w:t>
      </w:r>
    </w:p>
    <w:p>
      <w:pPr>
        <w:pStyle w:val="TextBody"/>
        <w:bidi w:val="0"/>
        <w:spacing w:lineRule="auto" w:line="333" w:before="120" w:after="283"/>
        <w:ind w:left="0" w:right="0" w:hanging="360"/>
        <w:jc w:val="left"/>
        <w:rPr/>
      </w:pPr>
      <w:r>
        <w:rPr>
          <w:color w:val="000000"/>
        </w:rPr>
        <w:t>•</w:t>
      </w:r>
      <w:r>
        <w:rPr>
          <w:rFonts w:ascii="Times New Roman;serif" w:hAnsi="Times New Roman;serif"/>
          <w:b w:val="false"/>
          <w:color w:val="000000"/>
          <w:sz w:val="20"/>
        </w:rPr>
        <w:t xml:space="preserve">the obligation, if any, of GLPI to retire shares of such series pursuant to a retirement or sinking fund or funds of a similar nature or otherwise and the terms and conditions of such obligations; </w:t>
      </w:r>
    </w:p>
    <w:p>
      <w:pPr>
        <w:pStyle w:val="TextBody"/>
        <w:bidi w:val="0"/>
        <w:spacing w:lineRule="auto" w:line="333" w:before="120" w:after="283"/>
        <w:ind w:left="0" w:right="0" w:hanging="360"/>
        <w:jc w:val="left"/>
        <w:rPr/>
      </w:pPr>
      <w:r>
        <w:rPr>
          <w:color w:val="000000"/>
        </w:rPr>
        <w:t>•</w:t>
      </w:r>
      <w:r>
        <w:rPr>
          <w:rFonts w:ascii="Times New Roman;serif" w:hAnsi="Times New Roman;serif"/>
          <w:b w:val="false"/>
          <w:color w:val="000000"/>
          <w:sz w:val="20"/>
        </w:rPr>
        <w:t xml:space="preserve">the terms and conditions, if any, upon which shares of such series shall be convertible into or exchangeable for shares of stock of any other class or classes, including the price or prices or the rate or rates of conversion or exchange and the terms of adjustment, if any; </w:t>
      </w:r>
    </w:p>
    <w:p>
      <w:pPr>
        <w:pStyle w:val="TextBody"/>
        <w:bidi w:val="0"/>
        <w:spacing w:lineRule="auto" w:line="333" w:before="120" w:after="283"/>
        <w:ind w:left="0" w:right="0" w:hanging="360"/>
        <w:jc w:val="left"/>
        <w:rPr/>
      </w:pPr>
      <w:r>
        <w:rPr>
          <w:color w:val="000000"/>
        </w:rPr>
        <w:t>•</w:t>
      </w:r>
      <w:r>
        <w:rPr>
          <w:rFonts w:ascii="Times New Roman;serif" w:hAnsi="Times New Roman;serif"/>
          <w:b w:val="false"/>
          <w:color w:val="000000"/>
          <w:sz w:val="20"/>
        </w:rPr>
        <w:t xml:space="preserve">restrictions on the issuance of shares of the same series or of any other class or series; and </w:t>
      </w:r>
    </w:p>
    <w:p>
      <w:pPr>
        <w:pStyle w:val="TextBody"/>
        <w:bidi w:val="0"/>
        <w:spacing w:lineRule="auto" w:line="333" w:before="120" w:after="283"/>
        <w:ind w:left="0" w:right="0" w:hanging="360"/>
        <w:jc w:val="left"/>
        <w:rPr/>
      </w:pPr>
      <w:r>
        <w:rPr>
          <w:color w:val="000000"/>
        </w:rPr>
        <w:t>•</w:t>
      </w:r>
      <w:r>
        <w:rPr>
          <w:rFonts w:ascii="Times New Roman;serif" w:hAnsi="Times New Roman;serif"/>
          <w:b w:val="false"/>
          <w:color w:val="000000"/>
          <w:sz w:val="20"/>
        </w:rPr>
        <w:t xml:space="preserve">any other rights, preferences or limitations of the shares of such series. </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left"/>
        <w:rPr/>
      </w:pPr>
      <w:r>
        <w:rPr>
          <w:color w:val="000000"/>
        </w:rPr>
        <w:t> </w:t>
      </w:r>
      <w:r>
        <w:rPr>
          <w:rFonts w:ascii="Times New Roman;serif" w:hAnsi="Times New Roman;serif"/>
          <w:b w:val="false"/>
          <w:color w:val="000000"/>
          <w:sz w:val="20"/>
        </w:rPr>
        <w:t xml:space="preserve">Accordingly, GLPI’s board of directors, without shareholder approval, may issue preferred stock with voting, conversion, or other rights that could adversely affect the voting power and other rights of the holders of GLPI’s common stock. Preferred stock could be issued quickly with terms calculated to delay, defer, or prevent a change of control or other corporate action, or make removal of management more difficult. Additionally, the issuance of preferred stock may have the effect of decreasing the market price of GLPI’s common stock and may adversely affect the voting and other rights of the holders of GLPI’s common stock.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320675"/>
                <wp:effectExtent l="0" t="0" r="0" b="0"/>
                <wp:wrapNone/>
                <wp:docPr id="127" name="Frame127"/>
                <a:graphic xmlns:a="http://schemas.openxmlformats.org/drawingml/2006/main">
                  <a:graphicData uri="http://schemas.microsoft.com/office/word/2010/wordprocessingShape">
                    <wps:wsp>
                      <wps:cNvSpPr txBox="1"/>
                      <wps:spPr>
                        <a:xfrm>
                          <a:off x="0" y="0"/>
                          <a:ext cx="6480175" cy="32067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101945986.3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101945986.3</w:t>
                      </w:r>
                    </w:p>
                  </w:txbxContent>
                </v:textbox>
                <w10:wrap type="none"/>
              </v:rect>
            </w:pict>
          </mc:Fallback>
        </mc:AlternateContent>
      </w:r>
    </w:p>
    <w:p>
      <w:pPr>
        <w:pStyle w:val="TextBody"/>
        <w:bidi w:val="0"/>
        <w:spacing w:lineRule="auto" w:line="333" w:before="0" w:after="0"/>
        <w:jc w:val="left"/>
        <w:rPr>
          <w:rFonts w:ascii="Times New Roman;serif" w:hAnsi="Times New Roman;serif"/>
          <w:b/>
          <w:color w:val="000000"/>
          <w:sz w:val="20"/>
        </w:rPr>
      </w:pPr>
      <w:r>
        <w:rPr>
          <w:rFonts w:ascii="Times New Roman;serif" w:hAnsi="Times New Roman;serif"/>
          <w:b/>
          <w:color w:val="000000"/>
          <w:sz w:val="20"/>
        </w:rPr>
        <w:t xml:space="preserve">Restrictions on Ownership and Transfer </w:t>
      </w:r>
    </w:p>
    <w:p>
      <w:pPr>
        <w:pStyle w:val="TextBody"/>
        <w:bidi w:val="0"/>
        <w:spacing w:lineRule="auto" w:line="333"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order for GLPI to qualify to be taxed as a real estate investment trust (“REIT”) under the Internal Revenue Code of 1986, as amended (the “Code”), shares of its stock must be beneficially owned by 100 or more persons during at least 335 days of a taxable year of twelve months (other than the first year for which an election to qualify to be taxed as a REIT has been made) or during a proportionate part of a shorter taxable year. Also, not more than 50% of the value of the outstanding shares of GLPI stock (after taking into account options to acquire shares of stock) may be owned, directly or indirectly, by five or fewer individuals (as defined in the Code to include certain entities such as qualified pension plans) during the last half of a taxable year (other than the first year for which an election to be a REIT has been made). In addition, rent from related party tenants (generally, a tenant of a REIT owned, actually or constructively, 10% or more by the REIT, or a 10% owner of the REIT) is not qualifying income for purposes of the gross income tests under the Code. To qualify to be taxed as a REIT, GLPI must satisfy other requirements as well. </w:t>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Articles of Incorporation contain restrictions on the ownership and transfer of GLPI’s stock that are intended to assist GLPI in complying with these requirements. The relevant sections of the Articles of Incorporation provide that, subject to the exceptions described below, no person or entity may own, or be deemed to own, beneficially or by virtue of the applicable constructive ownership provisions of the Code, more than 7% of the outstanding shares of GLPI common stock (the “common stock ownership limit”) or more than 7% in value or in number, whichever is more restrictive, of the outstanding shares of all classes or series of GLPI stock (the “aggregate stock ownership limit”). The common stock ownership limit and the aggregate stock ownership limit are collectively referred to as the “ownership limits.” The person or entity that, but for operation of the ownership limits or another restriction on ownership and transfer of GLPI stock as described below, would beneficially own or constructively own shares of GLPI stock in violation of such limits or restrictions or, if appropriate in the context, a person or entity that would have been the record owner of such shares of GLPI stock is referred to as a “prohibited owner.” </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constructive ownership rules under the Code are complex and may cause stock owned beneficially or constructively by a group of related individuals and/or entities to be owned beneficially or constructively by one individual or entity. As a result, the acquisition of less than 7% of the outstanding shares of GLPI common stock or less than 7% in value or in number, whichever is more restrictive, of the outstanding shares of all classes and series of GLPI stock (or the acquisition by an individual or entity of an interest in an entity that owns, beneficially or constructively, shares of GLPI stock) could, nevertheless, cause that individual or entity, or another individual or entity, to own beneficially or constructively shares of GLPI stock in excess of the ownership limits. In addition, a person that did not acquire more than 7% of our outstanding stock may become subject to these restrictions if repurchases by us cause such person’s holdings to exceed 7% of our outstanding stock. </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Articles of Incorporation, GLPI’s board of directors may exempt, prospectively or retroactively, a particular shareholder (the “excepted holder”) from the ownership limits or establish a different limit on ownership (the “excepted holder limit”) if: </w:t>
      </w:r>
    </w:p>
    <w:p>
      <w:pPr>
        <w:pStyle w:val="TextBody"/>
        <w:bidi w:val="0"/>
        <w:spacing w:lineRule="auto" w:line="333" w:before="240" w:after="283"/>
        <w:ind w:left="0" w:right="0" w:hanging="360"/>
        <w:jc w:val="left"/>
        <w:rPr/>
      </w:pPr>
      <w:r>
        <w:rPr>
          <w:color w:val="000000"/>
        </w:rPr>
        <w:t>•</w:t>
      </w:r>
      <w:r>
        <w:rPr>
          <w:rFonts w:ascii="Times New Roman;serif" w:hAnsi="Times New Roman;serif"/>
          <w:b w:val="false"/>
          <w:color w:val="000000"/>
          <w:sz w:val="20"/>
        </w:rPr>
        <w:t xml:space="preserve">no individual’s beneficial or constructive ownership of GLPI stock will result in GLPI being “closely held” under Section 856(h) of the Code (without regard to whether the ownership interest is held during the last half of a taxable year) or otherwise failing to qualify to be taxed as a REIT or would cause any income of GLPI that would otherwise qualify as rents from real property to fail to qualify as such; and </w:t>
      </w:r>
    </w:p>
    <w:p>
      <w:pPr>
        <w:pStyle w:val="TextBody"/>
        <w:bidi w:val="0"/>
        <w:spacing w:lineRule="auto" w:line="333" w:before="240" w:after="283"/>
        <w:ind w:left="0" w:right="0" w:hanging="360"/>
        <w:jc w:val="left"/>
        <w:rPr/>
      </w:pPr>
      <w:r>
        <w:rPr>
          <w:color w:val="000000"/>
        </w:rPr>
        <w:t>•</w:t>
      </w:r>
      <w:r>
        <w:rPr>
          <w:rFonts w:ascii="Times New Roman;serif" w:hAnsi="Times New Roman;serif"/>
          <w:b w:val="false"/>
          <w:color w:val="000000"/>
          <w:sz w:val="20"/>
        </w:rPr>
        <w:t xml:space="preserve">such shareholder does not and represents that it will not own, actually or constructively, an interest in a tenant of GLPI (or a tenant of any entity owned or controlled by GLPI) that would cause GLPI to own, actually or constructively, more than a 9.9% interest (as set forth in Section 856(d)(2)(B) of the Code) in such tenant (or GLPI’s board of directors determines that rent derived from such tenant will not affect GLPI’s ability to qualify to be taxed as a REIT). </w:t>
      </w:r>
    </w:p>
    <w:p>
      <w:pPr>
        <w:pStyle w:val="TextBody"/>
        <w:bidi w:val="0"/>
        <w:spacing w:lineRule="auto" w:line="333" w:before="0" w:after="0"/>
        <w:jc w:val="left"/>
        <w:rPr>
          <w:color w:val="000000"/>
        </w:rPr>
      </w:pPr>
      <w:r>
        <w:rPr>
          <w:color w:val="000000"/>
        </w:rPr>
        <w:t> </w:t>
      </w:r>
    </w:p>
    <w:p>
      <w:pPr>
        <w:pStyle w:val="TextBody"/>
        <w:bidi w:val="0"/>
        <w:spacing w:lineRule="auto" w:line="333"/>
        <w:jc w:val="left"/>
        <w:rPr/>
      </w:pPr>
      <w:r>
        <w:rPr>
          <w:color w:val="000000"/>
        </w:rPr>
        <w:t> </w:t>
      </w:r>
      <w:r>
        <w:rPr>
          <w:rFonts w:ascii="Times New Roman;serif" w:hAnsi="Times New Roman;serif"/>
          <w:b w:val="false"/>
          <w:color w:val="000000"/>
          <w:sz w:val="20"/>
        </w:rPr>
        <w:t xml:space="preserve">Peter M. Carlino, GLPI’s Chairman and Chief Executive Officer, the Carlino Family Trust, The Vanguard Group Inc., BlackRock, Inc., Cohen &amp; Steers, Inc., Capital World Investors and Capital International Investors have each been deemed excepted holders by GLPI’s board of directors. </w:t>
      </w: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320675"/>
                <wp:effectExtent l="0" t="0" r="0" b="0"/>
                <wp:wrapNone/>
                <wp:docPr id="128" name="Frame128"/>
                <a:graphic xmlns:a="http://schemas.openxmlformats.org/drawingml/2006/main">
                  <a:graphicData uri="http://schemas.microsoft.com/office/word/2010/wordprocessingShape">
                    <wps:wsp>
                      <wps:cNvSpPr txBox="1"/>
                      <wps:spPr>
                        <a:xfrm>
                          <a:off x="0" y="0"/>
                          <a:ext cx="6480175" cy="32067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101945986.3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101945986.3</w:t>
                      </w:r>
                    </w:p>
                  </w:txbxContent>
                </v:textbox>
                <w10:wrap type="none"/>
              </v:rect>
            </w:pict>
          </mc:Fallback>
        </mc:AlternateConten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a condition of granting the waiver or establishing the excepted holder limit, GLPI’s board of directors may require an opinion of counsel or a ruling from the IRS, in either case in form and in substance satisfactory to GLPI’s board of directors (in its sole discretion) in order to determine or ensure GLPI’s status as a REIT and such representations and undertakings from the person requesting the exception as GLPI’s board of directors may require (in its sole discretion) to make the determinations above. GLPI’s board of directors may impose such conditions or restrictions as it deems appropriate in connection with granting such a waiver or establishing an excepted holder limit. </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GLPI’s board of directors may from time to time increase or decrease the common stock ownership limit, the aggregate stock ownership limit or both, for all other persons, unless, after giving effect to such increase, five or fewer individuals could beneficially own, in the aggregate, more than 49.9% in value of GLPI’s outstanding stock. A reduced ownership limit will not apply to any person or entity whose percentage ownership of GLPI common stock or GLPI stock of all classes and series, as applicable, is, at the effective time of such reduction, in excess of such decreased ownership limit until such time as such person’s or entity’s percentage ownership of GLPI common stock or GLPI stock of all classes and series, as applicable, equals or falls below the decreased ownership limit, but any further acquisition of shares of GLPI common stock or stock of all other classes or series, as applicable, will violate the decreased ownership limit. </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Articles of Incorporation further prohibit: </w:t>
      </w:r>
    </w:p>
    <w:p>
      <w:pPr>
        <w:pStyle w:val="TextBody"/>
        <w:bidi w:val="0"/>
        <w:spacing w:lineRule="auto" w:line="333" w:before="240" w:after="283"/>
        <w:ind w:left="0" w:right="0" w:hanging="360"/>
        <w:jc w:val="left"/>
        <w:rPr/>
      </w:pPr>
      <w:r>
        <w:rPr>
          <w:color w:val="000000"/>
        </w:rPr>
        <w:t>•</w:t>
      </w:r>
      <w:r>
        <w:rPr>
          <w:rFonts w:ascii="Times New Roman;serif" w:hAnsi="Times New Roman;serif"/>
          <w:b w:val="false"/>
          <w:color w:val="000000"/>
          <w:sz w:val="20"/>
        </w:rPr>
        <w:t xml:space="preserve">any person from beneficially or constructively owning shares of GLPI stock that would result in GLPI being “closely held” under Section 856(h) of the Code (without regard to whether the ownership interest is held during the last half of a taxable year) or otherwise cause GLPI to fail to qualify to be taxed as a REIT; </w:t>
      </w:r>
    </w:p>
    <w:p>
      <w:pPr>
        <w:pStyle w:val="TextBody"/>
        <w:bidi w:val="0"/>
        <w:spacing w:lineRule="auto" w:line="333" w:before="240" w:after="283"/>
        <w:ind w:left="0" w:right="0" w:hanging="360"/>
        <w:jc w:val="left"/>
        <w:rPr/>
      </w:pPr>
      <w:r>
        <w:rPr>
          <w:color w:val="000000"/>
        </w:rPr>
        <w:t>•</w:t>
      </w:r>
      <w:r>
        <w:rPr>
          <w:rFonts w:ascii="Times New Roman;serif" w:hAnsi="Times New Roman;serif"/>
          <w:b w:val="false"/>
          <w:color w:val="000000"/>
          <w:sz w:val="20"/>
        </w:rPr>
        <w:t xml:space="preserve">any person from transferring shares of GLPI stock if the transfer would result in shares of GLPI stock being beneficially owned by fewer than 100 persons (determined without reference to the rules of attribution under Section 544 of the Code); and </w:t>
      </w:r>
    </w:p>
    <w:p>
      <w:pPr>
        <w:pStyle w:val="TextBody"/>
        <w:bidi w:val="0"/>
        <w:spacing w:lineRule="auto" w:line="333" w:before="240" w:after="283"/>
        <w:ind w:left="0" w:right="0" w:hanging="360"/>
        <w:jc w:val="left"/>
        <w:rPr/>
      </w:pPr>
      <w:r>
        <w:rPr>
          <w:color w:val="000000"/>
        </w:rPr>
        <w:t>•</w:t>
      </w:r>
      <w:r>
        <w:rPr>
          <w:rFonts w:ascii="Times New Roman;serif" w:hAnsi="Times New Roman;serif"/>
          <w:b w:val="false"/>
          <w:color w:val="000000"/>
          <w:sz w:val="20"/>
        </w:rPr>
        <w:t xml:space="preserve">any person from constructively owning shares of GLPI stock to the extent that such constructive ownership would cause any of GLPI’s income that would otherwise qualify as “rents from real property” for purposes of Section 856(d) of the Code to fail to qualify as such. </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Any person who acquires or attempts or intends to acquire beneficial or constructive ownership of shares of GLPI stock that will or may violate the ownership limits or any of the other restrictions on ownership and transfer of GLPI stock described above, or who would have owned shares of GLPI stock transferred to the charitable trust described below, must immediately give notice to GLPI of such event or, in the case of an attempted or proposed transaction, give GLPI at least fifteen days’ prior written notice and provide GLPI with such other information as it may request in order to determine the effect of such transfer on its status as a REIT. The foregoing restrictions on ownership and transfer of GLPI stock will not apply if GLPI’s board of directors determines that it is no longer in GLPI’s best interests to attempt to qualify, or to continue to qualify, to be taxed as a REIT or that compliance with the restrictions and limits on ownership and transfer of GLPI stock described above is no longer required in order for GLPI to qualify to be taxed as a REIT. </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If any transfer of shares of GLPI stock or any other event would result in any person violating the ownership limits or any other restriction on ownership and transfer of GLPI shares described above then that number of shares (rounded up to the nearest whole share) that would cause the violation will be automatically transferred to, and held by, a trust for the benefit of one or more charitable organizations selected by GLPI, and the intended transferee or other prohibited owner will acquire no rights in the shares. The automatic transfer will be effective as of the close of business on the business day prior to the date of the violative transfer or other event that results in a transfer to the trust. If the transfer to the trust as described above would not be effective, for any reason, to prevent violation of the applicable ownership limits or any other restriction on ownership and transfer of GLPI shares described above, then the Articles of Incorporation provide that the transfer of the shares will be null and void and the intended transferee will acquire no rights in such shares. </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Shares of GLPI stock held in the trust will continue to be issued and outstanding shares. The prohibited owner will not benefit economically from ownership of any shares of GLPI stock held in the trust and will have no rights to distributions and no rights </w:t>
      </w: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320675"/>
                <wp:effectExtent l="0" t="0" r="0" b="0"/>
                <wp:wrapNone/>
                <wp:docPr id="129" name="Frame129"/>
                <a:graphic xmlns:a="http://schemas.openxmlformats.org/drawingml/2006/main">
                  <a:graphicData uri="http://schemas.microsoft.com/office/word/2010/wordprocessingShape">
                    <wps:wsp>
                      <wps:cNvSpPr txBox="1"/>
                      <wps:spPr>
                        <a:xfrm>
                          <a:off x="0" y="0"/>
                          <a:ext cx="6480175" cy="32067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101945986.3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101945986.3</w:t>
                      </w:r>
                    </w:p>
                  </w:txbxContent>
                </v:textbox>
                <w10:wrap type="none"/>
              </v:rect>
            </w:pict>
          </mc:Fallback>
        </mc:AlternateConten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 vote or other rights attributable to the shares of GLPI stock held in the trust. The trustee of the trust shall have all voting rights and rights to dividends and other distributions with respect to shares held in the trust for the exclusive benefit of the charitable beneficiary of the trust. Any distribution made before GLPI’s discovery that the shares have been transferred to a trust as described above must be repaid by the recipient to the trustee upon demand and any dividend or other distribution authorized but unpaid shall be paid when due to the trustee. Subject to Pennsylvania law, effective as of the date that the shares have been transferred to the trust, the trustee will have the authority (at the trustee’s sole discretion) (i) to rescind as void any vote cast by a prohibited owner or unsuitable person, as applicable, before GLPI’s discovery that the shares have been transferred to the trust and (ii) to recast the vote in accordance with the desires of the trustee acting for the benefit of the charitable beneficiary of the trust. However, if GLPI has already taken irreversible corporate action, then the trustee may not rescind and recast the vote. </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Shares of GLPI stock transferred to the trustee will be deemed offered for sale to GLPI, or its designee, at a price per share equal to the lesser of (i) the market price of the shares on the day of the event causing the shares to be held in the trust, or (ii) the market price on the date GLPI, or its designee, accepts such offer. GLPI may reduce the amount so payable to the prohibited owner by the amount of any distribution that GLPI made to the prohibited owner before it discovered that the shares had been automatically transferred to the trust and that are then owed by the prohibited owner to the trustee as described above, and GLPI may pay the amount of any such reduction to the trustee for the benefit of the charitable beneficiary. GLPI will have the right to accept such offer until the trustee has sold the shares of GLPI stock held in the trust as discussed below. Upon a sale to GLPI, the interest of the charitable beneficiary in the shares sold will terminate, and the trustee must distribute the net proceeds of the sale to the prohibited owner and must distribute any distributions held by the trustee with respect to such shares to the charitable beneficiary. </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If GLPI does not buy the shares, the trustee must, within 20 days of receiving notice from GLPI of the transfer of shares to the trust, sell the shares to a person or entity designated by the trustee who could own the shares without violating the ownership limits or the other restrictions on ownership and transfer of GLPI stock. After the sale of the shares, the interest of the charitable beneficiary in the shares sold will terminate and the trustee must distribute to the prohibited owner an amount equal to the lesser of (i) the market price of the shares on the day of the event causing the shares to be held in the trust and (ii) the sales proceeds (net of any commissions and other expenses of sale) received by the trust for the shares. The trustee may reduce the amount payable to the prohibited owner by the amount of any distribution that GLPI paid to the prohibited owner before GLPI discovered that the shares had been automatically transferred to the trust and that are then owed by the prohibited owner to the trustee as described above. Any net sales proceeds in excess of the amount payable to the prohibited owner must be paid immediately to the charitable beneficiary, together with any distributions thereon. In addition, if prior to the discovery by GLPI that shares of stock have been transferred to a trust, such shares of stock are sold by a prohibited owner, then such shares will be deemed to have been sold on behalf of the trust and, to the extent that the prohibited owner received an amount for such shares that exceeds the amount that such prohibited owner was entitled to receive, such excess amount will be paid to the trustee upon demand. The prohibited owner will have no rights in the shares held by the trustee. </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if GLPI’s board of directors determines in good faith that a transfer or other event has occurred that would violate the restrictions on ownership and transfer of GLPI stock described above or that a person or entity intends to acquire or has attempted to acquire beneficial or constructive ownership of any shares of GLPI stock in violation of the restrictions on ownership and transfer of GLPI stock described above, GLPI’s board of directors may take such action as it deems advisable to refuse to give effect to or to prevent such transfer or other event, including, but not limited to, causing GLPI to redeem shares of GLPI stock, refusing to give effect to the transfer of GLPI’s books or instituting proceedings to enjoin the transfer or other event. </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Every person or entity who is a beneficial owner or constructive owner of more than 5% (or such lower percentage as required by the Code or the regulations promulgated thereunder) in number or value (whichever is more restrictive) of GLPI stock, within 30 days after initially reaching such ownership threshold and within 30 days after the end of each taxable year, must give GLPI written notice stating the shareholder’s name and address, the number of shares of each class and series of GLPI stock that the shareholder beneficially or constructively owns and a description of the manner in which the shares are held. Each such owner must provide to GLPI such additional information as GLPI may request in order to determine the effect, if any, of the </w:t>
      </w: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320675"/>
                <wp:effectExtent l="0" t="0" r="0" b="0"/>
                <wp:wrapNone/>
                <wp:docPr id="130" name="Frame130"/>
                <a:graphic xmlns:a="http://schemas.openxmlformats.org/drawingml/2006/main">
                  <a:graphicData uri="http://schemas.microsoft.com/office/word/2010/wordprocessingShape">
                    <wps:wsp>
                      <wps:cNvSpPr txBox="1"/>
                      <wps:spPr>
                        <a:xfrm>
                          <a:off x="0" y="0"/>
                          <a:ext cx="6480175" cy="32067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101945986.3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101945986.3</w:t>
                      </w:r>
                    </w:p>
                  </w:txbxContent>
                </v:textbox>
                <w10:wrap type="none"/>
              </v:rect>
            </w:pict>
          </mc:Fallback>
        </mc:AlternateConten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shareholder’s beneficial ownership on GLPI’s qualification as a REIT and to ensure compliance with the applicable ownership limits. In addition, any person or entity that will be a beneficial owner or constructive owner of shares of GLPI stock and any person or entity (including the shareholder of record) who is holding shares of GLPI stock for a beneficial owner or constructive owner must provide to GLPI such information as GLPI may request in order to determine GLPI’s qualification as a REIT and to comply with the requirements of any governmental or taxing authority or to determine such compliance and to ensure compliance with the ownership limits. </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Any certificates representing shares of GLPI stock will bear a legend referring to the restrictions on ownership and transfer of GLPI stock described above. </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restrictions on ownership and transfer of GLPI stock described above could delay, defer or prevent a transaction or a change in control that might involve a premium price for GLPI common stock or otherwise be in the best interests of GLPI shareholders. </w:t>
      </w:r>
    </w:p>
    <w:p>
      <w:pPr>
        <w:pStyle w:val="TextBody"/>
        <w:bidi w:val="0"/>
        <w:spacing w:lineRule="auto" w:line="333" w:before="360" w:after="283"/>
        <w:jc w:val="left"/>
        <w:rPr>
          <w:rFonts w:ascii="Times New Roman;serif" w:hAnsi="Times New Roman;serif"/>
          <w:b/>
          <w:color w:val="000000"/>
          <w:sz w:val="20"/>
        </w:rPr>
      </w:pPr>
      <w:r>
        <w:rPr>
          <w:rFonts w:ascii="Times New Roman;serif" w:hAnsi="Times New Roman;serif"/>
          <w:b/>
          <w:color w:val="000000"/>
          <w:sz w:val="20"/>
        </w:rPr>
        <w:t xml:space="preserve">Redemption of Securities Owned or Controlled by an Unsuitable Person or Affiliate </w:t>
      </w:r>
    </w:p>
    <w:p>
      <w:pPr>
        <w:pStyle w:val="TextBody"/>
        <w:bidi w:val="0"/>
        <w:spacing w:lineRule="auto" w:line="333"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the restrictions set forth above, all of GLPI’s outstanding capital stock shall be held subject to applicable gaming laws. Any person owning or controlling at least five percent of any class of GLPI’s outstanding capital stock will be required by the Articles of Incorporation to promptly notify GLPI of such person’s identity. The Articles of Incorporation provide that capital stock of GLPI that is owned or controlled by an unsuitable person or an affiliate of an unsuitable person is redeemable by GLPI, out of funds legally available for that redemption, to the extent required by the gaming authorities making the determination of unsuitability or to the extent determined to be necessary or advisable by GLPI’s board of directors. From and after the redemption date, the securities will not be considered outstanding and all rights of the unsuitable person or affiliate will cease, other than the right to receive the redemption price. The redemption price with respect to any securities to be redeemed will be the price, if any, required to be paid by the gaming authority making the finding of unsuitability or if the gaming authority does not require a price to be paid (including if the finding of unsuitability is made by GLPI’s board of directors alone), the lesser of (i) the market price on the date of the redemption notice, (ii) the market price on the redemption date or (iii) the actual amount paid by the owner thereof, in each case less a discount in a percentage (up to 100%) to be determined by GLPI’s board of directors in its sole and absolute discretion. The redemption price may be paid in cash, by promissory note, or both, as required by the applicable gaming authority and, if not, as determined by GLPI. </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Articles of Incorporation also provide that capital stock of GLPI that is owned or controlled by an unsuitable person or an affiliate of an unsuitable person will be transferred to a trust for the benefit of a designated charitable beneficiary, and that any such unsuitable person or affiliate will not be entitled to any dividends on the shares or be entitled to vote the shares or receive any proceeds from the subsequent sale of the shares in excess of the lesser of the price paid by the unsuitable person or affiliate for the shares or the amount realized from the sale, in each case less a discount in a percentage (up to 100%) to be determined by the GLPI board of directors in its sole and absolute discretion. </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Articles of Incorporation require any unsuitable person and any affiliate of an unsuitable person to indemnify and hold harmless GLPI and its affiliated companies for any and all losses, costs, and expenses, including attorneys’ costs, fees and expenses, incurred by GLPI and its affiliated companies as a result of, or arising out of, the unsuitable person’s ownership or control of any securities of GLPI, failure or refusal to comply with the provisions of the Articles of Incorporation, or failure to divest himself, herself or itself of any securities when and in the specific manner required by a gaming authority or the Articles of Incorporation. </w:t>
      </w:r>
    </w:p>
    <w:p>
      <w:pPr>
        <w:pStyle w:val="TextBody"/>
        <w:bidi w:val="0"/>
        <w:spacing w:lineRule="auto" w:line="333" w:before="240" w:after="283"/>
        <w:jc w:val="left"/>
        <w:rPr>
          <w:rFonts w:ascii="Times New Roman;serif" w:hAnsi="Times New Roman;serif"/>
          <w:b/>
          <w:color w:val="000000"/>
          <w:sz w:val="20"/>
        </w:rPr>
      </w:pPr>
      <w:r>
        <w:rPr>
          <w:rFonts w:ascii="Times New Roman;serif" w:hAnsi="Times New Roman;serif"/>
          <w:b/>
          <w:color w:val="000000"/>
          <w:sz w:val="20"/>
        </w:rPr>
        <w:t xml:space="preserve">Transfer Agent </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The transfer agent and registrar for GLPI common stock is Continental Stock Transfer &amp; Trust.</w:t>
      </w: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320675"/>
                <wp:effectExtent l="0" t="0" r="0" b="0"/>
                <wp:wrapNone/>
                <wp:docPr id="131" name="Frame131"/>
                <a:graphic xmlns:a="http://schemas.openxmlformats.org/drawingml/2006/main">
                  <a:graphicData uri="http://schemas.microsoft.com/office/word/2010/wordprocessingShape">
                    <wps:wsp>
                      <wps:cNvSpPr txBox="1"/>
                      <wps:spPr>
                        <a:xfrm>
                          <a:off x="0" y="0"/>
                          <a:ext cx="6480175" cy="32067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101945986.3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101945986.3</w:t>
                      </w:r>
                    </w:p>
                  </w:txbxContent>
                </v:textbox>
                <w10:wrap type="none"/>
              </v:rect>
            </w:pict>
          </mc:Fallback>
        </mc:AlternateContent>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Certain Provisions of Pennsylvania Law and GLPI’s Articles of Incorporation and Bylaws and Other Governance Documents</w:t>
      </w:r>
    </w:p>
    <w:p>
      <w:pPr>
        <w:pStyle w:val="TextBody"/>
        <w:bidi w:val="0"/>
        <w:spacing w:lineRule="auto" w:line="333" w:before="360" w:after="283"/>
        <w:jc w:val="left"/>
        <w:rPr>
          <w:rFonts w:ascii="Times New Roman;serif" w:hAnsi="Times New Roman;serif"/>
          <w:b/>
          <w:color w:val="000000"/>
          <w:sz w:val="20"/>
        </w:rPr>
      </w:pPr>
      <w:r>
        <w:rPr>
          <w:rFonts w:ascii="Times New Roman;serif" w:hAnsi="Times New Roman;serif"/>
          <w:b/>
          <w:color w:val="000000"/>
          <w:sz w:val="20"/>
        </w:rPr>
        <w:t xml:space="preserve">Size of Board and Vacancies; Removal of Directors </w:t>
      </w:r>
    </w:p>
    <w:p>
      <w:pPr>
        <w:pStyle w:val="TextBody"/>
        <w:bidi w:val="0"/>
        <w:spacing w:lineRule="auto" w:line="333"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GLPI’s Articles of Incorporation, each member of GLPI’s board of directors is elected until the next annual meeting of shareholders and until his or her successor is elected or until his or her earlier death, resignation or removal. At any meeting of shareholders for the uncontested election of directors at which a quorum is present, the election will be determined by a majority of the votes cast by the shareholders entitled to vote in the election. </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Bylaws provide that the number of directors on GLPI’s board of directors will be fixed exclusively by the board of directors. Subject to the rights of holders of any stock having preference over the common stock to elect additional directors, newly created directorships resulting from any increase in the number of directors and any vacancies in the board of directors resulting from death, resignation, retirement, disqualification, removal from office or other cause will be filled by the majority vote of the remaining directors in office, even if less than a quorum is present. </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Subject to the rights of any stock having preference over the common stock to elect directors, the Bylaws provide that a director may be removed only for cause (as defined in the Bylaws) by the affirmative vote of: (i) a majority of the entire GLPI board of directors (not including the director whose removal is being considered); or (ii) 75% of the votes cast by the holders of shares entitled to vote generally in the election of directors. In addition, under Section 1726(c) of the Pennsylvania Business Corporation Law, or the PBCL, a court may remove a director upon application in a derivative suit in cases of fraudulent or dishonest acts, gross abuse of authority or discretion, or for any other proper cause. Section 1726(a)(4) of the PBCL also provides that the board of directors may be removed at any time with or without cause by the unanimous vote or written consents of the shareholders entitled to vote thereon. </w:t>
      </w:r>
    </w:p>
    <w:p>
      <w:pPr>
        <w:pStyle w:val="TextBody"/>
        <w:bidi w:val="0"/>
        <w:spacing w:lineRule="auto" w:line="333" w:before="360" w:after="283"/>
        <w:jc w:val="left"/>
        <w:rPr>
          <w:rFonts w:ascii="Times New Roman;serif" w:hAnsi="Times New Roman;serif"/>
          <w:b/>
          <w:color w:val="000000"/>
          <w:sz w:val="20"/>
        </w:rPr>
      </w:pPr>
      <w:r>
        <w:rPr>
          <w:rFonts w:ascii="Times New Roman;serif" w:hAnsi="Times New Roman;serif"/>
          <w:b/>
          <w:color w:val="000000"/>
          <w:sz w:val="20"/>
        </w:rPr>
        <w:t xml:space="preserve">Pennsylvania State Takeover Statutes </w:t>
      </w:r>
    </w:p>
    <w:p>
      <w:pPr>
        <w:pStyle w:val="TextBody"/>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Section 2538 of Subchapter 25D of the PBCL requires certain transactions with an “interested shareholder” to be approved by a majority of disinterested shareholders. “Interested shareholder” is defined broadly to include any shareholder who is a party to the transaction or who is treated differently than other shareholders and affiliates of the corporation and any person, or group of persons, that is acting jointly or in concert with the interested shareholder, and affiliates of the interested shareholder</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Subchapter 25E of the PBCL requires a person or group of persons acting in concert which acquires 20% or more of the voting shares of the corporation to offer to purchase the shares of any other shareholder at “fair value.” “Fair value” means the value not less than the highest price paid by the controlling person or group during the 90-day period prior to the control transaction, plus a control premium. Among other exceptions, shares acquired directly from the corporation in a transaction exempt from the registration requirements of the Securities Act of 1933, are not counted towards the determination of whether the 20% share ownership threshold has been met for purposes of Subchapter 25E. </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Subchapter 25F of the PBCL generally establishes a 5-year moratorium on a “business combination” with an “interested shareholder.” “Interested shareholder” is defined generally to be any beneficial owner of 20% or more of the corporation’s voting stock. “Business combination” is defined broadly to include mergers, consolidations, asset sales and certain self-dealing transactions. Certain restrictions apply to a business combination following the 5-year period. Among other exceptions, Subchapter 25F will be rendered inapplicable if the board of directors approves the proposed business combination, or approves the interested shareholder’s acquisition of 20% of the voting shares, in either case prior to the date on which the shareholder first becomes an interested shareholder. </w:t>
      </w:r>
    </w:p>
    <w:p>
      <w:pPr>
        <w:pStyle w:val="TextBody"/>
        <w:bidi w:val="0"/>
        <w:spacing w:lineRule="auto" w:line="312"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Subchapter 25G of the PBCL provides that “control shares” lose voting rights unless such rights are restored by the affirmative vote of a majority of (i) the disinterested shares (generally, shares held by persons other than the acquiror, executive officers of the corporation, directors of the corporation who are also officers of the corporation (including executive officers), and certain employee stock plans) and (ii) the outstanding voting shares of the corporation. “Control shares” are defined as shares which, upon acquisition, will result in a person or group acquiring for the first time voting control over (a) 20%, (b) 33 1/3% or </w:t>
      </w: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320675"/>
                <wp:effectExtent l="0" t="0" r="0" b="0"/>
                <wp:wrapNone/>
                <wp:docPr id="132" name="Frame132"/>
                <a:graphic xmlns:a="http://schemas.openxmlformats.org/drawingml/2006/main">
                  <a:graphicData uri="http://schemas.microsoft.com/office/word/2010/wordprocessingShape">
                    <wps:wsp>
                      <wps:cNvSpPr txBox="1"/>
                      <wps:spPr>
                        <a:xfrm>
                          <a:off x="0" y="0"/>
                          <a:ext cx="6480175" cy="32067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101945986.3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101945986.3</w:t>
                      </w:r>
                    </w:p>
                  </w:txbxContent>
                </v:textbox>
                <w10:wrap type="none"/>
              </v:rect>
            </w:pict>
          </mc:Fallback>
        </mc:AlternateContent>
      </w:r>
    </w:p>
    <w:p>
      <w:pPr>
        <w:pStyle w:val="TextBody"/>
        <w:bidi w:val="0"/>
        <w:spacing w:lineRule="auto" w:line="312" w:before="240" w:after="283"/>
        <w:jc w:val="left"/>
        <w:rPr/>
      </w:pPr>
      <w:r>
        <w:rPr>
          <w:rFonts w:ascii="Times New Roman;serif" w:hAnsi="Times New Roman;serif"/>
          <w:b w:val="false"/>
          <w:color w:val="000000"/>
          <w:sz w:val="20"/>
        </w:rPr>
        <w:t>(c) 50% or more of the outstanding shares, together with shares acquired within 180 days of attaining the applicable threshold and shares purchased with the intention of attaining such threshold. A corporation may redeem control shares if the acquiring person does not request restoration of voting rights as permitted by Subchapter 25G</w:t>
      </w:r>
      <w:r>
        <w:rPr>
          <w:color w:val="000000"/>
        </w:rPr>
        <w:t xml:space="preserve"> </w:t>
      </w:r>
      <w:r>
        <w:rPr>
          <w:rFonts w:ascii="Times New Roman;serif" w:hAnsi="Times New Roman;serif"/>
          <w:b w:val="false"/>
          <w:color w:val="000000"/>
          <w:sz w:val="20"/>
        </w:rPr>
        <w:t xml:space="preserve">or the voting rights of such control shares are not restored or voting rights lapse pursuant to Subchapter 25G. Among other exceptions, Subchapter 25G does not apply to a merger, consolidation or a share exchange if the corporation is a party to the transaction agreement. </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Subchapter 25H of the PBCL provides that if any person or group publicly discloses that the person or group may acquire control of the corporation, or a person or group acquires, or publicly discloses an offer or intent to acquire, 20% or more of the voting power of the corporation and, in either case, sells shares in the following 18 months, then the profits from such sale must be disgorged to the corporation if the securities that were sold were acquired during the 18-month period or within the preceding 24 months. </w:t>
      </w:r>
    </w:p>
    <w:p>
      <w:pPr>
        <w:pStyle w:val="TextBody"/>
        <w:bidi w:val="0"/>
        <w:spacing w:lineRule="auto" w:line="312"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If shareholders approve a control share acquisition under Subchapter 25G, the corporation is also subject to Subchapters 25I and 25J of the PBCL. Subchapter 25I provides for a minimum severance payment to certain employees terminated within 90 days before the approval if such termination was pursuant to an agreement with the acquiring person whose control shares were accorded voting rights in connection with such control-share approval or two years after the approval. Subchapter 25J prohibits the abrogation of certain labor contracts as a result of a business combination prior to their stated date of expiration. </w:t>
      </w:r>
    </w:p>
    <w:p>
      <w:pPr>
        <w:pStyle w:val="TextBody"/>
        <w:bidi w:val="0"/>
        <w:spacing w:lineRule="auto" w:line="333" w:before="360" w:after="283"/>
        <w:jc w:val="left"/>
        <w:rPr>
          <w:rFonts w:ascii="Times New Roman;serif" w:hAnsi="Times New Roman;serif"/>
          <w:b/>
          <w:color w:val="000000"/>
          <w:sz w:val="20"/>
        </w:rPr>
      </w:pPr>
      <w:r>
        <w:rPr>
          <w:rFonts w:ascii="Times New Roman;serif" w:hAnsi="Times New Roman;serif"/>
          <w:b/>
          <w:color w:val="000000"/>
          <w:sz w:val="20"/>
        </w:rPr>
        <w:t xml:space="preserve">Amendments to GLPI’s Articles of Incorporation and Bylaws and Approval of Extraordinary Actions </w:t>
      </w:r>
    </w:p>
    <w:p>
      <w:pPr>
        <w:pStyle w:val="TextBody"/>
        <w:bidi w:val="0"/>
        <w:spacing w:lineRule="auto" w:line="312"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Pennsylvania law and the Articles of Incorporation generally provide that GLPI can amend its Articles of Incorporation, merge, consolidate, sell all or substantially all of our assets, engage in a statutory share exchange or dissolve if the action has first been approved by the board of directors and then by the affirmative vote of a majority of the votes cast by all shareholders entitled to vote on the matter. The Articles of Incorporation also provide that the amendment or repeal of any Articles of Incorporation provision concerning the indemnification or limitation of liability of GLPI’s directors will require the affirmative vote of at least 75% of the voting power of all of its outstanding capital stock entitled to vote generally in the election of directors, voting together as a single class. Pennsylvania law and the Articles of Incorporation permit GLPI’s shareholders to propose amendments to the Articles of Incorporation by petition of shareholders entitled to cast at least 10% of the votes that all shareholders are entitled to cast thereon, setting forth the proposed amendment, which petition shall be directed to the board of directors and filed with the secretary of the corporation. Pennsylvania law provides that GLPI’s shareholders are generally not entitled by statute to call special meetings of shareholders. </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GLPI’s board of directors is authorized to adopt, amend or repeal any provision of the bylaws without shareholder approval. Except as otherwise required by law, any provision of the Bylaws may only be adopted, amended or repealed by the shareholders (i) upon receiving at least 75% of the votes cast by the holders of shares entitled to vote thereon or (ii) in the event that the amendment has been proposed by a majority of the board of directors, upon receiving a majority of the votes cast by the holders of shares entitled to vote thereon. </w:t>
      </w:r>
    </w:p>
    <w:p>
      <w:pPr>
        <w:pStyle w:val="TextBody"/>
        <w:bidi w:val="0"/>
        <w:spacing w:lineRule="auto" w:line="333" w:before="360" w:after="283"/>
        <w:jc w:val="left"/>
        <w:rPr>
          <w:rFonts w:ascii="Times New Roman;serif" w:hAnsi="Times New Roman;serif"/>
          <w:b/>
          <w:color w:val="000000"/>
          <w:sz w:val="20"/>
        </w:rPr>
      </w:pPr>
      <w:r>
        <w:rPr>
          <w:rFonts w:ascii="Times New Roman;serif" w:hAnsi="Times New Roman;serif"/>
          <w:b/>
          <w:color w:val="000000"/>
          <w:sz w:val="20"/>
        </w:rPr>
        <w:t xml:space="preserve">Shareholder Meetings </w:t>
      </w:r>
    </w:p>
    <w:p>
      <w:pPr>
        <w:pStyle w:val="TextBody"/>
        <w:bidi w:val="0"/>
        <w:spacing w:lineRule="auto" w:line="333"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Under the PBCL, shareholders generally will be not entitled to call special meetings of shareholders. Only the chairman of the board of directors or a majority of the directors then in office may call such meetings pursuant to the Bylaws. </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left"/>
        <w:rPr>
          <w:rFonts w:ascii="Times New Roman;serif" w:hAnsi="Times New Roman;serif"/>
          <w:b/>
          <w:color w:val="000000"/>
          <w:sz w:val="20"/>
        </w:rPr>
      </w:pPr>
      <w:r>
        <w:rPr>
          <w:rFonts w:ascii="Times New Roman;serif" w:hAnsi="Times New Roman;serif"/>
          <w:b/>
          <w:color w:val="000000"/>
          <w:sz w:val="20"/>
        </w:rPr>
        <w:t xml:space="preserve">Shareholder Action by Written Consent </w:t>
      </w:r>
    </w:p>
    <w:p>
      <w:pPr>
        <w:pStyle w:val="TextBody"/>
        <w:bidi w:val="0"/>
        <w:spacing w:lineRule="auto" w:line="333"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Under the PBCL, unless otherwise permitted in the articles of incorporation, any action required to be taken or which may be taken at any annual or special meeting of the shareholders may be taken without a meeting if, and only if, prior to the taking of such action, all shareholders entitled to vote thereon consent in writing to such action being taken. </w:t>
      </w:r>
    </w:p>
    <w:p>
      <w:pPr>
        <w:pStyle w:val="TextBody"/>
        <w:bidi w:val="0"/>
        <w:spacing w:lineRule="auto" w:line="333" w:before="360" w:after="283"/>
        <w:jc w:val="left"/>
        <w:rPr>
          <w:rFonts w:ascii="Times New Roman;serif" w:hAnsi="Times New Roman;serif"/>
          <w:b/>
          <w:color w:val="000000"/>
          <w:sz w:val="20"/>
        </w:rPr>
      </w:pPr>
      <w:r>
        <w:rPr>
          <w:rFonts w:ascii="Times New Roman;serif" w:hAnsi="Times New Roman;serif"/>
          <w:b/>
          <w:color w:val="000000"/>
          <w:sz w:val="20"/>
        </w:rPr>
        <w:t>Requirements for Advance Notification of Shareholder Nominations and Proposals and Proxy Access</w:t>
      </w:r>
    </w:p>
    <w:p>
      <w:pPr>
        <w:pStyle w:val="TextBody"/>
        <w:bidi w:val="0"/>
        <w:spacing w:lineRule="auto" w:line="312"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Bylaws contain advance notice procedures with respect to shareholder proposals and recommendations of candidates for election as directors other than nominations made by or at the direction of the board of directors or a committee of the board of </w:t>
      </w: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320675"/>
                <wp:effectExtent l="0" t="0" r="0" b="0"/>
                <wp:wrapNone/>
                <wp:docPr id="133" name="Frame133"/>
                <a:graphic xmlns:a="http://schemas.openxmlformats.org/drawingml/2006/main">
                  <a:graphicData uri="http://schemas.microsoft.com/office/word/2010/wordprocessingShape">
                    <wps:wsp>
                      <wps:cNvSpPr txBox="1"/>
                      <wps:spPr>
                        <a:xfrm>
                          <a:off x="0" y="0"/>
                          <a:ext cx="6480175" cy="32067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101945986.3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101945986.3</w:t>
                      </w:r>
                    </w:p>
                  </w:txbxContent>
                </v:textbox>
                <w10:wrap type="none"/>
              </v:rect>
            </w:pict>
          </mc:Fallback>
        </mc:AlternateContent>
      </w:r>
    </w:p>
    <w:p>
      <w:pPr>
        <w:pStyle w:val="TextBody"/>
        <w:bidi w:val="0"/>
        <w:spacing w:lineRule="auto" w:line="312" w:before="240" w:after="283"/>
        <w:jc w:val="left"/>
        <w:rPr>
          <w:rFonts w:ascii="Times New Roman;serif" w:hAnsi="Times New Roman;serif"/>
          <w:b w:val="false"/>
          <w:color w:val="000000"/>
          <w:sz w:val="20"/>
        </w:rPr>
      </w:pPr>
      <w:r>
        <w:rPr>
          <w:rFonts w:ascii="Times New Roman;serif" w:hAnsi="Times New Roman;serif"/>
          <w:b w:val="false"/>
          <w:color w:val="000000"/>
          <w:sz w:val="20"/>
        </w:rPr>
        <w:t>directors. In particular, shareholders must notify the corporate secretary in writing prior to the meeting at which the matters are to be acted upon or directors are to be elected. The notice must contain the information specified in the Bylaws. To be timely, the notice must be received at GLPI’s principal executive office not less than 120 nor more than 150 days prior to the anniversary date of the immediately preceding annual meeting of shareholders. In order to be eligible to present a shareholder proposal or recommend a candidate for nomination for election as a director at a shareholders meeting, a shareholder must have owned beneficially at least 1% of the outstanding GLPI common stock for a continuous period of not less than 12 months. In addition, shareholders or shareholder groups who desire to nominate directly and include candidates for election to the board of directors must own 3% or more of the outstanding GLPI common stock for a continuous period of not less than three years, may nominate only up to a maximum of the greater of (x) two) and (y) twenty percent (20%) of GLPI’s board members and must satisfy certain procedural, eligibility and disclosure requirements set forth in the Bylaws, including, but not limited to, a requirement that a notice of proxy access nomination must be received at GLPI’s principal executive office not less than 120 nor more than 150 days prior to the anniversary date of the immediately preceding annual meeting of shareholders.</w:t>
      </w:r>
    </w:p>
    <w:p>
      <w:pPr>
        <w:pStyle w:val="TextBody"/>
        <w:bidi w:val="0"/>
        <w:spacing w:lineRule="auto" w:line="333" w:before="360" w:after="283"/>
        <w:jc w:val="left"/>
        <w:rPr>
          <w:rFonts w:ascii="Times New Roman;serif" w:hAnsi="Times New Roman;serif"/>
          <w:b/>
          <w:color w:val="000000"/>
          <w:sz w:val="20"/>
        </w:rPr>
      </w:pPr>
      <w:r>
        <w:rPr>
          <w:rFonts w:ascii="Times New Roman;serif" w:hAnsi="Times New Roman;serif"/>
          <w:b/>
          <w:color w:val="000000"/>
          <w:sz w:val="20"/>
        </w:rPr>
        <w:t xml:space="preserve">Effect of Certain Provisions of Pennsylvania Law and of the Articles of Incorporation and Bylaws </w:t>
      </w:r>
    </w:p>
    <w:p>
      <w:pPr>
        <w:pStyle w:val="TextBody"/>
        <w:bidi w:val="0"/>
        <w:spacing w:lineRule="auto" w:line="333"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restrictions on ownership and transfer of GLPI stock will prohibit any person from acquiring more than 7% of its outstanding common stock (without prior approval of GLPI’s board of directors). The power of GLPI’s board of directors to issue authorized but unissued shares of our common stock and preferred stock without shareholder approval also could have the effect of delaying, deferring or preventing a change in control or other transaction. These additional shares may be used for a variety of corporate purposes, including future public offerings to raise additional capital, corporate acquisitions and employee benefit plans. The existence of authorized but unissued shares of common stock and preferred stock could make it more difficult, or discourage an attempt, to obtain control of us by means of a proxy contest, tender offer, merger or otherwise. </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These provisions, along with other provisions of the PBCL and the Articles of Incorporation and Bylaws discussed above, including provisions relating to the removal of directors and the filling of vacancies, the advance notice and special meeting provisions, alone or in combination, are designed to protect GLPI’s shareholders from coercive or otherwise unfair takeover tactics by requiring potential acquirors to negotiate with GLPI’s board of directors and by providing GLPI’s board of directors with more time to assess any acquisition proposal. </w:t>
      </w:r>
    </w:p>
    <w:p>
      <w:pPr>
        <w:pStyle w:val="TextBody"/>
        <w:bidi w:val="0"/>
        <w:spacing w:lineRule="auto" w:line="333" w:before="360" w:after="283"/>
        <w:jc w:val="left"/>
        <w:rPr>
          <w:rFonts w:ascii="Times New Roman;serif" w:hAnsi="Times New Roman;serif"/>
          <w:b/>
          <w:color w:val="000000"/>
          <w:sz w:val="20"/>
        </w:rPr>
      </w:pPr>
      <w:r>
        <w:rPr>
          <w:rFonts w:ascii="Times New Roman;serif" w:hAnsi="Times New Roman;serif"/>
          <w:b/>
          <w:color w:val="000000"/>
          <w:sz w:val="20"/>
        </w:rPr>
        <w:t xml:space="preserve">Shareholders Rights Plan </w:t>
      </w:r>
    </w:p>
    <w:p>
      <w:pPr>
        <w:pStyle w:val="TextBody"/>
        <w:bidi w:val="0"/>
        <w:spacing w:lineRule="auto" w:line="333"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While the PBCL authorizes a corporation to adopt a shareholder rights plan, GLPI does not have a shareholder rights plan currently in effect. </w:t>
      </w:r>
    </w:p>
    <w:p>
      <w:pPr>
        <w:pStyle w:val="TextBody"/>
        <w:bidi w:val="0"/>
        <w:spacing w:lineRule="auto" w:line="333" w:before="360" w:after="283"/>
        <w:jc w:val="left"/>
        <w:rPr>
          <w:rFonts w:ascii="Times New Roman;serif" w:hAnsi="Times New Roman;serif"/>
          <w:b/>
          <w:color w:val="000000"/>
          <w:sz w:val="20"/>
        </w:rPr>
      </w:pPr>
      <w:r>
        <w:rPr>
          <w:rFonts w:ascii="Times New Roman;serif" w:hAnsi="Times New Roman;serif"/>
          <w:b/>
          <w:color w:val="000000"/>
          <w:sz w:val="20"/>
        </w:rPr>
        <w:t xml:space="preserve">Limitation on Liability of Directors and Officers </w:t>
      </w:r>
    </w:p>
    <w:p>
      <w:pPr>
        <w:pStyle w:val="TextBody"/>
        <w:bidi w:val="0"/>
        <w:spacing w:lineRule="auto" w:line="333"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PBCL permits a corporation to indemnify any person who was or is a party or is threatened to be made a party to any threatened, pending or completed action or proceeding, whether civil, criminal, administrative or investigative (other than an action by or in the right of the corporation), by reason of the fact that he is or was a representative of the corporation, against expenses (including attorneys’ fees), judgments, fines and amounts paid in settlement actually and reasonably incurred by him in connection with the action or proceeding if he acted in good faith and in a manner he reasonably believed to be in, or not opposed to, the best interests of the corporation, and with respect to any criminal proceeding, had no reasonable cause to believe his conduct was unlawful. In an action by or in the right of the corporation, indemnification will not be made in respect of any claim, issue, or matter as to which the person has been adjudged to be liable to the corporation. </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Unless ordered by a court, the determination of whether indemnification is proper in a specific case will be determined by (1) the board of directors by a majority vote of a quorum consisting of directors who were not parties to the action or proceeding; (2) if such a quorum is not obtainable or if obtainable and a majority vote of a quorum of disinterested directors so directs, by independent legal counsel in a written opinion; or (3) by the shareholders. </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 the extent that a representative of a business corporation has been successful on the merits or otherwise in defense of a third-party action, derivative action, or corporate action, he or she must be indemnified against expenses (including attorneys’ fees) actually and reasonably incurred by him or her in connection therewith. </w:t>
      </w: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320675"/>
                <wp:effectExtent l="0" t="0" r="0" b="0"/>
                <wp:wrapNone/>
                <wp:docPr id="134" name="Frame134"/>
                <a:graphic xmlns:a="http://schemas.openxmlformats.org/drawingml/2006/main">
                  <a:graphicData uri="http://schemas.microsoft.com/office/word/2010/wordprocessingShape">
                    <wps:wsp>
                      <wps:cNvSpPr txBox="1"/>
                      <wps:spPr>
                        <a:xfrm>
                          <a:off x="0" y="0"/>
                          <a:ext cx="6480175" cy="32067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101945986.3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101945986.3</w:t>
                      </w:r>
                    </w:p>
                  </w:txbxContent>
                </v:textbox>
                <w10:wrap type="none"/>
              </v:rect>
            </w:pict>
          </mc:Fallback>
        </mc:AlternateConten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Pennsylvania law permits a corporation to purchase and maintain insurance for a director or officer against any liability asserted against him or her, and incurred in his or her capacity as a director or officer or arising out of his or her position, whether or not the corporation would have the power to indemnify him or her against such liability under Pennsylvania law. </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Articles of Incorporation and Bylaws provide that a director shall, to the maximum extent permitted by Pennsylvania law, have no personal liability or monetary damages for any action taken, or any failure to take any action as a director. The Articles of Incorporation and Bylaws also provide for indemnification for current and former directors, officers, employees, or agents serving at the request of the corporation to the fullest extent permitted by Pennsylvania law. The Articles of Incorporation and Bylaws also permit the advancement of expenses.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320675"/>
                <wp:effectExtent l="0" t="0" r="0" b="0"/>
                <wp:wrapNone/>
                <wp:docPr id="135" name="Frame135"/>
                <a:graphic xmlns:a="http://schemas.openxmlformats.org/drawingml/2006/main">
                  <a:graphicData uri="http://schemas.microsoft.com/office/word/2010/wordprocessingShape">
                    <wps:wsp>
                      <wps:cNvSpPr txBox="1"/>
                      <wps:spPr>
                        <a:xfrm>
                          <a:off x="0" y="0"/>
                          <a:ext cx="6480175" cy="32067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101945986.3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101945986.3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GAMING AND LEISURE PROPERTIES, INC.</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PERFORMANCE RESTRICTED STOCK AWARD TERMS – NNN PEERS</w:t>
        <w:br/>
        <w:t>FOR AWARDS ISSUED IN 2026</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 xml:space="preserve">All Restricted Stock is subject to the provisions of the Amended and Restated 2013 Long-Term Incentive Compensation Plan (the “Plan”) and any rules and regulations established by the Compensation Committee of the Board of Directors of Gaming and Leisure Properties, Inc. A copy of the Plan is available on the Merrill Lynch website under Document Library/Plan Documents. Unless specifically defined herein, words used herein with initial capitalized letters are defined in the Plan. </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The terms provided herein are applicable to Performance Restricted Stock Awards based on the NNN Peer Group (as defined below) issued in 2026. Different terms may apply to any prior or future awards under the Plan.</w:t>
      </w:r>
    </w:p>
    <w:p>
      <w:pPr>
        <w:pStyle w:val="TextBody"/>
        <w:bidi w:val="0"/>
        <w:spacing w:lineRule="auto" w:line="240" w:before="0" w:after="240"/>
        <w:jc w:val="left"/>
        <w:rPr/>
      </w:pPr>
      <w:r>
        <w:rPr>
          <w:rFonts w:ascii="Times New Roman;serif" w:hAnsi="Times New Roman;serif"/>
          <w:b/>
          <w:color w:val="000000"/>
          <w:sz w:val="24"/>
        </w:rPr>
        <w:t>I.</w:t>
      </w:r>
      <w:r>
        <w:rPr>
          <w:rFonts w:ascii="Times New Roman;serif" w:hAnsi="Times New Roman;serif"/>
          <w:b/>
          <w:color w:val="000000"/>
          <w:sz w:val="24"/>
        </w:rPr>
        <w:t>DEFINITIONS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For purposes of a Performance Restricted Stock Award, the following terms shall have the meanings set forth:</w:t>
      </w:r>
    </w:p>
    <w:p>
      <w:pPr>
        <w:pStyle w:val="TextBody"/>
        <w:bidi w:val="0"/>
        <w:spacing w:lineRule="auto" w:line="240" w:before="0" w:after="240"/>
        <w:ind w:left="0" w:right="0" w:firstLine="720"/>
        <w:jc w:val="left"/>
        <w:rPr/>
      </w:pPr>
      <w:r>
        <w:rPr>
          <w:rFonts w:ascii="Times New Roman;serif" w:hAnsi="Times New Roman;serif"/>
          <w:b/>
          <w:color w:val="000000"/>
          <w:sz w:val="24"/>
        </w:rPr>
        <w:t>A.</w:t>
      </w:r>
      <w:r>
        <w:rPr>
          <w:color w:val="000000"/>
        </w:rPr>
        <w:t>“</w:t>
      </w:r>
      <w:r>
        <w:rPr>
          <w:rFonts w:ascii="Times New Roman;serif" w:hAnsi="Times New Roman;serif"/>
          <w:b w:val="false"/>
          <w:i/>
          <w:color w:val="000000"/>
          <w:sz w:val="24"/>
        </w:rPr>
        <w:t>Initial Share Price</w:t>
      </w:r>
      <w:r>
        <w:rPr>
          <w:color w:val="000000"/>
        </w:rPr>
        <w:t xml:space="preserve">” </w:t>
      </w:r>
      <w:r>
        <w:rPr>
          <w:rFonts w:ascii="Times New Roman;serif" w:hAnsi="Times New Roman;serif"/>
          <w:b w:val="false"/>
          <w:color w:val="000000"/>
          <w:sz w:val="24"/>
        </w:rPr>
        <w:t xml:space="preserve">means, for the Company and for the Peer Group companies, the closing stock price for the last trading day preceding the start of the applicable Performance Period. </w:t>
      </w:r>
    </w:p>
    <w:p>
      <w:pPr>
        <w:pStyle w:val="TextBody"/>
        <w:bidi w:val="0"/>
        <w:spacing w:lineRule="auto" w:line="240" w:before="0" w:after="240"/>
        <w:ind w:left="0" w:right="0" w:firstLine="720"/>
        <w:jc w:val="left"/>
        <w:rPr/>
      </w:pPr>
      <w:r>
        <w:rPr>
          <w:rFonts w:ascii="Times New Roman;serif" w:hAnsi="Times New Roman;serif"/>
          <w:b/>
          <w:color w:val="000000"/>
          <w:sz w:val="24"/>
        </w:rPr>
        <w:t>B.</w:t>
      </w:r>
      <w:r>
        <w:rPr>
          <w:color w:val="000000"/>
        </w:rPr>
        <w:t>“</w:t>
      </w:r>
      <w:r>
        <w:rPr>
          <w:rFonts w:ascii="Times New Roman;serif" w:hAnsi="Times New Roman;serif"/>
          <w:b w:val="false"/>
          <w:i/>
          <w:color w:val="000000"/>
          <w:sz w:val="24"/>
        </w:rPr>
        <w:t>Final Share Price</w:t>
      </w:r>
      <w:r>
        <w:rPr>
          <w:color w:val="000000"/>
        </w:rPr>
        <w:t xml:space="preserve">” </w:t>
      </w:r>
      <w:r>
        <w:rPr>
          <w:rFonts w:ascii="Times New Roman;serif" w:hAnsi="Times New Roman;serif"/>
          <w:b w:val="false"/>
          <w:color w:val="000000"/>
          <w:sz w:val="24"/>
        </w:rPr>
        <w:t xml:space="preserve">means, for the Company and for the Peer Group companies, the closing stock price for the last trading day preceding the end of the applicable Performance Period. </w:t>
      </w:r>
    </w:p>
    <w:p>
      <w:pPr>
        <w:pStyle w:val="TextBody"/>
        <w:bidi w:val="0"/>
        <w:spacing w:lineRule="auto" w:line="240" w:before="0" w:after="240"/>
        <w:ind w:left="0" w:right="0" w:firstLine="720"/>
        <w:jc w:val="left"/>
        <w:rPr/>
      </w:pPr>
      <w:r>
        <w:rPr>
          <w:rFonts w:ascii="Times New Roman;serif" w:hAnsi="Times New Roman;serif"/>
          <w:b/>
          <w:color w:val="000000"/>
          <w:sz w:val="24"/>
        </w:rPr>
        <w:t>C.</w:t>
      </w:r>
      <w:r>
        <w:rPr>
          <w:color w:val="000000"/>
        </w:rPr>
        <w:t>“</w:t>
      </w:r>
      <w:r>
        <w:rPr>
          <w:rFonts w:ascii="Times New Roman;serif" w:hAnsi="Times New Roman;serif"/>
          <w:b w:val="false"/>
          <w:i/>
          <w:color w:val="000000"/>
          <w:sz w:val="24"/>
        </w:rPr>
        <w:t>Peer Group</w:t>
      </w:r>
      <w:r>
        <w:rPr>
          <w:color w:val="000000"/>
        </w:rPr>
        <w:t xml:space="preserve">” </w:t>
      </w:r>
      <w:r>
        <w:rPr>
          <w:rFonts w:ascii="Times New Roman;serif" w:hAnsi="Times New Roman;serif"/>
          <w:b w:val="false"/>
          <w:color w:val="000000"/>
          <w:sz w:val="24"/>
        </w:rPr>
        <w:t>means the following companies which have been identified to be triple net real estate investment trusts:</w:t>
      </w:r>
    </w:p>
    <w:tbl>
      <w:tblPr>
        <w:tblW w:w="6855" w:type="dxa"/>
        <w:jc w:val="left"/>
        <w:tblInd w:w="0" w:type="dxa"/>
        <w:tblLayout w:type="fixed"/>
        <w:tblCellMar>
          <w:top w:w="28" w:type="dxa"/>
          <w:left w:w="28" w:type="dxa"/>
          <w:bottom w:w="28" w:type="dxa"/>
          <w:right w:w="28" w:type="dxa"/>
        </w:tblCellMar>
      </w:tblPr>
      <w:tblGrid>
        <w:gridCol w:w="1284"/>
        <w:gridCol w:w="1124"/>
        <w:gridCol w:w="1132"/>
        <w:gridCol w:w="971"/>
        <w:gridCol w:w="971"/>
        <w:gridCol w:w="1373"/>
      </w:tblGrid>
      <w:tr>
        <w:trPr/>
        <w:tc>
          <w:tcPr>
            <w:tcW w:w="1284"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Agree Realty Corporation </w:t>
            </w:r>
          </w:p>
        </w:tc>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Medical Properties Trust</w:t>
            </w:r>
          </w:p>
        </w:tc>
      </w:tr>
      <w:tr>
        <w:trPr/>
        <w:tc>
          <w:tcPr>
            <w:tcW w:w="3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Alexandria Real Estate Equities </w:t>
            </w:r>
          </w:p>
        </w:tc>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National Health Investors. Inc.</w:t>
            </w:r>
          </w:p>
        </w:tc>
      </w:tr>
      <w:tr>
        <w:trPr/>
        <w:tc>
          <w:tcPr>
            <w:tcW w:w="3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Broadstone Net Lease</w:t>
            </w:r>
          </w:p>
        </w:tc>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NETSTREIT Corp.</w:t>
            </w:r>
          </w:p>
        </w:tc>
      </w:tr>
      <w:tr>
        <w:trPr/>
        <w:tc>
          <w:tcPr>
            <w:tcW w:w="3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Care Trust REIT, Inc.</w:t>
            </w:r>
          </w:p>
        </w:tc>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NNN REIT Inc.</w:t>
            </w:r>
          </w:p>
        </w:tc>
      </w:tr>
      <w:tr>
        <w:trPr/>
        <w:tc>
          <w:tcPr>
            <w:tcW w:w="3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EPR Properties</w:t>
            </w:r>
          </w:p>
        </w:tc>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Omega Healthcare Investors, Inc.</w:t>
            </w:r>
          </w:p>
        </w:tc>
      </w:tr>
      <w:tr>
        <w:trPr/>
        <w:tc>
          <w:tcPr>
            <w:tcW w:w="3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Essential Properties Trust Inc.</w:t>
            </w:r>
          </w:p>
        </w:tc>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Realty Income Corporation</w:t>
            </w:r>
          </w:p>
        </w:tc>
      </w:tr>
      <w:tr>
        <w:trPr/>
        <w:tc>
          <w:tcPr>
            <w:tcW w:w="3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Four Corners Property Trust, Inc.</w:t>
            </w:r>
          </w:p>
        </w:tc>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Sabra Health Care REIT Inc.</w:t>
            </w:r>
          </w:p>
        </w:tc>
      </w:tr>
      <w:tr>
        <w:trPr/>
        <w:tc>
          <w:tcPr>
            <w:tcW w:w="3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Gaming and Leisure Properties, Inc.</w:t>
            </w:r>
          </w:p>
        </w:tc>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Safehold Inc.</w:t>
            </w:r>
          </w:p>
        </w:tc>
      </w:tr>
      <w:tr>
        <w:trPr/>
        <w:tc>
          <w:tcPr>
            <w:tcW w:w="3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Getty Realty Corp.</w:t>
            </w:r>
          </w:p>
        </w:tc>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Sila Realty Trust, Inc.</w:t>
            </w:r>
          </w:p>
        </w:tc>
      </w:tr>
      <w:tr>
        <w:trPr/>
        <w:tc>
          <w:tcPr>
            <w:tcW w:w="3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Global Net Lease, Inc.</w:t>
            </w:r>
          </w:p>
        </w:tc>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STAG Industrial, Inc.</w:t>
            </w:r>
          </w:p>
        </w:tc>
      </w:tr>
      <w:tr>
        <w:trPr/>
        <w:tc>
          <w:tcPr>
            <w:tcW w:w="3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LTC Properties, Inc.</w:t>
            </w:r>
          </w:p>
        </w:tc>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VICI Properties Inc.</w:t>
            </w:r>
          </w:p>
        </w:tc>
      </w:tr>
      <w:tr>
        <w:trPr/>
        <w:tc>
          <w:tcPr>
            <w:tcW w:w="3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LXP Industrial Trust</w:t>
            </w:r>
          </w:p>
        </w:tc>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 P. Carey Inc.</w:t>
            </w:r>
          </w:p>
        </w:tc>
      </w:tr>
    </w:tbl>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D.</w:t>
      </w: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14605" cy="14605"/>
                <wp:effectExtent l="0" t="0" r="0" b="0"/>
                <wp:wrapNone/>
                <wp:docPr id="136" name="Frame136"/>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Performance Based Restricted Stock Award_NNN_1/2026</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Performance Based Restricted Stock Award_NNN_1/2026</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4"/>
        </w:rPr>
        <w:t>E.</w:t>
      </w:r>
      <w:r>
        <w:rPr>
          <w:rFonts w:ascii="Times New Roman;serif" w:hAnsi="Times New Roman;serif"/>
          <w:b w:val="false"/>
          <w:color w:val="000000"/>
          <w:sz w:val="24"/>
        </w:rPr>
        <w:t>Provided that if a constituent company(s) in the Peer Group ceases to be actively traded, due, for example, to merger or bankruptcy, or the Compensation Committee otherwise reasonably determines that is no longer suitable for the purposes of this Award Agreement, then such company(s) shall not be included in the Peer Group.</w:t>
      </w:r>
    </w:p>
    <w:p>
      <w:pPr>
        <w:pStyle w:val="TextBody"/>
        <w:bidi w:val="0"/>
        <w:spacing w:lineRule="auto" w:line="240" w:before="0" w:after="240"/>
        <w:ind w:left="0" w:right="0" w:firstLine="720"/>
        <w:jc w:val="left"/>
        <w:rPr/>
      </w:pPr>
      <w:r>
        <w:rPr>
          <w:rFonts w:ascii="Times New Roman;serif" w:hAnsi="Times New Roman;serif"/>
          <w:b/>
          <w:color w:val="000000"/>
          <w:sz w:val="24"/>
        </w:rPr>
        <w:t>F.</w:t>
      </w:r>
      <w:r>
        <w:rPr>
          <w:color w:val="000000"/>
        </w:rPr>
        <w:t>“</w:t>
      </w:r>
      <w:r>
        <w:rPr>
          <w:rFonts w:ascii="Times New Roman;serif" w:hAnsi="Times New Roman;serif"/>
          <w:b w:val="false"/>
          <w:i/>
          <w:color w:val="000000"/>
          <w:sz w:val="24"/>
        </w:rPr>
        <w:t>Performance Period</w:t>
      </w:r>
      <w:r>
        <w:rPr>
          <w:color w:val="000000"/>
        </w:rPr>
        <w:t xml:space="preserve">” </w:t>
      </w:r>
      <w:r>
        <w:rPr>
          <w:rFonts w:ascii="Times New Roman;serif" w:hAnsi="Times New Roman;serif"/>
          <w:b w:val="false"/>
          <w:color w:val="000000"/>
          <w:sz w:val="24"/>
        </w:rPr>
        <w:t>means the three-year period beginning on January 1 of the calendar year with respect to which this Performance Restricted Stock Award is granted and ending on December 31 of the third year, provided that a Performance Period shall end immediately upon the date on which a Change in Control shall be effective.</w:t>
      </w:r>
    </w:p>
    <w:p>
      <w:pPr>
        <w:pStyle w:val="TextBody"/>
        <w:bidi w:val="0"/>
        <w:spacing w:lineRule="auto" w:line="240" w:before="0" w:after="240"/>
        <w:ind w:left="0" w:right="0" w:firstLine="720"/>
        <w:jc w:val="left"/>
        <w:rPr/>
      </w:pPr>
      <w:r>
        <w:rPr>
          <w:rFonts w:ascii="Times New Roman;serif" w:hAnsi="Times New Roman;serif"/>
          <w:b/>
          <w:color w:val="000000"/>
          <w:sz w:val="24"/>
        </w:rPr>
        <w:t>G.</w:t>
      </w:r>
      <w:r>
        <w:rPr>
          <w:color w:val="000000"/>
        </w:rPr>
        <w:t>“</w:t>
      </w:r>
      <w:r>
        <w:rPr>
          <w:rFonts w:ascii="Times New Roman;serif" w:hAnsi="Times New Roman;serif"/>
          <w:b w:val="false"/>
          <w:i/>
          <w:color w:val="000000"/>
          <w:sz w:val="24"/>
        </w:rPr>
        <w:t>Total Shareholder Return,</w:t>
      </w:r>
      <w:r>
        <w:rPr>
          <w:color w:val="000000"/>
        </w:rPr>
        <w:t xml:space="preserve">” </w:t>
      </w:r>
      <w:r>
        <w:rPr>
          <w:rFonts w:ascii="Times New Roman;serif" w:hAnsi="Times New Roman;serif"/>
          <w:b w:val="false"/>
          <w:color w:val="000000"/>
          <w:sz w:val="24"/>
        </w:rPr>
        <w:t>or “</w:t>
      </w:r>
      <w:r>
        <w:rPr>
          <w:rFonts w:ascii="Times New Roman;serif" w:hAnsi="Times New Roman;serif"/>
          <w:b w:val="false"/>
          <w:i/>
          <w:color w:val="000000"/>
          <w:sz w:val="24"/>
        </w:rPr>
        <w:t>TSR</w:t>
      </w:r>
      <w:r>
        <w:rPr>
          <w:color w:val="000000"/>
        </w:rPr>
        <w:t xml:space="preserve">” </w:t>
      </w:r>
      <w:r>
        <w:rPr>
          <w:rFonts w:ascii="Times New Roman;serif" w:hAnsi="Times New Roman;serif"/>
          <w:b w:val="false"/>
          <w:color w:val="000000"/>
          <w:sz w:val="24"/>
        </w:rPr>
        <w:t>means, for the Company and for the Peer Group companies, the Final Share Price minus the Initial Share Price, plus any dividends (ordinary and special) paid during the applicable Performance Period. All dividends are assumed to be reinvested in the stock.</w:t>
      </w:r>
    </w:p>
    <w:p>
      <w:pPr>
        <w:pStyle w:val="TextBody"/>
        <w:bidi w:val="0"/>
        <w:spacing w:lineRule="auto" w:line="240" w:before="0" w:after="240"/>
        <w:jc w:val="left"/>
        <w:rPr/>
      </w:pPr>
      <w:r>
        <w:rPr>
          <w:rFonts w:ascii="Times New Roman;serif" w:hAnsi="Times New Roman;serif"/>
          <w:b/>
          <w:color w:val="000000"/>
          <w:sz w:val="24"/>
        </w:rPr>
        <w:t>II.</w:t>
      </w:r>
      <w:r>
        <w:rPr>
          <w:rFonts w:ascii="Times New Roman;serif" w:hAnsi="Times New Roman;serif"/>
          <w:b/>
          <w:color w:val="000000"/>
          <w:sz w:val="24"/>
        </w:rPr>
        <w:t>PAYMENT FOR SHARES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There is no exercise price or other payment required in exchange for a Performance Restricted Stock Award.</w:t>
      </w:r>
    </w:p>
    <w:p>
      <w:pPr>
        <w:pStyle w:val="TextBody"/>
        <w:bidi w:val="0"/>
        <w:spacing w:lineRule="auto" w:line="240" w:before="0" w:after="240"/>
        <w:jc w:val="left"/>
        <w:rPr/>
      </w:pPr>
      <w:r>
        <w:rPr>
          <w:rFonts w:ascii="Times New Roman;serif" w:hAnsi="Times New Roman;serif"/>
          <w:b/>
          <w:color w:val="000000"/>
          <w:sz w:val="24"/>
        </w:rPr>
        <w:t>III.</w:t>
      </w:r>
      <w:r>
        <w:rPr>
          <w:rFonts w:ascii="Times New Roman;serif" w:hAnsi="Times New Roman;serif"/>
          <w:b/>
          <w:color w:val="000000"/>
          <w:sz w:val="24"/>
        </w:rPr>
        <w:t>FORFEITURE/LAPSE OF RESTRICTIONS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The Compensation Committee will determine the percentage of each Performance Restricted Stock Award with respect to which restrictions will lapse based on the achievement of the following TSR thresholds as compared to the Peer Group during the applicable Performance Period:</w:t>
      </w:r>
    </w:p>
    <w:tbl>
      <w:tblPr>
        <w:tblW w:w="4319" w:type="dxa"/>
        <w:jc w:val="left"/>
        <w:tblInd w:w="0" w:type="dxa"/>
        <w:tblLayout w:type="fixed"/>
        <w:tblCellMar>
          <w:top w:w="28" w:type="dxa"/>
          <w:left w:w="28" w:type="dxa"/>
          <w:bottom w:w="28" w:type="dxa"/>
          <w:right w:w="28" w:type="dxa"/>
        </w:tblCellMar>
      </w:tblPr>
      <w:tblGrid>
        <w:gridCol w:w="1382"/>
        <w:gridCol w:w="1215"/>
        <w:gridCol w:w="1722"/>
      </w:tblGrid>
      <w:tr>
        <w:trPr/>
        <w:tc>
          <w:tcPr>
            <w:tcW w:w="1382"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Achievement Level Percentage Earned</w:t>
            </w:r>
          </w:p>
          <w:p>
            <w:pPr>
              <w:pStyle w:val="TableContents"/>
              <w:bidi w:val="0"/>
              <w:spacing w:lineRule="auto" w:line="288" w:before="0" w:after="0"/>
              <w:jc w:val="left"/>
              <w:rPr/>
            </w:pPr>
            <w:r>
              <w:rPr>
                <w:rFonts w:ascii="Times New Roman;serif" w:hAnsi="Times New Roman;serif"/>
                <w:b w:val="false"/>
                <w:color w:val="000000"/>
                <w:sz w:val="24"/>
                <w:u w:val="single"/>
              </w:rPr>
              <w:t>Peer Group Percentile</w:t>
            </w:r>
            <w:r>
              <w:rPr>
                <w:color w:val="000000"/>
              </w:rPr>
              <w:t xml:space="preserve">             </w:t>
            </w:r>
            <w:r>
              <w:rPr>
                <w:rFonts w:ascii="Times New Roman;serif" w:hAnsi="Times New Roman;serif"/>
                <w:b w:val="false"/>
                <w:color w:val="000000"/>
                <w:sz w:val="24"/>
                <w:u w:val="single"/>
              </w:rPr>
              <w:t xml:space="preserve">of Maximum </w:t>
            </w:r>
          </w:p>
          <w:p>
            <w:pPr>
              <w:pStyle w:val="TableContents"/>
              <w:bidi w:val="0"/>
              <w:spacing w:lineRule="auto" w:line="288" w:before="0" w:after="0"/>
              <w:jc w:val="left"/>
              <w:rPr/>
            </w:pPr>
            <w:r>
              <w:rPr>
                <w:rFonts w:ascii="Times New Roman;serif" w:hAnsi="Times New Roman;serif"/>
                <w:b w:val="false"/>
                <w:color w:val="000000"/>
                <w:sz w:val="24"/>
              </w:rPr>
              <w:t>Below 25</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0%</w:t>
            </w:r>
          </w:p>
          <w:p>
            <w:pPr>
              <w:pStyle w:val="TableContents"/>
              <w:bidi w:val="0"/>
              <w:spacing w:lineRule="auto" w:line="288" w:before="0" w:after="0"/>
              <w:jc w:val="left"/>
              <w:rPr/>
            </w:pPr>
            <w:r>
              <w:rPr>
                <w:rFonts w:ascii="Times New Roman;serif" w:hAnsi="Times New Roman;serif"/>
                <w:b w:val="false"/>
                <w:color w:val="000000"/>
                <w:sz w:val="24"/>
              </w:rPr>
              <w:t>50</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50%</w:t>
            </w:r>
          </w:p>
          <w:p>
            <w:pPr>
              <w:pStyle w:val="TableContents"/>
              <w:bidi w:val="0"/>
              <w:spacing w:lineRule="auto" w:line="288" w:before="0" w:after="0"/>
              <w:jc w:val="left"/>
              <w:rPr/>
            </w:pPr>
            <w:r>
              <w:rPr>
                <w:rFonts w:ascii="Times New Roman;serif" w:hAnsi="Times New Roman;serif"/>
                <w:b w:val="false"/>
                <w:color w:val="000000"/>
                <w:sz w:val="24"/>
              </w:rPr>
              <w:t>75</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or Above                 100%</w:t>
            </w:r>
          </w:p>
        </w:tc>
      </w:tr>
    </w:tbl>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Restrictions on Performance Restricted Stock Awards will lapse on a linear basis between achievement levels. Notwithstanding the foregoing, in the event that the Company’s TSR for the Performance Period is negative, the maximum Percentage Earned for a Performance Restricted Stock Award will be 50%. </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Performance Restricted Stock Awards are subject to forfeiture until lapse of such forfeiture restrictions determined at the conclusion of the applicable Performance Period. Any shares with restrictions that do not lapse at the end of the applicable Performance Period will be forfeited. In addition, in the event of a Holder’s death, disability, retirement or other termination of employment or service, the forfeiture restrictions on a Performance Restricted Stock Award shall lapse and/or shares of Restricted Stock forfeited as follows: </w:t>
      </w: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314960"/>
                <wp:effectExtent l="0" t="0" r="0" b="0"/>
                <wp:wrapNone/>
                <wp:docPr id="137" name="Frame137"/>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Performance Based Restricted Stock Award_NNN_1/2026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Performance Based Restricted Stock Award_NNN_1/2026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left"/>
        <w:rPr/>
      </w:pPr>
      <w:r>
        <w:rPr>
          <w:rFonts w:ascii="Times New Roman;serif" w:hAnsi="Times New Roman;serif"/>
          <w:b/>
          <w:color w:val="000000"/>
          <w:sz w:val="24"/>
        </w:rPr>
        <w:t>A.</w:t>
      </w:r>
      <w:r>
        <w:rPr>
          <w:rFonts w:ascii="Times New Roman;serif" w:hAnsi="Times New Roman;serif"/>
          <w:b w:val="false"/>
          <w:i/>
          <w:color w:val="000000"/>
          <w:sz w:val="24"/>
        </w:rPr>
        <w:t>Death and Disability</w:t>
      </w:r>
      <w:r>
        <w:rPr>
          <w:rFonts w:ascii="Times New Roman;serif" w:hAnsi="Times New Roman;serif"/>
          <w:b w:val="false"/>
          <w:color w:val="000000"/>
          <w:sz w:val="24"/>
        </w:rPr>
        <w:t>: The Holder or such Holder’s estate, as applicable, will be entitled to receive the percentage of a Performance Restricted Stock Award determined at the end of the applicable Performance Period as if such Holder were still employed at the end of the applicable Performance Period.</w:t>
      </w:r>
    </w:p>
    <w:p>
      <w:pPr>
        <w:pStyle w:val="TextBody"/>
        <w:bidi w:val="0"/>
        <w:spacing w:lineRule="auto" w:line="240" w:before="0" w:after="240"/>
        <w:ind w:left="0" w:right="0" w:firstLine="720"/>
        <w:jc w:val="left"/>
        <w:rPr/>
      </w:pPr>
      <w:r>
        <w:rPr>
          <w:rFonts w:ascii="Times New Roman;serif" w:hAnsi="Times New Roman;serif"/>
          <w:b/>
          <w:color w:val="000000"/>
          <w:sz w:val="24"/>
        </w:rPr>
        <w:t>B.</w:t>
      </w:r>
      <w:r>
        <w:rPr>
          <w:rFonts w:ascii="Times New Roman;serif" w:hAnsi="Times New Roman;serif"/>
          <w:b w:val="false"/>
          <w:i/>
          <w:color w:val="000000"/>
          <w:sz w:val="24"/>
        </w:rPr>
        <w:t>Termination without Cause or by Holder for Retirement</w:t>
      </w:r>
      <w:r>
        <w:rPr>
          <w:rFonts w:ascii="Times New Roman;serif" w:hAnsi="Times New Roman;serif"/>
          <w:b w:val="false"/>
          <w:color w:val="000000"/>
          <w:sz w:val="24"/>
        </w:rPr>
        <w:t>: The Holder will be entitled to receive the percentage of a Performance Restricted Stock Award determined at the end of the applicable Performance Period multiplied by a fraction, the numerator of which equals the number of days during such Performance Period that such Holder was actively employed by, or providing services to, the Company, and the denominator of which equals the total days in the applicable Performance Period.</w:t>
      </w:r>
    </w:p>
    <w:p>
      <w:pPr>
        <w:pStyle w:val="TextBody"/>
        <w:bidi w:val="0"/>
        <w:spacing w:lineRule="auto" w:line="240" w:before="0" w:after="240"/>
        <w:ind w:left="0" w:right="0" w:firstLine="720"/>
        <w:jc w:val="left"/>
        <w:rPr/>
      </w:pPr>
      <w:r>
        <w:rPr>
          <w:rFonts w:ascii="Times New Roman;serif" w:hAnsi="Times New Roman;serif"/>
          <w:b/>
          <w:color w:val="000000"/>
          <w:sz w:val="24"/>
        </w:rPr>
        <w:t>C.</w:t>
      </w:r>
      <w:r>
        <w:rPr>
          <w:rFonts w:ascii="Times New Roman;serif" w:hAnsi="Times New Roman;serif"/>
          <w:b w:val="false"/>
          <w:i/>
          <w:color w:val="000000"/>
          <w:sz w:val="24"/>
        </w:rPr>
        <w:t>Termination for Cause or by Holder other than Retirement</w:t>
      </w:r>
      <w:r>
        <w:rPr>
          <w:rFonts w:ascii="Times New Roman;serif" w:hAnsi="Times New Roman;serif"/>
          <w:b w:val="false"/>
          <w:color w:val="000000"/>
          <w:sz w:val="24"/>
        </w:rPr>
        <w:t>: All shares subject to the Performance Restricted Stock Award will be forfeited and the underlying Restricted Stock will immediately revert to the Company. A Holder will receive no payment for shares of Restricted Stock that are forfeited.</w:t>
      </w:r>
    </w:p>
    <w:p>
      <w:pPr>
        <w:pStyle w:val="TextBody"/>
        <w:bidi w:val="0"/>
        <w:spacing w:lineRule="auto" w:line="240" w:before="0" w:after="240"/>
        <w:ind w:left="0" w:right="0" w:firstLine="720"/>
        <w:jc w:val="left"/>
        <w:rPr/>
      </w:pPr>
      <w:r>
        <w:rPr>
          <w:rFonts w:ascii="Times New Roman;serif" w:hAnsi="Times New Roman;serif"/>
          <w:b/>
          <w:color w:val="000000"/>
          <w:sz w:val="24"/>
        </w:rPr>
        <w:t>D.</w:t>
      </w:r>
      <w:r>
        <w:rPr>
          <w:rFonts w:ascii="Times New Roman;serif" w:hAnsi="Times New Roman;serif"/>
          <w:b w:val="false"/>
          <w:i/>
          <w:color w:val="000000"/>
          <w:sz w:val="24"/>
        </w:rPr>
        <w:t>Change of Control</w:t>
      </w:r>
      <w:r>
        <w:rPr>
          <w:color w:val="000000"/>
        </w:rPr>
        <w:t xml:space="preserve"> </w:t>
      </w:r>
      <w:r>
        <w:rPr>
          <w:rFonts w:ascii="Times New Roman;serif" w:hAnsi="Times New Roman;serif"/>
          <w:b w:val="false"/>
          <w:color w:val="000000"/>
          <w:sz w:val="24"/>
        </w:rPr>
        <w:t xml:space="preserve">(as defined in the Plan): Subject to Article XIII of the Plan, the ending date of the applicable Performance Period will be established as the effective date of the Change of Control and the lapsing of restrictions will be determined as of such date; provided that the minimum Percentage Earned for a Performance Restricted Stock Award in the event of a Change of Control will be 50%. </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The “lapse” of forfeiture restrictions means that the common stock subject to the Award shall, thereafter, be fully transferable by the Holder, subject to compliance with Section VII of this Award Agreement. Until the lapse of such forfeiture restrictions a Holder may not sell, transfer, pledge or otherwise dispose of the shares of common stock subject to a Performance Restricted Stock Award. There are no additional events or occurrences that shall lead to lapse of any forfeiture restrictions on this Award. </w:t>
      </w:r>
    </w:p>
    <w:p>
      <w:pPr>
        <w:pStyle w:val="TextBody"/>
        <w:bidi w:val="0"/>
        <w:spacing w:lineRule="auto" w:line="288" w:before="0" w:after="240"/>
        <w:jc w:val="left"/>
        <w:rPr/>
      </w:pPr>
      <w:r>
        <w:rPr>
          <w:rFonts w:ascii="Times New Roman;serif" w:hAnsi="Times New Roman;serif"/>
          <w:b w:val="false"/>
          <w:color w:val="000000"/>
          <w:sz w:val="24"/>
        </w:rPr>
        <w:t>The term “</w:t>
      </w:r>
      <w:r>
        <w:rPr>
          <w:rFonts w:ascii="Times New Roman;serif" w:hAnsi="Times New Roman;serif"/>
          <w:b w:val="false"/>
          <w:i/>
          <w:color w:val="000000"/>
          <w:sz w:val="24"/>
        </w:rPr>
        <w:t>Cause</w:t>
      </w:r>
      <w:r>
        <w:rPr>
          <w:color w:val="000000"/>
        </w:rPr>
        <w:t xml:space="preserve">” </w:t>
      </w:r>
      <w:r>
        <w:rPr>
          <w:rFonts w:ascii="Times New Roman;serif" w:hAnsi="Times New Roman;serif"/>
          <w:b w:val="false"/>
          <w:color w:val="000000"/>
          <w:sz w:val="24"/>
        </w:rPr>
        <w:t>shall be as defined in the Holder’s employment agreement or, if such Holder does not have an employment agreement with the Company or such term is otherwise not defined, such term shall mean (i) Holder shall have been convicted of, or pled guilty or nolo contendere to, a felony or any misdemeanor involving allegations of fraud, embezzlement, theft or dishonesty against the Company; (ii) Holder is found to be an Unsuitable Person as defined in the Plan; (iii) Holder engages in wrongful disclosure of confidential information or otherwise engages in competition with the Company; or (iv) the Company’s reasonable determination of Holder’s willful misconduct in the performance of such Holder’s duties with the Company (other than any such failure resulting from incapacity due to physical disability or mental illness); or (v) the Company’s reasonable determination of Holder’s willful engagement in illegal conduct or gross misconduct which is materially injurious to the Company or one of its affiliates.</w:t>
      </w:r>
    </w:p>
    <w:p>
      <w:pPr>
        <w:pStyle w:val="TextBody"/>
        <w:bidi w:val="0"/>
        <w:spacing w:lineRule="auto" w:line="240" w:before="0" w:after="240"/>
        <w:jc w:val="left"/>
        <w:rPr/>
      </w:pPr>
      <w:r>
        <w:rPr>
          <w:rFonts w:ascii="Times New Roman;serif" w:hAnsi="Times New Roman;serif"/>
          <w:b/>
          <w:color w:val="000000"/>
          <w:sz w:val="24"/>
        </w:rPr>
        <w:t>IV.</w:t>
      </w:r>
      <w:r>
        <w:rPr>
          <w:rFonts w:ascii="Times New Roman;serif" w:hAnsi="Times New Roman;serif"/>
          <w:b/>
          <w:color w:val="000000"/>
          <w:sz w:val="24"/>
        </w:rPr>
        <w:t>LEAVES OF ABSENCE</w:t>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For purposes of a Performance Restricted Stock Award, service as an employee does not automatically terminate with a leave of absence. Please refer to Section 12.12 of the Plan for the impact of a leave of absence.</w:t>
      </w: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314960"/>
                <wp:effectExtent l="0" t="0" r="0" b="0"/>
                <wp:wrapNone/>
                <wp:docPr id="138" name="Frame138"/>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Performance Based Restricted Stock Award_NNN_1/2026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Performance Based Restricted Stock Award_NNN_1/2026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pPr>
      <w:r>
        <w:rPr>
          <w:rFonts w:ascii="Times New Roman;serif" w:hAnsi="Times New Roman;serif"/>
          <w:b/>
          <w:color w:val="000000"/>
          <w:sz w:val="24"/>
        </w:rPr>
        <w:t>V.</w:t>
      </w:r>
      <w:r>
        <w:rPr>
          <w:rFonts w:ascii="Times New Roman;serif" w:hAnsi="Times New Roman;serif"/>
          <w:b/>
          <w:color w:val="000000"/>
          <w:sz w:val="24"/>
        </w:rPr>
        <w:t>STOCK CERTIFICATES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The common stock issued at the end of a Performance Period, if any, will be in the form of uncertificated shares. During the Restricted Period the shares of common stock underlying a Performance Restricted Stock Award will be held by the Company. </w:t>
      </w:r>
    </w:p>
    <w:p>
      <w:pPr>
        <w:pStyle w:val="TextBody"/>
        <w:bidi w:val="0"/>
        <w:spacing w:before="0" w:after="0"/>
        <w:jc w:val="left"/>
        <w:rPr/>
      </w:pPr>
      <w:r>
        <w:rPr/>
      </w:r>
    </w:p>
    <w:p>
      <w:pPr>
        <w:pStyle w:val="TextBody"/>
        <w:bidi w:val="0"/>
        <w:spacing w:lineRule="auto" w:line="240" w:before="0" w:after="240"/>
        <w:jc w:val="left"/>
        <w:rPr/>
      </w:pPr>
      <w:r>
        <w:rPr>
          <w:rFonts w:ascii="Times New Roman;serif" w:hAnsi="Times New Roman;serif"/>
          <w:b/>
          <w:color w:val="000000"/>
          <w:sz w:val="24"/>
        </w:rPr>
        <w:t>VI.</w:t>
      </w:r>
      <w:r>
        <w:rPr>
          <w:rFonts w:ascii="Times New Roman;serif" w:hAnsi="Times New Roman;serif"/>
          <w:b/>
          <w:color w:val="000000"/>
          <w:sz w:val="24"/>
        </w:rPr>
        <w:t>VOTING AND DIVIDEND RIGHTS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A Holder of Performance Restricted Stock Awards may NOT vote the underlying Restricted Stock and will NOT receive any dividends paid with respect to such shares Restricted Stock until the lapse of forfeiture restrictions, at which time such Holder will receive dividends accruing during the applicable Performance Period on the shares with respect to which the restrictions lapse (in the form of additional shares). </w:t>
      </w:r>
    </w:p>
    <w:p>
      <w:pPr>
        <w:pStyle w:val="TextBody"/>
        <w:bidi w:val="0"/>
        <w:spacing w:before="0" w:after="0"/>
        <w:jc w:val="left"/>
        <w:rPr/>
      </w:pPr>
      <w:r>
        <w:rPr/>
      </w:r>
    </w:p>
    <w:p>
      <w:pPr>
        <w:pStyle w:val="TextBody"/>
        <w:bidi w:val="0"/>
        <w:spacing w:lineRule="auto" w:line="240" w:before="0" w:after="240"/>
        <w:jc w:val="left"/>
        <w:rPr/>
      </w:pPr>
      <w:r>
        <w:rPr>
          <w:rFonts w:ascii="Times New Roman;serif" w:hAnsi="Times New Roman;serif"/>
          <w:b/>
          <w:color w:val="000000"/>
          <w:sz w:val="24"/>
        </w:rPr>
        <w:t>VII.</w:t>
      </w:r>
      <w:r>
        <w:rPr>
          <w:rFonts w:ascii="Times New Roman;serif" w:hAnsi="Times New Roman;serif"/>
          <w:b/>
          <w:color w:val="000000"/>
          <w:sz w:val="24"/>
        </w:rPr>
        <w:t>WITHHOLDING TAXES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No evidence of shares of common stock will be released or issued to a Holder at the end of a Performance Period unless such Holder has made arrangements, acceptable to the Company, to pay any withholding taxes that may be due as a result of the lapse of the forfeiture restrictions. In accordance with the Plan, a Holder is authorized to make payment of any such withholding tax in cash, by payroll deduction, by authorizing the Company to withhold shares of common stock from an applicable Award or by surrendering to the Company shares of common stock that already owned by such Holder. In the event a Holder elects to authorize the Company to withhold shares of common stock from an Award, such Holder can only authorize the retention of shares of common stock equal to the minimum tax withholding obligation. The fair market value of the shares of common stock retained by the Company or surrendered by a Holder shall be determined in accordance with the Plan as of the date the tax obligation arises. </w:t>
      </w:r>
    </w:p>
    <w:p>
      <w:pPr>
        <w:pStyle w:val="TextBody"/>
        <w:bidi w:val="0"/>
        <w:spacing w:before="0" w:after="0"/>
        <w:jc w:val="left"/>
        <w:rPr/>
      </w:pPr>
      <w:r>
        <w:rPr/>
      </w:r>
    </w:p>
    <w:p>
      <w:pPr>
        <w:pStyle w:val="TextBody"/>
        <w:bidi w:val="0"/>
        <w:spacing w:lineRule="auto" w:line="240" w:before="0" w:after="240"/>
        <w:jc w:val="left"/>
        <w:rPr/>
      </w:pPr>
      <w:r>
        <w:rPr>
          <w:rFonts w:ascii="Times New Roman;serif" w:hAnsi="Times New Roman;serif"/>
          <w:b/>
          <w:color w:val="000000"/>
          <w:sz w:val="24"/>
        </w:rPr>
        <w:t>VIII.</w:t>
      </w:r>
      <w:r>
        <w:rPr>
          <w:rFonts w:ascii="Times New Roman;serif" w:hAnsi="Times New Roman;serif"/>
          <w:b/>
          <w:color w:val="000000"/>
          <w:sz w:val="24"/>
        </w:rPr>
        <w:t>NO RIGHT TO CONTINUED SERVICE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 Performance Restricted Stock Award does not give a Holder the right to continue in service with the Company in any capacity. The Company reserves the right to terminate a Holder’s services at any time, with or without cause, subject to any employment agreement or other contract.</w:t>
      </w:r>
    </w:p>
    <w:p>
      <w:pPr>
        <w:pStyle w:val="TextBody"/>
        <w:bidi w:val="0"/>
        <w:spacing w:before="0" w:after="0"/>
        <w:jc w:val="left"/>
        <w:rPr/>
      </w:pPr>
      <w:r>
        <w:rPr/>
      </w:r>
    </w:p>
    <w:p>
      <w:pPr>
        <w:pStyle w:val="TextBody"/>
        <w:bidi w:val="0"/>
        <w:spacing w:lineRule="auto" w:line="240" w:before="0" w:after="240"/>
        <w:jc w:val="left"/>
        <w:rPr/>
      </w:pPr>
      <w:r>
        <w:rPr>
          <w:rFonts w:ascii="Times New Roman;serif" w:hAnsi="Times New Roman;serif"/>
          <w:b/>
          <w:color w:val="000000"/>
          <w:sz w:val="24"/>
        </w:rPr>
        <w:t>IX.</w:t>
      </w:r>
      <w:r>
        <w:rPr>
          <w:rFonts w:ascii="Times New Roman;serif" w:hAnsi="Times New Roman;serif"/>
          <w:b/>
          <w:color w:val="000000"/>
          <w:sz w:val="24"/>
        </w:rPr>
        <w:t>ADJUSTMENTS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In the event of a stock split, a stock dividend or a similar change in the common stock, the number of shares of Restricted Stock subject to a Performance Restricted Stock Award that remain subject to forfeiture will be adjusted accordingly.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This Award Agreement and the Plan constitute the entire understanding between a Holder and the Company regarding a Performance Restricted Stock Award.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314960"/>
                <wp:effectExtent l="0" t="0" r="0" b="0"/>
                <wp:wrapNone/>
                <wp:docPr id="139" name="Frame139"/>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Performance Based Restricted Stock Award_NNN_1/2026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Performance Based Restricted Stock Award_NNN_1/2026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GAMING AND LEISURE PROPERTIES, INC.</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GLP CAPITAL, L.P.</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PERFORMANCE LTIP UNIT AWARD AGREEMENT – MSCI INDEX</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FOR AWARDS ISSUED IN 2026</w:t>
      </w:r>
    </w:p>
    <w:p>
      <w:pPr>
        <w:pStyle w:val="TextBody"/>
        <w:bidi w:val="0"/>
        <w:spacing w:before="0" w:after="0"/>
        <w:jc w:val="center"/>
        <w:rPr/>
      </w:pPr>
      <w:r>
        <w:rPr/>
      </w:r>
    </w:p>
    <w:p>
      <w:pPr>
        <w:pStyle w:val="TextBody"/>
        <w:bidi w:val="0"/>
        <w:spacing w:lineRule="auto" w:line="288" w:before="0" w:after="240"/>
        <w:jc w:val="left"/>
        <w:rPr/>
      </w:pPr>
      <w:r>
        <w:rPr>
          <w:rFonts w:ascii="Times New Roman;serif" w:hAnsi="Times New Roman;serif"/>
          <w:b w:val="false"/>
          <w:color w:val="000000"/>
          <w:sz w:val="24"/>
        </w:rPr>
        <w:t xml:space="preserve">Name of Participant: </w:t>
      </w:r>
      <w:r>
        <w:rPr>
          <w:color w:val="000000"/>
          <w:u w:val="single"/>
        </w:rPr>
        <w:t>                            </w:t>
      </w:r>
      <w:r>
        <w:rPr>
          <w:color w:val="000000"/>
        </w:rPr>
        <w:t xml:space="preserve"> </w:t>
      </w:r>
      <w:r>
        <w:rPr>
          <w:rFonts w:ascii="Times New Roman;serif" w:hAnsi="Times New Roman;serif"/>
          <w:b w:val="false"/>
          <w:color w:val="000000"/>
          <w:sz w:val="24"/>
        </w:rPr>
        <w:t>(the “</w:t>
      </w:r>
      <w:r>
        <w:rPr>
          <w:rFonts w:ascii="Times New Roman;serif" w:hAnsi="Times New Roman;serif"/>
          <w:b w:val="false"/>
          <w:color w:val="000000"/>
          <w:sz w:val="24"/>
          <w:u w:val="single"/>
        </w:rPr>
        <w:t>Participant</w:t>
      </w:r>
      <w:r>
        <w:rPr>
          <w:color w:val="000000"/>
        </w:rPr>
        <w:t>”</w:t>
      </w:r>
      <w:r>
        <w:rPr>
          <w:rFonts w:ascii="Times New Roman;serif" w:hAnsi="Times New Roman;serif"/>
          <w:b w:val="false"/>
          <w:color w:val="000000"/>
          <w:sz w:val="24"/>
        </w:rPr>
        <w:t>)</w:t>
      </w:r>
    </w:p>
    <w:p>
      <w:pPr>
        <w:pStyle w:val="TextBody"/>
        <w:bidi w:val="0"/>
        <w:spacing w:lineRule="auto" w:line="288" w:before="0" w:after="240"/>
        <w:jc w:val="left"/>
        <w:rPr/>
      </w:pPr>
      <w:r>
        <w:rPr>
          <w:rFonts w:ascii="Times New Roman;serif" w:hAnsi="Times New Roman;serif"/>
          <w:b w:val="false"/>
          <w:color w:val="000000"/>
          <w:sz w:val="24"/>
        </w:rPr>
        <w:t xml:space="preserve">No. of LTIP Units Awarded: </w:t>
      </w:r>
      <w:r>
        <w:rPr>
          <w:rFonts w:ascii="Times New Roman;serif" w:hAnsi="Times New Roman;serif"/>
          <w:b w:val="false"/>
          <w:color w:val="000000"/>
          <w:sz w:val="24"/>
          <w:u w:val="single"/>
        </w:rPr>
        <w:t>______________</w:t>
      </w:r>
      <w:r>
        <w:rPr>
          <w:color w:val="000000"/>
        </w:rPr>
        <w:t xml:space="preserve"> </w:t>
      </w:r>
      <w:r>
        <w:rPr>
          <w:rFonts w:ascii="Times New Roman;serif" w:hAnsi="Times New Roman;serif"/>
          <w:b w:val="false"/>
          <w:color w:val="000000"/>
          <w:sz w:val="24"/>
        </w:rPr>
        <w:t>LTIP Units (the “</w:t>
      </w:r>
      <w:r>
        <w:rPr>
          <w:rFonts w:ascii="Times New Roman;serif" w:hAnsi="Times New Roman;serif"/>
          <w:b w:val="false"/>
          <w:color w:val="000000"/>
          <w:sz w:val="24"/>
          <w:u w:val="single"/>
        </w:rPr>
        <w:t>Maximum Amount</w:t>
      </w:r>
      <w:r>
        <w:rPr>
          <w:color w:val="000000"/>
        </w:rPr>
        <w:t>”</w:t>
      </w:r>
      <w:r>
        <w:rPr>
          <w:rFonts w:ascii="Times New Roman;serif" w:hAnsi="Times New Roman;serif"/>
          <w:b w:val="false"/>
          <w:color w:val="000000"/>
          <w:sz w:val="24"/>
        </w:rPr>
        <w:t>)</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Grant Date: January 2, 2026</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RECITALS</w:t>
      </w:r>
    </w:p>
    <w:p>
      <w:pPr>
        <w:pStyle w:val="TextBody"/>
        <w:bidi w:val="0"/>
        <w:spacing w:lineRule="auto" w:line="288" w:before="0" w:after="240"/>
        <w:ind w:left="0" w:right="0" w:firstLine="720"/>
        <w:jc w:val="left"/>
        <w:rPr/>
      </w:pPr>
      <w:r>
        <w:rPr>
          <w:rFonts w:ascii="Times New Roman;serif" w:hAnsi="Times New Roman;serif"/>
          <w:b w:val="false"/>
          <w:color w:val="000000"/>
          <w:sz w:val="24"/>
        </w:rPr>
        <w:t>A.    The Participant is an officer of Gaming and Leisure Properties, a Pennsylvania corporation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and provides services to GLP Capital, L.P., a Pennsylvania limited partnership, through which the Company conducts substantially all of its operations (the “</w:t>
      </w:r>
      <w:r>
        <w:rPr>
          <w:rFonts w:ascii="Times New Roman;serif" w:hAnsi="Times New Roman;serif"/>
          <w:b w:val="false"/>
          <w:color w:val="000000"/>
          <w:sz w:val="24"/>
          <w:u w:val="single"/>
        </w:rPr>
        <w:t>Partnership</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left"/>
        <w:rPr/>
      </w:pPr>
      <w:r>
        <w:rPr>
          <w:rFonts w:ascii="Times New Roman;serif" w:hAnsi="Times New Roman;serif"/>
          <w:b w:val="false"/>
          <w:color w:val="000000"/>
          <w:sz w:val="24"/>
        </w:rPr>
        <w:t>B.    Pursuant to the Company’s Second Amended and Restated 2013 Long Term Incentive Compensation Plan (as amended and supplemented from time to time, the “</w:t>
      </w:r>
      <w:r>
        <w:rPr>
          <w:rFonts w:ascii="Times New Roman;serif" w:hAnsi="Times New Roman;serif"/>
          <w:b w:val="false"/>
          <w:color w:val="000000"/>
          <w:sz w:val="24"/>
          <w:u w:val="single"/>
        </w:rPr>
        <w:t>Plan</w:t>
      </w:r>
      <w:r>
        <w:rPr>
          <w:color w:val="000000"/>
        </w:rPr>
        <w:t>”</w:t>
      </w:r>
      <w:r>
        <w:rPr>
          <w:rFonts w:ascii="Times New Roman;serif" w:hAnsi="Times New Roman;serif"/>
          <w:b w:val="false"/>
          <w:color w:val="000000"/>
          <w:sz w:val="24"/>
        </w:rPr>
        <w:t>) and the Amended and Restated Agreement of Limited Partnership (as amended and supplemented from time to time, the “</w:t>
      </w:r>
      <w:r>
        <w:rPr>
          <w:rFonts w:ascii="Times New Roman;serif" w:hAnsi="Times New Roman;serif"/>
          <w:b w:val="false"/>
          <w:color w:val="000000"/>
          <w:sz w:val="24"/>
          <w:u w:val="single"/>
        </w:rPr>
        <w:t>LP Agreement</w:t>
      </w:r>
      <w:r>
        <w:rPr>
          <w:color w:val="000000"/>
        </w:rPr>
        <w:t>”</w:t>
      </w:r>
      <w:r>
        <w:rPr>
          <w:rFonts w:ascii="Times New Roman;serif" w:hAnsi="Times New Roman;serif"/>
          <w:b w:val="false"/>
          <w:color w:val="000000"/>
          <w:sz w:val="24"/>
        </w:rPr>
        <w:t>) of the Partnership, the Company hereby grants the Participant an Other Award (an “</w:t>
      </w:r>
      <w:r>
        <w:rPr>
          <w:rFonts w:ascii="Times New Roman;serif" w:hAnsi="Times New Roman;serif"/>
          <w:b w:val="false"/>
          <w:color w:val="000000"/>
          <w:sz w:val="24"/>
          <w:u w:val="single"/>
        </w:rPr>
        <w:t>Award</w:t>
      </w:r>
      <w:r>
        <w:rPr>
          <w:color w:val="000000"/>
        </w:rPr>
        <w:t>”</w:t>
      </w:r>
      <w:r>
        <w:rPr>
          <w:rFonts w:ascii="Times New Roman;serif" w:hAnsi="Times New Roman;serif"/>
          <w:b w:val="false"/>
          <w:color w:val="000000"/>
          <w:sz w:val="24"/>
        </w:rPr>
        <w:t>) pursuant to the Plan and hereby causes the Partnership to issue to the Participant, a number of Special LTIP Units set forth above equal to the Maximum Amount (the “</w:t>
      </w:r>
      <w:r>
        <w:rPr>
          <w:rFonts w:ascii="Times New Roman;serif" w:hAnsi="Times New Roman;serif"/>
          <w:b w:val="false"/>
          <w:color w:val="000000"/>
          <w:sz w:val="24"/>
          <w:u w:val="single"/>
        </w:rPr>
        <w:t>Award LTIP Units</w:t>
      </w:r>
      <w:r>
        <w:rPr>
          <w:color w:val="000000"/>
        </w:rPr>
        <w:t>”</w:t>
      </w:r>
      <w:r>
        <w:rPr>
          <w:rFonts w:ascii="Times New Roman;serif" w:hAnsi="Times New Roman;serif"/>
          <w:b w:val="false"/>
          <w:color w:val="000000"/>
          <w:sz w:val="24"/>
        </w:rPr>
        <w:t>) having the rights, voting powers, restrictions, limitations as to distributions, qualifications and terms and conditions of redemption and conversion set forth herein and in the LP Agreement. Upon the close of business on the Grant Date pursuant to this Performance LTIP Unit Award Agreement (this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the Participant shall receive the Award LTIP Units, subject to the restrictions and conditions set forth herein, in the Plan and in the LP Agreement.</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C.    The exact number of Award LTIP Units earned under the Award shall be determined following the conclusion of the Performance Period based on the Company’s Total Shareholder Return during the Performance Period as provided herein. Any Award LTIP Units not earned upon the end of the Performance Period will be forfeited and any additional LTIP Units owed to the Participant shall be issued as soon as reasonably practical following the determination of the number of LTIP Units earned under the Award.</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NOW, THEREFORE, the Company, the Partnership and the Participant agree as follows: </w:t>
      </w:r>
    </w:p>
    <w:p>
      <w:pPr>
        <w:pStyle w:val="TextBody"/>
        <w:bidi w:val="0"/>
        <w:spacing w:lineRule="auto" w:line="240" w:before="0" w:after="240"/>
        <w:ind w:left="0" w:right="0" w:firstLine="720"/>
        <w:jc w:val="left"/>
        <w:rPr/>
      </w:pPr>
      <w:r>
        <w:rPr>
          <w:rFonts w:ascii="Times New Roman;serif" w:hAnsi="Times New Roman;serif"/>
          <w:b w:val="false"/>
          <w:color w:val="000000"/>
          <w:sz w:val="24"/>
        </w:rPr>
        <w:t>1.</w:t>
      </w:r>
      <w:r>
        <w:rPr>
          <w:rFonts w:ascii="Times New Roman;serif" w:hAnsi="Times New Roman;serif"/>
          <w:b w:val="false"/>
          <w:color w:val="000000"/>
          <w:sz w:val="24"/>
          <w:u w:val="single"/>
        </w:rPr>
        <w:t>Definitions</w:t>
      </w:r>
      <w:r>
        <w:rPr>
          <w:rFonts w:ascii="Times New Roman;serif" w:hAnsi="Times New Roman;serif"/>
          <w:b w:val="false"/>
          <w:color w:val="000000"/>
          <w:sz w:val="24"/>
        </w:rPr>
        <w:t>. Capitalized terms used herein without definitions shall have the meanings given to those terms in the Plan. In addition, as used herein:</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Accumulated Distributions</w:t>
      </w:r>
      <w:r>
        <w:rPr>
          <w:color w:val="000000"/>
        </w:rPr>
        <w:t xml:space="preserve">” </w:t>
      </w:r>
      <w:r>
        <w:rPr>
          <w:rFonts w:ascii="Times New Roman;serif" w:hAnsi="Times New Roman;serif"/>
          <w:b w:val="false"/>
          <w:color w:val="000000"/>
          <w:sz w:val="24"/>
        </w:rPr>
        <w:t xml:space="preserve">has the meaning set forth in Section 3(c). </w:t>
      </w: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40" name="Frame1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Agreement</w:t>
      </w:r>
      <w:r>
        <w:rPr>
          <w:color w:val="000000"/>
        </w:rPr>
        <w:t xml:space="preserve">” </w:t>
      </w:r>
      <w:r>
        <w:rPr>
          <w:rFonts w:ascii="Times New Roman;serif" w:hAnsi="Times New Roman;serif"/>
          <w:b w:val="false"/>
          <w:color w:val="000000"/>
          <w:sz w:val="24"/>
        </w:rPr>
        <w:t>has the meaning set forth in the Recitals.</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Award</w:t>
      </w:r>
      <w:r>
        <w:rPr>
          <w:color w:val="000000"/>
        </w:rPr>
        <w:t xml:space="preserve">” </w:t>
      </w:r>
      <w:r>
        <w:rPr>
          <w:rFonts w:ascii="Times New Roman;serif" w:hAnsi="Times New Roman;serif"/>
          <w:b w:val="false"/>
          <w:color w:val="000000"/>
          <w:sz w:val="24"/>
        </w:rPr>
        <w:t>has the meaning set forth in the Recitals.</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Award Common Units</w:t>
      </w:r>
      <w:r>
        <w:rPr>
          <w:color w:val="000000"/>
        </w:rPr>
        <w:t xml:space="preserve">” </w:t>
      </w:r>
      <w:r>
        <w:rPr>
          <w:rFonts w:ascii="Times New Roman;serif" w:hAnsi="Times New Roman;serif"/>
          <w:b w:val="false"/>
          <w:color w:val="000000"/>
          <w:sz w:val="24"/>
        </w:rPr>
        <w:t>has the meaning set forth in Section 9(a).</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Award LTIP Units</w:t>
      </w:r>
      <w:r>
        <w:rPr>
          <w:color w:val="000000"/>
        </w:rPr>
        <w:t xml:space="preserve">” </w:t>
      </w:r>
      <w:r>
        <w:rPr>
          <w:rFonts w:ascii="Times New Roman;serif" w:hAnsi="Times New Roman;serif"/>
          <w:b w:val="false"/>
          <w:color w:val="000000"/>
          <w:sz w:val="24"/>
        </w:rPr>
        <w:t>has the meaning set forth in the Recitals, which, for the avoidance of doubt, will initially equal the Maximum Amount.</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Cause</w:t>
      </w:r>
      <w:r>
        <w:rPr>
          <w:color w:val="000000"/>
        </w:rPr>
        <w:t xml:space="preserve">” </w:t>
      </w:r>
      <w:r>
        <w:rPr>
          <w:rFonts w:ascii="Times New Roman;serif" w:hAnsi="Times New Roman;serif"/>
          <w:b w:val="false"/>
          <w:color w:val="000000"/>
          <w:sz w:val="24"/>
        </w:rPr>
        <w:t>means (a) if the Participant is a party to a Service Agreement, and “Cause” is defined therein, such definition, or (b) if the Participant is not party to a Service Agreement that defines “Cause,” Cause shall mean, (i) the Participant shall have been convicted of, or pled guilty or nolo contendere to, a felony or any misdemeanor involving allegations of fraud, embezzlement, theft or dishonesty against the Company; (ii) the Participant is found to be an Unsuitable Person as defined in the Plan; (iii) the Participant engages in wrongful disclosure of confidential information or otherwise engages in competition with the Company; (iv) the Company’s reasonable determination of the Participant’s willful misconduct in the performance of the Participant’s duties with the Company (other than any such failure resulting from incapacity due to physical disability or mental illness); or (v) the Company’s reasonable determination of the Participant’s willful engagement in illegal conduct or gross misconduct which is materially injurious to the Company or one of its affiliates.</w:t>
      </w:r>
    </w:p>
    <w:p>
      <w:pPr>
        <w:pStyle w:val="TextBody"/>
        <w:bidi w:val="0"/>
        <w:spacing w:lineRule="auto" w:line="288" w:before="0" w:after="240"/>
        <w:jc w:val="left"/>
        <w:rPr/>
      </w:pPr>
      <w:r>
        <w:rPr>
          <w:rFonts w:ascii="Times New Roman;serif" w:hAnsi="Times New Roman;serif"/>
          <w:b w:val="false"/>
          <w:color w:val="000000"/>
          <w:sz w:val="24"/>
        </w:rPr>
        <w:t>(a)</w:t>
      </w:r>
      <w:r>
        <w:rPr>
          <w:color w:val="000000"/>
        </w:rPr>
        <w:t>“</w:t>
      </w:r>
      <w:r>
        <w:rPr>
          <w:rFonts w:ascii="Times New Roman;serif" w:hAnsi="Times New Roman;serif"/>
          <w:b w:val="false"/>
          <w:color w:val="000000"/>
          <w:sz w:val="24"/>
          <w:u w:val="single"/>
        </w:rPr>
        <w:t>Code</w:t>
      </w:r>
      <w:r>
        <w:rPr>
          <w:color w:val="000000"/>
        </w:rPr>
        <w:t xml:space="preserve">” </w:t>
      </w:r>
      <w:r>
        <w:rPr>
          <w:rFonts w:ascii="Times New Roman;serif" w:hAnsi="Times New Roman;serif"/>
          <w:b w:val="false"/>
          <w:color w:val="000000"/>
          <w:sz w:val="24"/>
        </w:rPr>
        <w:t>means the Internal Revenue Code of 1986, as amended.</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Committee</w:t>
      </w:r>
      <w:r>
        <w:rPr>
          <w:color w:val="000000"/>
        </w:rPr>
        <w:t xml:space="preserve">” </w:t>
      </w:r>
      <w:r>
        <w:rPr>
          <w:rFonts w:ascii="Times New Roman;serif" w:hAnsi="Times New Roman;serif"/>
          <w:b w:val="false"/>
          <w:color w:val="000000"/>
          <w:sz w:val="24"/>
        </w:rPr>
        <w:t>means the Compensation Committee of the Board.</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Common Stock</w:t>
      </w:r>
      <w:r>
        <w:rPr>
          <w:color w:val="000000"/>
        </w:rPr>
        <w:t xml:space="preserve">” </w:t>
      </w:r>
      <w:r>
        <w:rPr>
          <w:rFonts w:ascii="Times New Roman;serif" w:hAnsi="Times New Roman;serif"/>
          <w:b w:val="false"/>
          <w:color w:val="000000"/>
          <w:sz w:val="24"/>
        </w:rPr>
        <w:t>means the Company’s common stock, par value $0.01 per share, either currently existing or authorized hereafter.</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Company</w:t>
      </w:r>
      <w:r>
        <w:rPr>
          <w:color w:val="000000"/>
        </w:rPr>
        <w:t xml:space="preserve">” </w:t>
      </w:r>
      <w:r>
        <w:rPr>
          <w:rFonts w:ascii="Times New Roman;serif" w:hAnsi="Times New Roman;serif"/>
          <w:b w:val="false"/>
          <w:color w:val="000000"/>
          <w:sz w:val="24"/>
        </w:rPr>
        <w:t>has the meaning set forth in the Recitals.</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Continuous Service</w:t>
      </w:r>
      <w:r>
        <w:rPr>
          <w:color w:val="000000"/>
        </w:rPr>
        <w:t xml:space="preserve">” </w:t>
      </w:r>
      <w:r>
        <w:rPr>
          <w:rFonts w:ascii="Times New Roman;serif" w:hAnsi="Times New Roman;serif"/>
          <w:b w:val="false"/>
          <w:color w:val="000000"/>
          <w:sz w:val="24"/>
        </w:rPr>
        <w:t xml:space="preserve">means the continuous service to the Employer, without interruption or termination, in any capacity of employee, or, with the written consent of the Committee, consultant. Continuous Service shall not be considered interrupted in the case of: (a) any approved leave of absence pursuant to Section 12.12 of the Plan; (b) transfers among the Employer, or any successor, in any capacity of employee, or with the written consent of the Committee, as a member of the Board or a consultant; or (c) any change in status as long as the individual remains in the service of the Employer in any capacity of employee or (if the Committee specifically agrees in writing that the Continuous Service is not uninterrupted) as a member of the Board or a consultant. </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Determination Date</w:t>
      </w:r>
      <w:r>
        <w:rPr>
          <w:color w:val="000000"/>
        </w:rPr>
        <w:t xml:space="preserve">” </w:t>
      </w:r>
      <w:r>
        <w:rPr>
          <w:rFonts w:ascii="Times New Roman;serif" w:hAnsi="Times New Roman;serif"/>
          <w:b w:val="false"/>
          <w:color w:val="000000"/>
          <w:sz w:val="24"/>
        </w:rPr>
        <w:t>has the meaning set forth in Section 3(c).</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Earned Distribution LTIP Units</w:t>
      </w:r>
      <w:r>
        <w:rPr>
          <w:color w:val="000000"/>
        </w:rPr>
        <w:t xml:space="preserve">” </w:t>
      </w:r>
      <w:r>
        <w:rPr>
          <w:rFonts w:ascii="Times New Roman;serif" w:hAnsi="Times New Roman;serif"/>
          <w:b w:val="false"/>
          <w:color w:val="000000"/>
          <w:sz w:val="24"/>
        </w:rPr>
        <w:t>has the meaning set forth in Section 3(c).</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Earned LTIP Units</w:t>
      </w:r>
      <w:r>
        <w:rPr>
          <w:color w:val="000000"/>
        </w:rPr>
        <w:t xml:space="preserve">” </w:t>
      </w:r>
      <w:r>
        <w:rPr>
          <w:rFonts w:ascii="Times New Roman;serif" w:hAnsi="Times New Roman;serif"/>
          <w:b w:val="false"/>
          <w:color w:val="000000"/>
          <w:sz w:val="24"/>
        </w:rPr>
        <w:t>has the meaning set forth in Section 3(c).</w:t>
      </w: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41" name="Frame1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Earned Performance LTIP Units</w:t>
      </w:r>
      <w:r>
        <w:rPr>
          <w:color w:val="000000"/>
        </w:rPr>
        <w:t xml:space="preserve">” </w:t>
      </w:r>
      <w:r>
        <w:rPr>
          <w:rFonts w:ascii="Times New Roman;serif" w:hAnsi="Times New Roman;serif"/>
          <w:b w:val="false"/>
          <w:color w:val="000000"/>
          <w:sz w:val="24"/>
        </w:rPr>
        <w:t>has the meaning set forth in Section 3(c).</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Effective Date</w:t>
      </w:r>
      <w:r>
        <w:rPr>
          <w:color w:val="000000"/>
        </w:rPr>
        <w:t xml:space="preserve">” </w:t>
      </w:r>
      <w:r>
        <w:rPr>
          <w:rFonts w:ascii="Times New Roman;serif" w:hAnsi="Times New Roman;serif"/>
          <w:b w:val="false"/>
          <w:color w:val="000000"/>
          <w:sz w:val="24"/>
        </w:rPr>
        <w:t>means January 1, 2026.</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Employer</w:t>
      </w:r>
      <w:r>
        <w:rPr>
          <w:color w:val="000000"/>
        </w:rPr>
        <w:t xml:space="preserve">” </w:t>
      </w:r>
      <w:r>
        <w:rPr>
          <w:rFonts w:ascii="Times New Roman;serif" w:hAnsi="Times New Roman;serif"/>
          <w:b w:val="false"/>
          <w:color w:val="000000"/>
          <w:sz w:val="24"/>
        </w:rPr>
        <w:t>means either the Company, the Partnership or any of their Subsidiaries that employ the Participant.</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End Date</w:t>
      </w:r>
      <w:r>
        <w:rPr>
          <w:color w:val="000000"/>
        </w:rPr>
        <w:t xml:space="preserve">” </w:t>
      </w:r>
      <w:r>
        <w:rPr>
          <w:rFonts w:ascii="Times New Roman;serif" w:hAnsi="Times New Roman;serif"/>
          <w:b w:val="false"/>
          <w:color w:val="000000"/>
          <w:sz w:val="24"/>
        </w:rPr>
        <w:t>means December 31, 2028.</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Exchange Act</w:t>
      </w:r>
      <w:r>
        <w:rPr>
          <w:color w:val="000000"/>
        </w:rPr>
        <w:t xml:space="preserve">” </w:t>
      </w:r>
      <w:r>
        <w:rPr>
          <w:rFonts w:ascii="Times New Roman;serif" w:hAnsi="Times New Roman;serif"/>
          <w:b w:val="false"/>
          <w:color w:val="000000"/>
          <w:sz w:val="24"/>
        </w:rPr>
        <w:t>means the Securities Exchange Act of 1934, as amended.</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Fair Market Value</w:t>
      </w:r>
      <w:r>
        <w:rPr>
          <w:color w:val="000000"/>
        </w:rPr>
        <w:t xml:space="preserve">” </w:t>
      </w:r>
      <w:r>
        <w:rPr>
          <w:rFonts w:ascii="Times New Roman;serif" w:hAnsi="Times New Roman;serif"/>
          <w:b w:val="false"/>
          <w:color w:val="000000"/>
          <w:sz w:val="24"/>
        </w:rPr>
        <w:t>means, as of any given date, the fair market value of a security determined by the Committee using any reasonable method and in good faith (such determination will be made in a manner that satisfies Section 409A of the Code and in good-faith as required by Section 422(c)(1) of the Code); provided that if such security is admitted to trading on a national securities exchange, the fair market value of such security on any date shall be the closing sale price on the last preceding date on which there was a sale of such security on such exchange reported for such security or, if applicable, any other national exchange on which the security is traded or admitted to trading, unless such security has not been traded for 10 trading days.</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Family Member</w:t>
      </w:r>
      <w:r>
        <w:rPr>
          <w:color w:val="000000"/>
        </w:rPr>
        <w:t xml:space="preserve">” </w:t>
      </w:r>
      <w:r>
        <w:rPr>
          <w:rFonts w:ascii="Times New Roman;serif" w:hAnsi="Times New Roman;serif"/>
          <w:b w:val="false"/>
          <w:color w:val="000000"/>
          <w:sz w:val="24"/>
        </w:rPr>
        <w:t>has the meaning set forth in Section 9(b).</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Final Release Date</w:t>
      </w:r>
      <w:r>
        <w:rPr>
          <w:color w:val="000000"/>
        </w:rPr>
        <w:t xml:space="preserve">” </w:t>
      </w:r>
      <w:r>
        <w:rPr>
          <w:rFonts w:ascii="Times New Roman;serif" w:hAnsi="Times New Roman;serif"/>
          <w:b w:val="false"/>
          <w:color w:val="000000"/>
          <w:sz w:val="24"/>
        </w:rPr>
        <w:t xml:space="preserve">has the meaning set forth in Section 4(c). </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Grant Date</w:t>
      </w:r>
      <w:r>
        <w:rPr>
          <w:color w:val="000000"/>
        </w:rPr>
        <w:t xml:space="preserve">” </w:t>
      </w:r>
      <w:r>
        <w:rPr>
          <w:rFonts w:ascii="Times New Roman;serif" w:hAnsi="Times New Roman;serif"/>
          <w:b w:val="false"/>
          <w:color w:val="000000"/>
          <w:sz w:val="24"/>
        </w:rPr>
        <w:t>means the date specified as such prior to the Recitals.</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Initial Share Price</w:t>
      </w:r>
      <w:r>
        <w:rPr>
          <w:color w:val="000000"/>
        </w:rPr>
        <w:t xml:space="preserve">” </w:t>
      </w:r>
      <w:r>
        <w:rPr>
          <w:rFonts w:ascii="Times New Roman;serif" w:hAnsi="Times New Roman;serif"/>
          <w:b w:val="false"/>
          <w:color w:val="000000"/>
          <w:sz w:val="24"/>
        </w:rPr>
        <w:t>means, for the Company and each Peer Group company, the closing stock price of one share of common equity on the last trading day preceding the start of the Performance Period.</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LP Agreement</w:t>
      </w:r>
      <w:r>
        <w:rPr>
          <w:color w:val="000000"/>
        </w:rPr>
        <w:t xml:space="preserve">” </w:t>
      </w:r>
      <w:r>
        <w:rPr>
          <w:rFonts w:ascii="Times New Roman;serif" w:hAnsi="Times New Roman;serif"/>
          <w:b w:val="false"/>
          <w:color w:val="000000"/>
          <w:sz w:val="24"/>
        </w:rPr>
        <w:t>has the meaning set forth in the Recitals.</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LTIP Units</w:t>
      </w:r>
      <w:r>
        <w:rPr>
          <w:color w:val="000000"/>
        </w:rPr>
        <w:t xml:space="preserve">” </w:t>
      </w:r>
      <w:r>
        <w:rPr>
          <w:rFonts w:ascii="Times New Roman;serif" w:hAnsi="Times New Roman;serif"/>
          <w:b w:val="false"/>
          <w:color w:val="000000"/>
          <w:sz w:val="24"/>
        </w:rPr>
        <w:t>has the meaning set forth in the LP Agreement.</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Maximum Amount</w:t>
      </w:r>
      <w:r>
        <w:rPr>
          <w:color w:val="000000"/>
        </w:rPr>
        <w:t xml:space="preserve">” </w:t>
      </w:r>
      <w:r>
        <w:rPr>
          <w:rFonts w:ascii="Times New Roman;serif" w:hAnsi="Times New Roman;serif"/>
          <w:b w:val="false"/>
          <w:color w:val="000000"/>
          <w:sz w:val="24"/>
        </w:rPr>
        <w:t>means the number of LTIP Units set forth in the Recitals, which, for the avoidance of doubt, is the number of Award LTIP Units that the Participant will earn if maximum performance is achieved.</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Partial Service Factor</w:t>
      </w:r>
      <w:r>
        <w:rPr>
          <w:color w:val="000000"/>
        </w:rPr>
        <w:t xml:space="preserve">” </w:t>
      </w:r>
      <w:r>
        <w:rPr>
          <w:rFonts w:ascii="Times New Roman;serif" w:hAnsi="Times New Roman;serif"/>
          <w:b w:val="false"/>
          <w:color w:val="000000"/>
          <w:sz w:val="24"/>
        </w:rPr>
        <w:t xml:space="preserve">means a factor carried out to the sixth decimal to be used in calculating the number of LTIP Units earned pursuant to Section 3(c) hereof in the event of a Qualified Pro-Rated Termination of the Participant’s Continuous Service prior to the Valuation Date, determined by dividing (a) the number of calendar days that have elapsed since the Effective Date to and including the date of the Participant’s Qualified Pro-Rated Termination by (b) the number of calendar days from the Effective Date to and including the End Date. </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Participant</w:t>
      </w:r>
      <w:r>
        <w:rPr>
          <w:color w:val="000000"/>
        </w:rPr>
        <w:t xml:space="preserve">” </w:t>
      </w:r>
      <w:r>
        <w:rPr>
          <w:rFonts w:ascii="Times New Roman;serif" w:hAnsi="Times New Roman;serif"/>
          <w:b w:val="false"/>
          <w:color w:val="000000"/>
          <w:sz w:val="24"/>
        </w:rPr>
        <w:t>has the meaning set forth prior to the Recitals.</w:t>
      </w: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142" name="Frame1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Partnership</w:t>
      </w:r>
      <w:r>
        <w:rPr>
          <w:color w:val="000000"/>
        </w:rPr>
        <w:t xml:space="preserve">” </w:t>
      </w:r>
      <w:r>
        <w:rPr>
          <w:rFonts w:ascii="Times New Roman;serif" w:hAnsi="Times New Roman;serif"/>
          <w:b w:val="false"/>
          <w:color w:val="000000"/>
          <w:sz w:val="24"/>
        </w:rPr>
        <w:t>has the meaning set forth in the Recitals.</w:t>
      </w:r>
    </w:p>
    <w:p>
      <w:pPr>
        <w:pStyle w:val="TextBody"/>
        <w:bidi w:val="0"/>
        <w:spacing w:lineRule="auto" w:line="288" w:before="0" w:after="0"/>
        <w:ind w:left="0" w:right="0" w:firstLine="720"/>
        <w:jc w:val="left"/>
        <w:rPr/>
      </w:pPr>
      <w:r>
        <w:rPr>
          <w:color w:val="000000"/>
        </w:rPr>
        <w:t>“</w:t>
      </w:r>
      <w:r>
        <w:rPr>
          <w:rFonts w:ascii="Times New Roman;serif" w:hAnsi="Times New Roman;serif"/>
          <w:b w:val="false"/>
          <w:color w:val="000000"/>
          <w:sz w:val="24"/>
          <w:u w:val="single"/>
        </w:rPr>
        <w:t>Peer Group</w:t>
      </w:r>
      <w:r>
        <w:rPr>
          <w:color w:val="000000"/>
        </w:rPr>
        <w:t xml:space="preserve">” </w:t>
      </w:r>
      <w:r>
        <w:rPr>
          <w:rFonts w:ascii="Times New Roman;serif" w:hAnsi="Times New Roman;serif"/>
          <w:b w:val="false"/>
          <w:color w:val="000000"/>
          <w:sz w:val="24"/>
        </w:rPr>
        <w:t>means the companies included in the MSCI US REIT Index as of the beginning of the Performance Period; provided that if a constituent company in the Peer Group ceases to be actively traded, due, for example, to merger or bankruptcy, or the Committee otherwise reasonably determines that is no longer suitable for the purposes of this Award Agreement, then such company shall not be included in the Peer Group.</w:t>
      </w:r>
    </w:p>
    <w:p>
      <w:pPr>
        <w:pStyle w:val="TextBody"/>
        <w:bidi w:val="0"/>
        <w:spacing w:before="0" w:after="0"/>
        <w:jc w:val="left"/>
        <w:rPr/>
      </w:pPr>
      <w:r>
        <w:rPr/>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Performance Period</w:t>
      </w:r>
      <w:r>
        <w:rPr>
          <w:color w:val="000000"/>
        </w:rPr>
        <w:t xml:space="preserve">” </w:t>
      </w:r>
      <w:r>
        <w:rPr>
          <w:rFonts w:ascii="Times New Roman;serif" w:hAnsi="Times New Roman;serif"/>
          <w:b w:val="false"/>
          <w:color w:val="000000"/>
          <w:sz w:val="24"/>
        </w:rPr>
        <w:t>means the period beginning on the Effective Date and ending on the Valuation Date.</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Plan</w:t>
      </w:r>
      <w:r>
        <w:rPr>
          <w:color w:val="000000"/>
        </w:rPr>
        <w:t xml:space="preserve">” </w:t>
      </w:r>
      <w:r>
        <w:rPr>
          <w:rFonts w:ascii="Times New Roman;serif" w:hAnsi="Times New Roman;serif"/>
          <w:b w:val="false"/>
          <w:color w:val="000000"/>
          <w:sz w:val="24"/>
        </w:rPr>
        <w:t>has the meaning set forth in the Recitals.</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Qualified Pro-Rated Termination</w:t>
      </w:r>
      <w:r>
        <w:rPr>
          <w:color w:val="000000"/>
        </w:rPr>
        <w:t xml:space="preserve">” </w:t>
      </w:r>
      <w:r>
        <w:rPr>
          <w:rFonts w:ascii="Times New Roman;serif" w:hAnsi="Times New Roman;serif"/>
          <w:b w:val="false"/>
          <w:color w:val="000000"/>
          <w:sz w:val="24"/>
        </w:rPr>
        <w:t>has the meaning set forth in Section 4(b).</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Qualified Termination</w:t>
      </w:r>
      <w:r>
        <w:rPr>
          <w:color w:val="000000"/>
        </w:rPr>
        <w:t xml:space="preserve">” </w:t>
      </w:r>
      <w:r>
        <w:rPr>
          <w:rFonts w:ascii="Times New Roman;serif" w:hAnsi="Times New Roman;serif"/>
          <w:b w:val="false"/>
          <w:color w:val="000000"/>
          <w:sz w:val="24"/>
        </w:rPr>
        <w:t>has the meaning set forth in Section 4(c).</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Relevant Information</w:t>
      </w:r>
      <w:r>
        <w:rPr>
          <w:color w:val="000000"/>
        </w:rPr>
        <w:t xml:space="preserve">” </w:t>
      </w:r>
      <w:r>
        <w:rPr>
          <w:rFonts w:ascii="Times New Roman;serif" w:hAnsi="Times New Roman;serif"/>
          <w:b w:val="false"/>
          <w:color w:val="000000"/>
          <w:sz w:val="24"/>
        </w:rPr>
        <w:t>has the meaning set forth in Section 26.</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Securities Act</w:t>
      </w:r>
      <w:r>
        <w:rPr>
          <w:color w:val="000000"/>
        </w:rPr>
        <w:t xml:space="preserve">” </w:t>
      </w:r>
      <w:r>
        <w:rPr>
          <w:rFonts w:ascii="Times New Roman;serif" w:hAnsi="Times New Roman;serif"/>
          <w:b w:val="false"/>
          <w:color w:val="000000"/>
          <w:sz w:val="24"/>
        </w:rPr>
        <w:t>means the Securities Act of 1933, as amended.</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Separation Agreement and Release</w:t>
      </w:r>
      <w:r>
        <w:rPr>
          <w:color w:val="000000"/>
        </w:rPr>
        <w:t xml:space="preserve">” </w:t>
      </w:r>
      <w:r>
        <w:rPr>
          <w:rFonts w:ascii="Times New Roman;serif" w:hAnsi="Times New Roman;serif"/>
          <w:b w:val="false"/>
          <w:color w:val="000000"/>
          <w:sz w:val="24"/>
        </w:rPr>
        <w:t>has the meaning set forth in Section 4(c).</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Service Agreement</w:t>
      </w:r>
      <w:r>
        <w:rPr>
          <w:color w:val="000000"/>
        </w:rPr>
        <w:t xml:space="preserve">” </w:t>
      </w:r>
      <w:r>
        <w:rPr>
          <w:rFonts w:ascii="Times New Roman;serif" w:hAnsi="Times New Roman;serif"/>
          <w:b w:val="false"/>
          <w:color w:val="000000"/>
          <w:sz w:val="24"/>
        </w:rPr>
        <w:t xml:space="preserve">means, as of a particular date, any employment, consulting or similar service agreement then in effect between the Participant, on the one hand, and the Employer, on the other hand, as amended or supplemented through such date. </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Special LTIP Units</w:t>
      </w:r>
      <w:r>
        <w:rPr>
          <w:color w:val="000000"/>
        </w:rPr>
        <w:t xml:space="preserve">” </w:t>
      </w:r>
      <w:r>
        <w:rPr>
          <w:rFonts w:ascii="Times New Roman;serif" w:hAnsi="Times New Roman;serif"/>
          <w:b w:val="false"/>
          <w:color w:val="000000"/>
          <w:sz w:val="24"/>
        </w:rPr>
        <w:t>has the meaning set forth in the LP Agreement.</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Total Shareholder Return</w:t>
      </w:r>
      <w:r>
        <w:rPr>
          <w:color w:val="000000"/>
        </w:rPr>
        <w:t xml:space="preserve">” </w:t>
      </w:r>
      <w:r>
        <w:rPr>
          <w:rFonts w:ascii="Times New Roman;serif" w:hAnsi="Times New Roman;serif"/>
          <w:b w:val="false"/>
          <w:color w:val="000000"/>
          <w:sz w:val="24"/>
        </w:rPr>
        <w:t>means, for the Company and each Peer Group company, the Final Share Price minus the Initial Share Price, plus any dividends (ordinary and special) paid during the applicable Performance Period. As set forth in, and pursuant to, Section 7 of this Agreement, appropriate adjustments to the Total Shareholder Return shall be made to take into account all stock dividends, stock splits, reverse stock splits and the other events set forth in Section 7 that occur during the Performance Period.</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Transfer</w:t>
      </w:r>
      <w:r>
        <w:rPr>
          <w:color w:val="000000"/>
        </w:rPr>
        <w:t xml:space="preserve">” </w:t>
      </w:r>
      <w:r>
        <w:rPr>
          <w:rFonts w:ascii="Times New Roman;serif" w:hAnsi="Times New Roman;serif"/>
          <w:b w:val="false"/>
          <w:color w:val="000000"/>
          <w:sz w:val="24"/>
        </w:rPr>
        <w:t>has the meaning set forth in Section 9(a).</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Valuation Date</w:t>
      </w:r>
      <w:r>
        <w:rPr>
          <w:color w:val="000000"/>
        </w:rPr>
        <w:t xml:space="preserve">” </w:t>
      </w:r>
      <w:r>
        <w:rPr>
          <w:rFonts w:ascii="Times New Roman;serif" w:hAnsi="Times New Roman;serif"/>
          <w:b w:val="false"/>
          <w:color w:val="000000"/>
          <w:sz w:val="24"/>
        </w:rPr>
        <w:t xml:space="preserve">means the earlier of (a) the End Date or (b) the date upon which a Change in Control shall occur. </w:t>
      </w:r>
    </w:p>
    <w:p>
      <w:pPr>
        <w:pStyle w:val="TextBody"/>
        <w:bidi w:val="0"/>
        <w:spacing w:lineRule="auto" w:line="240" w:before="0" w:after="240"/>
        <w:ind w:left="0" w:right="0" w:firstLine="720"/>
        <w:jc w:val="left"/>
        <w:rPr/>
      </w:pPr>
      <w:r>
        <w:rPr>
          <w:rFonts w:ascii="Times New Roman;serif" w:hAnsi="Times New Roman;serif"/>
          <w:b w:val="false"/>
          <w:color w:val="000000"/>
          <w:sz w:val="24"/>
        </w:rPr>
        <w:t>2.</w:t>
      </w:r>
      <w:r>
        <w:rPr>
          <w:rFonts w:ascii="Times New Roman;serif" w:hAnsi="Times New Roman;serif"/>
          <w:b w:val="false"/>
          <w:color w:val="000000"/>
          <w:sz w:val="24"/>
          <w:u w:val="single"/>
        </w:rPr>
        <w:t>Effectiveness of Award</w:t>
      </w:r>
      <w:r>
        <w:rPr>
          <w:rFonts w:ascii="Times New Roman;serif" w:hAnsi="Times New Roman;serif"/>
          <w:b w:val="false"/>
          <w:color w:val="000000"/>
          <w:sz w:val="24"/>
        </w:rPr>
        <w:t xml:space="preserve">. New Partners - The Participant shall be admitted as a partner of the Partnership with beneficial ownership of the Award LTIP Units as of the Grant Date by (i) signing and delivering to the Partnership a copy of this Agreement and (ii) signing, as a Limited Partner, and delivering to the Partnership a counterpart signature page to the LP Agreement (attached hereto as </w:t>
      </w:r>
      <w:r>
        <w:rPr>
          <w:rFonts w:ascii="Times New Roman;serif" w:hAnsi="Times New Roman;serif"/>
          <w:b w:val="false"/>
          <w:color w:val="000000"/>
          <w:sz w:val="24"/>
          <w:u w:val="single"/>
        </w:rPr>
        <w:t>Exhibit A</w:t>
      </w:r>
      <w:r>
        <w:rPr>
          <w:rFonts w:ascii="Times New Roman;serif" w:hAnsi="Times New Roman;serif"/>
          <w:b w:val="false"/>
          <w:color w:val="000000"/>
          <w:sz w:val="24"/>
        </w:rPr>
        <w:t xml:space="preserve">). Existing Partners – The participant shall be issued the beneficial ownership of the Award LTIP Units as of the Grant Date by signing and delivering to the Partnership a copy of this Agreement . Upon execution of this Agreement by the Participant, </w:t>
      </w: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43" name="Frame1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the Partnership and the Company, the books and records of the Partnership shall reflect the issuance to the Participant of the Award LTIP Units. Thereupon, the Participant shall have all the rights of a Limited Partner of the Partnership with respect to a number of Special LTIP Units equal to the Award LTIP Units, as set forth in the LP Agreement, subject, however, to the restrictions and conditions specified in this Agreement.</w:t>
      </w:r>
    </w:p>
    <w:p>
      <w:pPr>
        <w:pStyle w:val="TextBody"/>
        <w:bidi w:val="0"/>
        <w:spacing w:lineRule="auto" w:line="240" w:before="0" w:after="240"/>
        <w:ind w:left="0" w:right="0" w:firstLine="720"/>
        <w:jc w:val="left"/>
        <w:rPr/>
      </w:pPr>
      <w:r>
        <w:rPr>
          <w:rFonts w:ascii="Times New Roman;serif" w:hAnsi="Times New Roman;serif"/>
          <w:b w:val="false"/>
          <w:color w:val="000000"/>
          <w:sz w:val="24"/>
        </w:rPr>
        <w:t>3.</w:t>
      </w:r>
      <w:r>
        <w:rPr>
          <w:rFonts w:ascii="Times New Roman;serif" w:hAnsi="Times New Roman;serif"/>
          <w:b w:val="false"/>
          <w:color w:val="000000"/>
          <w:sz w:val="24"/>
          <w:u w:val="single"/>
        </w:rPr>
        <w:t>Vesting and Earning of Award LTIP Units</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left"/>
        <w:rPr/>
      </w:pPr>
      <w:r>
        <w:rPr>
          <w:rFonts w:ascii="Times New Roman;serif" w:hAnsi="Times New Roman;serif"/>
          <w:b w:val="false"/>
          <w:color w:val="000000"/>
          <w:sz w:val="24"/>
        </w:rPr>
        <w:t>(a)</w:t>
      </w:r>
      <w:r>
        <w:rPr>
          <w:rFonts w:ascii="Times New Roman;serif" w:hAnsi="Times New Roman;serif"/>
          <w:b w:val="false"/>
          <w:color w:val="000000"/>
          <w:sz w:val="24"/>
        </w:rPr>
        <w:t>This Award is subject to performance-based vesting during the Performance Period, subject to acceleration in certain circumstances set forth in this Agreement. The Award LTIP Units will be subject to forfeiture based on the Company’s Total Shareholder Return during the Performance Period as set forth in this Section 3.</w:t>
      </w:r>
    </w:p>
    <w:p>
      <w:pPr>
        <w:pStyle w:val="TextBody"/>
        <w:bidi w:val="0"/>
        <w:spacing w:lineRule="auto" w:line="240" w:before="0" w:after="240"/>
        <w:ind w:left="0" w:right="0" w:firstLine="720"/>
        <w:jc w:val="left"/>
        <w:rPr/>
      </w:pPr>
      <w:r>
        <w:rPr>
          <w:rFonts w:ascii="Times New Roman;serif" w:hAnsi="Times New Roman;serif"/>
          <w:b w:val="false"/>
          <w:color w:val="000000"/>
          <w:sz w:val="24"/>
        </w:rPr>
        <w:t>(b)</w:t>
      </w:r>
      <w:r>
        <w:rPr>
          <w:rFonts w:ascii="Times New Roman;serif" w:hAnsi="Times New Roman;serif"/>
          <w:b w:val="false"/>
          <w:color w:val="000000"/>
          <w:sz w:val="24"/>
        </w:rPr>
        <w:t xml:space="preserve">The number of Award LTIP Units initially earned, expressed as a percentage of the Maximum Amount, will be based on the percentile rank of the Company’s Total Shareholder Return during the Performance Period compared to the Total Shareholder Return of the Peer Group during the Performance Period as set forth in the table below, with linear interpolation for performance between levels. </w:t>
      </w:r>
    </w:p>
    <w:tbl>
      <w:tblPr>
        <w:tblW w:w="8790" w:type="dxa"/>
        <w:jc w:val="left"/>
        <w:tblInd w:w="0" w:type="dxa"/>
        <w:tblLayout w:type="fixed"/>
        <w:tblCellMar>
          <w:top w:w="28" w:type="dxa"/>
          <w:left w:w="28" w:type="dxa"/>
          <w:bottom w:w="28" w:type="dxa"/>
          <w:right w:w="28" w:type="dxa"/>
        </w:tblCellMar>
      </w:tblPr>
      <w:tblGrid>
        <w:gridCol w:w="695"/>
        <w:gridCol w:w="612"/>
        <w:gridCol w:w="613"/>
        <w:gridCol w:w="939"/>
        <w:gridCol w:w="939"/>
        <w:gridCol w:w="942"/>
        <w:gridCol w:w="1185"/>
        <w:gridCol w:w="1185"/>
        <w:gridCol w:w="1680"/>
      </w:tblGrid>
      <w:tr>
        <w:trPr/>
        <w:tc>
          <w:tcPr>
            <w:tcW w:w="695"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680"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12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Performance Level</w:t>
            </w:r>
          </w:p>
        </w:tc>
        <w:tc>
          <w:tcPr>
            <w:tcW w:w="282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12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 xml:space="preserve">Peer Group Percentile Rank </w:t>
            </w:r>
          </w:p>
        </w:tc>
        <w:tc>
          <w:tcPr>
            <w:tcW w:w="40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12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Percentage of Maximum Amount Earned</w:t>
            </w:r>
          </w:p>
        </w:tc>
      </w:tr>
      <w:tr>
        <w:trPr/>
        <w:tc>
          <w:tcPr>
            <w:tcW w:w="192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Threshold</w:t>
            </w:r>
          </w:p>
        </w:tc>
        <w:tc>
          <w:tcPr>
            <w:tcW w:w="282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4"/>
              </w:rPr>
              <w:t>Below 25</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Percentile</w:t>
            </w:r>
          </w:p>
        </w:tc>
        <w:tc>
          <w:tcPr>
            <w:tcW w:w="40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0%</w:t>
            </w:r>
          </w:p>
        </w:tc>
      </w:tr>
      <w:tr>
        <w:trPr/>
        <w:tc>
          <w:tcPr>
            <w:tcW w:w="192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Target</w:t>
            </w:r>
          </w:p>
        </w:tc>
        <w:tc>
          <w:tcPr>
            <w:tcW w:w="282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4"/>
              </w:rPr>
              <w:t>50</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Percentile</w:t>
            </w:r>
          </w:p>
        </w:tc>
        <w:tc>
          <w:tcPr>
            <w:tcW w:w="40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50%</w:t>
            </w:r>
          </w:p>
        </w:tc>
      </w:tr>
      <w:tr>
        <w:trPr/>
        <w:tc>
          <w:tcPr>
            <w:tcW w:w="192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Maximum</w:t>
            </w:r>
          </w:p>
        </w:tc>
        <w:tc>
          <w:tcPr>
            <w:tcW w:w="282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4"/>
              </w:rPr>
              <w:t>75</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Percentile or Above</w:t>
            </w:r>
          </w:p>
        </w:tc>
        <w:tc>
          <w:tcPr>
            <w:tcW w:w="405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100%</w:t>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w:t>
      </w:r>
    </w:p>
    <w:p>
      <w:pPr>
        <w:pStyle w:val="TextBody"/>
        <w:bidi w:val="0"/>
        <w:spacing w:lineRule="auto" w:line="288" w:before="0" w:after="0"/>
        <w:jc w:val="left"/>
        <w:rPr/>
      </w:pPr>
      <w:r>
        <w:rPr>
          <w:rFonts w:ascii="Times New Roman;serif" w:hAnsi="Times New Roman;serif"/>
          <w:b w:val="false"/>
          <w:color w:val="000000"/>
          <w:sz w:val="24"/>
        </w:rPr>
        <w:t>(d)</w:t>
      </w:r>
      <w:r>
        <w:rPr>
          <w:rFonts w:ascii="Times New Roman;serif" w:hAnsi="Times New Roman;serif"/>
          <w:b w:val="false"/>
          <w:color w:val="000000"/>
          <w:sz w:val="24"/>
        </w:rPr>
        <w:t>In the event that the Company’s Total Shareholder Return during the Performance Period is negative, the percentage of the Maximum Amount that may be earned shall not exceed 50%, or “Target” performance.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w:t>
      </w:r>
    </w:p>
    <w:p>
      <w:pPr>
        <w:pStyle w:val="TextBody"/>
        <w:bidi w:val="0"/>
        <w:spacing w:lineRule="auto" w:line="240" w:before="0" w:after="240"/>
        <w:ind w:left="0" w:right="0" w:firstLine="720"/>
        <w:jc w:val="left"/>
        <w:rPr/>
      </w:pPr>
      <w:r>
        <w:rPr>
          <w:rFonts w:ascii="Times New Roman;serif" w:hAnsi="Times New Roman;serif"/>
          <w:b w:val="false"/>
          <w:color w:val="000000"/>
          <w:sz w:val="24"/>
        </w:rPr>
        <w:t>(f)</w:t>
      </w:r>
      <w:r>
        <w:rPr>
          <w:rFonts w:ascii="Times New Roman;serif" w:hAnsi="Times New Roman;serif"/>
          <w:b w:val="false"/>
          <w:color w:val="000000"/>
          <w:sz w:val="24"/>
        </w:rPr>
        <w:t>As soon as practicable following the Valuation Date, the Committee shall determine (with the date such determination is made being referred to herein as the “</w:t>
      </w:r>
      <w:r>
        <w:rPr>
          <w:rFonts w:ascii="Times New Roman;serif" w:hAnsi="Times New Roman;serif"/>
          <w:b w:val="false"/>
          <w:color w:val="000000"/>
          <w:sz w:val="24"/>
          <w:u w:val="single"/>
        </w:rPr>
        <w:t>Determination Date</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firstLine="720"/>
        <w:jc w:val="left"/>
        <w:rPr/>
      </w:pPr>
      <w:r>
        <w:rPr>
          <w:rFonts w:ascii="Times New Roman;serif" w:hAnsi="Times New Roman;serif"/>
          <w:b w:val="false"/>
          <w:color w:val="000000"/>
          <w:sz w:val="24"/>
        </w:rPr>
        <w:t>(i)</w:t>
      </w:r>
      <w:r>
        <w:rPr>
          <w:rFonts w:ascii="Times New Roman;serif" w:hAnsi="Times New Roman;serif"/>
          <w:b w:val="false"/>
          <w:color w:val="000000"/>
          <w:sz w:val="24"/>
        </w:rPr>
        <w:t>the number of LTIP Units earned by the Participant under Section 3(b) above (the “</w:t>
      </w:r>
      <w:r>
        <w:rPr>
          <w:rFonts w:ascii="Times New Roman;serif" w:hAnsi="Times New Roman;serif"/>
          <w:b w:val="false"/>
          <w:color w:val="000000"/>
          <w:sz w:val="24"/>
          <w:u w:val="single"/>
        </w:rPr>
        <w:t>Earned Performance LTIP Units</w:t>
      </w:r>
      <w:r>
        <w:rPr>
          <w:color w:val="000000"/>
        </w:rPr>
        <w:t>”</w:t>
      </w:r>
      <w:r>
        <w:rPr>
          <w:rFonts w:ascii="Times New Roman;serif" w:hAnsi="Times New Roman;serif"/>
          <w:b w:val="false"/>
          <w:color w:val="000000"/>
          <w:sz w:val="24"/>
        </w:rPr>
        <w:t>); and</w:t>
      </w:r>
    </w:p>
    <w:p>
      <w:pPr>
        <w:pStyle w:val="TextBody"/>
        <w:bidi w:val="0"/>
        <w:spacing w:lineRule="auto" w:line="240" w:before="0" w:after="240"/>
        <w:ind w:left="0" w:right="0" w:firstLine="720"/>
        <w:jc w:val="left"/>
        <w:rPr/>
      </w:pPr>
      <w:r>
        <w:rPr>
          <w:rFonts w:ascii="Times New Roman;serif" w:hAnsi="Times New Roman;serif"/>
          <w:b w:val="false"/>
          <w:color w:val="000000"/>
          <w:sz w:val="24"/>
        </w:rPr>
        <w:t>(ii)</w:t>
      </w:r>
      <w:r>
        <w:rPr>
          <w:rFonts w:ascii="Times New Roman;serif" w:hAnsi="Times New Roman;serif"/>
          <w:b w:val="false"/>
          <w:color w:val="000000"/>
          <w:sz w:val="24"/>
        </w:rPr>
        <w:t>the amount of the excess, if any, of (A) the cash distributions (other than those resulting in an adjustment to this Award or the Award LTIP Units pursuant to Section 7 hereof or otherwise) with a record date on or after the first day of the Performance Period and prior to the Determination Date that would have been received by the Participant with respect to the Earned Performance LTIP Units if such LTIP Units had been outstanding on each of such record dates and the Special LTIP Unit Full Distribution Participation Date (as defined in the LP Agreement) had been the first day of the Performance Period above (B) the cash distributions actually received or to be received by the Participant with respect to the Earned Performance LTIP Units pursuant to distributions with a record date on or after the first day of the Performance Period and prior to the Determination Date (such excess amount being referred to as the “</w:t>
      </w:r>
      <w:r>
        <w:rPr>
          <w:rFonts w:ascii="Times New Roman;serif" w:hAnsi="Times New Roman;serif"/>
          <w:b w:val="false"/>
          <w:color w:val="000000"/>
          <w:sz w:val="24"/>
          <w:u w:val="single"/>
        </w:rPr>
        <w:t>Accumulated Distributions</w:t>
      </w:r>
      <w:r>
        <w:rPr>
          <w:color w:val="000000"/>
        </w:rPr>
        <w:t>”</w:t>
      </w:r>
      <w:r>
        <w:rPr>
          <w:rFonts w:ascii="Times New Roman;serif" w:hAnsi="Times New Roman;serif"/>
          <w:b w:val="false"/>
          <w:color w:val="000000"/>
          <w:sz w:val="24"/>
        </w:rPr>
        <w:t>).</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The Company and the Partnership will have the discretion, as of the Determination Date, to either (i) pay (or cause the Employer to pay) to the Participant the amount of the Accumulated </w:t>
      </w: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44" name="Frame1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rPr>
        <w:t>Distributions in cash, which payment shall be made promptly after the Determination Date, but in no event later than 74 days after the Valuation Date (or the date deemed to be the Valuation Date), or (ii) cause the Participant to earn an additional number of Award LTIP Units equal to (A) the Accumulated Distributions divided by (B) the Fair Market Value of the Common Stock on the Valuation Date (the “</w:t>
      </w:r>
      <w:r>
        <w:rPr>
          <w:rFonts w:ascii="Times New Roman;serif" w:hAnsi="Times New Roman;serif"/>
          <w:b w:val="false"/>
          <w:color w:val="000000"/>
          <w:sz w:val="24"/>
          <w:u w:val="single"/>
        </w:rPr>
        <w:t>Earned Distribution LTIP Units</w:t>
      </w:r>
      <w:r>
        <w:rPr>
          <w:color w:val="000000"/>
        </w:rPr>
        <w:t>”</w:t>
      </w:r>
      <w:r>
        <w:rPr>
          <w:rFonts w:ascii="Times New Roman;serif" w:hAnsi="Times New Roman;serif"/>
          <w:b w:val="false"/>
          <w:color w:val="000000"/>
          <w:sz w:val="24"/>
        </w:rPr>
        <w:t>). The aggregate number of Award LTIP Units earned by the Participant (the “</w:t>
      </w:r>
      <w:r>
        <w:rPr>
          <w:rFonts w:ascii="Times New Roman;serif" w:hAnsi="Times New Roman;serif"/>
          <w:b w:val="false"/>
          <w:color w:val="000000"/>
          <w:sz w:val="24"/>
          <w:u w:val="single"/>
        </w:rPr>
        <w:t>Earned LTIP Units</w:t>
      </w:r>
      <w:r>
        <w:rPr>
          <w:color w:val="000000"/>
        </w:rPr>
        <w:t>”</w:t>
      </w:r>
      <w:r>
        <w:rPr>
          <w:rFonts w:ascii="Times New Roman;serif" w:hAnsi="Times New Roman;serif"/>
          <w:b w:val="false"/>
          <w:color w:val="000000"/>
          <w:sz w:val="24"/>
        </w:rPr>
        <w:t>) shall equal the sum of (i) the Earned Performance LTIP Units plus (ii) to the extent the Accumulated Distributions are not paid in cash in accordance with the foregoing, the Earned Distribution LTIP Units.</w:t>
      </w:r>
      <w:r>
        <w:rPr>
          <w:color w:val="000000"/>
        </w:rPr>
        <w:t xml:space="preserve"> </w:t>
      </w:r>
      <w:r>
        <w:rPr>
          <w:rFonts w:ascii="Times New Roman;serif" w:hAnsi="Times New Roman;serif"/>
          <w:b w:val="false"/>
          <w:color w:val="000000"/>
          <w:sz w:val="24"/>
        </w:rPr>
        <w:t>If the number of Earned LTIP Units is smaller than the number of Award LTIP Units held by the Participant pursuant to this Award, then the Participant, as of the Determination Date, shall forfeit a number of Award LTIP Units equal to the difference without payment of any consideration by the Partnership; thereafter the term Award LTIP Units will refer only to the Award LTIP Units that were not so forfeited and neither the Participant nor any of his or her successors, heirs, assigns, or personal representatives will thereafter have any further rights or interests in the Award LTIP Units that were so forfeited. If the number of Earned LTIP Units is greater than the number of Award LTIP Units held by the Participant pursuant to this Award, then, upon the performance of the calculations set forth in this Section 3(c): (A) the Company shall cause the Partnership to issue to the Participant, as of the Determination Date, a number of additional LTIP Units equal to the difference; (B) such additional LTIP Units shall be added to the Award LTIP Units previously issued, if any, and thereby become part of this Award; (C) the Company and the Partnership shall take such corporate and partnership action as is necessary to accomplish the grant of such additional LTIP Units; and (D) thereafter the term Award LTIP Units will refer collectively to the Award LTIP Units, if any, issued prior to such additional grant plus such additional LTIP Units; provided that such issuance will be subject to the Participant confirming the truth and accuracy of the representations set forth in Section 16 hereof and executing and delivering such documents, comparable to the documents executed and delivered in connection with this Agreement, as the Company and/or the Partnership reasonably request in order to comply with all applicable legal requirements, including, without limitation, federal and state securities laws. If the number of Earned LTIP Units is the same as the number of Award LTIP Units held by the Participant pursuant to this Award, then there will be no change to the number of Award LTIP Units under this Award pursuant to this Section 3.</w:t>
      </w:r>
    </w:p>
    <w:p>
      <w:pPr>
        <w:pStyle w:val="TextBody"/>
        <w:bidi w:val="0"/>
        <w:spacing w:lineRule="auto" w:line="240" w:before="0" w:after="240"/>
        <w:ind w:left="0" w:right="0" w:firstLine="720"/>
        <w:jc w:val="left"/>
        <w:rPr/>
      </w:pPr>
      <w:r>
        <w:rPr>
          <w:rFonts w:ascii="Times New Roman;serif" w:hAnsi="Times New Roman;serif"/>
          <w:b w:val="false"/>
          <w:color w:val="000000"/>
          <w:sz w:val="24"/>
        </w:rPr>
        <w:t>(g)</w:t>
      </w:r>
      <w:r>
        <w:rPr>
          <w:rFonts w:ascii="Times New Roman;serif" w:hAnsi="Times New Roman;serif"/>
          <w:b w:val="false"/>
          <w:color w:val="000000"/>
          <w:sz w:val="24"/>
        </w:rPr>
        <w:t xml:space="preserve">Subject to Sections 4 and 5 hereof, the Earned LTIP Units shall become vested in full on the Valuation Date, provided that the Continuous Service of the Participant continues through and on the vesting date. </w:t>
      </w:r>
    </w:p>
    <w:p>
      <w:pPr>
        <w:pStyle w:val="TextBody"/>
        <w:bidi w:val="0"/>
        <w:spacing w:lineRule="auto" w:line="240" w:before="0" w:after="240"/>
        <w:ind w:left="0" w:right="0" w:firstLine="720"/>
        <w:jc w:val="left"/>
        <w:rPr/>
      </w:pPr>
      <w:r>
        <w:rPr>
          <w:rFonts w:ascii="Times New Roman;serif" w:hAnsi="Times New Roman;serif"/>
          <w:b w:val="false"/>
          <w:color w:val="000000"/>
          <w:sz w:val="24"/>
        </w:rPr>
        <w:t>(h)</w:t>
      </w:r>
      <w:r>
        <w:rPr>
          <w:rFonts w:ascii="Times New Roman;serif" w:hAnsi="Times New Roman;serif"/>
          <w:b w:val="false"/>
          <w:color w:val="000000"/>
          <w:sz w:val="24"/>
        </w:rPr>
        <w:t xml:space="preserve">Any Award LTIP Units that do not become vested pursuant to Section 3(d) or Sections 4 or 5 hereof shall, without payment of any consideration by the Partnership, automatically and without notice be forfeited, and neither the Participant nor any of his or her successors, heirs, assigns, or personal representatives will thereafter have any further rights or interests in such unvested Award LTIP Units. </w:t>
      </w:r>
    </w:p>
    <w:p>
      <w:pPr>
        <w:pStyle w:val="TextBody"/>
        <w:bidi w:val="0"/>
        <w:spacing w:lineRule="auto" w:line="240" w:before="0" w:after="240"/>
        <w:ind w:left="0" w:right="0" w:firstLine="720"/>
        <w:jc w:val="left"/>
        <w:rPr/>
      </w:pPr>
      <w:r>
        <w:rPr>
          <w:rFonts w:ascii="Times New Roman;serif" w:hAnsi="Times New Roman;serif"/>
          <w:b w:val="false"/>
          <w:color w:val="000000"/>
          <w:sz w:val="24"/>
        </w:rPr>
        <w:t>4.</w:t>
      </w:r>
      <w:r>
        <w:rPr>
          <w:rFonts w:ascii="Times New Roman;serif" w:hAnsi="Times New Roman;serif"/>
          <w:b w:val="false"/>
          <w:color w:val="000000"/>
          <w:sz w:val="24"/>
          <w:u w:val="single"/>
        </w:rPr>
        <w:t>Termination of Participant’s Continuous Service</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left"/>
        <w:rPr/>
      </w:pPr>
      <w:r>
        <w:rPr>
          <w:rFonts w:ascii="Times New Roman;serif" w:hAnsi="Times New Roman;serif"/>
          <w:b w:val="false"/>
          <w:color w:val="000000"/>
          <w:sz w:val="24"/>
        </w:rPr>
        <w:t>(a)</w:t>
      </w:r>
      <w:r>
        <w:rPr>
          <w:rFonts w:ascii="Times New Roman;serif" w:hAnsi="Times New Roman;serif"/>
          <w:b w:val="false"/>
          <w:color w:val="000000"/>
          <w:sz w:val="24"/>
        </w:rPr>
        <w:t>In the event of a termination of the Participant’s Continuous Service (A) upon the Participant’s death or (B) due to the Participant’s Disability (each, a “</w:t>
      </w:r>
      <w:r>
        <w:rPr>
          <w:rFonts w:ascii="Times New Roman;serif" w:hAnsi="Times New Roman;serif"/>
          <w:b w:val="false"/>
          <w:color w:val="000000"/>
          <w:sz w:val="24"/>
          <w:u w:val="single"/>
        </w:rPr>
        <w:t>Qualified Termination</w:t>
      </w:r>
      <w:r>
        <w:rPr>
          <w:color w:val="000000"/>
        </w:rPr>
        <w:t>”</w:t>
      </w:r>
      <w:r>
        <w:rPr>
          <w:rFonts w:ascii="Times New Roman;serif" w:hAnsi="Times New Roman;serif"/>
          <w:b w:val="false"/>
          <w:color w:val="000000"/>
          <w:sz w:val="24"/>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45" name="Frame1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prior to the Valuation Date, the following provisions of this Section 4(a) shall apply and modify the determination and vesting of the Earned LTIP Units for the Participant:</w:t>
      </w:r>
    </w:p>
    <w:p>
      <w:pPr>
        <w:pStyle w:val="TextBody"/>
        <w:bidi w:val="0"/>
        <w:spacing w:lineRule="auto" w:line="240" w:before="0" w:after="240"/>
        <w:ind w:left="0" w:right="0" w:firstLine="720"/>
        <w:jc w:val="left"/>
        <w:rPr/>
      </w:pPr>
      <w:r>
        <w:rPr>
          <w:rFonts w:ascii="Times New Roman;serif" w:hAnsi="Times New Roman;serif"/>
          <w:b w:val="false"/>
          <w:color w:val="000000"/>
          <w:sz w:val="24"/>
        </w:rPr>
        <w:t>(i)</w:t>
      </w:r>
      <w:r>
        <w:rPr>
          <w:rFonts w:ascii="Times New Roman;serif" w:hAnsi="Times New Roman;serif"/>
          <w:b w:val="false"/>
          <w:color w:val="000000"/>
          <w:sz w:val="24"/>
        </w:rPr>
        <w:t>the calculations provided in Section 3(c) hereof shall be performed following the Valuation Date as if the Qualified Termination had not occurred; and</w:t>
      </w:r>
    </w:p>
    <w:p>
      <w:pPr>
        <w:pStyle w:val="TextBody"/>
        <w:bidi w:val="0"/>
        <w:spacing w:lineRule="auto" w:line="240" w:before="0" w:after="240"/>
        <w:ind w:left="0" w:right="0" w:firstLine="720"/>
        <w:jc w:val="left"/>
        <w:rPr/>
      </w:pPr>
      <w:r>
        <w:rPr>
          <w:rFonts w:ascii="Times New Roman;serif" w:hAnsi="Times New Roman;serif"/>
          <w:b w:val="false"/>
          <w:color w:val="000000"/>
          <w:sz w:val="24"/>
        </w:rPr>
        <w:t>(ii)</w:t>
      </w:r>
      <w:r>
        <w:rPr>
          <w:rFonts w:ascii="Times New Roman;serif" w:hAnsi="Times New Roman;serif"/>
          <w:b w:val="false"/>
          <w:color w:val="000000"/>
          <w:sz w:val="24"/>
        </w:rPr>
        <w:t>all of the Earned Performance LTIP Units shall vest on the Valuation Date.</w:t>
      </w:r>
    </w:p>
    <w:p>
      <w:pPr>
        <w:pStyle w:val="TextBody"/>
        <w:bidi w:val="0"/>
        <w:spacing w:lineRule="auto" w:line="240" w:before="0" w:after="240"/>
        <w:ind w:left="0" w:right="0" w:firstLine="720"/>
        <w:jc w:val="left"/>
        <w:rPr/>
      </w:pPr>
      <w:r>
        <w:rPr>
          <w:rFonts w:ascii="Times New Roman;serif" w:hAnsi="Times New Roman;serif"/>
          <w:b w:val="false"/>
          <w:color w:val="000000"/>
          <w:sz w:val="24"/>
        </w:rPr>
        <w:t>(b)</w:t>
      </w:r>
      <w:r>
        <w:rPr>
          <w:rFonts w:ascii="Times New Roman;serif" w:hAnsi="Times New Roman;serif"/>
          <w:b w:val="false"/>
          <w:color w:val="000000"/>
          <w:sz w:val="24"/>
        </w:rPr>
        <w:t>Subject to Section 4(c) below, in the event of a termination of the Participant’s Continuous Service (A) by the Employer without Cause, (B) by the Participant for Good Reason or (C) by the Participant in connection with Participant’s retirement (each, a “</w:t>
      </w:r>
      <w:r>
        <w:rPr>
          <w:rFonts w:ascii="Times New Roman;serif" w:hAnsi="Times New Roman;serif"/>
          <w:b w:val="false"/>
          <w:color w:val="000000"/>
          <w:sz w:val="24"/>
          <w:u w:val="single"/>
        </w:rPr>
        <w:t>Qualified Pro-Rated Termination</w:t>
      </w:r>
      <w:r>
        <w:rPr>
          <w:color w:val="000000"/>
        </w:rPr>
        <w:t>”</w:t>
      </w:r>
      <w:r>
        <w:rPr>
          <w:rFonts w:ascii="Times New Roman;serif" w:hAnsi="Times New Roman;serif"/>
          <w:b w:val="false"/>
          <w:color w:val="000000"/>
          <w:sz w:val="24"/>
        </w:rPr>
        <w:t>) prior to the Valuation Date, the following provisions of this Section 4(b) shall apply and modify the determination and vesting of the Earned LTIP Units for the Participant:</w:t>
      </w:r>
    </w:p>
    <w:p>
      <w:pPr>
        <w:pStyle w:val="TextBody"/>
        <w:bidi w:val="0"/>
        <w:spacing w:lineRule="auto" w:line="240" w:before="0" w:after="240"/>
        <w:ind w:left="0" w:right="0" w:firstLine="720"/>
        <w:jc w:val="left"/>
        <w:rPr/>
      </w:pPr>
      <w:r>
        <w:rPr>
          <w:rFonts w:ascii="Times New Roman;serif" w:hAnsi="Times New Roman;serif"/>
          <w:b w:val="false"/>
          <w:color w:val="000000"/>
          <w:sz w:val="24"/>
        </w:rPr>
        <w:t>(i)</w:t>
      </w:r>
      <w:r>
        <w:rPr>
          <w:rFonts w:ascii="Times New Roman;serif" w:hAnsi="Times New Roman;serif"/>
          <w:b w:val="false"/>
          <w:color w:val="000000"/>
          <w:sz w:val="24"/>
        </w:rPr>
        <w:t>the calculations provided in Section 3(c) hereof shall be performed following the Valuation Date as if the Qualified Pro-Rated Termination had not occurred;</w:t>
      </w:r>
    </w:p>
    <w:p>
      <w:pPr>
        <w:pStyle w:val="TextBody"/>
        <w:bidi w:val="0"/>
        <w:spacing w:lineRule="auto" w:line="240" w:before="0" w:after="240"/>
        <w:ind w:left="0" w:right="0" w:firstLine="720"/>
        <w:jc w:val="left"/>
        <w:rPr/>
      </w:pPr>
      <w:r>
        <w:rPr>
          <w:rFonts w:ascii="Times New Roman;serif" w:hAnsi="Times New Roman;serif"/>
          <w:b w:val="false"/>
          <w:color w:val="000000"/>
          <w:sz w:val="24"/>
        </w:rPr>
        <w:t>(ii)</w:t>
      </w:r>
      <w:r>
        <w:rPr>
          <w:rFonts w:ascii="Times New Roman;serif" w:hAnsi="Times New Roman;serif"/>
          <w:b w:val="false"/>
          <w:color w:val="000000"/>
          <w:sz w:val="24"/>
        </w:rPr>
        <w:t xml:space="preserve">the Earned Performance LTIP Units calculated pursuant to Section 3(c) shall be multiplied by the Partial Service Factor (with the resulting number being rounded to the nearest whole LTIP Unit or, in the case of 0.5 of a unit, up to the next whole unit), and such adjusted number of LTIP Units shall be deemed the Earned Performance LTIP Units for all purposes under this Agreement; </w:t>
      </w:r>
    </w:p>
    <w:p>
      <w:pPr>
        <w:pStyle w:val="TextBody"/>
        <w:bidi w:val="0"/>
        <w:spacing w:lineRule="auto" w:line="240" w:before="0" w:after="240"/>
        <w:ind w:left="0" w:right="0" w:firstLine="720"/>
        <w:jc w:val="left"/>
        <w:rPr/>
      </w:pPr>
      <w:r>
        <w:rPr>
          <w:rFonts w:ascii="Times New Roman;serif" w:hAnsi="Times New Roman;serif"/>
          <w:b w:val="false"/>
          <w:color w:val="000000"/>
          <w:sz w:val="24"/>
        </w:rPr>
        <w:t>(iii)</w:t>
      </w:r>
      <w:r>
        <w:rPr>
          <w:rFonts w:ascii="Times New Roman;serif" w:hAnsi="Times New Roman;serif"/>
          <w:b w:val="false"/>
          <w:color w:val="000000"/>
          <w:sz w:val="24"/>
        </w:rPr>
        <w:t>all of the Earned Performance LTIP Units as adjusted pursuant to Section 4(b)(ii) above shall vest on the Valuation Date; and</w:t>
      </w:r>
    </w:p>
    <w:p>
      <w:pPr>
        <w:pStyle w:val="TextBody"/>
        <w:bidi w:val="0"/>
        <w:spacing w:lineRule="auto" w:line="240" w:before="0" w:after="240"/>
        <w:ind w:left="0" w:right="0" w:firstLine="720"/>
        <w:jc w:val="left"/>
        <w:rPr/>
      </w:pPr>
      <w:r>
        <w:rPr>
          <w:rFonts w:ascii="Times New Roman;serif" w:hAnsi="Times New Roman;serif"/>
          <w:b w:val="false"/>
          <w:color w:val="000000"/>
          <w:sz w:val="24"/>
        </w:rPr>
        <w:t>(iv)</w:t>
      </w:r>
      <w:r>
        <w:rPr>
          <w:rFonts w:ascii="Times New Roman;serif" w:hAnsi="Times New Roman;serif"/>
          <w:b w:val="false"/>
          <w:color w:val="000000"/>
          <w:sz w:val="24"/>
        </w:rPr>
        <w:t>upon such Qualified Pro-Rated Termination and until the Determination Date, the Participant will retain a number of Award LTIP Units equal the product of (A) the number of Award LTIP Units originally granted pursuant to this Award multiplied by (B) the Partial Service Factor (with the resulting number being rounded to the nearest whole LTIP Unit or, in the case of 0.5 of a unit, up to the next whole unit). Any Award LTIP Units originally granted pursuant to this Award in excess of such number shall, without payment of any consideration by the Partnership, automatically and without notice, be forfeited upon the date of such Qualified Pro-Rated Termination, and neither the Participant nor any of his or her successors, heirs, assigns, or personal representatives will thereafter have any further rights or interests in such Award LTIP Units.</w:t>
      </w:r>
    </w:p>
    <w:p>
      <w:pPr>
        <w:pStyle w:val="TextBody"/>
        <w:bidi w:val="0"/>
        <w:spacing w:lineRule="auto" w:line="240" w:before="0" w:after="240"/>
        <w:ind w:left="0" w:right="0" w:firstLine="720"/>
        <w:jc w:val="left"/>
        <w:rPr/>
      </w:pPr>
      <w:r>
        <w:rPr>
          <w:rFonts w:ascii="Times New Roman;serif" w:hAnsi="Times New Roman;serif"/>
          <w:b w:val="false"/>
          <w:color w:val="000000"/>
          <w:sz w:val="24"/>
        </w:rPr>
        <w:t>(c)</w:t>
      </w:r>
      <w:r>
        <w:rPr>
          <w:rFonts w:ascii="Times New Roman;serif" w:hAnsi="Times New Roman;serif"/>
          <w:b w:val="false"/>
          <w:color w:val="000000"/>
          <w:sz w:val="24"/>
        </w:rPr>
        <w:t>The provisions set forth in Sections 4(b) above relating to the termination of the Participant’s Continuous Service will only be effective (and such termination will only be deemed to be a Qualified Pro-Rated Termination) if the Participant signs a separation agreement containing, among other provisions, a release of claims and non-disparagement, confidentiality and return of property, in a form and manner satisfactory to the Company and the Partnership (the “</w:t>
      </w:r>
      <w:r>
        <w:rPr>
          <w:rFonts w:ascii="Times New Roman;serif" w:hAnsi="Times New Roman;serif"/>
          <w:b w:val="false"/>
          <w:color w:val="000000"/>
          <w:sz w:val="24"/>
          <w:u w:val="single"/>
        </w:rPr>
        <w:t>Separation Agreement and Release</w:t>
      </w:r>
      <w:r>
        <w:rPr>
          <w:color w:val="000000"/>
        </w:rPr>
        <w:t>”</w:t>
      </w:r>
      <w:r>
        <w:rPr>
          <w:rFonts w:ascii="Times New Roman;serif" w:hAnsi="Times New Roman;serif"/>
          <w:b w:val="false"/>
          <w:color w:val="000000"/>
          <w:sz w:val="24"/>
        </w:rPr>
        <w:t>), and the Separation Agreement and Release becomes irrevocable, within 30 days (or such later date as may be designated by the Company and communicated to the Participant in writing) after the date of such termination (the “</w:t>
      </w:r>
      <w:r>
        <w:rPr>
          <w:rFonts w:ascii="Times New Roman;serif" w:hAnsi="Times New Roman;serif"/>
          <w:b w:val="false"/>
          <w:color w:val="000000"/>
          <w:sz w:val="24"/>
          <w:u w:val="single"/>
        </w:rPr>
        <w:t>Final Release Date</w:t>
      </w:r>
      <w:r>
        <w:rPr>
          <w:color w:val="000000"/>
        </w:rPr>
        <w:t>”</w:t>
      </w:r>
      <w:r>
        <w:rPr>
          <w:rFonts w:ascii="Times New Roman;serif" w:hAnsi="Times New Roman;serif"/>
          <w:b w:val="false"/>
          <w:color w:val="000000"/>
          <w:sz w:val="24"/>
        </w:rPr>
        <w:t xml:space="preserve">); provided that, for the avoidance of doubt, such requirement will not apply in the event the Participant’s Continuous Service is terminated upon the Participant’s death or due to the Participant’s Disability. To the extent the foregoing requirement is applicable, (i) any accelerated vesting provided for pursuant to Sections 4(b) will be delayed until the effectiveness and irrevocability of the Separation Agreement and Release with respect to the Participant or such later time as is specified in Section 4(b) and (ii) if such requirement is not satisfied, any Award LTIP Units that were not vested upon the termination of the Participant’s Continuous Service will be forfeited on the Final Release Date. </w:t>
      </w: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46" name="Frame1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40" w:before="0" w:after="240"/>
        <w:ind w:left="0" w:right="0" w:firstLine="720"/>
        <w:jc w:val="left"/>
        <w:rPr/>
      </w:pPr>
      <w:r>
        <w:rPr>
          <w:rFonts w:ascii="Times New Roman;serif" w:hAnsi="Times New Roman;serif"/>
          <w:b w:val="false"/>
          <w:color w:val="000000"/>
          <w:sz w:val="24"/>
        </w:rPr>
        <w:t>(d)</w:t>
      </w:r>
      <w:r>
        <w:rPr>
          <w:rFonts w:ascii="Times New Roman;serif" w:hAnsi="Times New Roman;serif"/>
          <w:b w:val="false"/>
          <w:color w:val="000000"/>
          <w:sz w:val="24"/>
        </w:rPr>
        <w:t>In the event of a termination of the Participant’s Continuous Service other than a Qualified Termination or a Qualified Pro-Rated Termination, all Award LTIP Units except for those that, as of the date of such termination, both (i) have ceased to be subject to forfeiture pursuant to Section 3(c) hereof and (ii) are vested pursuant to Section 3(d) or 5 hereof shall, without payment of any consideration by the Partnership, automatically and without notice, be forfeited, and neither the Participant nor any of his or her successors, heirs, assigns, or personal representatives will thereafter have any further rights or interests in such Award LTIP Units.</w:t>
      </w:r>
    </w:p>
    <w:p>
      <w:pPr>
        <w:pStyle w:val="TextBody"/>
        <w:bidi w:val="0"/>
        <w:spacing w:lineRule="auto" w:line="240" w:before="0" w:after="240"/>
        <w:ind w:left="0" w:right="0" w:firstLine="720"/>
        <w:jc w:val="left"/>
        <w:rPr/>
      </w:pPr>
      <w:r>
        <w:rPr>
          <w:rFonts w:ascii="Times New Roman;serif" w:hAnsi="Times New Roman;serif"/>
          <w:b w:val="false"/>
          <w:color w:val="000000"/>
          <w:sz w:val="24"/>
        </w:rPr>
        <w:t>5.</w:t>
      </w:r>
      <w:r>
        <w:rPr>
          <w:rFonts w:ascii="Times New Roman;serif" w:hAnsi="Times New Roman;serif"/>
          <w:b w:val="false"/>
          <w:color w:val="000000"/>
          <w:sz w:val="24"/>
          <w:u w:val="single"/>
        </w:rPr>
        <w:t>Change in Control</w:t>
      </w:r>
      <w:r>
        <w:rPr>
          <w:rFonts w:ascii="Times New Roman;serif" w:hAnsi="Times New Roman;serif"/>
          <w:b w:val="false"/>
          <w:color w:val="000000"/>
          <w:sz w:val="24"/>
        </w:rPr>
        <w:t xml:space="preserve">. If the Valuation Date occurs upon the date of a Change in Control, (i) the provisions of Section 3 (as modified by the provisions of Section 4(b), if applicable) shall apply to determine the number of Earned LTIP Units and (ii) all Earned LTIP Units will vest on the Valuation Date; provided that the percentage of the Maximum Amount earned shall not be less than 50%. </w:t>
      </w:r>
    </w:p>
    <w:p>
      <w:pPr>
        <w:pStyle w:val="TextBody"/>
        <w:bidi w:val="0"/>
        <w:spacing w:lineRule="auto" w:line="240" w:before="0" w:after="240"/>
        <w:ind w:left="0" w:right="0" w:firstLine="720"/>
        <w:jc w:val="left"/>
        <w:rPr/>
      </w:pPr>
      <w:r>
        <w:rPr>
          <w:rFonts w:ascii="Times New Roman;serif" w:hAnsi="Times New Roman;serif"/>
          <w:b w:val="false"/>
          <w:color w:val="000000"/>
          <w:sz w:val="24"/>
        </w:rPr>
        <w:t>6.</w:t>
      </w:r>
      <w:r>
        <w:rPr>
          <w:rFonts w:ascii="Times New Roman;serif" w:hAnsi="Times New Roman;serif"/>
          <w:b w:val="false"/>
          <w:color w:val="000000"/>
          <w:sz w:val="24"/>
          <w:u w:val="single"/>
        </w:rPr>
        <w:t>Distributions</w:t>
      </w:r>
      <w:r>
        <w:rPr>
          <w:rFonts w:ascii="Times New Roman;serif" w:hAnsi="Times New Roman;serif"/>
          <w:b w:val="false"/>
          <w:color w:val="000000"/>
          <w:sz w:val="24"/>
        </w:rPr>
        <w:t>.</w:t>
      </w:r>
    </w:p>
    <w:p>
      <w:pPr>
        <w:pStyle w:val="TextBody"/>
        <w:bidi w:val="0"/>
        <w:spacing w:lineRule="auto" w:line="240" w:before="0" w:after="240"/>
        <w:ind w:left="0" w:right="0" w:firstLine="720"/>
        <w:jc w:val="left"/>
        <w:rPr/>
      </w:pPr>
      <w:r>
        <w:rPr>
          <w:rFonts w:ascii="Times New Roman;serif" w:hAnsi="Times New Roman;serif"/>
          <w:b w:val="false"/>
          <w:color w:val="000000"/>
          <w:sz w:val="24"/>
        </w:rPr>
        <w:t>(a)</w:t>
      </w:r>
      <w:r>
        <w:rPr>
          <w:rFonts w:ascii="Times New Roman;serif" w:hAnsi="Times New Roman;serif"/>
          <w:b w:val="false"/>
          <w:color w:val="000000"/>
          <w:sz w:val="24"/>
        </w:rPr>
        <w:t xml:space="preserve">The holder of the Award LTIP Units shall be entitled to receive distributions with respect to such Award LTIP Units to the extent provided for in the LP Agreement, as modified hereby. </w:t>
      </w:r>
    </w:p>
    <w:p>
      <w:pPr>
        <w:pStyle w:val="TextBody"/>
        <w:bidi w:val="0"/>
        <w:spacing w:lineRule="auto" w:line="240" w:before="0" w:after="240"/>
        <w:ind w:left="0" w:right="0" w:firstLine="720"/>
        <w:jc w:val="left"/>
        <w:rPr/>
      </w:pPr>
      <w:r>
        <w:rPr>
          <w:rFonts w:ascii="Times New Roman;serif" w:hAnsi="Times New Roman;serif"/>
          <w:b w:val="false"/>
          <w:color w:val="000000"/>
          <w:sz w:val="24"/>
        </w:rPr>
        <w:t>(b)</w:t>
      </w:r>
      <w:r>
        <w:rPr>
          <w:rFonts w:ascii="Times New Roman;serif" w:hAnsi="Times New Roman;serif"/>
          <w:b w:val="false"/>
          <w:color w:val="000000"/>
          <w:sz w:val="24"/>
        </w:rPr>
        <w:t>The Special LTIP Unit Full Distribution Participation Date (as defined in the LP Agreement) for the Award LTIP Units shall be the Determination Date; provided that prior to such date Award LTIP Units shall be entitled to the Special LTIP Unit Sharing Percentage (as defined in the LP Agreement) (i.e., 10 percent) of regular periodic distributions. For the avoidance of doubt, with respect to all distributions with a record date on or after the Determination Date, the holder of the Award LTIP Units shall be entitled to receive per unit distributions with respect to all Award LTIP Units, whether vested or unvested, that remain outstanding as of the record date for such distributions equal to the per unit distributions payable with respect to Common Units.</w:t>
      </w:r>
    </w:p>
    <w:p>
      <w:pPr>
        <w:pStyle w:val="TextBody"/>
        <w:bidi w:val="0"/>
        <w:spacing w:lineRule="auto" w:line="240" w:before="0" w:after="240"/>
        <w:ind w:left="0" w:right="0" w:firstLine="720"/>
        <w:jc w:val="left"/>
        <w:rPr/>
      </w:pPr>
      <w:r>
        <w:rPr>
          <w:rFonts w:ascii="Times New Roman;serif" w:hAnsi="Times New Roman;serif"/>
          <w:b w:val="false"/>
          <w:color w:val="000000"/>
          <w:sz w:val="24"/>
        </w:rPr>
        <w:t>(c)</w:t>
      </w:r>
      <w:r>
        <w:rPr>
          <w:rFonts w:ascii="Times New Roman;serif" w:hAnsi="Times New Roman;serif"/>
          <w:b w:val="false"/>
          <w:color w:val="000000"/>
          <w:sz w:val="24"/>
        </w:rPr>
        <w:t>All distributions paid with respect to Award LTIP Units, both before and after the Valuation Date, shall be fully vested and non-forfeitable when paid, whether or not the underlying LTIP Units have been earned based on performance or have become vested as provided in Section 3, Section 4 or Section 5 hereof.</w:t>
      </w:r>
    </w:p>
    <w:p>
      <w:pPr>
        <w:pStyle w:val="TextBody"/>
        <w:bidi w:val="0"/>
        <w:spacing w:lineRule="auto" w:line="240" w:before="0" w:after="240"/>
        <w:ind w:left="0" w:right="0" w:firstLine="720"/>
        <w:jc w:val="left"/>
        <w:rPr/>
      </w:pPr>
      <w:r>
        <w:rPr>
          <w:rFonts w:ascii="Times New Roman;serif" w:hAnsi="Times New Roman;serif"/>
          <w:b w:val="false"/>
          <w:color w:val="000000"/>
          <w:sz w:val="24"/>
        </w:rPr>
        <w:t>7.</w:t>
      </w:r>
      <w:r>
        <w:rPr>
          <w:rFonts w:ascii="Times New Roman;serif" w:hAnsi="Times New Roman;serif"/>
          <w:b w:val="false"/>
          <w:color w:val="000000"/>
          <w:sz w:val="24"/>
          <w:u w:val="single"/>
        </w:rPr>
        <w:t>Changes in Capitalization</w:t>
      </w:r>
      <w:r>
        <w:rPr>
          <w:rFonts w:ascii="Times New Roman;serif" w:hAnsi="Times New Roman;serif"/>
          <w:b w:val="false"/>
          <w:color w:val="000000"/>
          <w:sz w:val="24"/>
        </w:rPr>
        <w:t>. Without duplication with the provisions of the Plan, if (i) the Company shall at any time be involved in a merger, consolidation, dissolution, liquidation, reorganization, exchange of shares, sale of all or substantially all of the assets or capital stock of the Company or a transaction similar thereto, (ii) any stock dividend, stock split, reverse stock split, stock combination, reclassification, recapitalization, or other similar change in the capital structure of the Company, or any distribution to holders of Common Stock other than ordinary cash dividends, shall occur or (iii) any other event shall occur which in the judgment of the Committee necessitates action by way of adjusting the terms of this Agreement, then and in that event, the Committee shall take such action as shall be necessary to maintain the Participant’s rights hereunder so that they are substantially proportionate to the rights existing under this Agreement prior to such event, including, but not limited to, adjustments in the number of Award LTIP Units then subject to this Agreement and substitution of other awards under the Plan or otherwise.</w:t>
      </w:r>
    </w:p>
    <w:p>
      <w:pPr>
        <w:pStyle w:val="TextBody"/>
        <w:bidi w:val="0"/>
        <w:spacing w:lineRule="auto" w:line="240" w:before="0" w:after="240"/>
        <w:ind w:left="0" w:right="0" w:firstLine="720"/>
        <w:jc w:val="left"/>
        <w:rPr/>
      </w:pPr>
      <w:r>
        <w:rPr>
          <w:rFonts w:ascii="Times New Roman;serif" w:hAnsi="Times New Roman;serif"/>
          <w:b w:val="false"/>
          <w:color w:val="000000"/>
          <w:sz w:val="24"/>
        </w:rPr>
        <w:t>8.</w:t>
      </w:r>
      <w:r>
        <w:rPr>
          <w:rFonts w:ascii="Times New Roman;serif" w:hAnsi="Times New Roman;serif"/>
          <w:b w:val="false"/>
          <w:color w:val="000000"/>
          <w:sz w:val="24"/>
          <w:u w:val="single"/>
        </w:rPr>
        <w:t>Incorporation of Plan; Interpretation by Committee</w:t>
      </w:r>
      <w:r>
        <w:rPr>
          <w:rFonts w:ascii="Times New Roman;serif" w:hAnsi="Times New Roman;serif"/>
          <w:b w:val="false"/>
          <w:color w:val="000000"/>
          <w:sz w:val="24"/>
        </w:rPr>
        <w:t xml:space="preserve">. This Agreement is subject to the terms, conditions, limitations and definitions contained in the Plan, to the extent not inconsistent with the terms of this Agreement. In the event of any discrepancy or inconsistency between this Agreement and the Plan, the terms and conditions of this Agreement shall control. The Committee may make such rules and regulations and establish such procedures for the </w:t>
      </w: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47" name="Frame1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administration of this Agreement, which are consistent with the terms of this Agreement, as it deems appropriate. </w:t>
      </w:r>
    </w:p>
    <w:p>
      <w:pPr>
        <w:pStyle w:val="TextBody"/>
        <w:bidi w:val="0"/>
        <w:spacing w:lineRule="auto" w:line="240" w:before="0" w:after="240"/>
        <w:ind w:left="0" w:right="0" w:firstLine="720"/>
        <w:jc w:val="left"/>
        <w:rPr/>
      </w:pPr>
      <w:r>
        <w:rPr>
          <w:rFonts w:ascii="Times New Roman;serif" w:hAnsi="Times New Roman;serif"/>
          <w:b w:val="false"/>
          <w:color w:val="000000"/>
          <w:sz w:val="24"/>
        </w:rPr>
        <w:t>9.</w:t>
      </w:r>
      <w:r>
        <w:rPr>
          <w:rFonts w:ascii="Times New Roman;serif" w:hAnsi="Times New Roman;serif"/>
          <w:b w:val="false"/>
          <w:color w:val="000000"/>
          <w:sz w:val="24"/>
          <w:u w:val="single"/>
        </w:rPr>
        <w:t>Restrictions on Transfer</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left"/>
        <w:rPr/>
      </w:pPr>
      <w:r>
        <w:rPr>
          <w:rFonts w:ascii="Times New Roman;serif" w:hAnsi="Times New Roman;serif"/>
          <w:b w:val="false"/>
          <w:color w:val="000000"/>
          <w:sz w:val="24"/>
        </w:rPr>
        <w:t>(a)</w:t>
      </w:r>
      <w:r>
        <w:rPr>
          <w:rFonts w:ascii="Times New Roman;serif" w:hAnsi="Times New Roman;serif"/>
          <w:b w:val="false"/>
          <w:color w:val="000000"/>
          <w:sz w:val="24"/>
        </w:rPr>
        <w:t>Except as otherwise permitted by the Committee, none of the Award LTIP Units granted hereunder nor any of the common units of the Partnership into which such Award LTIP Units may be converted (the “</w:t>
      </w:r>
      <w:r>
        <w:rPr>
          <w:rFonts w:ascii="Times New Roman;serif" w:hAnsi="Times New Roman;serif"/>
          <w:b w:val="false"/>
          <w:color w:val="000000"/>
          <w:sz w:val="24"/>
          <w:u w:val="single"/>
        </w:rPr>
        <w:t>Award Common Units</w:t>
      </w:r>
      <w:r>
        <w:rPr>
          <w:color w:val="000000"/>
        </w:rPr>
        <w:t>”</w:t>
      </w:r>
      <w:r>
        <w:rPr>
          <w:rFonts w:ascii="Times New Roman;serif" w:hAnsi="Times New Roman;serif"/>
          <w:b w:val="false"/>
          <w:color w:val="000000"/>
          <w:sz w:val="24"/>
        </w:rPr>
        <w:t>) shall be sold, assigned, transferred, pledged, hypothecated, given away or in any other manner disposed of, or encumbered, whether voluntarily or by operation of law (each such action a “</w:t>
      </w:r>
      <w:r>
        <w:rPr>
          <w:rFonts w:ascii="Times New Roman;serif" w:hAnsi="Times New Roman;serif"/>
          <w:b w:val="false"/>
          <w:color w:val="000000"/>
          <w:sz w:val="24"/>
          <w:u w:val="single"/>
        </w:rPr>
        <w:t>Transfer</w:t>
      </w:r>
      <w:r>
        <w:rPr>
          <w:color w:val="000000"/>
        </w:rPr>
        <w:t>”</w:t>
      </w:r>
      <w:r>
        <w:rPr>
          <w:rFonts w:ascii="Times New Roman;serif" w:hAnsi="Times New Roman;serif"/>
          <w:b w:val="false"/>
          <w:color w:val="000000"/>
          <w:sz w:val="24"/>
        </w:rPr>
        <w:t>) and the Exchange Right (as defined in the LP Agreement) may not be exercised with respect to the Award Common Units, provided that, for Award LTIP Units (and any Award Common Units into which such Award LTIP Units may be converted), at any time after the date that (i) such Award LTIP Units have become Earned LTIP Units and vested and (ii) is two years after the Grant Date, (A) such Award LTIP Units or Award Common Units may be Transferred to a charity or to the Participant’s Family Members (as defined below) by gift or domestic relations order, provided that the transferee agrees in writing with the Company and the Partnership to be bound by all the terms and conditions of this Agreement and that subsequent Transfers shall be prohibited except those in accordance with this Section 9 and (B) the Exchange Right may be exercised with respect to such Award Common Units, and such Award Common Units may be Transferred to the Partnership or the Company in connection with the exercise of the Exchange Right, in accordance with and to the extent otherwise permitted by the terms of the LP Agreement. Additionally, all Transfers of Award LTIP Units or Award Common Units must be in compliance with all applicable securities laws (including, without limitation, the Securities Act) and the applicable terms and conditions of the LP Agreement. In connection with any Transfer of Award LTIP Units or Award Common Units, the Partnership may require the Participant to provide an opinion of counsel, satisfactory to the Partnership, that such Transfer is in compliance with all federal and state securities laws (including, without limitation, the Securities Act). Any attempted Transfer of Award LTIP Units or Award Common Units not in accordance with the terms and conditions of this Section 9 shall be null and void, and the Partnership shall not reflect on its records any change in record ownership of any Award LTIP Units or Award Common Units as a result of any such Transfer, shall otherwise refuse to recognize any such Transfer and shall not in any way give effect to any such Transfer of any Award LTIP Units or Award Common Units. Except as otherwise provided herein, this Agreement is personal to the Participant, is non-assignable and is not transferable in any manner, by operation of law or otherwise, other than by will or the laws of descent and distribution.</w:t>
      </w:r>
    </w:p>
    <w:p>
      <w:pPr>
        <w:pStyle w:val="TextBody"/>
        <w:bidi w:val="0"/>
        <w:spacing w:lineRule="auto" w:line="240" w:before="0" w:after="240"/>
        <w:ind w:left="0" w:right="0" w:firstLine="720"/>
        <w:jc w:val="left"/>
        <w:rPr/>
      </w:pPr>
      <w:r>
        <w:rPr>
          <w:rFonts w:ascii="Times New Roman;serif" w:hAnsi="Times New Roman;serif"/>
          <w:b w:val="false"/>
          <w:color w:val="000000"/>
          <w:sz w:val="24"/>
        </w:rPr>
        <w:t>(b)</w:t>
      </w:r>
      <w:r>
        <w:rPr>
          <w:rFonts w:ascii="Times New Roman;serif" w:hAnsi="Times New Roman;serif"/>
          <w:b w:val="false"/>
          <w:color w:val="000000"/>
          <w:sz w:val="24"/>
        </w:rPr>
        <w:t>For purposes of this Agreement, “</w:t>
      </w:r>
      <w:r>
        <w:rPr>
          <w:rFonts w:ascii="Times New Roman;serif" w:hAnsi="Times New Roman;serif"/>
          <w:b w:val="false"/>
          <w:color w:val="000000"/>
          <w:sz w:val="24"/>
          <w:u w:val="single"/>
        </w:rPr>
        <w:t>Family Member</w:t>
      </w:r>
      <w:r>
        <w:rPr>
          <w:color w:val="000000"/>
        </w:rPr>
        <w:t xml:space="preserve">” </w:t>
      </w:r>
      <w:r>
        <w:rPr>
          <w:rFonts w:ascii="Times New Roman;serif" w:hAnsi="Times New Roman;serif"/>
          <w:b w:val="false"/>
          <w:color w:val="000000"/>
          <w:sz w:val="24"/>
        </w:rPr>
        <w:t>of a Participant, means the Participant’s child, stepchild, grandchild, parent, stepparent, grandparent, spouse, former spouse, sibling, niece, nephew, mother-in-law, father-in-law, son-in-law, daughter-in-law, brother-in-law, or sister-in-law, including adoptive relationships, any person sharing the Participant’s household (other than a tenant of the Participant), a trust in which these persons (or the Participant) own more than 50 percent of the beneficial interest, a foundation in which these persons (or the Participant) control the management of assets, and any other entity in which these persons (or the Participant) own more than 50 percent of the voting interests.</w:t>
      </w:r>
    </w:p>
    <w:p>
      <w:pPr>
        <w:pStyle w:val="TextBody"/>
        <w:bidi w:val="0"/>
        <w:spacing w:lineRule="auto" w:line="240" w:before="0" w:after="240"/>
        <w:ind w:left="0" w:right="0" w:firstLine="720"/>
        <w:jc w:val="left"/>
        <w:rPr/>
      </w:pPr>
      <w:r>
        <w:rPr>
          <w:rFonts w:ascii="Times New Roman;serif" w:hAnsi="Times New Roman;serif"/>
          <w:b w:val="false"/>
          <w:color w:val="000000"/>
          <w:sz w:val="24"/>
        </w:rPr>
        <w:t>10.</w:t>
      </w:r>
      <w:r>
        <w:rPr>
          <w:rFonts w:ascii="Times New Roman;serif" w:hAnsi="Times New Roman;serif"/>
          <w:b w:val="false"/>
          <w:color w:val="000000"/>
          <w:sz w:val="24"/>
          <w:u w:val="single"/>
        </w:rPr>
        <w:t>Legend</w:t>
      </w:r>
      <w:r>
        <w:rPr>
          <w:rFonts w:ascii="Times New Roman;serif" w:hAnsi="Times New Roman;serif"/>
          <w:b w:val="false"/>
          <w:color w:val="000000"/>
          <w:sz w:val="24"/>
        </w:rPr>
        <w:t>. The records of the Partnership and any other documentation evidencing the Award LTIP Units shall bear an appropriate legend, as determined by the Partnership in its sole discretion, to the effect that such LTIP Units are subject to restrictions as set forth herein, in the Plan and in the LP Agreement.</w:t>
      </w:r>
    </w:p>
    <w:p>
      <w:pPr>
        <w:pStyle w:val="TextBody"/>
        <w:bidi w:val="0"/>
        <w:spacing w:lineRule="auto" w:line="240" w:before="0" w:after="240"/>
        <w:ind w:left="0" w:right="0" w:firstLine="720"/>
        <w:jc w:val="left"/>
        <w:rPr/>
      </w:pPr>
      <w:r>
        <w:rPr>
          <w:rFonts w:ascii="Times New Roman;serif" w:hAnsi="Times New Roman;serif"/>
          <w:b w:val="false"/>
          <w:color w:val="000000"/>
          <w:sz w:val="24"/>
        </w:rPr>
        <w:t>11.</w:t>
      </w:r>
      <w:r>
        <w:rPr>
          <w:rFonts w:ascii="Times New Roman;serif" w:hAnsi="Times New Roman;serif"/>
          <w:b w:val="false"/>
          <w:color w:val="000000"/>
          <w:sz w:val="24"/>
          <w:u w:val="single"/>
        </w:rPr>
        <w:t>Tax Matters; Section 83(b) Election</w:t>
      </w:r>
      <w:r>
        <w:rPr>
          <w:rFonts w:ascii="Times New Roman;serif" w:hAnsi="Times New Roman;serif"/>
          <w:b w:val="false"/>
          <w:color w:val="000000"/>
          <w:sz w:val="24"/>
        </w:rPr>
        <w:t xml:space="preserve">. The Participant hereby agrees to make an election to include in gross income in the year of transfer the fair market value of the Award LTIP Units hereunder pursuant to Section 83(b) of the Internal Revenue Code substantially in the </w:t>
      </w: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48" name="Frame1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240" w:before="0" w:after="240"/>
        <w:jc w:val="left"/>
        <w:rPr/>
      </w:pPr>
      <w:r>
        <w:rPr>
          <w:rFonts w:ascii="Times New Roman;serif" w:hAnsi="Times New Roman;serif"/>
          <w:b w:val="false"/>
          <w:color w:val="000000"/>
          <w:sz w:val="24"/>
        </w:rPr>
        <w:t xml:space="preserve">form attached hereto as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and to supply the necessary information in accordance with the regulations promulgated thereunder.</w:t>
      </w:r>
    </w:p>
    <w:p>
      <w:pPr>
        <w:pStyle w:val="TextBody"/>
        <w:bidi w:val="0"/>
        <w:spacing w:lineRule="auto" w:line="240" w:before="0" w:after="240"/>
        <w:ind w:left="0" w:right="0" w:firstLine="720"/>
        <w:jc w:val="left"/>
        <w:rPr/>
      </w:pPr>
      <w:r>
        <w:rPr>
          <w:rFonts w:ascii="Times New Roman;serif" w:hAnsi="Times New Roman;serif"/>
          <w:b w:val="false"/>
          <w:color w:val="000000"/>
          <w:sz w:val="24"/>
        </w:rPr>
        <w:t>12.</w:t>
      </w:r>
      <w:r>
        <w:rPr>
          <w:rFonts w:ascii="Times New Roman;serif" w:hAnsi="Times New Roman;serif"/>
          <w:b w:val="false"/>
          <w:color w:val="000000"/>
          <w:sz w:val="24"/>
          <w:u w:val="single"/>
        </w:rPr>
        <w:t>Withholding and Taxes</w:t>
      </w:r>
      <w:r>
        <w:rPr>
          <w:rFonts w:ascii="Times New Roman;serif" w:hAnsi="Times New Roman;serif"/>
          <w:b w:val="false"/>
          <w:color w:val="000000"/>
          <w:sz w:val="24"/>
        </w:rPr>
        <w:t>. No later than the date as of which an amount first becomes includible in the gross income of the Participant for income tax purposes or subject to the Federal Insurance Contributions Act withholding with respect to the Award LTIP Units granted hereunder, the Participant will pay to the Company or, if appropriate, any of its Subsidiaries, or make arrangements satisfactory to the Committee regarding the payment of, any United States federal, state or local or foreign taxes of any kind required by law to be withheld with respect to such amount. The Company may cause the required minimum tax withholding obligation to be satisfied, in whole or in part, by withholding from shares of Stock to be issued to the Participant in respect of the Participant’s exercise of the Exchange Right a number of shares of Stock with an aggregate Fair Market Value that would satisfy the withholding amount due. The obligations of the Company under this Agreement will be conditional on such payment or arrangements, and the Company and its Subsidiaries shall, to the extent permitted by law, have the right to deduct any such taxes from any payment otherwise due to the Participant.</w:t>
      </w:r>
    </w:p>
    <w:p>
      <w:pPr>
        <w:pStyle w:val="TextBody"/>
        <w:bidi w:val="0"/>
        <w:spacing w:lineRule="auto" w:line="240" w:before="0" w:after="240"/>
        <w:ind w:left="0" w:right="0" w:firstLine="720"/>
        <w:jc w:val="left"/>
        <w:rPr/>
      </w:pPr>
      <w:r>
        <w:rPr>
          <w:rFonts w:ascii="Times New Roman;serif" w:hAnsi="Times New Roman;serif"/>
          <w:b w:val="false"/>
          <w:color w:val="000000"/>
          <w:sz w:val="24"/>
        </w:rPr>
        <w:t>13.</w:t>
      </w:r>
      <w:r>
        <w:rPr>
          <w:rFonts w:ascii="Times New Roman;serif" w:hAnsi="Times New Roman;serif"/>
          <w:b w:val="false"/>
          <w:color w:val="000000"/>
          <w:sz w:val="24"/>
          <w:u w:val="single"/>
        </w:rPr>
        <w:t>Clawback</w:t>
      </w:r>
      <w:r>
        <w:rPr>
          <w:rFonts w:ascii="Times New Roman;serif" w:hAnsi="Times New Roman;serif"/>
          <w:b w:val="false"/>
          <w:color w:val="000000"/>
          <w:sz w:val="24"/>
        </w:rPr>
        <w:t xml:space="preserve">. The Participant’s rights under this Agreement shall be subject to any clawback, recoupment or forfeiture provisions (i) required by law or regulation and applicable to the Company or any of its subsidiaries or affiliates in effect from time to time or (ii) set forth in any policies adopted or maintained by the Company or any of its subsidiaries or affiliates as in effect from time to time, including, without limitation, the Company’s Policy Regarding the Mandatory Recovery of Compensation, effective as of October 26, 2023. </w:t>
      </w:r>
    </w:p>
    <w:p>
      <w:pPr>
        <w:pStyle w:val="TextBody"/>
        <w:bidi w:val="0"/>
        <w:spacing w:lineRule="auto" w:line="240" w:before="0" w:after="240"/>
        <w:ind w:left="0" w:right="0" w:firstLine="720"/>
        <w:jc w:val="left"/>
        <w:rPr/>
      </w:pPr>
      <w:r>
        <w:rPr>
          <w:rFonts w:ascii="Times New Roman;serif" w:hAnsi="Times New Roman;serif"/>
          <w:b w:val="false"/>
          <w:color w:val="000000"/>
          <w:sz w:val="24"/>
        </w:rPr>
        <w:t>14.</w:t>
      </w:r>
      <w:r>
        <w:rPr>
          <w:rFonts w:ascii="Times New Roman;serif" w:hAnsi="Times New Roman;serif"/>
          <w:b w:val="false"/>
          <w:color w:val="000000"/>
          <w:sz w:val="24"/>
          <w:u w:val="single"/>
        </w:rPr>
        <w:t>Amendment; Modification</w:t>
      </w:r>
      <w:r>
        <w:rPr>
          <w:rFonts w:ascii="Times New Roman;serif" w:hAnsi="Times New Roman;serif"/>
          <w:b w:val="false"/>
          <w:color w:val="000000"/>
          <w:sz w:val="24"/>
        </w:rPr>
        <w:t>. This Agreement may only be modified or amended in a writing signed by the parties hereto, provided that the Participant acknowledges that the Plan may be amended or discontinued in accordance with Article 14 thereof and that this Agreement may be amended or canceled by the Committee, on behalf of the Company and the Partnership, in each case for the purpose of satisfying changes in law or for any other lawful purpose, so long as no such action shall adversely affect the Participant’s rights under this Agreement without the Participant’s written consent. No promises, assurances, commitments, agreements, undertakings or representations, whether oral, written, electronic or otherwise, and whether express or implied, with respect to the subject matter hereof, have been made by the parties which are not set forth expressly in this Agreement. The failure of the Participant or the Company or the Partnership to insist upon strict compliance with any provision of this Agreement, or to assert any right the Participant or the Company or the Partnership, respectively, may have under this Agreement, shall not be deemed to be a waiver of such provision or right or any other provision or right of this Agreement.</w:t>
      </w:r>
    </w:p>
    <w:p>
      <w:pPr>
        <w:pStyle w:val="TextBody"/>
        <w:bidi w:val="0"/>
        <w:spacing w:lineRule="auto" w:line="240" w:before="0" w:after="240"/>
        <w:ind w:left="0" w:right="0" w:firstLine="720"/>
        <w:jc w:val="left"/>
        <w:rPr/>
      </w:pPr>
      <w:r>
        <w:rPr>
          <w:rFonts w:ascii="Times New Roman;serif" w:hAnsi="Times New Roman;serif"/>
          <w:b w:val="false"/>
          <w:color w:val="000000"/>
          <w:sz w:val="24"/>
        </w:rPr>
        <w:t>15.</w:t>
      </w:r>
      <w:r>
        <w:rPr>
          <w:rFonts w:ascii="Times New Roman;serif" w:hAnsi="Times New Roman;serif"/>
          <w:b w:val="false"/>
          <w:color w:val="000000"/>
          <w:sz w:val="24"/>
          <w:u w:val="single"/>
        </w:rPr>
        <w:t>Complete Agreement</w:t>
      </w:r>
      <w:r>
        <w:rPr>
          <w:rFonts w:ascii="Times New Roman;serif" w:hAnsi="Times New Roman;serif"/>
          <w:b w:val="false"/>
          <w:color w:val="000000"/>
          <w:sz w:val="24"/>
        </w:rPr>
        <w:t>. Other than as specifically stated herein or as otherwise set forth in any employment, change in control or other agreement or arrangement to which the Participant is a party which specifically refers to the Award LTIP Units or to the treatment of compensatory equity held by the Participant generally, this Agreement (together with those agreements and documents expressly referred to herein, for the purposes referred to herein) embody the complete and entire agreement and understanding between the parties with respect to the subject matter hereof, and supersede any and all prior promises, assurances, commitments, agreements, undertakings or representations, whether oral, written, electronic or otherwise, and whether express or implied, which may relate to the subject matter hereof in any way.</w:t>
      </w:r>
    </w:p>
    <w:p>
      <w:pPr>
        <w:pStyle w:val="TextBody"/>
        <w:bidi w:val="0"/>
        <w:spacing w:lineRule="auto" w:line="240" w:before="0" w:after="240"/>
        <w:ind w:left="0" w:right="0" w:firstLine="720"/>
        <w:jc w:val="left"/>
        <w:rPr/>
      </w:pPr>
      <w:r>
        <w:rPr>
          <w:rFonts w:ascii="Times New Roman;serif" w:hAnsi="Times New Roman;serif"/>
          <w:b w:val="false"/>
          <w:color w:val="000000"/>
          <w:sz w:val="24"/>
        </w:rPr>
        <w:t>16.</w:t>
      </w:r>
      <w:r>
        <w:rPr>
          <w:rFonts w:ascii="Times New Roman;serif" w:hAnsi="Times New Roman;serif"/>
          <w:b w:val="false"/>
          <w:color w:val="000000"/>
          <w:sz w:val="24"/>
          <w:u w:val="single"/>
        </w:rPr>
        <w:t>Investment Representation; Registration</w:t>
      </w:r>
      <w:r>
        <w:rPr>
          <w:rFonts w:ascii="Times New Roman;serif" w:hAnsi="Times New Roman;serif"/>
          <w:b w:val="false"/>
          <w:color w:val="000000"/>
          <w:sz w:val="24"/>
        </w:rPr>
        <w:t xml:space="preserve">. The Participant hereby makes the covenants, representations and warranties set forth on </w:t>
      </w:r>
      <w:r>
        <w:rPr>
          <w:rFonts w:ascii="Times New Roman;serif" w:hAnsi="Times New Roman;serif"/>
          <w:b w:val="false"/>
          <w:color w:val="000000"/>
          <w:sz w:val="24"/>
          <w:u w:val="single"/>
        </w:rPr>
        <w:t>Exhibit C</w:t>
      </w:r>
      <w:r>
        <w:rPr>
          <w:color w:val="000000"/>
        </w:rPr>
        <w:t xml:space="preserve"> </w:t>
      </w:r>
      <w:r>
        <w:rPr>
          <w:rFonts w:ascii="Times New Roman;serif" w:hAnsi="Times New Roman;serif"/>
          <w:b w:val="false"/>
          <w:color w:val="000000"/>
          <w:sz w:val="24"/>
        </w:rPr>
        <w:t xml:space="preserve">attached hereto as of the Grant Date. All of such covenants, warranties and representations shall survive the execution and delivery of this Agreement by the Participant. The Participant shall promptly notify the Partnership upon discovering that any of the representations or warranties set forth on </w:t>
      </w:r>
      <w:r>
        <w:rPr>
          <w:rFonts w:ascii="Times New Roman;serif" w:hAnsi="Times New Roman;serif"/>
          <w:b w:val="false"/>
          <w:color w:val="000000"/>
          <w:sz w:val="24"/>
          <w:u w:val="single"/>
        </w:rPr>
        <w:t>Exhibit C</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49" name="Frame1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was false when made or have, as a result of changes in circumstances, become false. The Partnership will have no obligation to register under the Securities Act any of the Award LTIP Units or upon conversion or exchange of the Award LTIP Units into other limited partnership interests of the Partnership.</w:t>
      </w:r>
    </w:p>
    <w:p>
      <w:pPr>
        <w:pStyle w:val="TextBody"/>
        <w:bidi w:val="0"/>
        <w:spacing w:lineRule="auto" w:line="240" w:before="0" w:after="240"/>
        <w:ind w:left="0" w:right="0" w:firstLine="720"/>
        <w:jc w:val="left"/>
        <w:rPr/>
      </w:pPr>
      <w:r>
        <w:rPr>
          <w:rFonts w:ascii="Times New Roman;serif" w:hAnsi="Times New Roman;serif"/>
          <w:b w:val="false"/>
          <w:color w:val="000000"/>
          <w:sz w:val="24"/>
        </w:rPr>
        <w:t>17.</w:t>
      </w:r>
      <w:r>
        <w:rPr>
          <w:rFonts w:ascii="Times New Roman;serif" w:hAnsi="Times New Roman;serif"/>
          <w:b w:val="false"/>
          <w:color w:val="000000"/>
          <w:sz w:val="24"/>
          <w:u w:val="single"/>
        </w:rPr>
        <w:t>No Obligation to Continue Employment</w:t>
      </w:r>
      <w:r>
        <w:rPr>
          <w:rFonts w:ascii="Times New Roman;serif" w:hAnsi="Times New Roman;serif"/>
          <w:b w:val="false"/>
          <w:color w:val="000000"/>
          <w:sz w:val="24"/>
        </w:rPr>
        <w:t>. Neither the Company nor any Subsidiary is obligated by or as a result of the Plan or this Agreement to continue the Participant in employment and neither the Plan nor this Agreement shall interfere in any way with the right of the Company or any Subsidiary to terminate the employment of the Participant at any time.</w:t>
      </w:r>
    </w:p>
    <w:p>
      <w:pPr>
        <w:pStyle w:val="TextBody"/>
        <w:bidi w:val="0"/>
        <w:spacing w:lineRule="auto" w:line="240" w:before="0" w:after="240"/>
        <w:ind w:left="0" w:right="0" w:firstLine="720"/>
        <w:jc w:val="left"/>
        <w:rPr/>
      </w:pPr>
      <w:r>
        <w:rPr>
          <w:rFonts w:ascii="Times New Roman;serif" w:hAnsi="Times New Roman;serif"/>
          <w:b w:val="false"/>
          <w:color w:val="000000"/>
          <w:sz w:val="24"/>
        </w:rPr>
        <w:t>18.</w:t>
      </w:r>
      <w:r>
        <w:rPr>
          <w:rFonts w:ascii="Times New Roman;serif" w:hAnsi="Times New Roman;serif"/>
          <w:b w:val="false"/>
          <w:color w:val="000000"/>
          <w:sz w:val="24"/>
          <w:u w:val="single"/>
        </w:rPr>
        <w:t>No Limit on Other Compensation Arrangements</w:t>
      </w:r>
      <w:r>
        <w:rPr>
          <w:rFonts w:ascii="Times New Roman;serif" w:hAnsi="Times New Roman;serif"/>
          <w:b w:val="false"/>
          <w:color w:val="000000"/>
          <w:sz w:val="24"/>
        </w:rPr>
        <w:t>. Nothing contained in this Agreement shall preclude the Company from adopting or continuing in effect other or additional compensation plans, agreements or arrangements, and any such plans, agreements and arrangements may be either generally applicable or applicable only in specific cases or to specific persons.</w:t>
      </w:r>
    </w:p>
    <w:p>
      <w:pPr>
        <w:pStyle w:val="TextBody"/>
        <w:bidi w:val="0"/>
        <w:spacing w:lineRule="auto" w:line="240" w:before="0" w:after="240"/>
        <w:ind w:left="0" w:right="0" w:firstLine="720"/>
        <w:jc w:val="left"/>
        <w:rPr/>
      </w:pPr>
      <w:r>
        <w:rPr>
          <w:rFonts w:ascii="Times New Roman;serif" w:hAnsi="Times New Roman;serif"/>
          <w:b w:val="false"/>
          <w:color w:val="000000"/>
          <w:sz w:val="24"/>
        </w:rPr>
        <w:t>19.</w:t>
      </w:r>
      <w:r>
        <w:rPr>
          <w:rFonts w:ascii="Times New Roman;serif" w:hAnsi="Times New Roman;serif"/>
          <w:b w:val="false"/>
          <w:color w:val="000000"/>
          <w:sz w:val="24"/>
          <w:u w:val="single"/>
        </w:rPr>
        <w:t>Status of Award LTIP Units under the Plan</w:t>
      </w:r>
      <w:r>
        <w:rPr>
          <w:rFonts w:ascii="Times New Roman;serif" w:hAnsi="Times New Roman;serif"/>
          <w:b w:val="false"/>
          <w:color w:val="000000"/>
          <w:sz w:val="24"/>
        </w:rPr>
        <w:t>. The Award LTIP Units are both issued as equity securities of the Partnership and granted as an “Other Award” under the Plan. The Company will have the right at its option, as set forth in the LP Agreement, to issue Common Stock in exchange for partnership units into which Award LTIP Units may have been converted pursuant to the LP Agreement, subject to certain limitations set forth in the LP Agreement, and such Common Stock, if issued, will be issued under the Plan. The Participant acknowledges that the Participant will have no right to approve or disapprove such election by the Company.</w:t>
      </w:r>
    </w:p>
    <w:p>
      <w:pPr>
        <w:pStyle w:val="TextBody"/>
        <w:bidi w:val="0"/>
        <w:spacing w:lineRule="auto" w:line="240" w:before="0" w:after="240"/>
        <w:ind w:left="0" w:right="0" w:firstLine="720"/>
        <w:jc w:val="left"/>
        <w:rPr/>
      </w:pPr>
      <w:r>
        <w:rPr>
          <w:rFonts w:ascii="Times New Roman;serif" w:hAnsi="Times New Roman;serif"/>
          <w:b w:val="false"/>
          <w:color w:val="000000"/>
          <w:sz w:val="24"/>
        </w:rPr>
        <w:t>20.</w:t>
      </w:r>
      <w:r>
        <w:rPr>
          <w:rFonts w:ascii="Times New Roman;serif" w:hAnsi="Times New Roman;serif"/>
          <w:b w:val="false"/>
          <w:color w:val="000000"/>
          <w:sz w:val="24"/>
          <w:u w:val="single"/>
        </w:rPr>
        <w:t>Severability</w:t>
      </w:r>
      <w:r>
        <w:rPr>
          <w:rFonts w:ascii="Times New Roman;serif" w:hAnsi="Times New Roman;serif"/>
          <w:b w:val="false"/>
          <w:color w:val="000000"/>
          <w:sz w:val="24"/>
        </w:rPr>
        <w:t>. If any term or provision of this Agreement is, becomes or is deemed to be invalid, illegal or unenforceable in any jurisdiction or under any applicable law, rule or regulation, then such provision shall be construed or deemed amended to conform to applicable law (or if such provision cannot be so construed or deemed amended without materially altering the purpose or intent of this Agreement and the grant of Award LTIP Units hereunder, such provision shall be stricken as to such jurisdiction and the remainder of this Agreement and the award hereunder shall remain in full force and effect).</w:t>
      </w:r>
    </w:p>
    <w:p>
      <w:pPr>
        <w:pStyle w:val="TextBody"/>
        <w:bidi w:val="0"/>
        <w:spacing w:lineRule="auto" w:line="240" w:before="0" w:after="240"/>
        <w:ind w:left="0" w:right="0" w:firstLine="720"/>
        <w:jc w:val="left"/>
        <w:rPr/>
      </w:pPr>
      <w:r>
        <w:rPr>
          <w:rFonts w:ascii="Times New Roman;serif" w:hAnsi="Times New Roman;serif"/>
          <w:b w:val="false"/>
          <w:color w:val="000000"/>
          <w:sz w:val="24"/>
        </w:rPr>
        <w:t>21.</w:t>
      </w:r>
      <w:r>
        <w:rPr>
          <w:rFonts w:ascii="Times New Roman;serif" w:hAnsi="Times New Roman;serif"/>
          <w:b w:val="false"/>
          <w:color w:val="000000"/>
          <w:sz w:val="24"/>
          <w:u w:val="single"/>
        </w:rPr>
        <w:t>Law Governing</w:t>
      </w:r>
      <w:r>
        <w:rPr>
          <w:rFonts w:ascii="Times New Roman;serif" w:hAnsi="Times New Roman;serif"/>
          <w:b w:val="false"/>
          <w:color w:val="000000"/>
          <w:sz w:val="24"/>
        </w:rPr>
        <w:t xml:space="preserve">. This Agreement shall be governed by and construed in accordance with the laws of the Commonwealth of Pennsylvania, without regard to any principles of conflicts of law which could cause the application of the laws of any jurisdiction other than the Commonwealth of Pennsylvania. </w:t>
      </w:r>
    </w:p>
    <w:p>
      <w:pPr>
        <w:pStyle w:val="TextBody"/>
        <w:bidi w:val="0"/>
        <w:spacing w:lineRule="auto" w:line="240" w:before="0" w:after="240"/>
        <w:ind w:left="0" w:right="0" w:firstLine="720"/>
        <w:jc w:val="left"/>
        <w:rPr/>
      </w:pPr>
      <w:r>
        <w:rPr>
          <w:rFonts w:ascii="Times New Roman;serif" w:hAnsi="Times New Roman;serif"/>
          <w:b w:val="false"/>
          <w:color w:val="000000"/>
          <w:sz w:val="24"/>
        </w:rPr>
        <w:t>22.</w:t>
      </w:r>
      <w:r>
        <w:rPr>
          <w:rFonts w:ascii="Times New Roman;serif" w:hAnsi="Times New Roman;serif"/>
          <w:b w:val="false"/>
          <w:color w:val="000000"/>
          <w:sz w:val="24"/>
          <w:u w:val="single"/>
        </w:rPr>
        <w:t>Headings</w:t>
      </w:r>
      <w:r>
        <w:rPr>
          <w:rFonts w:ascii="Times New Roman;serif" w:hAnsi="Times New Roman;serif"/>
          <w:b w:val="false"/>
          <w:color w:val="000000"/>
          <w:sz w:val="24"/>
        </w:rPr>
        <w:t>. Section, paragraph and other headings and captions are provided solely as a convenience to facilitate reference. Such headings and captions shall not be deemed in any way material or relevant to the construction, meaning or interpretation of this Agreement or any term or provision hereof.</w:t>
      </w:r>
    </w:p>
    <w:p>
      <w:pPr>
        <w:pStyle w:val="TextBody"/>
        <w:bidi w:val="0"/>
        <w:spacing w:lineRule="auto" w:line="240" w:before="0" w:after="240"/>
        <w:ind w:left="0" w:right="0" w:firstLine="720"/>
        <w:jc w:val="left"/>
        <w:rPr/>
      </w:pPr>
      <w:r>
        <w:rPr>
          <w:rFonts w:ascii="Times New Roman;serif" w:hAnsi="Times New Roman;serif"/>
          <w:b w:val="false"/>
          <w:color w:val="000000"/>
          <w:sz w:val="24"/>
        </w:rPr>
        <w:t>23.</w:t>
      </w:r>
      <w:r>
        <w:rPr>
          <w:rFonts w:ascii="Times New Roman;serif" w:hAnsi="Times New Roman;serif"/>
          <w:b w:val="false"/>
          <w:color w:val="000000"/>
          <w:sz w:val="24"/>
          <w:u w:val="single"/>
        </w:rPr>
        <w:t>Notices</w:t>
      </w:r>
      <w:r>
        <w:rPr>
          <w:rFonts w:ascii="Times New Roman;serif" w:hAnsi="Times New Roman;serif"/>
          <w:b w:val="false"/>
          <w:color w:val="000000"/>
          <w:sz w:val="24"/>
        </w:rPr>
        <w:t xml:space="preserve">. Notices hereunder shall be mailed or delivered to the Employer at its principal place of business at 845 Berkshire Blvd., Suite 200, Wyomissing, Pennsylvania 19610 and shall be mailed or delivered to the Participant at the address on file with the Employer or, in either case, at such other address as one party may subsequently furnish to the other party in writing. </w:t>
      </w:r>
    </w:p>
    <w:p>
      <w:pPr>
        <w:pStyle w:val="TextBody"/>
        <w:bidi w:val="0"/>
        <w:spacing w:lineRule="auto" w:line="240" w:before="0" w:after="240"/>
        <w:ind w:left="0" w:right="0" w:firstLine="720"/>
        <w:jc w:val="left"/>
        <w:rPr/>
      </w:pPr>
      <w:r>
        <w:rPr>
          <w:rFonts w:ascii="Times New Roman;serif" w:hAnsi="Times New Roman;serif"/>
          <w:b w:val="false"/>
          <w:color w:val="000000"/>
          <w:sz w:val="24"/>
        </w:rPr>
        <w:t>24.</w:t>
      </w:r>
      <w:r>
        <w:rPr>
          <w:rFonts w:ascii="Times New Roman;serif" w:hAnsi="Times New Roman;serif"/>
          <w:b w:val="false"/>
          <w:color w:val="000000"/>
          <w:sz w:val="24"/>
          <w:u w:val="single"/>
        </w:rPr>
        <w:t>Counterparts</w:t>
      </w:r>
      <w:r>
        <w:rPr>
          <w:rFonts w:ascii="Times New Roman;serif" w:hAnsi="Times New Roman;serif"/>
          <w:b w:val="false"/>
          <w:color w:val="000000"/>
          <w:sz w:val="24"/>
        </w:rPr>
        <w:t>. This Agreement may be executed in two or more separate counterparts, each of which shall be an original, and all of which together shall constitute one and the same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50" name="Frame1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240" w:before="0" w:after="240"/>
        <w:ind w:left="0" w:right="0" w:firstLine="720"/>
        <w:jc w:val="left"/>
        <w:rPr/>
      </w:pPr>
      <w:r>
        <w:rPr>
          <w:rFonts w:ascii="Times New Roman;serif" w:hAnsi="Times New Roman;serif"/>
          <w:b w:val="false"/>
          <w:color w:val="000000"/>
          <w:sz w:val="24"/>
        </w:rPr>
        <w:t>25.</w:t>
      </w:r>
      <w:r>
        <w:rPr>
          <w:rFonts w:ascii="Times New Roman;serif" w:hAnsi="Times New Roman;serif"/>
          <w:b w:val="false"/>
          <w:color w:val="000000"/>
          <w:sz w:val="24"/>
          <w:u w:val="single"/>
        </w:rPr>
        <w:t>Successors and Assigns</w:t>
      </w:r>
      <w:r>
        <w:rPr>
          <w:rFonts w:ascii="Times New Roman;serif" w:hAnsi="Times New Roman;serif"/>
          <w:b w:val="false"/>
          <w:color w:val="000000"/>
          <w:sz w:val="24"/>
        </w:rPr>
        <w:t>. The rights and obligations created hereunder shall be binding on the Participant and his or her heirs and legal representatives and on the successors and assigns of the Partnership.</w:t>
      </w:r>
    </w:p>
    <w:p>
      <w:pPr>
        <w:pStyle w:val="TextBody"/>
        <w:bidi w:val="0"/>
        <w:spacing w:lineRule="auto" w:line="240" w:before="0" w:after="240"/>
        <w:ind w:left="0" w:right="0" w:firstLine="720"/>
        <w:jc w:val="left"/>
        <w:rPr/>
      </w:pPr>
      <w:r>
        <w:rPr>
          <w:rFonts w:ascii="Times New Roman;serif" w:hAnsi="Times New Roman;serif"/>
          <w:b w:val="false"/>
          <w:color w:val="000000"/>
          <w:sz w:val="24"/>
        </w:rPr>
        <w:t>26.</w:t>
      </w:r>
      <w:r>
        <w:rPr>
          <w:rFonts w:ascii="Times New Roman;serif" w:hAnsi="Times New Roman;serif"/>
          <w:b w:val="false"/>
          <w:color w:val="000000"/>
          <w:sz w:val="24"/>
          <w:u w:val="single"/>
        </w:rPr>
        <w:t>Data Privacy Consent</w:t>
      </w:r>
      <w:r>
        <w:rPr>
          <w:rFonts w:ascii="Times New Roman;serif" w:hAnsi="Times New Roman;serif"/>
          <w:b w:val="false"/>
          <w:color w:val="000000"/>
          <w:sz w:val="24"/>
        </w:rPr>
        <w:t>. In order to administer the Plan and this Agreement and to implement or structure future equity grants, the Company and its agents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w:t>
      </w:r>
      <w:r>
        <w:rPr>
          <w:rFonts w:ascii="Times New Roman;serif" w:hAnsi="Times New Roman;serif"/>
          <w:b w:val="false"/>
          <w:color w:val="000000"/>
          <w:sz w:val="24"/>
          <w:u w:val="single"/>
        </w:rPr>
        <w:t>Relevant Information</w:t>
      </w:r>
      <w:r>
        <w:rPr>
          <w:color w:val="000000"/>
        </w:rPr>
        <w:t>”</w:t>
      </w:r>
      <w:r>
        <w:rPr>
          <w:rFonts w:ascii="Times New Roman;serif" w:hAnsi="Times New Roman;serif"/>
          <w:b w:val="false"/>
          <w:color w:val="000000"/>
          <w:sz w:val="24"/>
        </w:rPr>
        <w:t>). By entering into this Agreement, the Participant (i) authorizes the Company to collect, process, register and transfer to its agents all Relevant Information; and (ii) authorizes the Company and its agents to store and transmit such information in electronic form. The Participant shall have access to, and the right to change, the Relevant Information. Relevant Information will only be used in accordance with applicable law and to the extent necessary to administer the Plan and this Agreement, and the Company and its agents will keep the Relevant Information confidential except as specifically authorized under this paragraph.</w:t>
      </w:r>
    </w:p>
    <w:p>
      <w:pPr>
        <w:pStyle w:val="TextBody"/>
        <w:bidi w:val="0"/>
        <w:spacing w:lineRule="auto" w:line="240" w:before="0" w:after="240"/>
        <w:ind w:left="0" w:right="0" w:firstLine="720"/>
        <w:jc w:val="left"/>
        <w:rPr/>
      </w:pPr>
      <w:r>
        <w:rPr>
          <w:rFonts w:ascii="Times New Roman;serif" w:hAnsi="Times New Roman;serif"/>
          <w:b w:val="false"/>
          <w:color w:val="000000"/>
          <w:sz w:val="24"/>
        </w:rPr>
        <w:t>27.</w:t>
      </w:r>
      <w:r>
        <w:rPr>
          <w:rFonts w:ascii="Times New Roman;serif" w:hAnsi="Times New Roman;serif"/>
          <w:b w:val="false"/>
          <w:color w:val="000000"/>
          <w:sz w:val="24"/>
          <w:u w:val="single"/>
        </w:rPr>
        <w:t>Electronic Delivery of Documents</w:t>
      </w:r>
      <w:r>
        <w:rPr>
          <w:rFonts w:ascii="Times New Roman;serif" w:hAnsi="Times New Roman;serif"/>
          <w:b w:val="false"/>
          <w:color w:val="000000"/>
          <w:sz w:val="24"/>
        </w:rPr>
        <w:t>. By accepting this Agreement, the Participant (i) consents to the electronic delivery of this Agreement, all information with respect to the Plan and any reports of the Company provided generally to the Company’s stockholders; (ii) acknowledges that he or she may receive from the Company a paper copy of any documents delivered electronically at no cost to the Participant by contacting the Company by telephone or in writing; (iii) further acknowledges that he or she may revoke his or her consent to electronic delivery of documents at any time by notifying the Company of such revoked consent by telephone, postal service or electronic mail; and (iv) further acknowledges that he or she is not required to consent to electronic delivery of documents.</w:t>
      </w:r>
    </w:p>
    <w:p>
      <w:pPr>
        <w:pStyle w:val="TextBody"/>
        <w:bidi w:val="0"/>
        <w:spacing w:lineRule="auto" w:line="288" w:before="0" w:after="240"/>
        <w:ind w:left="0" w:right="0" w:hanging="720"/>
        <w:jc w:val="center"/>
        <w:rPr>
          <w:rFonts w:ascii="Times New Roman;serif" w:hAnsi="Times New Roman;serif"/>
          <w:b w:val="false"/>
          <w:color w:val="000000"/>
          <w:sz w:val="24"/>
        </w:rPr>
      </w:pPr>
      <w:r>
        <w:rPr>
          <w:rFonts w:ascii="Times New Roman;serif" w:hAnsi="Times New Roman;serif"/>
          <w:b w:val="false"/>
          <w:color w:val="000000"/>
          <w:sz w:val="24"/>
        </w:rPr>
        <w:t>28.[REMAINDER OF PAGE INTENTIONALLY LEFT BLANK]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151" name="Frame1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29.</w:t>
      </w:r>
    </w:p>
    <w:p>
      <w:pPr>
        <w:pStyle w:val="TextBody"/>
        <w:bidi w:val="0"/>
        <w:spacing w:lineRule="auto" w:line="288" w:before="0" w:after="600"/>
        <w:jc w:val="left"/>
        <w:rPr>
          <w:rFonts w:ascii="Times New Roman;serif" w:hAnsi="Times New Roman;serif"/>
          <w:b w:val="false"/>
          <w:color w:val="000000"/>
          <w:sz w:val="24"/>
        </w:rPr>
      </w:pPr>
      <w:r>
        <w:rPr>
          <w:rFonts w:ascii="Times New Roman;serif" w:hAnsi="Times New Roman;serif"/>
          <w:b w:val="false"/>
          <w:color w:val="000000"/>
          <w:sz w:val="24"/>
        </w:rPr>
        <w:t>GAMING AND LEISURE PROPERTIES, INC.</w:t>
      </w:r>
    </w:p>
    <w:p>
      <w:pPr>
        <w:pStyle w:val="TextBody"/>
        <w:bidi w:val="0"/>
        <w:spacing w:lineRule="auto" w:line="288" w:before="0" w:after="0"/>
        <w:ind w:left="0" w:right="0" w:hanging="450"/>
        <w:jc w:val="left"/>
        <w:rPr/>
      </w:pPr>
      <w:r>
        <w:rPr>
          <w:rFonts w:ascii="Times New Roman;serif" w:hAnsi="Times New Roman;serif"/>
          <w:b w:val="false"/>
          <w:color w:val="000000"/>
          <w:sz w:val="24"/>
        </w:rPr>
        <w:t>By:    </w:t>
      </w:r>
      <w:r>
        <w:rPr>
          <w:color w:val="000000"/>
          <w:u w:val="single"/>
        </w:rPr>
        <w:t>    </w:t>
      </w:r>
    </w:p>
    <w:p>
      <w:pPr>
        <w:pStyle w:val="TextBody"/>
        <w:bidi w:val="0"/>
        <w:spacing w:lineRule="auto" w:line="288" w:before="0" w:after="360"/>
        <w:ind w:left="0" w:right="0" w:hanging="450"/>
        <w:jc w:val="left"/>
        <w:rPr>
          <w:color w:val="000000"/>
        </w:rPr>
      </w:pPr>
      <w:r>
        <w:rPr>
          <w:color w:val="000000"/>
        </w:rPr>
        <w:t>    </w:t>
      </w:r>
      <w:r>
        <w:rPr>
          <w:rFonts w:ascii="Times New Roman;serif" w:hAnsi="Times New Roman;serif"/>
          <w:b w:val="false"/>
          <w:color w:val="000000"/>
          <w:sz w:val="24"/>
        </w:rPr>
        <w:t>[NAME]</w:t>
        <w:br/>
        <w:t>[TITLE]</w:t>
      </w:r>
    </w:p>
    <w:p>
      <w:pPr>
        <w:pStyle w:val="TextBody"/>
        <w:bidi w:val="0"/>
        <w:spacing w:lineRule="auto" w:line="288" w:before="0" w:after="240"/>
        <w:ind w:left="0" w:right="0" w:hanging="90"/>
        <w:jc w:val="left"/>
        <w:rPr>
          <w:rFonts w:ascii="Times New Roman;serif" w:hAnsi="Times New Roman;serif"/>
          <w:b w:val="false"/>
          <w:color w:val="000000"/>
          <w:sz w:val="24"/>
        </w:rPr>
      </w:pPr>
      <w:r>
        <w:rPr>
          <w:rFonts w:ascii="Times New Roman;serif" w:hAnsi="Times New Roman;serif"/>
          <w:b w:val="false"/>
          <w:color w:val="000000"/>
          <w:sz w:val="24"/>
        </w:rPr>
        <w:t>GLP CAPITAL, L.P.</w:t>
      </w:r>
    </w:p>
    <w:p>
      <w:pPr>
        <w:pStyle w:val="TextBody"/>
        <w:bidi w:val="0"/>
        <w:spacing w:lineRule="auto" w:line="288" w:before="0" w:after="600"/>
        <w:ind w:left="0" w:right="0" w:hanging="446"/>
        <w:jc w:val="left"/>
        <w:rPr>
          <w:rFonts w:ascii="Times New Roman;serif" w:hAnsi="Times New Roman;serif"/>
          <w:b w:val="false"/>
          <w:color w:val="000000"/>
          <w:sz w:val="24"/>
        </w:rPr>
      </w:pPr>
      <w:r>
        <w:rPr>
          <w:rFonts w:ascii="Times New Roman;serif" w:hAnsi="Times New Roman;serif"/>
          <w:b w:val="false"/>
          <w:color w:val="000000"/>
          <w:sz w:val="24"/>
        </w:rPr>
        <w:t>By:    GAMING AND LEISURE PROPERTIES, INC., its General Partner</w:t>
      </w:r>
    </w:p>
    <w:p>
      <w:pPr>
        <w:pStyle w:val="TextBody"/>
        <w:bidi w:val="0"/>
        <w:spacing w:lineRule="auto" w:line="288" w:before="0" w:after="0"/>
        <w:ind w:left="0" w:right="0" w:hanging="450"/>
        <w:jc w:val="left"/>
        <w:rPr/>
      </w:pPr>
      <w:r>
        <w:rPr>
          <w:rFonts w:ascii="Times New Roman;serif" w:hAnsi="Times New Roman;serif"/>
          <w:b w:val="false"/>
          <w:color w:val="000000"/>
          <w:sz w:val="24"/>
        </w:rPr>
        <w:t>By:    </w:t>
      </w:r>
      <w:r>
        <w:rPr>
          <w:color w:val="000000"/>
          <w:u w:val="single"/>
        </w:rPr>
        <w:t>    </w:t>
      </w:r>
    </w:p>
    <w:p>
      <w:pPr>
        <w:pStyle w:val="TextBody"/>
        <w:bidi w:val="0"/>
        <w:spacing w:lineRule="auto" w:line="288" w:before="0" w:after="360"/>
        <w:ind w:left="0" w:right="0" w:hanging="450"/>
        <w:jc w:val="left"/>
        <w:rPr>
          <w:color w:val="000000"/>
        </w:rPr>
      </w:pPr>
      <w:r>
        <w:rPr>
          <w:color w:val="000000"/>
        </w:rPr>
        <w:t>    </w:t>
      </w:r>
      <w:r>
        <w:rPr>
          <w:rFonts w:ascii="Times New Roman;serif" w:hAnsi="Times New Roman;serif"/>
          <w:b w:val="false"/>
          <w:color w:val="000000"/>
          <w:sz w:val="24"/>
        </w:rPr>
        <w:t>[NAME]</w:t>
        <w:br/>
        <w:t>[TITLE]</w:t>
      </w:r>
    </w:p>
    <w:p>
      <w:pPr>
        <w:pStyle w:val="TextBody"/>
        <w:bidi w:val="0"/>
        <w:spacing w:lineRule="auto" w:line="288" w:before="0" w:after="600"/>
        <w:jc w:val="left"/>
        <w:rPr>
          <w:rFonts w:ascii="Times New Roman;serif" w:hAnsi="Times New Roman;serif"/>
          <w:b w:val="false"/>
          <w:color w:val="000000"/>
          <w:sz w:val="24"/>
        </w:rPr>
      </w:pPr>
      <w:r>
        <w:rPr>
          <w:rFonts w:ascii="Times New Roman;serif" w:hAnsi="Times New Roman;serif"/>
          <w:b w:val="false"/>
          <w:color w:val="000000"/>
          <w:sz w:val="24"/>
        </w:rPr>
        <w:t>PARTICIPANT</w:t>
      </w:r>
    </w:p>
    <w:p>
      <w:pPr>
        <w:pStyle w:val="TextBody"/>
        <w:bidi w:val="0"/>
        <w:spacing w:lineRule="auto" w:line="288" w:before="0" w:after="0"/>
        <w:jc w:val="left"/>
        <w:rPr>
          <w:color w:val="000000"/>
          <w:u w:val="single"/>
        </w:rPr>
      </w:pPr>
      <w:r>
        <w:rPr>
          <w:color w:val="000000"/>
          <w:u w:val="single"/>
        </w:rPr>
        <w:t>    </w:t>
      </w:r>
    </w:p>
    <w:p>
      <w:pPr>
        <w:pStyle w:val="TextBody"/>
        <w:bidi w:val="0"/>
        <w:spacing w:lineRule="auto" w:line="288" w:before="0" w:after="0"/>
        <w:ind w:left="0" w:right="0" w:hanging="446"/>
        <w:jc w:val="left"/>
        <w:rPr>
          <w:rFonts w:ascii="Times New Roman;serif" w:hAnsi="Times New Roman;serif"/>
          <w:b w:val="false"/>
          <w:color w:val="000000"/>
          <w:sz w:val="24"/>
        </w:rPr>
      </w:pPr>
      <w:r>
        <w:rPr>
          <w:rFonts w:ascii="Times New Roman;serif" w:hAnsi="Times New Roman;serif"/>
          <w:b w:val="false"/>
          <w:color w:val="000000"/>
          <w:sz w:val="24"/>
        </w:rPr>
        <w:t xml:space="preserve">Name: </w:t>
      </w:r>
    </w:p>
    <w:p>
      <w:pPr>
        <w:pStyle w:val="TextBody"/>
        <w:bidi w:val="0"/>
        <w:spacing w:lineRule="auto" w:line="288" w:before="0" w:after="240"/>
        <w:ind w:left="0" w:right="0" w:hanging="446"/>
        <w:jc w:val="left"/>
        <w:rPr>
          <w:rFonts w:ascii="Times New Roman;serif" w:hAnsi="Times New Roman;serif"/>
          <w:b w:val="false"/>
          <w:color w:val="000000"/>
          <w:sz w:val="24"/>
        </w:rPr>
      </w:pPr>
      <w:r>
        <w:rPr>
          <w:rFonts w:ascii="Times New Roman;serif" w:hAnsi="Times New Roman;serif"/>
          <w:b w:val="false"/>
          <w:color w:val="000000"/>
          <w:sz w:val="24"/>
        </w:rPr>
        <w:t xml:space="preserve">Address: </w:t>
      </w:r>
    </w:p>
    <w:p>
      <w:pPr>
        <w:pStyle w:val="TextBody"/>
        <w:bidi w:val="0"/>
        <w:spacing w:lineRule="auto" w:line="288" w:before="0" w:after="120"/>
        <w:jc w:val="left"/>
        <w:rPr>
          <w:color w:val="000000"/>
          <w:u w:val="single"/>
        </w:rPr>
      </w:pPr>
      <w:r>
        <w:rPr>
          <w:color w:val="000000"/>
          <w:u w:val="single"/>
        </w:rPr>
        <w:t>    </w:t>
      </w:r>
    </w:p>
    <w:p>
      <w:pPr>
        <w:pStyle w:val="TextBody"/>
        <w:bidi w:val="0"/>
        <w:spacing w:lineRule="auto" w:line="288" w:before="0" w:after="120"/>
        <w:jc w:val="left"/>
        <w:rPr>
          <w:color w:val="000000"/>
          <w:u w:val="single"/>
        </w:rPr>
      </w:pPr>
      <w:r>
        <w:rPr>
          <w:color w:val="000000"/>
          <w:u w:val="single"/>
        </w:rPr>
        <w:t>    </w:t>
      </w:r>
    </w:p>
    <w:p>
      <w:pPr>
        <w:pStyle w:val="TextBody"/>
        <w:bidi w:val="0"/>
        <w:spacing w:lineRule="auto" w:line="288" w:before="0" w:after="240"/>
        <w:jc w:val="left"/>
        <w:rPr>
          <w:color w:val="000000"/>
          <w:u w:val="single"/>
        </w:rPr>
      </w:pPr>
      <w:r>
        <w:rPr>
          <w:color w:val="000000"/>
          <w:u w:val="single"/>
        </w:rPr>
        <w:t>    </w:t>
      </w:r>
    </w:p>
    <w:p>
      <w:pPr>
        <w:pStyle w:val="TextBody"/>
        <w:bidi w:val="0"/>
        <w:spacing w:before="0" w:after="4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75260"/>
                <wp:effectExtent l="0" t="0" r="0" b="0"/>
                <wp:wrapNone/>
                <wp:docPr id="152" name="Frame1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480"/>
        <w:jc w:val="center"/>
        <w:rPr>
          <w:rFonts w:ascii="Times New Roman;serif" w:hAnsi="Times New Roman;serif"/>
          <w:b/>
          <w:color w:val="000000"/>
          <w:sz w:val="24"/>
          <w:u w:val="single"/>
        </w:rPr>
      </w:pPr>
      <w:r>
        <w:rPr>
          <w:rFonts w:ascii="Times New Roman;serif" w:hAnsi="Times New Roman;serif"/>
          <w:b/>
          <w:color w:val="000000"/>
          <w:sz w:val="24"/>
          <w:u w:val="single"/>
        </w:rPr>
        <w:t>EXHIBIT A</w:t>
      </w:r>
    </w:p>
    <w:p>
      <w:pPr>
        <w:pStyle w:val="TextBody"/>
        <w:bidi w:val="0"/>
        <w:spacing w:lineRule="auto" w:line="288" w:before="0" w:after="480"/>
        <w:jc w:val="center"/>
        <w:rPr>
          <w:rFonts w:ascii="Times New Roman;serif" w:hAnsi="Times New Roman;serif"/>
          <w:b/>
          <w:color w:val="000000"/>
          <w:sz w:val="24"/>
        </w:rPr>
      </w:pPr>
      <w:r>
        <w:rPr>
          <w:rFonts w:ascii="Times New Roman;serif" w:hAnsi="Times New Roman;serif"/>
          <w:b/>
          <w:color w:val="000000"/>
          <w:sz w:val="24"/>
        </w:rPr>
        <w:t>FORM OF LIMITED PARTNER SIGNATURE PAGE (New Partners Only)</w:t>
      </w:r>
    </w:p>
    <w:p>
      <w:pPr>
        <w:pStyle w:val="TextBody"/>
        <w:bidi w:val="0"/>
        <w:spacing w:lineRule="auto" w:line="288" w:before="0" w:after="720"/>
        <w:ind w:left="0" w:right="0" w:firstLine="720"/>
        <w:jc w:val="left"/>
        <w:rPr/>
      </w:pPr>
      <w:r>
        <w:rPr>
          <w:rFonts w:ascii="Times New Roman;serif" w:hAnsi="Times New Roman;serif"/>
          <w:b w:val="false"/>
          <w:color w:val="000000"/>
          <w:sz w:val="24"/>
        </w:rPr>
        <w:t>The Participant, desiring to become one of the within named Limited Partners of GLP Capital, L.P., hereby becomes a party to the Amended and Restated Agreement of Limited Partnership of GLP Capital, L.P., as amended through the date hereof (the “</w:t>
      </w:r>
      <w:r>
        <w:rPr>
          <w:rFonts w:ascii="Times New Roman;serif" w:hAnsi="Times New Roman;serif"/>
          <w:b w:val="false"/>
          <w:color w:val="000000"/>
          <w:sz w:val="24"/>
          <w:u w:val="single"/>
        </w:rPr>
        <w:t>Partnership Agreement</w:t>
      </w:r>
      <w:r>
        <w:rPr>
          <w:color w:val="000000"/>
        </w:rPr>
        <w:t>”</w:t>
      </w:r>
      <w:r>
        <w:rPr>
          <w:rFonts w:ascii="Times New Roman;serif" w:hAnsi="Times New Roman;serif"/>
          <w:b w:val="false"/>
          <w:color w:val="000000"/>
          <w:sz w:val="24"/>
        </w:rPr>
        <w:t>). The Participant agrees that this signature page may be attached to any counterpart of the Partnership Agreement.</w:t>
      </w:r>
    </w:p>
    <w:p>
      <w:pPr>
        <w:pStyle w:val="TextBody"/>
        <w:bidi w:val="0"/>
        <w:spacing w:lineRule="auto" w:line="288" w:before="0" w:after="720"/>
        <w:ind w:left="0" w:right="0" w:hanging="446"/>
        <w:jc w:val="left"/>
        <w:rPr>
          <w:rFonts w:ascii="Times New Roman;serif" w:hAnsi="Times New Roman;serif"/>
          <w:b w:val="false"/>
          <w:color w:val="000000"/>
          <w:sz w:val="24"/>
        </w:rPr>
      </w:pPr>
      <w:r>
        <w:rPr>
          <w:rFonts w:ascii="Times New Roman;serif" w:hAnsi="Times New Roman;serif"/>
          <w:b w:val="false"/>
          <w:color w:val="000000"/>
          <w:sz w:val="24"/>
        </w:rPr>
        <w:t>Signature Line for Limited Partner:</w:t>
      </w:r>
    </w:p>
    <w:p>
      <w:pPr>
        <w:pStyle w:val="TextBody"/>
        <w:bidi w:val="0"/>
        <w:spacing w:lineRule="auto" w:line="288" w:before="0" w:after="0"/>
        <w:ind w:left="0" w:right="0" w:hanging="540"/>
        <w:jc w:val="left"/>
        <w:rPr/>
      </w:pPr>
      <w:r>
        <w:rPr>
          <w:rFonts w:ascii="Times New Roman;serif" w:hAnsi="Times New Roman;serif"/>
          <w:b w:val="false"/>
          <w:color w:val="000000"/>
          <w:sz w:val="24"/>
        </w:rPr>
        <w:t>By:    </w:t>
      </w:r>
      <w:r>
        <w:rPr>
          <w:color w:val="000000"/>
          <w:u w:val="single"/>
        </w:rPr>
        <w:t>    </w:t>
      </w:r>
    </w:p>
    <w:p>
      <w:pPr>
        <w:pStyle w:val="TextBody"/>
        <w:bidi w:val="0"/>
        <w:spacing w:lineRule="auto" w:line="288" w:before="0" w:after="0"/>
        <w:ind w:left="0" w:right="0" w:hanging="540"/>
        <w:jc w:val="left"/>
        <w:rPr>
          <w:color w:val="000000"/>
        </w:rPr>
      </w:pPr>
      <w:r>
        <w:rPr>
          <w:color w:val="000000"/>
        </w:rPr>
        <w:t>    </w:t>
      </w:r>
      <w:r>
        <w:rPr>
          <w:rFonts w:ascii="Times New Roman;serif" w:hAnsi="Times New Roman;serif"/>
          <w:b w:val="false"/>
          <w:color w:val="000000"/>
          <w:sz w:val="24"/>
        </w:rPr>
        <w:t xml:space="preserve">Name: </w:t>
      </w:r>
    </w:p>
    <w:p>
      <w:pPr>
        <w:pStyle w:val="TextBody"/>
        <w:bidi w:val="0"/>
        <w:spacing w:lineRule="auto" w:line="288" w:before="0" w:after="360"/>
        <w:ind w:left="0" w:right="0" w:hanging="547"/>
        <w:jc w:val="left"/>
        <w:rPr>
          <w:color w:val="000000"/>
        </w:rPr>
      </w:pPr>
      <w:r>
        <w:rPr>
          <w:color w:val="000000"/>
        </w:rPr>
        <w:t>    </w:t>
      </w:r>
      <w:r>
        <w:rPr>
          <w:rFonts w:ascii="Times New Roman;serif" w:hAnsi="Times New Roman;serif"/>
          <w:b w:val="false"/>
          <w:color w:val="000000"/>
          <w:sz w:val="24"/>
        </w:rPr>
        <w:t xml:space="preserve">Date: </w:t>
      </w:r>
    </w:p>
    <w:p>
      <w:pPr>
        <w:pStyle w:val="TextBody"/>
        <w:bidi w:val="0"/>
        <w:spacing w:lineRule="auto" w:line="288" w:before="0" w:after="240"/>
        <w:ind w:left="0" w:right="0" w:hanging="446"/>
        <w:jc w:val="left"/>
        <w:rPr>
          <w:rFonts w:ascii="Times New Roman;serif" w:hAnsi="Times New Roman;serif"/>
          <w:b w:val="false"/>
          <w:color w:val="000000"/>
          <w:sz w:val="24"/>
        </w:rPr>
      </w:pPr>
      <w:r>
        <w:rPr>
          <w:rFonts w:ascii="Times New Roman;serif" w:hAnsi="Times New Roman;serif"/>
          <w:b w:val="false"/>
          <w:color w:val="000000"/>
          <w:sz w:val="24"/>
        </w:rPr>
        <w:t>Address of Limited Partner:</w:t>
      </w:r>
    </w:p>
    <w:p>
      <w:pPr>
        <w:pStyle w:val="TextBody"/>
        <w:bidi w:val="0"/>
        <w:spacing w:lineRule="auto" w:line="288" w:before="0" w:after="240"/>
        <w:jc w:val="left"/>
        <w:rPr>
          <w:color w:val="000000"/>
          <w:u w:val="single"/>
        </w:rPr>
      </w:pPr>
      <w:r>
        <w:rPr>
          <w:color w:val="000000"/>
          <w:u w:val="single"/>
        </w:rPr>
        <w:t>    </w:t>
      </w:r>
    </w:p>
    <w:p>
      <w:pPr>
        <w:pStyle w:val="TextBody"/>
        <w:bidi w:val="0"/>
        <w:spacing w:lineRule="auto" w:line="288" w:before="0" w:after="240"/>
        <w:jc w:val="left"/>
        <w:rPr>
          <w:color w:val="000000"/>
          <w:u w:val="single"/>
        </w:rPr>
      </w:pPr>
      <w:r>
        <w:rPr>
          <w:color w:val="000000"/>
          <w:u w:val="single"/>
        </w:rPr>
        <w:t>    </w:t>
      </w:r>
    </w:p>
    <w:p>
      <w:pPr>
        <w:pStyle w:val="TextBody"/>
        <w:bidi w:val="0"/>
        <w:spacing w:lineRule="auto" w:line="288" w:before="0" w:after="240"/>
        <w:jc w:val="left"/>
        <w:rPr>
          <w:color w:val="000000"/>
          <w:u w:val="single"/>
        </w:rPr>
      </w:pPr>
      <w:r>
        <w:rPr>
          <w:color w:val="000000"/>
          <w:u w:val="singl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75260"/>
                <wp:effectExtent l="0" t="0" r="0" b="0"/>
                <wp:wrapNone/>
                <wp:docPr id="153" name="Frame1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480"/>
        <w:jc w:val="center"/>
        <w:rPr>
          <w:rFonts w:ascii="Times New Roman;serif" w:hAnsi="Times New Roman;serif"/>
          <w:b/>
          <w:color w:val="000000"/>
          <w:sz w:val="24"/>
          <w:u w:val="single"/>
        </w:rPr>
      </w:pPr>
      <w:r>
        <w:rPr>
          <w:rFonts w:ascii="Times New Roman;serif" w:hAnsi="Times New Roman;serif"/>
          <w:b/>
          <w:color w:val="000000"/>
          <w:sz w:val="24"/>
          <w:u w:val="single"/>
        </w:rPr>
        <w:t>EXHIBIT B</w:t>
      </w:r>
    </w:p>
    <w:p>
      <w:pPr>
        <w:pStyle w:val="TextBody"/>
        <w:bidi w:val="0"/>
        <w:spacing w:lineRule="auto" w:line="288" w:before="0" w:after="480"/>
        <w:jc w:val="center"/>
        <w:rPr/>
      </w:pPr>
      <w:r>
        <w:rPr>
          <w:rFonts w:ascii="Times New Roman;serif" w:hAnsi="Times New Roman;serif"/>
          <w:b/>
          <w:color w:val="000000"/>
          <w:sz w:val="24"/>
        </w:rPr>
        <w:t>ELECTION TO INCLUDE IN GROSS INCOME IN YEAR OF</w:t>
        <w:br/>
        <w:t>TRANSFER OF PROPERTY PURSUANT TO SECTION 83(B)</w:t>
        <w:br/>
        <w:t>OF THE INTERNAL REVENUE CODE</w:t>
      </w:r>
      <w:r>
        <w:rPr>
          <w:rFonts w:ascii="Times New Roman;serif" w:hAnsi="Times New Roman;serif"/>
          <w:b w:val="false"/>
          <w:color w:val="000000"/>
          <w:sz w:val="16"/>
        </w:rPr>
        <w:t>1</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undersigned hereby makes an election pursuant to Section 83(b) of the Internal Revenue Code of 1986, as amended, to include in gross income as compensation for services the fair market value of the property described below:</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1.    The name, address and taxpayer identification number of the undersigned and the taxable year for which this election is being made are:</w:t>
      </w:r>
    </w:p>
    <w:p>
      <w:pPr>
        <w:pStyle w:val="TextBody"/>
        <w:bidi w:val="0"/>
        <w:spacing w:lineRule="auto" w:line="288" w:before="0" w:after="240"/>
        <w:ind w:left="0" w:right="0" w:firstLine="1440"/>
        <w:jc w:val="left"/>
        <w:rPr/>
      </w:pPr>
      <w:r>
        <w:rPr>
          <w:rFonts w:ascii="Times New Roman;serif" w:hAnsi="Times New Roman;serif"/>
          <w:b w:val="false"/>
          <w:color w:val="000000"/>
          <w:sz w:val="24"/>
        </w:rPr>
        <w:t>Name:    </w:t>
      </w:r>
      <w:r>
        <w:rPr>
          <w:color w:val="000000"/>
          <w:u w:val="single"/>
        </w:rPr>
        <w:t>    </w:t>
      </w:r>
      <w:r>
        <w:rPr>
          <w:color w:val="000000"/>
        </w:rPr>
        <w:t xml:space="preserve"> </w:t>
      </w:r>
      <w:r>
        <w:rPr>
          <w:rFonts w:ascii="Times New Roman;serif" w:hAnsi="Times New Roman;serif"/>
          <w:b w:val="false"/>
          <w:color w:val="000000"/>
          <w:sz w:val="24"/>
        </w:rPr>
        <w:t>(the “</w:t>
      </w:r>
      <w:r>
        <w:rPr>
          <w:rFonts w:ascii="Times New Roman;serif" w:hAnsi="Times New Roman;serif"/>
          <w:b w:val="false"/>
          <w:color w:val="000000"/>
          <w:sz w:val="24"/>
          <w:u w:val="single"/>
        </w:rPr>
        <w:t>Taxpayer</w:t>
      </w:r>
      <w:r>
        <w:rPr>
          <w:color w:val="000000"/>
        </w:rPr>
        <w:t>”</w:t>
      </w:r>
      <w:r>
        <w:rPr>
          <w:rFonts w:ascii="Times New Roman;serif" w:hAnsi="Times New Roman;serif"/>
          <w:b w:val="false"/>
          <w:color w:val="000000"/>
          <w:sz w:val="24"/>
        </w:rPr>
        <w:t>)</w:t>
      </w:r>
    </w:p>
    <w:p>
      <w:pPr>
        <w:pStyle w:val="TextBody"/>
        <w:bidi w:val="0"/>
        <w:spacing w:lineRule="auto" w:line="288" w:before="0" w:after="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Address: ________________________________________________________</w:t>
      </w:r>
    </w:p>
    <w:p>
      <w:pPr>
        <w:pStyle w:val="TextBody"/>
        <w:bidi w:val="0"/>
        <w:spacing w:before="0" w:after="0"/>
        <w:ind w:left="0" w:right="0" w:firstLine="1440"/>
        <w:jc w:val="left"/>
        <w:rPr/>
      </w:pPr>
      <w:r>
        <w:rPr/>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Taxpayer’s Social Security No.: ______________________</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Taxable Year: Calendar Year 2026</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2.    Description of property with respect to which the election is being made:</w:t>
      </w:r>
    </w:p>
    <w:p>
      <w:pPr>
        <w:pStyle w:val="TextBody"/>
        <w:bidi w:val="0"/>
        <w:spacing w:lineRule="auto" w:line="288" w:before="0" w:after="240"/>
        <w:jc w:val="left"/>
        <w:rPr/>
      </w:pPr>
      <w:r>
        <w:rPr>
          <w:rFonts w:ascii="Times New Roman;serif" w:hAnsi="Times New Roman;serif"/>
          <w:b w:val="false"/>
          <w:color w:val="000000"/>
          <w:sz w:val="24"/>
        </w:rPr>
        <w:t>The election is being made with respect to ________ LTIP Units in GLP Capital, L.P. (the “</w:t>
      </w:r>
      <w:r>
        <w:rPr>
          <w:rFonts w:ascii="Times New Roman;serif" w:hAnsi="Times New Roman;serif"/>
          <w:b w:val="false"/>
          <w:color w:val="000000"/>
          <w:sz w:val="24"/>
          <w:u w:val="single"/>
        </w:rPr>
        <w:t>Partnership</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3.    The date on which the LTIP Units were transferred is January 2, 2026.</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4.    Nature of restrictions to which the LTIP Units are subject:</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(a)    With limited exceptions, until the LTIP Units vest, the Taxpayer may not transfer in any manner any portion of the LTIP Units.</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(b)    The Taxpayer’s LTIP Units vest in accordance with the vesting provision described in the Schedule attached hereto. Unvested LTIP Units are forfeited in accordance with the vesting provisions described in the Schedule attached here to.</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5.    The fair market value at time of transfer (determined without regard to any restrictions other than nonlapse restrictions as defined in §1.83-3(h) of the Income </w:t>
      </w:r>
    </w:p>
    <w:p>
      <w:pPr>
        <w:pStyle w:val="TextBody"/>
        <w:bidi w:val="0"/>
        <w:spacing w:lineRule="auto" w:line="288" w:before="0" w:after="0"/>
        <w:jc w:val="left"/>
        <w:rPr/>
      </w:pPr>
      <w:r>
        <w:rPr>
          <w:color w:val="000000"/>
        </w:rPr>
        <w:t>    </w:t>
      </w:r>
      <w:r>
        <w:rPr>
          <w:rFonts w:ascii="Times New Roman;serif" w:hAnsi="Times New Roman;serif"/>
          <w:b w:val="false"/>
          <w:color w:val="000000"/>
          <w:sz w:val="16"/>
        </w:rPr>
        <w:t>1</w:t>
      </w:r>
      <w:r>
        <w:rPr>
          <w:color w:val="000000"/>
        </w:rPr>
        <w:t xml:space="preserve"> </w:t>
      </w:r>
      <w:r>
        <w:rPr>
          <w:rFonts w:ascii="Times New Roman;serif" w:hAnsi="Times New Roman;serif"/>
          <w:b w:val="false"/>
          <w:color w:val="000000"/>
          <w:sz w:val="20"/>
        </w:rPr>
        <w:t xml:space="preserve">The 83(b) Election must be filed no later than 30 days after the date on which the property is transferred with the IRS office with which the taxpayer files his or her tax return. In other contexts, the IRS has indicated that this should be the address listed for the taxpayer’s state under “Are you not including a check or money order . . .” given in </w:t>
      </w:r>
      <w:r>
        <w:rPr>
          <w:rFonts w:ascii="Times New Roman;serif" w:hAnsi="Times New Roman;serif"/>
          <w:b w:val="false"/>
          <w:i/>
          <w:color w:val="000000"/>
          <w:sz w:val="20"/>
        </w:rPr>
        <w:t>Where Do You File</w:t>
      </w:r>
      <w:r>
        <w:rPr>
          <w:color w:val="000000"/>
        </w:rPr>
        <w:t xml:space="preserve"> </w:t>
      </w:r>
      <w:r>
        <w:rPr>
          <w:rFonts w:ascii="Times New Roman;serif" w:hAnsi="Times New Roman;serif"/>
          <w:b w:val="false"/>
          <w:color w:val="000000"/>
          <w:sz w:val="20"/>
        </w:rPr>
        <w:t>in the Instructions for Form 1040 and the Instructions for Form 1040A (this information can also be found by clicking on your state at http://www.irs.gov/file/content/0,,id=105690,00.html)</w:t>
      </w:r>
    </w:p>
    <w:p>
      <w:pPr>
        <w:pStyle w:val="TextBody"/>
        <w:bidi w:val="0"/>
        <w:spacing w:before="0" w:after="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769620"/>
                <wp:effectExtent l="0" t="0" r="0" b="0"/>
                <wp:wrapNone/>
                <wp:docPr id="154" name="Frame154"/>
                <a:graphic xmlns:a="http://schemas.openxmlformats.org/drawingml/2006/main">
                  <a:graphicData uri="http://schemas.microsoft.com/office/word/2010/wordprocessingShape">
                    <wps:wsp>
                      <wps:cNvSpPr txBox="1"/>
                      <wps:spPr>
                        <a:xfrm>
                          <a:off x="0" y="0"/>
                          <a:ext cx="6480175" cy="7696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B-1</w:t>
                            </w:r>
                            <w:r>
                              <w:br w:type="page"/>
                            </w:r>
                          </w:p>
                          <w:tbl>
                            <w:tblPr>
                              <w:tblW w:w="1769" w:type="dxa"/>
                              <w:jc w:val="left"/>
                              <w:tblInd w:w="0" w:type="dxa"/>
                              <w:tblLayout w:type="fixed"/>
                              <w:tblCellMar>
                                <w:top w:w="28" w:type="dxa"/>
                                <w:left w:w="28" w:type="dxa"/>
                                <w:bottom w:w="28" w:type="dxa"/>
                                <w:right w:w="28" w:type="dxa"/>
                              </w:tblCellMar>
                            </w:tblPr>
                            <w:tblGrid>
                              <w:gridCol w:w="565"/>
                              <w:gridCol w:w="497"/>
                              <w:gridCol w:w="707"/>
                            </w:tblGrid>
                            <w:tr>
                              <w:trPr/>
                              <w:tc>
                                <w:tcPr>
                                  <w:tcW w:w="565"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ACTIVE/135509472.2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B-1</w:t>
                      </w:r>
                    </w:p>
                    <w:tbl>
                      <w:tblPr>
                        <w:tblW w:w="1769" w:type="dxa"/>
                        <w:jc w:val="left"/>
                        <w:tblInd w:w="0" w:type="dxa"/>
                        <w:tblLayout w:type="fixed"/>
                        <w:tblCellMar>
                          <w:top w:w="28" w:type="dxa"/>
                          <w:left w:w="28" w:type="dxa"/>
                          <w:bottom w:w="28" w:type="dxa"/>
                          <w:right w:w="28" w:type="dxa"/>
                        </w:tblCellMar>
                      </w:tblPr>
                      <w:tblGrid>
                        <w:gridCol w:w="565"/>
                        <w:gridCol w:w="497"/>
                        <w:gridCol w:w="707"/>
                      </w:tblGrid>
                      <w:tr>
                        <w:trPr/>
                        <w:tc>
                          <w:tcPr>
                            <w:tcW w:w="565"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ACTIVE/135509472.2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Tax Regulations) of the LTIP Units with respect to which this election is being made is $0 per LTIP Unit.</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6.    The amount paid by the Taxpayer for the LTIP Units was $0 per LTIP Unit.</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7.    The amount to include in gross income is $0.</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8.    The undersigned taxpayer will file this election with the Internal Revenue Service Center at which taxpayer files his or her annual tax return not later than 30 days after the date of transfer of the property. A copy of this election will be furnished to the Partnership and to its general partner, Gaming and Leisure Properties, Inc. The undersigned is the person performing services in connection with which the LTIP Units were transferred.</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Dated: ___________________</w:t>
      </w:r>
    </w:p>
    <w:p>
      <w:pPr>
        <w:pStyle w:val="TextBody"/>
        <w:bidi w:val="0"/>
        <w:spacing w:lineRule="auto" w:line="288" w:before="0" w:after="0"/>
        <w:jc w:val="left"/>
        <w:rPr>
          <w:color w:val="000000"/>
          <w:u w:val="single"/>
        </w:rPr>
      </w:pPr>
      <w:r>
        <w:rPr>
          <w:color w:val="000000"/>
          <w:u w:val="single"/>
        </w:rPr>
        <w:t>    </w:t>
      </w:r>
    </w:p>
    <w:p>
      <w:pPr>
        <w:pStyle w:val="TextBody"/>
        <w:bidi w:val="0"/>
        <w:spacing w:lineRule="auto" w:line="288" w:before="0" w:after="480"/>
        <w:jc w:val="center"/>
        <w:rPr>
          <w:rFonts w:ascii="Times New Roman;serif" w:hAnsi="Times New Roman;serif"/>
          <w:b w:val="false"/>
          <w:color w:val="000000"/>
          <w:sz w:val="24"/>
        </w:rPr>
      </w:pPr>
      <w:r>
        <w:rPr>
          <w:rFonts w:ascii="Times New Roman;serif" w:hAnsi="Times New Roman;serif"/>
          <w:b w:val="false"/>
          <w:color w:val="000000"/>
          <w:sz w:val="24"/>
        </w:rPr>
        <w:t>Name:</w:t>
      </w:r>
    </w:p>
    <w:p>
      <w:pPr>
        <w:pStyle w:val="TextBody"/>
        <w:bidi w:val="0"/>
        <w:spacing w:before="0" w:after="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385445"/>
                <wp:effectExtent l="0" t="0" r="0" b="0"/>
                <wp:wrapNone/>
                <wp:docPr id="155" name="Frame15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SCHEDULE TO 83(b) ELECTION</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 xml:space="preserve">Vesting Provisions of LTIP Units </w:t>
      </w:r>
    </w:p>
    <w:p>
      <w:pPr>
        <w:pStyle w:val="TextBody"/>
        <w:bidi w:val="0"/>
        <w:spacing w:lineRule="auto" w:line="288" w:before="0" w:after="240"/>
        <w:ind w:left="0" w:right="0" w:firstLine="720"/>
        <w:jc w:val="both"/>
        <w:rPr/>
      </w:pPr>
      <w:r>
        <w:rPr>
          <w:rFonts w:ascii="Times New Roman;serif" w:hAnsi="Times New Roman;serif"/>
          <w:b w:val="false"/>
          <w:color w:val="000000"/>
          <w:sz w:val="24"/>
        </w:rPr>
        <w:t>The LTIP Units are subject to performance-based vesting for the period from January 1, 2026 through December 31, 2028 (or earlier in certain circumstances) (the “</w:t>
      </w:r>
      <w:r>
        <w:rPr>
          <w:rFonts w:ascii="Times New Roman;serif" w:hAnsi="Times New Roman;serif"/>
          <w:b w:val="false"/>
          <w:color w:val="000000"/>
          <w:sz w:val="24"/>
          <w:u w:val="single"/>
        </w:rPr>
        <w:t>Measurement Period</w:t>
      </w:r>
      <w:r>
        <w:rPr>
          <w:color w:val="000000"/>
        </w:rPr>
        <w:t>”</w:t>
      </w:r>
      <w:r>
        <w:rPr>
          <w:rFonts w:ascii="Times New Roman;serif" w:hAnsi="Times New Roman;serif"/>
          <w:b w:val="false"/>
          <w:color w:val="000000"/>
          <w:sz w:val="24"/>
        </w:rPr>
        <w:t>). The LTIP Units may vest based on the percentile rank performance with respect to per-share total return to holders of common stock (“</w:t>
      </w:r>
      <w:r>
        <w:rPr>
          <w:rFonts w:ascii="Times New Roman;serif" w:hAnsi="Times New Roman;serif"/>
          <w:b w:val="false"/>
          <w:color w:val="000000"/>
          <w:sz w:val="24"/>
          <w:u w:val="single"/>
        </w:rPr>
        <w:t>Total Return</w:t>
      </w:r>
      <w:r>
        <w:rPr>
          <w:color w:val="000000"/>
        </w:rPr>
        <w:t>”</w:t>
      </w:r>
      <w:r>
        <w:rPr>
          <w:rFonts w:ascii="Times New Roman;serif" w:hAnsi="Times New Roman;serif"/>
          <w:b w:val="false"/>
          <w:color w:val="000000"/>
          <w:sz w:val="24"/>
        </w:rPr>
        <w:t>) of Gaming and Leisure Properties, a Pennsylvania corporation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relative to the Total Return of a group of peer companies, as measured at the end of the Measurement Period as set forth below, subject to linear interpolation for performance between levels:</w:t>
      </w:r>
    </w:p>
    <w:tbl>
      <w:tblPr>
        <w:tblW w:w="8790" w:type="dxa"/>
        <w:jc w:val="left"/>
        <w:tblInd w:w="0" w:type="dxa"/>
        <w:tblLayout w:type="fixed"/>
        <w:tblCellMar>
          <w:top w:w="28" w:type="dxa"/>
          <w:left w:w="28" w:type="dxa"/>
          <w:bottom w:w="28" w:type="dxa"/>
          <w:right w:w="28" w:type="dxa"/>
        </w:tblCellMar>
      </w:tblPr>
      <w:tblGrid>
        <w:gridCol w:w="695"/>
        <w:gridCol w:w="612"/>
        <w:gridCol w:w="613"/>
        <w:gridCol w:w="939"/>
        <w:gridCol w:w="939"/>
        <w:gridCol w:w="942"/>
        <w:gridCol w:w="1185"/>
        <w:gridCol w:w="1185"/>
        <w:gridCol w:w="1680"/>
      </w:tblGrid>
      <w:tr>
        <w:trPr/>
        <w:tc>
          <w:tcPr>
            <w:tcW w:w="695"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680"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12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Performance Level</w:t>
            </w:r>
          </w:p>
        </w:tc>
        <w:tc>
          <w:tcPr>
            <w:tcW w:w="282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12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 xml:space="preserve">Peer Group Percentile Rank </w:t>
            </w:r>
          </w:p>
        </w:tc>
        <w:tc>
          <w:tcPr>
            <w:tcW w:w="40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12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Percentage of Maximum Amount Earned</w:t>
            </w:r>
          </w:p>
        </w:tc>
      </w:tr>
      <w:tr>
        <w:trPr/>
        <w:tc>
          <w:tcPr>
            <w:tcW w:w="192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Threshold</w:t>
            </w:r>
          </w:p>
        </w:tc>
        <w:tc>
          <w:tcPr>
            <w:tcW w:w="282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4"/>
              </w:rPr>
              <w:t>Below 25</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Percentile</w:t>
            </w:r>
          </w:p>
        </w:tc>
        <w:tc>
          <w:tcPr>
            <w:tcW w:w="40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0%</w:t>
            </w:r>
          </w:p>
        </w:tc>
      </w:tr>
      <w:tr>
        <w:trPr/>
        <w:tc>
          <w:tcPr>
            <w:tcW w:w="192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Target</w:t>
            </w:r>
          </w:p>
        </w:tc>
        <w:tc>
          <w:tcPr>
            <w:tcW w:w="282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4"/>
              </w:rPr>
              <w:t>50</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Percentile</w:t>
            </w:r>
          </w:p>
        </w:tc>
        <w:tc>
          <w:tcPr>
            <w:tcW w:w="40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50%</w:t>
            </w:r>
          </w:p>
        </w:tc>
      </w:tr>
      <w:tr>
        <w:trPr/>
        <w:tc>
          <w:tcPr>
            <w:tcW w:w="192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Maximum</w:t>
            </w:r>
          </w:p>
        </w:tc>
        <w:tc>
          <w:tcPr>
            <w:tcW w:w="282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4"/>
              </w:rPr>
              <w:t>75</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Percentile or Above</w:t>
            </w:r>
          </w:p>
        </w:tc>
        <w:tc>
          <w:tcPr>
            <w:tcW w:w="405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100%</w:t>
            </w:r>
          </w:p>
        </w:tc>
      </w:tr>
    </w:tbl>
    <w:p>
      <w:pPr>
        <w:pStyle w:val="TextBody"/>
        <w:bidi w:val="0"/>
        <w:spacing w:lineRule="auto" w:line="288" w:before="120" w:after="48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above vesting is conditioned upon the Taxpayer’s continuous service with the Company through the applicable vesting date, subject to acceleration under specified circumstances. Unvested LTIP Units are subject to forfeiture in the event of failure to vest.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385445"/>
                <wp:effectExtent l="0" t="0" r="0" b="0"/>
                <wp:wrapNone/>
                <wp:docPr id="156" name="Frame15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480"/>
        <w:jc w:val="center"/>
        <w:rPr>
          <w:rFonts w:ascii="Times New Roman;serif" w:hAnsi="Times New Roman;serif"/>
          <w:b/>
          <w:color w:val="000000"/>
          <w:sz w:val="24"/>
          <w:u w:val="single"/>
        </w:rPr>
      </w:pPr>
      <w:r>
        <w:rPr>
          <w:rFonts w:ascii="Times New Roman;serif" w:hAnsi="Times New Roman;serif"/>
          <w:b/>
          <w:color w:val="000000"/>
          <w:sz w:val="24"/>
          <w:u w:val="single"/>
        </w:rPr>
        <w:t>EXHIBIT C</w:t>
      </w:r>
    </w:p>
    <w:p>
      <w:pPr>
        <w:pStyle w:val="TextBody"/>
        <w:bidi w:val="0"/>
        <w:spacing w:lineRule="auto" w:line="288" w:before="0" w:after="480"/>
        <w:jc w:val="center"/>
        <w:rPr>
          <w:rFonts w:ascii="Times New Roman;serif" w:hAnsi="Times New Roman;serif"/>
          <w:b/>
          <w:color w:val="000000"/>
          <w:sz w:val="24"/>
        </w:rPr>
      </w:pPr>
      <w:r>
        <w:rPr>
          <w:rFonts w:ascii="Times New Roman;serif" w:hAnsi="Times New Roman;serif"/>
          <w:b/>
          <w:color w:val="000000"/>
          <w:sz w:val="24"/>
        </w:rPr>
        <w:t>PARTICIPANT’S COVENANTS, REPRESENTATIONS AND WARRANTIES</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Participant hereby represents, warrants and covenants as follows:</w:t>
      </w:r>
    </w:p>
    <w:p>
      <w:pPr>
        <w:pStyle w:val="TextBody"/>
        <w:bidi w:val="0"/>
        <w:spacing w:lineRule="auto" w:line="288" w:before="0" w:after="240"/>
        <w:ind w:left="0" w:right="0" w:firstLine="1440"/>
        <w:jc w:val="left"/>
        <w:rPr/>
      </w:pPr>
      <w:r>
        <w:rPr>
          <w:rFonts w:ascii="Times New Roman;serif" w:hAnsi="Times New Roman;serif"/>
          <w:b w:val="false"/>
          <w:color w:val="000000"/>
          <w:sz w:val="24"/>
        </w:rPr>
        <w:t>(a)</w:t>
      </w:r>
      <w:r>
        <w:rPr>
          <w:rFonts w:ascii="Times New Roman;serif" w:hAnsi="Times New Roman;serif"/>
          <w:b w:val="false"/>
          <w:color w:val="000000"/>
          <w:sz w:val="24"/>
        </w:rPr>
        <w:t xml:space="preserve">(a)    The Participant has received and had an opportunity to review the following documents (the “Background Documents”): </w:t>
      </w:r>
    </w:p>
    <w:p>
      <w:pPr>
        <w:pStyle w:val="TextBody"/>
        <w:bidi w:val="0"/>
        <w:spacing w:lineRule="auto" w:line="240"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(i)The Company’s latest Annual Report to Stockholders;</w:t>
      </w:r>
    </w:p>
    <w:p>
      <w:pPr>
        <w:pStyle w:val="TextBody"/>
        <w:bidi w:val="0"/>
        <w:spacing w:lineRule="auto" w:line="240"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(ii)The Company’s Proxy Statement for its most recent Annual Meeting of Stockholders;</w:t>
      </w:r>
    </w:p>
    <w:p>
      <w:pPr>
        <w:pStyle w:val="TextBody"/>
        <w:bidi w:val="0"/>
        <w:spacing w:lineRule="auto" w:line="240"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(iii)The Company’s Report on Form 10-K most recently filed by the Company;</w:t>
      </w:r>
    </w:p>
    <w:p>
      <w:pPr>
        <w:pStyle w:val="TextBody"/>
        <w:bidi w:val="0"/>
        <w:spacing w:lineRule="auto" w:line="240"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(iv)The Company’s Form 10-Q for the most recently ended quarter filed by the Company with the Securities and Exchange Commission since the filing of the Form 10-K described in clause (iii) above, if any;</w:t>
      </w:r>
    </w:p>
    <w:p>
      <w:pPr>
        <w:pStyle w:val="TextBody"/>
        <w:bidi w:val="0"/>
        <w:spacing w:lineRule="auto" w:line="240"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(v)Each of the Company’s Current Report(s) on Form 8-K, if any, filed since the end of the fiscal year most recently ended for which a Form 10-K has been filed by the Company;</w:t>
      </w:r>
    </w:p>
    <w:p>
      <w:pPr>
        <w:pStyle w:val="TextBody"/>
        <w:bidi w:val="0"/>
        <w:spacing w:lineRule="auto" w:line="240"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 xml:space="preserve">(vi)The Amended and Restated Agreement of Limited Partnership of GLP Capital, L.P., as amended and supplemented; </w:t>
      </w:r>
    </w:p>
    <w:p>
      <w:pPr>
        <w:pStyle w:val="TextBody"/>
        <w:bidi w:val="0"/>
        <w:spacing w:lineRule="auto" w:line="240"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(vii)The Company’s Second Amended and Restated 2013 Long Term Incentive Compensation Plan; and</w:t>
      </w:r>
    </w:p>
    <w:p>
      <w:pPr>
        <w:pStyle w:val="TextBody"/>
        <w:bidi w:val="0"/>
        <w:spacing w:lineRule="auto" w:line="240"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(viii)The Company’s Articles of Incorporation.</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The Participant also acknowledges that any delivery of the Background Documents and other information relating to the Company and the Partnership prior to the determination by the Partnership of the suitability of the Participant as a holder of Award LTIP Units shall not constitute an offer of Award LTIP Units until such determination of suitability shall be made.</w:t>
      </w:r>
    </w:p>
    <w:p>
      <w:pPr>
        <w:pStyle w:val="TextBody"/>
        <w:bidi w:val="0"/>
        <w:spacing w:lineRule="auto" w:line="288" w:before="0" w:after="240"/>
        <w:ind w:left="0" w:right="0" w:firstLine="1440"/>
        <w:jc w:val="left"/>
        <w:rPr/>
      </w:pPr>
      <w:r>
        <w:rPr>
          <w:rFonts w:ascii="Times New Roman;serif" w:hAnsi="Times New Roman;serif"/>
          <w:b w:val="false"/>
          <w:color w:val="000000"/>
          <w:sz w:val="24"/>
        </w:rPr>
        <w:t>(b)</w:t>
      </w:r>
      <w:r>
        <w:rPr>
          <w:rFonts w:ascii="Times New Roman;serif" w:hAnsi="Times New Roman;serif"/>
          <w:b w:val="false"/>
          <w:color w:val="000000"/>
          <w:sz w:val="24"/>
        </w:rPr>
        <w:t xml:space="preserve">(b)    The Participant hereby represents and warrants that </w:t>
      </w:r>
    </w:p>
    <w:p>
      <w:pPr>
        <w:pStyle w:val="TextBody"/>
        <w:bidi w:val="0"/>
        <w:spacing w:lineRule="auto" w:line="288" w:before="0" w:after="240"/>
        <w:ind w:left="0" w:right="0" w:firstLine="1440"/>
        <w:jc w:val="left"/>
        <w:rPr/>
      </w:pPr>
      <w:r>
        <w:rPr>
          <w:rFonts w:ascii="Times New Roman;serif" w:hAnsi="Times New Roman;serif"/>
          <w:b w:val="false"/>
          <w:color w:val="000000"/>
          <w:sz w:val="24"/>
        </w:rPr>
        <w:t>(ix)(i)    The Participant either (A) is an “accredited investor” as defined in Rule 501(a) under the Securities Act, or (B) by reason of the business and financial experience of the Participant, together with the business and financial experience of those persons, if any, retained by the Participant to represent or advise him or her with respect to the grant to him or her of LTIP Units, the potential conversion of LTIP Units into common units of the Partnership (“</w:t>
      </w:r>
      <w:r>
        <w:rPr>
          <w:rFonts w:ascii="Times New Roman;serif" w:hAnsi="Times New Roman;serif"/>
          <w:b w:val="false"/>
          <w:color w:val="000000"/>
          <w:sz w:val="24"/>
          <w:u w:val="single"/>
        </w:rPr>
        <w:t>Common Units</w:t>
      </w:r>
      <w:r>
        <w:rPr>
          <w:color w:val="000000"/>
        </w:rPr>
        <w:t>”</w:t>
      </w:r>
      <w:r>
        <w:rPr>
          <w:rFonts w:ascii="Times New Roman;serif" w:hAnsi="Times New Roman;serif"/>
          <w:b w:val="false"/>
          <w:color w:val="000000"/>
          <w:sz w:val="24"/>
        </w:rPr>
        <w:t>) and the potential redemption of such Common Units for shares of Stock (“</w:t>
      </w:r>
      <w:r>
        <w:rPr>
          <w:rFonts w:ascii="Times New Roman;serif" w:hAnsi="Times New Roman;serif"/>
          <w:b w:val="false"/>
          <w:color w:val="000000"/>
          <w:sz w:val="24"/>
          <w:u w:val="single"/>
        </w:rPr>
        <w:t>Shares</w:t>
      </w:r>
      <w:r>
        <w:rPr>
          <w:color w:val="000000"/>
        </w:rPr>
        <w:t>”</w:t>
      </w:r>
      <w:r>
        <w:rPr>
          <w:rFonts w:ascii="Times New Roman;serif" w:hAnsi="Times New Roman;serif"/>
          <w:b w:val="false"/>
          <w:color w:val="000000"/>
          <w:sz w:val="24"/>
        </w:rPr>
        <w:t xml:space="preserve">), has such knowledge, </w:t>
      </w:r>
    </w:p>
    <w:p>
      <w:pPr>
        <w:pStyle w:val="TextBody"/>
        <w:bidi w:val="0"/>
        <w:spacing w:before="0" w:after="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75260"/>
                <wp:effectExtent l="0" t="0" r="0" b="0"/>
                <wp:wrapNone/>
                <wp:docPr id="157" name="Frame1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sophistication and experience in financial and business matters and in making investment decisions of this type that the Participant (I) is capable of evaluating the merits and risks of an investment in the Partnership and potential investment in the Company and of making an informed investment decision, (II) is capable of protecting his or her own interest or has engaged representatives or advisors to assist him or her in protecting his or her its interests, and (III) is capable of bearing the economic risk of such investment.</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(x)(ii)    The Participant understands that (A) the Participant is responsible for consulting his or her own tax advisors with respect to the application of the U.S. federal income tax laws, and the tax laws of any state, local or other taxing jurisdiction to which the Participant is or by reason of the award of LTIP Units may become subject, to his or her particular situation; (B) the Participant has not received or relied upon business or tax advice from the Company, the Partnership or any of their respective employees, agents, consultants or advisors, in their capacity as such; (C) the Participant provides or will provide services to the Partnership on a regular basis and in such capacity has access to such information, and has such experience of and involvement in the business and operations of the Partnership, as the Participant believes to be necessary and appropriate to make an informed decision to accept this Award of LTIP Units; and (D) an investment in the Partnership and/or the Company involves substantial risks. The Participant has been given the opportunity to make a thorough investigation of matters relevant to the LTIP Units and has been furnished with, and has reviewed and understands, materials relating to the Partnership and the Company and their respective activities (including, but not limited to, the Background Documents). The Participant has been afforded the opportunity to obtain any additional information (including any exhibits to the Background Documents) deemed necessary by the Participant to verify the accuracy of information conveyed to the Participant. The Participant confirms that all documents, records, and books pertaining to his or her receipt of LTIP Units which were requested by the Participant have been made available or delivered to the Participant. The Participant has had an opportunity to ask questions of and receive answers from the Partnership and the Company, or from a person or persons acting on their behalf, concerning the terms and conditions of the LTIP Units. The Participant has relied upon, and is making his or her decision solely upon, the Background Documents and other written information provided to the Participant by the Partnership or the Company. The Participant did not receive any tax, legal or financial advice from the Partnership or the Company and, to the extent it deemed necessary, has consulted with his or her own advisors in connection with his or her evaluation of the Background Documents and this Agreement and the Participant’s receipt of LTIP Units.</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 xml:space="preserve">(xi)(iii)    The LTIP Units to be issued, the Common Units issuable upon conversion of the LTIP Units and any Shares issued in connection with the redemption of any such Common Units will be acquired for the account of the Participant for investment only and not with a current view to, or with any intention of, a distribution or resale thereof, in whole or in part, or the grant of any participation therein, without prejudice, however, to the Participant’s right (subject to the terms of the LTIP Units, the Plan and this Agreement) at all times to sell or otherwise dispose of all or any part of his </w:t>
      </w:r>
    </w:p>
    <w:p>
      <w:pPr>
        <w:pStyle w:val="TextBody"/>
        <w:bidi w:val="0"/>
        <w:spacing w:before="0" w:after="0"/>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75260"/>
                <wp:effectExtent l="0" t="0" r="0" b="0"/>
                <wp:wrapNone/>
                <wp:docPr id="158" name="Frame1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C-2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C-2</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or her or her LTIP Units, Common Units or Shares in compliance with the Securities Act, and applicable state securities laws, and subject, nevertheless, to the disposition of his or her assets being at all times within his or her control. </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(xii)(iv)    The Participant acknowledges that (A) neither the LTIP Units to be issued, nor the Common Units issuable upon conversion of the LTIP Units, have been registered under the Securities Act or state securities laws by reason of a specific exemption or exemptions from registration under the Securities Act and applicable state securities laws and, if such LTIP Units or Common Units are represented by certificates, such certificates will bear a legend to such effect, (B) the reliance by the Partnership and the Company on such exemptions is predicated in part on the accuracy and completeness of the representations and warranties of the Participant contained herein, (C) such LTIP Units, or Common Units, therefore, cannot be resold unless registered under the Securities Act and applicable state securities laws, or unless an exemption from registration is available, (D) there is no public market for such LTIP Units and Common Units and (E) neither the Partnership nor the Company has any obligation or intention to register such LTIP Units or the Common Units issuable upon conversion of the LTIP Units under the Securities Act or any state securities laws or to take any action that would make available any exemption from the registration requirements of such laws, except, that, upon the redemption of the Common Units for Shares, the Company currently intends to issue such Shares under the Plan and pursuant to a Registration Statement on Form S-8 under the Securities Act, to the extent that (I) the Participant is eligible to receive such Shares under the Plan at the time of such issuance and (II) the Company maintains an effective Form S-8 Registration Statement with the Securities and Exchange Commission registering the issuance of such Shares. The Participant hereby acknowledges that because of the restrictions on transfer or assignment of such LTIP Units acquired hereby and the Common Units issuable upon conversion of the LTIP Units which are set forth in the Partnership Agreement and this Agreement, the Participant may have to bear the economic risk of his or her ownership of the LTIP Units acquired hereby and the Common Units issuable upon conversion of the LTIP Units for an indefinite period of time.</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(xiii)(v)    The Participant has determined that the LTIP Units are a suitable investment for the Participant.</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(xiv)(vi)    No representations or warranties have been made to the Participant by the Partnership or the Company, or any officer, director, shareholder, agent, or affiliate of any of them, and the Participant has received no information relating to an investment in the Partnership or the LTIP Units except the information specified in this Paragraph (b).</w:t>
      </w:r>
    </w:p>
    <w:p>
      <w:pPr>
        <w:pStyle w:val="TextBody"/>
        <w:bidi w:val="0"/>
        <w:spacing w:lineRule="auto" w:line="240" w:before="0" w:after="240"/>
        <w:ind w:left="0" w:right="0" w:firstLine="1440"/>
        <w:jc w:val="left"/>
        <w:rPr/>
      </w:pPr>
      <w:r>
        <w:rPr>
          <w:rFonts w:ascii="Times New Roman;serif" w:hAnsi="Times New Roman;serif"/>
          <w:b w:val="false"/>
          <w:color w:val="000000"/>
          <w:sz w:val="24"/>
        </w:rPr>
        <w:t>(c)</w:t>
      </w:r>
      <w:r>
        <w:rPr>
          <w:rFonts w:ascii="Times New Roman;serif" w:hAnsi="Times New Roman;serif"/>
          <w:b w:val="false"/>
          <w:color w:val="000000"/>
          <w:sz w:val="24"/>
        </w:rPr>
        <w:t>So long as the Participant holds any LTIP Units, the Participant shall disclose to the Partnership in writing such information as may be reasonably requested with respect to ownership of LTIP Units as the Partnership may deem reasonably necessary to ascertain and to establish compliance with provisions of the Code, applicable to the Partnership or to comply with requirements of any other appropriate taxing authority.</w:t>
      </w:r>
    </w:p>
    <w:p>
      <w:pPr>
        <w:pStyle w:val="TextBody"/>
        <w:bidi w:val="0"/>
        <w:spacing w:before="0" w:after="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75260"/>
                <wp:effectExtent l="0" t="0" r="0" b="0"/>
                <wp:wrapNone/>
                <wp:docPr id="159" name="Frame1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C-3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C-3</w:t>
                      </w:r>
                    </w:p>
                  </w:txbxContent>
                </v:textbox>
                <w10:wrap type="none"/>
              </v:rect>
            </w:pict>
          </mc:Fallback>
        </mc:AlternateContent>
      </w:r>
    </w:p>
    <w:p>
      <w:pPr>
        <w:pStyle w:val="TextBody"/>
        <w:bidi w:val="0"/>
        <w:spacing w:lineRule="auto" w:line="240" w:before="0" w:after="240"/>
        <w:ind w:left="0" w:right="0" w:firstLine="1440"/>
        <w:jc w:val="left"/>
        <w:rPr/>
      </w:pPr>
      <w:r>
        <w:rPr>
          <w:rFonts w:ascii="Times New Roman;serif" w:hAnsi="Times New Roman;serif"/>
          <w:b w:val="false"/>
          <w:color w:val="000000"/>
          <w:sz w:val="24"/>
        </w:rPr>
        <w:t>(d)</w:t>
      </w:r>
      <w:r>
        <w:rPr>
          <w:rFonts w:ascii="Times New Roman;serif" w:hAnsi="Times New Roman;serif"/>
          <w:b w:val="false"/>
          <w:color w:val="000000"/>
          <w:sz w:val="24"/>
        </w:rPr>
        <w:t>The Participant hereby agrees to make an election under Section 83(b) of the Code with respect to the LTIP Units awarded hereunder, and has delivered with this Agreement a completed, executed copy of the election form attached to this Agreement as Exhibit B. The Participant agrees to file the election (or to permit the Partnership to file such election on the Participant’s behalf) within 30 days after the Award of the LTIP Units hereunder with the IRS Service Center at which such Participant files his or her personal income tax returns if no check or money order is included with the returns, and to file a copy of such election with the Participant’s U.S. federal income tax return for the taxable year in which the LTIP Units are awarded to the Participant.</w:t>
      </w:r>
    </w:p>
    <w:p>
      <w:pPr>
        <w:pStyle w:val="TextBody"/>
        <w:bidi w:val="0"/>
        <w:spacing w:lineRule="auto" w:line="240" w:before="0" w:after="240"/>
        <w:ind w:left="0" w:right="0" w:firstLine="1440"/>
        <w:jc w:val="left"/>
        <w:rPr/>
      </w:pPr>
      <w:r>
        <w:rPr>
          <w:rFonts w:ascii="Times New Roman;serif" w:hAnsi="Times New Roman;serif"/>
          <w:b w:val="false"/>
          <w:color w:val="000000"/>
          <w:sz w:val="24"/>
        </w:rPr>
        <w:t>(e)</w:t>
      </w:r>
      <w:r>
        <w:rPr>
          <w:rFonts w:ascii="Times New Roman;serif" w:hAnsi="Times New Roman;serif"/>
          <w:b w:val="false"/>
          <w:color w:val="000000"/>
          <w:sz w:val="24"/>
        </w:rPr>
        <w:t xml:space="preserve">The address set forth on the signature page of this Agreement is the address of the Participant’s principal residence, and the Participant has no present intention of becoming a resident of any country, state or jurisdiction other than the country and state in which such residence is sited. </w:t>
      </w:r>
    </w:p>
    <w:p>
      <w:pPr>
        <w:pStyle w:val="TextBody"/>
        <w:bidi w:val="0"/>
        <w:spacing w:lineRule="auto" w:line="240" w:before="0" w:after="240"/>
        <w:ind w:left="0" w:right="0" w:firstLine="1440"/>
        <w:jc w:val="left"/>
        <w:rPr/>
      </w:pPr>
      <w:r>
        <w:rPr>
          <w:rFonts w:ascii="Times New Roman;serif" w:hAnsi="Times New Roman;serif"/>
          <w:b w:val="false"/>
          <w:color w:val="000000"/>
          <w:sz w:val="24"/>
        </w:rPr>
        <w:t>(f)</w:t>
      </w:r>
      <w:r>
        <w:rPr>
          <w:rFonts w:ascii="Times New Roman;serif" w:hAnsi="Times New Roman;serif"/>
          <w:b w:val="false"/>
          <w:color w:val="000000"/>
          <w:sz w:val="24"/>
        </w:rPr>
        <w:t>The representations of the Participant as set forth above are true and complete to the information and belief of the Participant, and the Partnership shall be notified promptly of any changes in the foregoing representations.</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75260"/>
                <wp:effectExtent l="0" t="0" r="0" b="0"/>
                <wp:wrapNone/>
                <wp:docPr id="160" name="Frame1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C-4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C-4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GAMING AND LEISURE PROPERTIES, INC.</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GLP CAPITAL, L.P.</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PERFORMANCE LTIP UNIT AWARD AGREEMENT – NNN PEERS</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FOR AWARDS ISSUED IN 2026</w:t>
      </w:r>
    </w:p>
    <w:p>
      <w:pPr>
        <w:pStyle w:val="TextBody"/>
        <w:bidi w:val="0"/>
        <w:spacing w:before="0" w:after="0"/>
        <w:jc w:val="center"/>
        <w:rPr/>
      </w:pPr>
      <w:r>
        <w:rPr/>
      </w:r>
    </w:p>
    <w:p>
      <w:pPr>
        <w:pStyle w:val="TextBody"/>
        <w:bidi w:val="0"/>
        <w:spacing w:lineRule="auto" w:line="288" w:before="0" w:after="240"/>
        <w:jc w:val="left"/>
        <w:rPr/>
      </w:pPr>
      <w:r>
        <w:rPr>
          <w:rFonts w:ascii="Times New Roman;serif" w:hAnsi="Times New Roman;serif"/>
          <w:b w:val="false"/>
          <w:color w:val="000000"/>
          <w:sz w:val="24"/>
        </w:rPr>
        <w:t xml:space="preserve">Name of Participant: </w:t>
      </w:r>
      <w:r>
        <w:rPr>
          <w:color w:val="000000"/>
          <w:u w:val="single"/>
        </w:rPr>
        <w:t>                            </w:t>
      </w:r>
      <w:r>
        <w:rPr>
          <w:color w:val="000000"/>
        </w:rPr>
        <w:t xml:space="preserve"> </w:t>
      </w:r>
      <w:r>
        <w:rPr>
          <w:rFonts w:ascii="Times New Roman;serif" w:hAnsi="Times New Roman;serif"/>
          <w:b w:val="false"/>
          <w:color w:val="000000"/>
          <w:sz w:val="24"/>
        </w:rPr>
        <w:t>(the “</w:t>
      </w:r>
      <w:r>
        <w:rPr>
          <w:rFonts w:ascii="Times New Roman;serif" w:hAnsi="Times New Roman;serif"/>
          <w:b w:val="false"/>
          <w:color w:val="000000"/>
          <w:sz w:val="24"/>
          <w:u w:val="single"/>
        </w:rPr>
        <w:t>Participant</w:t>
      </w:r>
      <w:r>
        <w:rPr>
          <w:color w:val="000000"/>
        </w:rPr>
        <w:t>”</w:t>
      </w:r>
      <w:r>
        <w:rPr>
          <w:rFonts w:ascii="Times New Roman;serif" w:hAnsi="Times New Roman;serif"/>
          <w:b w:val="false"/>
          <w:color w:val="000000"/>
          <w:sz w:val="24"/>
        </w:rPr>
        <w:t>)</w:t>
      </w:r>
    </w:p>
    <w:p>
      <w:pPr>
        <w:pStyle w:val="TextBody"/>
        <w:bidi w:val="0"/>
        <w:spacing w:lineRule="auto" w:line="288" w:before="0" w:after="240"/>
        <w:jc w:val="left"/>
        <w:rPr/>
      </w:pPr>
      <w:r>
        <w:rPr>
          <w:rFonts w:ascii="Times New Roman;serif" w:hAnsi="Times New Roman;serif"/>
          <w:b w:val="false"/>
          <w:color w:val="000000"/>
          <w:sz w:val="24"/>
        </w:rPr>
        <w:t xml:space="preserve">No. of LTIP Units Awarded: </w:t>
      </w:r>
      <w:r>
        <w:rPr>
          <w:rFonts w:ascii="Times New Roman;serif" w:hAnsi="Times New Roman;serif"/>
          <w:b w:val="false"/>
          <w:color w:val="000000"/>
          <w:sz w:val="24"/>
          <w:u w:val="single"/>
        </w:rPr>
        <w:t>______________</w:t>
      </w:r>
      <w:r>
        <w:rPr>
          <w:color w:val="000000"/>
        </w:rPr>
        <w:t xml:space="preserve"> </w:t>
      </w:r>
      <w:r>
        <w:rPr>
          <w:rFonts w:ascii="Times New Roman;serif" w:hAnsi="Times New Roman;serif"/>
          <w:b w:val="false"/>
          <w:color w:val="000000"/>
          <w:sz w:val="24"/>
        </w:rPr>
        <w:t>LTIP Units (the “</w:t>
      </w:r>
      <w:r>
        <w:rPr>
          <w:rFonts w:ascii="Times New Roman;serif" w:hAnsi="Times New Roman;serif"/>
          <w:b w:val="false"/>
          <w:color w:val="000000"/>
          <w:sz w:val="24"/>
          <w:u w:val="single"/>
        </w:rPr>
        <w:t>Maximum Amount</w:t>
      </w:r>
      <w:r>
        <w:rPr>
          <w:color w:val="000000"/>
        </w:rPr>
        <w:t>”</w:t>
      </w:r>
      <w:r>
        <w:rPr>
          <w:rFonts w:ascii="Times New Roman;serif" w:hAnsi="Times New Roman;serif"/>
          <w:b w:val="false"/>
          <w:color w:val="000000"/>
          <w:sz w:val="24"/>
        </w:rPr>
        <w:t>)</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Grant Date: January 2, 2026</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RECITALS</w:t>
      </w:r>
    </w:p>
    <w:p>
      <w:pPr>
        <w:pStyle w:val="TextBody"/>
        <w:bidi w:val="0"/>
        <w:spacing w:lineRule="auto" w:line="288" w:before="0" w:after="240"/>
        <w:ind w:left="0" w:right="0" w:firstLine="720"/>
        <w:jc w:val="left"/>
        <w:rPr/>
      </w:pPr>
      <w:r>
        <w:rPr>
          <w:rFonts w:ascii="Times New Roman;serif" w:hAnsi="Times New Roman;serif"/>
          <w:b w:val="false"/>
          <w:color w:val="000000"/>
          <w:sz w:val="24"/>
        </w:rPr>
        <w:t>A.    The Participant is an officer of Gaming and Leisure Properties, a Pennsylvania corporation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and provides services to GLP Capital, L.P., a Pennsylvania limited partnership, through which the Company conducts substantially all of its operations (the “</w:t>
      </w:r>
      <w:r>
        <w:rPr>
          <w:rFonts w:ascii="Times New Roman;serif" w:hAnsi="Times New Roman;serif"/>
          <w:b w:val="false"/>
          <w:color w:val="000000"/>
          <w:sz w:val="24"/>
          <w:u w:val="single"/>
        </w:rPr>
        <w:t>Partnership</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left"/>
        <w:rPr/>
      </w:pPr>
      <w:r>
        <w:rPr>
          <w:rFonts w:ascii="Times New Roman;serif" w:hAnsi="Times New Roman;serif"/>
          <w:b w:val="false"/>
          <w:color w:val="000000"/>
          <w:sz w:val="24"/>
        </w:rPr>
        <w:t>B.    Pursuant to the Company’s Second Amended and Restated 2013 Long Term Incentive Compensation Plan (as amended and supplemented from time to time, the “</w:t>
      </w:r>
      <w:r>
        <w:rPr>
          <w:rFonts w:ascii="Times New Roman;serif" w:hAnsi="Times New Roman;serif"/>
          <w:b w:val="false"/>
          <w:color w:val="000000"/>
          <w:sz w:val="24"/>
          <w:u w:val="single"/>
        </w:rPr>
        <w:t>Plan</w:t>
      </w:r>
      <w:r>
        <w:rPr>
          <w:color w:val="000000"/>
        </w:rPr>
        <w:t>”</w:t>
      </w:r>
      <w:r>
        <w:rPr>
          <w:rFonts w:ascii="Times New Roman;serif" w:hAnsi="Times New Roman;serif"/>
          <w:b w:val="false"/>
          <w:color w:val="000000"/>
          <w:sz w:val="24"/>
        </w:rPr>
        <w:t>) and the Amended and Restated Agreement of Limited Partnership (as amended and supplemented from time to time, the “</w:t>
      </w:r>
      <w:r>
        <w:rPr>
          <w:rFonts w:ascii="Times New Roman;serif" w:hAnsi="Times New Roman;serif"/>
          <w:b w:val="false"/>
          <w:color w:val="000000"/>
          <w:sz w:val="24"/>
          <w:u w:val="single"/>
        </w:rPr>
        <w:t>LP Agreement</w:t>
      </w:r>
      <w:r>
        <w:rPr>
          <w:color w:val="000000"/>
        </w:rPr>
        <w:t>”</w:t>
      </w:r>
      <w:r>
        <w:rPr>
          <w:rFonts w:ascii="Times New Roman;serif" w:hAnsi="Times New Roman;serif"/>
          <w:b w:val="false"/>
          <w:color w:val="000000"/>
          <w:sz w:val="24"/>
        </w:rPr>
        <w:t>) of the Partnership, the Company hereby grants the Participant an Other Award (an “</w:t>
      </w:r>
      <w:r>
        <w:rPr>
          <w:rFonts w:ascii="Times New Roman;serif" w:hAnsi="Times New Roman;serif"/>
          <w:b w:val="false"/>
          <w:color w:val="000000"/>
          <w:sz w:val="24"/>
          <w:u w:val="single"/>
        </w:rPr>
        <w:t>Award</w:t>
      </w:r>
      <w:r>
        <w:rPr>
          <w:color w:val="000000"/>
        </w:rPr>
        <w:t>”</w:t>
      </w:r>
      <w:r>
        <w:rPr>
          <w:rFonts w:ascii="Times New Roman;serif" w:hAnsi="Times New Roman;serif"/>
          <w:b w:val="false"/>
          <w:color w:val="000000"/>
          <w:sz w:val="24"/>
        </w:rPr>
        <w:t>) pursuant to the Plan and hereby causes the Partnership to issue to the Participant, a number of Special LTIP Units set forth above equal to the Maximum Amount (the “</w:t>
      </w:r>
      <w:r>
        <w:rPr>
          <w:rFonts w:ascii="Times New Roman;serif" w:hAnsi="Times New Roman;serif"/>
          <w:b w:val="false"/>
          <w:color w:val="000000"/>
          <w:sz w:val="24"/>
          <w:u w:val="single"/>
        </w:rPr>
        <w:t>Award LTIP Units</w:t>
      </w:r>
      <w:r>
        <w:rPr>
          <w:color w:val="000000"/>
        </w:rPr>
        <w:t>”</w:t>
      </w:r>
      <w:r>
        <w:rPr>
          <w:rFonts w:ascii="Times New Roman;serif" w:hAnsi="Times New Roman;serif"/>
          <w:b w:val="false"/>
          <w:color w:val="000000"/>
          <w:sz w:val="24"/>
        </w:rPr>
        <w:t>) having the rights, voting powers, restrictions, limitations as to distributions, qualifications and terms and conditions of redemption and conversion set forth herein and in the LP Agreement. Upon the close of business on the Grant Date pursuant to this Performance LTIP Unit Award Agreement (this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the Participant shall receive the Award LTIP Units, subject to the restrictions and conditions set forth herein, in the Plan and in the LP Agreement.</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C.    The exact number of Award LTIP Units earned under the Award shall be determined following the conclusion of the Performance Period based on the Company’s Total Shareholder Return during the Performance Period as provided herein. Any Award LTIP Units not earned upon the end of the Performance Period will be forfeited and any additional LTIP Units owed to the Participant shall be issued as soon as reasonably practical following the determination of the number of LTIP Units earned under the Award.</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NOW, THEREFORE, the Company, the Partnership and the Participant agree as follows: </w:t>
      </w:r>
    </w:p>
    <w:p>
      <w:pPr>
        <w:pStyle w:val="TextBody"/>
        <w:bidi w:val="0"/>
        <w:spacing w:lineRule="auto" w:line="240" w:before="0" w:after="240"/>
        <w:ind w:left="0" w:right="0" w:firstLine="720"/>
        <w:jc w:val="left"/>
        <w:rPr/>
      </w:pPr>
      <w:r>
        <w:rPr>
          <w:rFonts w:ascii="Times New Roman;serif" w:hAnsi="Times New Roman;serif"/>
          <w:b w:val="false"/>
          <w:color w:val="000000"/>
          <w:sz w:val="24"/>
        </w:rPr>
        <w:t>1.</w:t>
      </w:r>
      <w:r>
        <w:rPr>
          <w:rFonts w:ascii="Times New Roman;serif" w:hAnsi="Times New Roman;serif"/>
          <w:b w:val="false"/>
          <w:color w:val="000000"/>
          <w:sz w:val="24"/>
          <w:u w:val="single"/>
        </w:rPr>
        <w:t>Definitions</w:t>
      </w:r>
      <w:r>
        <w:rPr>
          <w:rFonts w:ascii="Times New Roman;serif" w:hAnsi="Times New Roman;serif"/>
          <w:b w:val="false"/>
          <w:color w:val="000000"/>
          <w:sz w:val="24"/>
        </w:rPr>
        <w:t>. Capitalized terms used herein without definitions shall have the meanings given to those terms in the Plan. In addition, as used herein:</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Accumulated Distributions</w:t>
      </w:r>
      <w:r>
        <w:rPr>
          <w:color w:val="000000"/>
        </w:rPr>
        <w:t xml:space="preserve">” </w:t>
      </w:r>
      <w:r>
        <w:rPr>
          <w:rFonts w:ascii="Times New Roman;serif" w:hAnsi="Times New Roman;serif"/>
          <w:b w:val="false"/>
          <w:color w:val="000000"/>
          <w:sz w:val="24"/>
        </w:rPr>
        <w:t xml:space="preserve">has the meaning set forth in Section 3(c). </w:t>
      </w:r>
    </w:p>
    <w:p>
      <w:pPr>
        <w:pStyle w:val="TextBody"/>
        <w:bidi w:val="0"/>
        <w:spacing w:before="0" w:after="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594995"/>
                <wp:effectExtent l="0" t="0" r="0" b="0"/>
                <wp:wrapNone/>
                <wp:docPr id="161" name="Frame161"/>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Agreement</w:t>
      </w:r>
      <w:r>
        <w:rPr>
          <w:color w:val="000000"/>
        </w:rPr>
        <w:t xml:space="preserve">” </w:t>
      </w:r>
      <w:r>
        <w:rPr>
          <w:rFonts w:ascii="Times New Roman;serif" w:hAnsi="Times New Roman;serif"/>
          <w:b w:val="false"/>
          <w:color w:val="000000"/>
          <w:sz w:val="24"/>
        </w:rPr>
        <w:t>has the meaning set forth in the Recitals.</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Award</w:t>
      </w:r>
      <w:r>
        <w:rPr>
          <w:color w:val="000000"/>
        </w:rPr>
        <w:t xml:space="preserve">” </w:t>
      </w:r>
      <w:r>
        <w:rPr>
          <w:rFonts w:ascii="Times New Roman;serif" w:hAnsi="Times New Roman;serif"/>
          <w:b w:val="false"/>
          <w:color w:val="000000"/>
          <w:sz w:val="24"/>
        </w:rPr>
        <w:t>has the meaning set forth in the Recitals.</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Award Common Units</w:t>
      </w:r>
      <w:r>
        <w:rPr>
          <w:color w:val="000000"/>
        </w:rPr>
        <w:t xml:space="preserve">” </w:t>
      </w:r>
      <w:r>
        <w:rPr>
          <w:rFonts w:ascii="Times New Roman;serif" w:hAnsi="Times New Roman;serif"/>
          <w:b w:val="false"/>
          <w:color w:val="000000"/>
          <w:sz w:val="24"/>
        </w:rPr>
        <w:t>has the meaning set forth in Section 9(a).</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Award LTIP Units</w:t>
      </w:r>
      <w:r>
        <w:rPr>
          <w:color w:val="000000"/>
        </w:rPr>
        <w:t xml:space="preserve">” </w:t>
      </w:r>
      <w:r>
        <w:rPr>
          <w:rFonts w:ascii="Times New Roman;serif" w:hAnsi="Times New Roman;serif"/>
          <w:b w:val="false"/>
          <w:color w:val="000000"/>
          <w:sz w:val="24"/>
        </w:rPr>
        <w:t>has the meaning set forth in the Recitals, which, for the avoidance of doubt, will initially equal the Maximum Amount.</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Cause</w:t>
      </w:r>
      <w:r>
        <w:rPr>
          <w:color w:val="000000"/>
        </w:rPr>
        <w:t xml:space="preserve">” </w:t>
      </w:r>
      <w:r>
        <w:rPr>
          <w:rFonts w:ascii="Times New Roman;serif" w:hAnsi="Times New Roman;serif"/>
          <w:b w:val="false"/>
          <w:color w:val="000000"/>
          <w:sz w:val="24"/>
        </w:rPr>
        <w:t>means (a) if the Participant is a party to a Service Agreement, and “Cause” is defined therein, such definition, or (b) if the Participant is not party to a Service Agreement that defines “Cause,” Cause shall mean, (i) the Participant shall have been convicted of, or pled guilty or nolo contendere to, a felony or any misdemeanor involving allegations of fraud, embezzlement, theft or dishonesty against the Company; (ii) the Participant is found to be an Unsuitable Person as defined in the Plan; (iii) the Participant engages in wrongful disclosure of confidential information or otherwise engages in competition with the Company; (iv) the Company’s reasonable determination of the Participant’s willful misconduct in the performance of the Participant’s duties with the Company (other than any such failure resulting from incapacity due to physical disability or mental illness); or (v) the Company’s reasonable determination of the Participant’s willful engagement in illegal conduct or gross misconduct which is materially injurious to the Company or one of its affiliates.</w:t>
      </w:r>
    </w:p>
    <w:p>
      <w:pPr>
        <w:pStyle w:val="TextBody"/>
        <w:bidi w:val="0"/>
        <w:spacing w:lineRule="auto" w:line="288" w:before="0" w:after="240"/>
        <w:jc w:val="left"/>
        <w:rPr/>
      </w:pPr>
      <w:r>
        <w:rPr>
          <w:rFonts w:ascii="Times New Roman;serif" w:hAnsi="Times New Roman;serif"/>
          <w:b w:val="false"/>
          <w:color w:val="000000"/>
          <w:sz w:val="24"/>
        </w:rPr>
        <w:t>(a)</w:t>
      </w:r>
      <w:r>
        <w:rPr>
          <w:color w:val="000000"/>
        </w:rPr>
        <w:t>“</w:t>
      </w:r>
      <w:r>
        <w:rPr>
          <w:rFonts w:ascii="Times New Roman;serif" w:hAnsi="Times New Roman;serif"/>
          <w:b w:val="false"/>
          <w:color w:val="000000"/>
          <w:sz w:val="24"/>
          <w:u w:val="single"/>
        </w:rPr>
        <w:t>Code</w:t>
      </w:r>
      <w:r>
        <w:rPr>
          <w:color w:val="000000"/>
        </w:rPr>
        <w:t xml:space="preserve">” </w:t>
      </w:r>
      <w:r>
        <w:rPr>
          <w:rFonts w:ascii="Times New Roman;serif" w:hAnsi="Times New Roman;serif"/>
          <w:b w:val="false"/>
          <w:color w:val="000000"/>
          <w:sz w:val="24"/>
        </w:rPr>
        <w:t>means the Internal Revenue Code of 1986, as amended.</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Committee</w:t>
      </w:r>
      <w:r>
        <w:rPr>
          <w:color w:val="000000"/>
        </w:rPr>
        <w:t xml:space="preserve">” </w:t>
      </w:r>
      <w:r>
        <w:rPr>
          <w:rFonts w:ascii="Times New Roman;serif" w:hAnsi="Times New Roman;serif"/>
          <w:b w:val="false"/>
          <w:color w:val="000000"/>
          <w:sz w:val="24"/>
        </w:rPr>
        <w:t>means the Compensation Committee of the Board.</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Common Stock</w:t>
      </w:r>
      <w:r>
        <w:rPr>
          <w:color w:val="000000"/>
        </w:rPr>
        <w:t xml:space="preserve">” </w:t>
      </w:r>
      <w:r>
        <w:rPr>
          <w:rFonts w:ascii="Times New Roman;serif" w:hAnsi="Times New Roman;serif"/>
          <w:b w:val="false"/>
          <w:color w:val="000000"/>
          <w:sz w:val="24"/>
        </w:rPr>
        <w:t>means the Company’s common stock, par value $0.01 per share, either currently existing or authorized hereafter.</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Company</w:t>
      </w:r>
      <w:r>
        <w:rPr>
          <w:color w:val="000000"/>
        </w:rPr>
        <w:t xml:space="preserve">” </w:t>
      </w:r>
      <w:r>
        <w:rPr>
          <w:rFonts w:ascii="Times New Roman;serif" w:hAnsi="Times New Roman;serif"/>
          <w:b w:val="false"/>
          <w:color w:val="000000"/>
          <w:sz w:val="24"/>
        </w:rPr>
        <w:t>has the meaning set forth in the Recitals.</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Continuous Service</w:t>
      </w:r>
      <w:r>
        <w:rPr>
          <w:color w:val="000000"/>
        </w:rPr>
        <w:t xml:space="preserve">” </w:t>
      </w:r>
      <w:r>
        <w:rPr>
          <w:rFonts w:ascii="Times New Roman;serif" w:hAnsi="Times New Roman;serif"/>
          <w:b w:val="false"/>
          <w:color w:val="000000"/>
          <w:sz w:val="24"/>
        </w:rPr>
        <w:t xml:space="preserve">means the continuous service to the Employer, without interruption or termination, in any capacity of employee, or, with the written consent of the Committee, consultant. Continuous Service shall not be considered interrupted in the case of: (a) any approved leave of absence pursuant to Section 12.12 of the Plan; (b) transfers among the Employer, or any successor, in any capacity of employee, or with the written consent of the Committee, as a member of the Board or a consultant; or (c) any change in status as long as the individual remains in the service of the Employer in any capacity of employee or (if the Committee specifically agrees in writing that the Continuous Service is not uninterrupted) as a member of the Board or a consultant. </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Determination Date</w:t>
      </w:r>
      <w:r>
        <w:rPr>
          <w:color w:val="000000"/>
        </w:rPr>
        <w:t xml:space="preserve">” </w:t>
      </w:r>
      <w:r>
        <w:rPr>
          <w:rFonts w:ascii="Times New Roman;serif" w:hAnsi="Times New Roman;serif"/>
          <w:b w:val="false"/>
          <w:color w:val="000000"/>
          <w:sz w:val="24"/>
        </w:rPr>
        <w:t>has the meaning set forth in Section 3(c).</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Earned Distribution LTIP Units</w:t>
      </w:r>
      <w:r>
        <w:rPr>
          <w:color w:val="000000"/>
        </w:rPr>
        <w:t xml:space="preserve">” </w:t>
      </w:r>
      <w:r>
        <w:rPr>
          <w:rFonts w:ascii="Times New Roman;serif" w:hAnsi="Times New Roman;serif"/>
          <w:b w:val="false"/>
          <w:color w:val="000000"/>
          <w:sz w:val="24"/>
        </w:rPr>
        <w:t>has the meaning set forth in Section 3(c).</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Earned LTIP Units</w:t>
      </w:r>
      <w:r>
        <w:rPr>
          <w:color w:val="000000"/>
        </w:rPr>
        <w:t xml:space="preserve">” </w:t>
      </w:r>
      <w:r>
        <w:rPr>
          <w:rFonts w:ascii="Times New Roman;serif" w:hAnsi="Times New Roman;serif"/>
          <w:b w:val="false"/>
          <w:color w:val="000000"/>
          <w:sz w:val="24"/>
        </w:rPr>
        <w:t>has the meaning set forth in Section 3(c).</w:t>
      </w:r>
    </w:p>
    <w:p>
      <w:pPr>
        <w:pStyle w:val="TextBody"/>
        <w:bidi w:val="0"/>
        <w:spacing w:before="0" w:after="0"/>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75260"/>
                <wp:effectExtent l="0" t="0" r="0" b="0"/>
                <wp:wrapNone/>
                <wp:docPr id="162" name="Frame1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Earned Performance LTIP Units</w:t>
      </w:r>
      <w:r>
        <w:rPr>
          <w:color w:val="000000"/>
        </w:rPr>
        <w:t xml:space="preserve">” </w:t>
      </w:r>
      <w:r>
        <w:rPr>
          <w:rFonts w:ascii="Times New Roman;serif" w:hAnsi="Times New Roman;serif"/>
          <w:b w:val="false"/>
          <w:color w:val="000000"/>
          <w:sz w:val="24"/>
        </w:rPr>
        <w:t>has the meaning set forth in Section 3(c).</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Effective Date</w:t>
      </w:r>
      <w:r>
        <w:rPr>
          <w:color w:val="000000"/>
        </w:rPr>
        <w:t xml:space="preserve">” </w:t>
      </w:r>
      <w:r>
        <w:rPr>
          <w:rFonts w:ascii="Times New Roman;serif" w:hAnsi="Times New Roman;serif"/>
          <w:b w:val="false"/>
          <w:color w:val="000000"/>
          <w:sz w:val="24"/>
        </w:rPr>
        <w:t>means January 1, 2026.</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Employer</w:t>
      </w:r>
      <w:r>
        <w:rPr>
          <w:color w:val="000000"/>
        </w:rPr>
        <w:t xml:space="preserve">” </w:t>
      </w:r>
      <w:r>
        <w:rPr>
          <w:rFonts w:ascii="Times New Roman;serif" w:hAnsi="Times New Roman;serif"/>
          <w:b w:val="false"/>
          <w:color w:val="000000"/>
          <w:sz w:val="24"/>
        </w:rPr>
        <w:t>means either the Company, the Partnership or any of their Subsidiaries that employ the Participant.</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End Date</w:t>
      </w:r>
      <w:r>
        <w:rPr>
          <w:color w:val="000000"/>
        </w:rPr>
        <w:t xml:space="preserve">” </w:t>
      </w:r>
      <w:r>
        <w:rPr>
          <w:rFonts w:ascii="Times New Roman;serif" w:hAnsi="Times New Roman;serif"/>
          <w:b w:val="false"/>
          <w:color w:val="000000"/>
          <w:sz w:val="24"/>
        </w:rPr>
        <w:t>means December 31, 2028.</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Exchange Act</w:t>
      </w:r>
      <w:r>
        <w:rPr>
          <w:color w:val="000000"/>
        </w:rPr>
        <w:t xml:space="preserve">” </w:t>
      </w:r>
      <w:r>
        <w:rPr>
          <w:rFonts w:ascii="Times New Roman;serif" w:hAnsi="Times New Roman;serif"/>
          <w:b w:val="false"/>
          <w:color w:val="000000"/>
          <w:sz w:val="24"/>
        </w:rPr>
        <w:t>means the Securities Exchange Act of 1934, as amended.</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Fair Market Value</w:t>
      </w:r>
      <w:r>
        <w:rPr>
          <w:color w:val="000000"/>
        </w:rPr>
        <w:t xml:space="preserve">” </w:t>
      </w:r>
      <w:r>
        <w:rPr>
          <w:rFonts w:ascii="Times New Roman;serif" w:hAnsi="Times New Roman;serif"/>
          <w:b w:val="false"/>
          <w:color w:val="000000"/>
          <w:sz w:val="24"/>
        </w:rPr>
        <w:t>means, as of any given date, the fair market value of a security determined by the Committee using any reasonable method and in good faith (such determination will be made in a manner that satisfies Section 409A of the Code and in good-faith as required by Section 422(c)(1) of the Code); provided that if such security is admitted to trading on a national securities exchange, the fair market value of such security on any date shall be the closing sale price on the last preceding date on which there was a sale of such security on such exchange reported for such security or, if applicable, any other national exchange on which the security is traded or admitted to trading, unless such security has not been traded for 10 trading days.</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Family Member</w:t>
      </w:r>
      <w:r>
        <w:rPr>
          <w:color w:val="000000"/>
        </w:rPr>
        <w:t xml:space="preserve">” </w:t>
      </w:r>
      <w:r>
        <w:rPr>
          <w:rFonts w:ascii="Times New Roman;serif" w:hAnsi="Times New Roman;serif"/>
          <w:b w:val="false"/>
          <w:color w:val="000000"/>
          <w:sz w:val="24"/>
        </w:rPr>
        <w:t>has the meaning set forth in Section 9(b).</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Final Release Date</w:t>
      </w:r>
      <w:r>
        <w:rPr>
          <w:color w:val="000000"/>
        </w:rPr>
        <w:t xml:space="preserve">” </w:t>
      </w:r>
      <w:r>
        <w:rPr>
          <w:rFonts w:ascii="Times New Roman;serif" w:hAnsi="Times New Roman;serif"/>
          <w:b w:val="false"/>
          <w:color w:val="000000"/>
          <w:sz w:val="24"/>
        </w:rPr>
        <w:t xml:space="preserve">has the meaning set forth in Section 4(c). </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Grant Date</w:t>
      </w:r>
      <w:r>
        <w:rPr>
          <w:color w:val="000000"/>
        </w:rPr>
        <w:t xml:space="preserve">” </w:t>
      </w:r>
      <w:r>
        <w:rPr>
          <w:rFonts w:ascii="Times New Roman;serif" w:hAnsi="Times New Roman;serif"/>
          <w:b w:val="false"/>
          <w:color w:val="000000"/>
          <w:sz w:val="24"/>
        </w:rPr>
        <w:t>means the date specified as such prior to the Recitals.</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Initial Share Price</w:t>
      </w:r>
      <w:r>
        <w:rPr>
          <w:color w:val="000000"/>
        </w:rPr>
        <w:t xml:space="preserve">” </w:t>
      </w:r>
      <w:r>
        <w:rPr>
          <w:rFonts w:ascii="Times New Roman;serif" w:hAnsi="Times New Roman;serif"/>
          <w:b w:val="false"/>
          <w:color w:val="000000"/>
          <w:sz w:val="24"/>
        </w:rPr>
        <w:t>means, for the Company and each Peer Group company, the closing stock price of one share of common equity on the last trading day preceding the start of the Performance Period.</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LP Agreement</w:t>
      </w:r>
      <w:r>
        <w:rPr>
          <w:color w:val="000000"/>
        </w:rPr>
        <w:t xml:space="preserve">” </w:t>
      </w:r>
      <w:r>
        <w:rPr>
          <w:rFonts w:ascii="Times New Roman;serif" w:hAnsi="Times New Roman;serif"/>
          <w:b w:val="false"/>
          <w:color w:val="000000"/>
          <w:sz w:val="24"/>
        </w:rPr>
        <w:t>has the meaning set forth in the Recitals.</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LTIP Units</w:t>
      </w:r>
      <w:r>
        <w:rPr>
          <w:color w:val="000000"/>
        </w:rPr>
        <w:t xml:space="preserve">” </w:t>
      </w:r>
      <w:r>
        <w:rPr>
          <w:rFonts w:ascii="Times New Roman;serif" w:hAnsi="Times New Roman;serif"/>
          <w:b w:val="false"/>
          <w:color w:val="000000"/>
          <w:sz w:val="24"/>
        </w:rPr>
        <w:t>has the meaning set forth in the LP Agreement.</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Maximum Amount</w:t>
      </w:r>
      <w:r>
        <w:rPr>
          <w:color w:val="000000"/>
        </w:rPr>
        <w:t xml:space="preserve">” </w:t>
      </w:r>
      <w:r>
        <w:rPr>
          <w:rFonts w:ascii="Times New Roman;serif" w:hAnsi="Times New Roman;serif"/>
          <w:b w:val="false"/>
          <w:color w:val="000000"/>
          <w:sz w:val="24"/>
        </w:rPr>
        <w:t>means the number of LTIP Units set forth in the Recitals, which, for the avoidance of doubt, is the number of Award LTIP Units that the Participant will earn if maximum performance is achieved.</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Partial Service Factor</w:t>
      </w:r>
      <w:r>
        <w:rPr>
          <w:color w:val="000000"/>
        </w:rPr>
        <w:t xml:space="preserve">” </w:t>
      </w:r>
      <w:r>
        <w:rPr>
          <w:rFonts w:ascii="Times New Roman;serif" w:hAnsi="Times New Roman;serif"/>
          <w:b w:val="false"/>
          <w:color w:val="000000"/>
          <w:sz w:val="24"/>
        </w:rPr>
        <w:t xml:space="preserve">means a factor carried out to the sixth decimal to be used in calculating the number of LTIP Units earned pursuant to Section 3(c) hereof in the event of a Qualified Pro-Rated Termination of the Participant’s Continuous Service prior to the Valuation Date, determined by dividing (a) the number of calendar days that have elapsed since the Effective Date to and including the date of the Participant’s Qualified Pro-Rated Termination by (b) the number of calendar days from the Effective Date to and including the End Date. </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Participant</w:t>
      </w:r>
      <w:r>
        <w:rPr>
          <w:color w:val="000000"/>
        </w:rPr>
        <w:t xml:space="preserve">” </w:t>
      </w:r>
      <w:r>
        <w:rPr>
          <w:rFonts w:ascii="Times New Roman;serif" w:hAnsi="Times New Roman;serif"/>
          <w:b w:val="false"/>
          <w:color w:val="000000"/>
          <w:sz w:val="24"/>
        </w:rPr>
        <w:t>has the meaning set forth prior to the Recitals.</w:t>
      </w:r>
    </w:p>
    <w:p>
      <w:pPr>
        <w:pStyle w:val="TextBody"/>
        <w:bidi w:val="0"/>
        <w:spacing w:before="0" w:after="0"/>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75260"/>
                <wp:effectExtent l="0" t="0" r="0" b="0"/>
                <wp:wrapNone/>
                <wp:docPr id="163" name="Frame1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Partnership</w:t>
      </w:r>
      <w:r>
        <w:rPr>
          <w:color w:val="000000"/>
        </w:rPr>
        <w:t xml:space="preserve">” </w:t>
      </w:r>
      <w:r>
        <w:rPr>
          <w:rFonts w:ascii="Times New Roman;serif" w:hAnsi="Times New Roman;serif"/>
          <w:b w:val="false"/>
          <w:color w:val="000000"/>
          <w:sz w:val="24"/>
        </w:rPr>
        <w:t>has the meaning set forth in the Recitals.</w:t>
      </w:r>
    </w:p>
    <w:p>
      <w:pPr>
        <w:pStyle w:val="TextBody"/>
        <w:bidi w:val="0"/>
        <w:spacing w:lineRule="auto" w:line="288" w:before="0" w:after="0"/>
        <w:ind w:left="0" w:right="0" w:firstLine="720"/>
        <w:jc w:val="left"/>
        <w:rPr/>
      </w:pPr>
      <w:r>
        <w:rPr>
          <w:color w:val="000000"/>
        </w:rPr>
        <w:t>“</w:t>
      </w:r>
      <w:r>
        <w:rPr>
          <w:rFonts w:ascii="Times New Roman;serif" w:hAnsi="Times New Roman;serif"/>
          <w:b w:val="false"/>
          <w:color w:val="000000"/>
          <w:sz w:val="24"/>
          <w:u w:val="single"/>
        </w:rPr>
        <w:t>Peer Group</w:t>
      </w:r>
      <w:r>
        <w:rPr>
          <w:color w:val="000000"/>
        </w:rPr>
        <w:t xml:space="preserve">” </w:t>
      </w:r>
      <w:r>
        <w:rPr>
          <w:rFonts w:ascii="Times New Roman;serif" w:hAnsi="Times New Roman;serif"/>
          <w:b w:val="false"/>
          <w:color w:val="000000"/>
          <w:sz w:val="24"/>
        </w:rPr>
        <w:t xml:space="preserve">means the companies set forth on </w:t>
      </w:r>
      <w:r>
        <w:rPr>
          <w:rFonts w:ascii="Times New Roman;serif" w:hAnsi="Times New Roman;serif"/>
          <w:b w:val="false"/>
          <w:color w:val="000000"/>
          <w:sz w:val="24"/>
          <w:u w:val="single"/>
        </w:rPr>
        <w:t>Appendix A</w:t>
      </w:r>
      <w:r>
        <w:rPr>
          <w:color w:val="000000"/>
        </w:rPr>
        <w:t xml:space="preserve"> </w:t>
      </w:r>
      <w:r>
        <w:rPr>
          <w:rFonts w:ascii="Times New Roman;serif" w:hAnsi="Times New Roman;serif"/>
          <w:b w:val="false"/>
          <w:color w:val="000000"/>
          <w:sz w:val="24"/>
        </w:rPr>
        <w:t>hereto; provided that if a constituent company in the Peer Group ceases to be actively traded, due, for example, to merger or bankruptcy, or the Committee otherwise reasonably determines that is no longer suitable for the purposes of this Award Agreement, then such company shall not be included in the Peer Group.</w:t>
      </w:r>
    </w:p>
    <w:p>
      <w:pPr>
        <w:pStyle w:val="TextBody"/>
        <w:bidi w:val="0"/>
        <w:spacing w:before="0" w:after="0"/>
        <w:jc w:val="left"/>
        <w:rPr/>
      </w:pPr>
      <w:r>
        <w:rPr/>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Performance Period</w:t>
      </w:r>
      <w:r>
        <w:rPr>
          <w:color w:val="000000"/>
        </w:rPr>
        <w:t xml:space="preserve">” </w:t>
      </w:r>
      <w:r>
        <w:rPr>
          <w:rFonts w:ascii="Times New Roman;serif" w:hAnsi="Times New Roman;serif"/>
          <w:b w:val="false"/>
          <w:color w:val="000000"/>
          <w:sz w:val="24"/>
        </w:rPr>
        <w:t>means the period beginning on the Effective Date and ending on the Valuation Date.</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Plan</w:t>
      </w:r>
      <w:r>
        <w:rPr>
          <w:color w:val="000000"/>
        </w:rPr>
        <w:t xml:space="preserve">” </w:t>
      </w:r>
      <w:r>
        <w:rPr>
          <w:rFonts w:ascii="Times New Roman;serif" w:hAnsi="Times New Roman;serif"/>
          <w:b w:val="false"/>
          <w:color w:val="000000"/>
          <w:sz w:val="24"/>
        </w:rPr>
        <w:t>has the meaning set forth in the Recitals.</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Qualified Pro-Rated Termination</w:t>
      </w:r>
      <w:r>
        <w:rPr>
          <w:color w:val="000000"/>
        </w:rPr>
        <w:t xml:space="preserve">” </w:t>
      </w:r>
      <w:r>
        <w:rPr>
          <w:rFonts w:ascii="Times New Roman;serif" w:hAnsi="Times New Roman;serif"/>
          <w:b w:val="false"/>
          <w:color w:val="000000"/>
          <w:sz w:val="24"/>
        </w:rPr>
        <w:t>has the meaning set forth in Section 4(b).</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Qualified Termination</w:t>
      </w:r>
      <w:r>
        <w:rPr>
          <w:color w:val="000000"/>
        </w:rPr>
        <w:t xml:space="preserve">” </w:t>
      </w:r>
      <w:r>
        <w:rPr>
          <w:rFonts w:ascii="Times New Roman;serif" w:hAnsi="Times New Roman;serif"/>
          <w:b w:val="false"/>
          <w:color w:val="000000"/>
          <w:sz w:val="24"/>
        </w:rPr>
        <w:t>has the meaning set forth in Section 4(c).</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Relevant Information</w:t>
      </w:r>
      <w:r>
        <w:rPr>
          <w:color w:val="000000"/>
        </w:rPr>
        <w:t xml:space="preserve">” </w:t>
      </w:r>
      <w:r>
        <w:rPr>
          <w:rFonts w:ascii="Times New Roman;serif" w:hAnsi="Times New Roman;serif"/>
          <w:b w:val="false"/>
          <w:color w:val="000000"/>
          <w:sz w:val="24"/>
        </w:rPr>
        <w:t>has the meaning set forth in Section 26.</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Securities Act</w:t>
      </w:r>
      <w:r>
        <w:rPr>
          <w:color w:val="000000"/>
        </w:rPr>
        <w:t xml:space="preserve">” </w:t>
      </w:r>
      <w:r>
        <w:rPr>
          <w:rFonts w:ascii="Times New Roman;serif" w:hAnsi="Times New Roman;serif"/>
          <w:b w:val="false"/>
          <w:color w:val="000000"/>
          <w:sz w:val="24"/>
        </w:rPr>
        <w:t>means the Securities Act of 1933, as amended.</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Separation Agreement and Release</w:t>
      </w:r>
      <w:r>
        <w:rPr>
          <w:color w:val="000000"/>
        </w:rPr>
        <w:t xml:space="preserve">” </w:t>
      </w:r>
      <w:r>
        <w:rPr>
          <w:rFonts w:ascii="Times New Roman;serif" w:hAnsi="Times New Roman;serif"/>
          <w:b w:val="false"/>
          <w:color w:val="000000"/>
          <w:sz w:val="24"/>
        </w:rPr>
        <w:t>has the meaning set forth in Section 4(c).</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Service Agreement</w:t>
      </w:r>
      <w:r>
        <w:rPr>
          <w:color w:val="000000"/>
        </w:rPr>
        <w:t xml:space="preserve">” </w:t>
      </w:r>
      <w:r>
        <w:rPr>
          <w:rFonts w:ascii="Times New Roman;serif" w:hAnsi="Times New Roman;serif"/>
          <w:b w:val="false"/>
          <w:color w:val="000000"/>
          <w:sz w:val="24"/>
        </w:rPr>
        <w:t xml:space="preserve">means, as of a particular date, any employment, consulting or similar service agreement then in effect between the Participant, on the one hand, and the Employer, on the other hand, as amended or supplemented through such date. </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Special LTIP Units</w:t>
      </w:r>
      <w:r>
        <w:rPr>
          <w:color w:val="000000"/>
        </w:rPr>
        <w:t xml:space="preserve">” </w:t>
      </w:r>
      <w:r>
        <w:rPr>
          <w:rFonts w:ascii="Times New Roman;serif" w:hAnsi="Times New Roman;serif"/>
          <w:b w:val="false"/>
          <w:color w:val="000000"/>
          <w:sz w:val="24"/>
        </w:rPr>
        <w:t>has the meaning set forth in the LP Agreement.</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Total Shareholder Return</w:t>
      </w:r>
      <w:r>
        <w:rPr>
          <w:color w:val="000000"/>
        </w:rPr>
        <w:t xml:space="preserve">” </w:t>
      </w:r>
      <w:r>
        <w:rPr>
          <w:rFonts w:ascii="Times New Roman;serif" w:hAnsi="Times New Roman;serif"/>
          <w:b w:val="false"/>
          <w:color w:val="000000"/>
          <w:sz w:val="24"/>
        </w:rPr>
        <w:t>means, for the Company and each Peer Group company, the Final Share Price minus the Initial Share Price, plus any dividends (ordinary and special) paid during the applicable Performance Period. As set forth in, and pursuant to, Section 7 of this Agreement, appropriate adjustments to the Total Shareholder Return shall be made to take into account all stock dividends, stock splits, reverse stock splits and the other events set forth in Section 7 that occur during the Performance Period.</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Transfer</w:t>
      </w:r>
      <w:r>
        <w:rPr>
          <w:color w:val="000000"/>
        </w:rPr>
        <w:t xml:space="preserve">” </w:t>
      </w:r>
      <w:r>
        <w:rPr>
          <w:rFonts w:ascii="Times New Roman;serif" w:hAnsi="Times New Roman;serif"/>
          <w:b w:val="false"/>
          <w:color w:val="000000"/>
          <w:sz w:val="24"/>
        </w:rPr>
        <w:t>has the meaning set forth in Section 9(a).</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Valuation Date</w:t>
      </w:r>
      <w:r>
        <w:rPr>
          <w:color w:val="000000"/>
        </w:rPr>
        <w:t xml:space="preserve">” </w:t>
      </w:r>
      <w:r>
        <w:rPr>
          <w:rFonts w:ascii="Times New Roman;serif" w:hAnsi="Times New Roman;serif"/>
          <w:b w:val="false"/>
          <w:color w:val="000000"/>
          <w:sz w:val="24"/>
        </w:rPr>
        <w:t xml:space="preserve">means the earlier of (a) the End Date or (b) the date upon which a Change in Control shall occur. </w:t>
      </w:r>
    </w:p>
    <w:p>
      <w:pPr>
        <w:pStyle w:val="TextBody"/>
        <w:bidi w:val="0"/>
        <w:spacing w:lineRule="auto" w:line="240" w:before="0" w:after="240"/>
        <w:ind w:left="0" w:right="0" w:firstLine="720"/>
        <w:jc w:val="left"/>
        <w:rPr/>
      </w:pPr>
      <w:r>
        <w:rPr>
          <w:rFonts w:ascii="Times New Roman;serif" w:hAnsi="Times New Roman;serif"/>
          <w:b w:val="false"/>
          <w:color w:val="000000"/>
          <w:sz w:val="24"/>
        </w:rPr>
        <w:t>2.</w:t>
      </w:r>
      <w:r>
        <w:rPr>
          <w:rFonts w:ascii="Times New Roman;serif" w:hAnsi="Times New Roman;serif"/>
          <w:b w:val="false"/>
          <w:color w:val="000000"/>
          <w:sz w:val="24"/>
          <w:u w:val="single"/>
        </w:rPr>
        <w:t>Effectiveness of Award</w:t>
      </w:r>
      <w:r>
        <w:rPr>
          <w:rFonts w:ascii="Times New Roman;serif" w:hAnsi="Times New Roman;serif"/>
          <w:b w:val="false"/>
          <w:color w:val="000000"/>
          <w:sz w:val="24"/>
        </w:rPr>
        <w:t xml:space="preserve">. New Partners - The Participant shall be admitted as a partner of the Partnership with beneficial ownership of the Award LTIP Units as of the Grant Date by (i) signing and delivering to the Partnership a copy of this Agreement and (ii) signing, as a Limited Partner, and delivering to the Partnership a counterpart signature page to the LP Agreement (attached hereto as </w:t>
      </w:r>
      <w:r>
        <w:rPr>
          <w:rFonts w:ascii="Times New Roman;serif" w:hAnsi="Times New Roman;serif"/>
          <w:b w:val="false"/>
          <w:color w:val="000000"/>
          <w:sz w:val="24"/>
          <w:u w:val="single"/>
        </w:rPr>
        <w:t>Exhibit A</w:t>
      </w:r>
      <w:r>
        <w:rPr>
          <w:rFonts w:ascii="Times New Roman;serif" w:hAnsi="Times New Roman;serif"/>
          <w:b w:val="false"/>
          <w:color w:val="000000"/>
          <w:sz w:val="24"/>
        </w:rPr>
        <w:t xml:space="preserve">). Existing Partners – The participant shall be issued the beneficial ownership of the Award LTIP Units as of the Grant Date by signing and delivering to the Partnership a copy of this Agreement . Upon execution of this Agreement by the Participant, </w:t>
      </w:r>
    </w:p>
    <w:p>
      <w:pPr>
        <w:pStyle w:val="TextBody"/>
        <w:bidi w:val="0"/>
        <w:spacing w:before="0" w:after="0"/>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75260"/>
                <wp:effectExtent l="0" t="0" r="0" b="0"/>
                <wp:wrapNone/>
                <wp:docPr id="164" name="Frame1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the Partnership and the Company, the books and records of the Partnership shall reflect the issuance to the Participant of the Award LTIP Units. Thereupon, the Participant shall have all the rights of a Limited Partner of the Partnership with respect to a number of Special LTIP Units equal to the Award LTIP Units, as set forth in the LP Agreement, subject, however, to the restrictions and conditions specified in this Agreement.</w:t>
      </w:r>
    </w:p>
    <w:p>
      <w:pPr>
        <w:pStyle w:val="TextBody"/>
        <w:bidi w:val="0"/>
        <w:spacing w:lineRule="auto" w:line="240" w:before="0" w:after="240"/>
        <w:ind w:left="0" w:right="0" w:firstLine="720"/>
        <w:jc w:val="left"/>
        <w:rPr/>
      </w:pPr>
      <w:r>
        <w:rPr>
          <w:rFonts w:ascii="Times New Roman;serif" w:hAnsi="Times New Roman;serif"/>
          <w:b w:val="false"/>
          <w:color w:val="000000"/>
          <w:sz w:val="24"/>
        </w:rPr>
        <w:t>3.</w:t>
      </w:r>
      <w:r>
        <w:rPr>
          <w:rFonts w:ascii="Times New Roman;serif" w:hAnsi="Times New Roman;serif"/>
          <w:b w:val="false"/>
          <w:color w:val="000000"/>
          <w:sz w:val="24"/>
          <w:u w:val="single"/>
        </w:rPr>
        <w:t>Vesting and Earning of Award LTIP Units</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left"/>
        <w:rPr/>
      </w:pPr>
      <w:r>
        <w:rPr>
          <w:rFonts w:ascii="Times New Roman;serif" w:hAnsi="Times New Roman;serif"/>
          <w:b w:val="false"/>
          <w:color w:val="000000"/>
          <w:sz w:val="24"/>
        </w:rPr>
        <w:t>(a)</w:t>
      </w:r>
      <w:r>
        <w:rPr>
          <w:rFonts w:ascii="Times New Roman;serif" w:hAnsi="Times New Roman;serif"/>
          <w:b w:val="false"/>
          <w:color w:val="000000"/>
          <w:sz w:val="24"/>
        </w:rPr>
        <w:t>This Award is subject to performance-based vesting during the Performance Period, subject to acceleration in certain circumstances set forth in this Agreement. The Award LTIP Units will be subject to forfeiture based on the Company’s Total Shareholder Return during the Performance Period as set forth in this Section 3.</w:t>
      </w:r>
    </w:p>
    <w:p>
      <w:pPr>
        <w:pStyle w:val="TextBody"/>
        <w:bidi w:val="0"/>
        <w:spacing w:lineRule="auto" w:line="240" w:before="0" w:after="240"/>
        <w:ind w:left="0" w:right="0" w:firstLine="720"/>
        <w:jc w:val="left"/>
        <w:rPr/>
      </w:pPr>
      <w:r>
        <w:rPr>
          <w:rFonts w:ascii="Times New Roman;serif" w:hAnsi="Times New Roman;serif"/>
          <w:b w:val="false"/>
          <w:color w:val="000000"/>
          <w:sz w:val="24"/>
        </w:rPr>
        <w:t>(b)</w:t>
      </w:r>
      <w:r>
        <w:rPr>
          <w:rFonts w:ascii="Times New Roman;serif" w:hAnsi="Times New Roman;serif"/>
          <w:b w:val="false"/>
          <w:color w:val="000000"/>
          <w:sz w:val="24"/>
        </w:rPr>
        <w:t xml:space="preserve">The number of Award LTIP Units initially earned, expressed as a percentage of the Maximum Amount, will be based on the percentile rank of the Company’s Total Shareholder Return during the Performance Period compared to the Total Shareholder Return of the Peer Group during the Performance Period as set forth in the table below, with linear interpolation for performance between levels. </w:t>
      </w:r>
    </w:p>
    <w:tbl>
      <w:tblPr>
        <w:tblW w:w="8790" w:type="dxa"/>
        <w:jc w:val="left"/>
        <w:tblInd w:w="0" w:type="dxa"/>
        <w:tblLayout w:type="fixed"/>
        <w:tblCellMar>
          <w:top w:w="28" w:type="dxa"/>
          <w:left w:w="28" w:type="dxa"/>
          <w:bottom w:w="28" w:type="dxa"/>
          <w:right w:w="28" w:type="dxa"/>
        </w:tblCellMar>
      </w:tblPr>
      <w:tblGrid>
        <w:gridCol w:w="695"/>
        <w:gridCol w:w="612"/>
        <w:gridCol w:w="613"/>
        <w:gridCol w:w="939"/>
        <w:gridCol w:w="939"/>
        <w:gridCol w:w="942"/>
        <w:gridCol w:w="1185"/>
        <w:gridCol w:w="1185"/>
        <w:gridCol w:w="1680"/>
      </w:tblGrid>
      <w:tr>
        <w:trPr/>
        <w:tc>
          <w:tcPr>
            <w:tcW w:w="695"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680"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12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Performance Level</w:t>
            </w:r>
          </w:p>
        </w:tc>
        <w:tc>
          <w:tcPr>
            <w:tcW w:w="282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12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 xml:space="preserve">Peer Group Percentile Rank </w:t>
            </w:r>
          </w:p>
        </w:tc>
        <w:tc>
          <w:tcPr>
            <w:tcW w:w="40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12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Percentage of Maximum Amount Earned</w:t>
            </w:r>
          </w:p>
        </w:tc>
      </w:tr>
      <w:tr>
        <w:trPr/>
        <w:tc>
          <w:tcPr>
            <w:tcW w:w="192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Threshold</w:t>
            </w:r>
          </w:p>
        </w:tc>
        <w:tc>
          <w:tcPr>
            <w:tcW w:w="282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4"/>
              </w:rPr>
              <w:t>Below 25</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Percentile</w:t>
            </w:r>
          </w:p>
        </w:tc>
        <w:tc>
          <w:tcPr>
            <w:tcW w:w="40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0%</w:t>
            </w:r>
          </w:p>
        </w:tc>
      </w:tr>
      <w:tr>
        <w:trPr/>
        <w:tc>
          <w:tcPr>
            <w:tcW w:w="192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Target</w:t>
            </w:r>
          </w:p>
        </w:tc>
        <w:tc>
          <w:tcPr>
            <w:tcW w:w="282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4"/>
              </w:rPr>
              <w:t>50</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Percentile</w:t>
            </w:r>
          </w:p>
        </w:tc>
        <w:tc>
          <w:tcPr>
            <w:tcW w:w="40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50%</w:t>
            </w:r>
          </w:p>
        </w:tc>
      </w:tr>
      <w:tr>
        <w:trPr/>
        <w:tc>
          <w:tcPr>
            <w:tcW w:w="192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Maximum</w:t>
            </w:r>
          </w:p>
        </w:tc>
        <w:tc>
          <w:tcPr>
            <w:tcW w:w="282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4"/>
              </w:rPr>
              <w:t>75</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Percentile or Above</w:t>
            </w:r>
          </w:p>
        </w:tc>
        <w:tc>
          <w:tcPr>
            <w:tcW w:w="405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100%</w:t>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w:t>
      </w:r>
    </w:p>
    <w:p>
      <w:pPr>
        <w:pStyle w:val="TextBody"/>
        <w:bidi w:val="0"/>
        <w:spacing w:lineRule="auto" w:line="288" w:before="0" w:after="0"/>
        <w:jc w:val="left"/>
        <w:rPr/>
      </w:pPr>
      <w:r>
        <w:rPr>
          <w:rFonts w:ascii="Times New Roman;serif" w:hAnsi="Times New Roman;serif"/>
          <w:b w:val="false"/>
          <w:color w:val="000000"/>
          <w:sz w:val="24"/>
        </w:rPr>
        <w:t>(d)</w:t>
      </w:r>
      <w:r>
        <w:rPr>
          <w:rFonts w:ascii="Times New Roman;serif" w:hAnsi="Times New Roman;serif"/>
          <w:b w:val="false"/>
          <w:color w:val="000000"/>
          <w:sz w:val="24"/>
        </w:rPr>
        <w:t>In the event that the Company’s Total Shareholder Return during the Performance Period is negative, the percentage of the Maximum Amount that may be earned shall not exceed 50%, or “Target” performance.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w:t>
      </w:r>
    </w:p>
    <w:p>
      <w:pPr>
        <w:pStyle w:val="TextBody"/>
        <w:bidi w:val="0"/>
        <w:spacing w:lineRule="auto" w:line="240" w:before="0" w:after="240"/>
        <w:ind w:left="0" w:right="0" w:firstLine="720"/>
        <w:jc w:val="left"/>
        <w:rPr/>
      </w:pPr>
      <w:r>
        <w:rPr>
          <w:rFonts w:ascii="Times New Roman;serif" w:hAnsi="Times New Roman;serif"/>
          <w:b w:val="false"/>
          <w:color w:val="000000"/>
          <w:sz w:val="24"/>
        </w:rPr>
        <w:t>(f)</w:t>
      </w:r>
      <w:r>
        <w:rPr>
          <w:rFonts w:ascii="Times New Roman;serif" w:hAnsi="Times New Roman;serif"/>
          <w:b w:val="false"/>
          <w:color w:val="000000"/>
          <w:sz w:val="24"/>
        </w:rPr>
        <w:t>As soon as practicable following the Valuation Date, the Committee shall determine (with the date such determination is made being referred to herein as the “</w:t>
      </w:r>
      <w:r>
        <w:rPr>
          <w:rFonts w:ascii="Times New Roman;serif" w:hAnsi="Times New Roman;serif"/>
          <w:b w:val="false"/>
          <w:color w:val="000000"/>
          <w:sz w:val="24"/>
          <w:u w:val="single"/>
        </w:rPr>
        <w:t>Determination Date</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firstLine="720"/>
        <w:jc w:val="left"/>
        <w:rPr/>
      </w:pPr>
      <w:r>
        <w:rPr>
          <w:rFonts w:ascii="Times New Roman;serif" w:hAnsi="Times New Roman;serif"/>
          <w:b w:val="false"/>
          <w:color w:val="000000"/>
          <w:sz w:val="24"/>
        </w:rPr>
        <w:t>(i)</w:t>
      </w:r>
      <w:r>
        <w:rPr>
          <w:rFonts w:ascii="Times New Roman;serif" w:hAnsi="Times New Roman;serif"/>
          <w:b w:val="false"/>
          <w:color w:val="000000"/>
          <w:sz w:val="24"/>
        </w:rPr>
        <w:t>the number of LTIP Units earned by the Participant under Section 3(b) above (the “</w:t>
      </w:r>
      <w:r>
        <w:rPr>
          <w:rFonts w:ascii="Times New Roman;serif" w:hAnsi="Times New Roman;serif"/>
          <w:b w:val="false"/>
          <w:color w:val="000000"/>
          <w:sz w:val="24"/>
          <w:u w:val="single"/>
        </w:rPr>
        <w:t>Earned Performance LTIP Units</w:t>
      </w:r>
      <w:r>
        <w:rPr>
          <w:color w:val="000000"/>
        </w:rPr>
        <w:t>”</w:t>
      </w:r>
      <w:r>
        <w:rPr>
          <w:rFonts w:ascii="Times New Roman;serif" w:hAnsi="Times New Roman;serif"/>
          <w:b w:val="false"/>
          <w:color w:val="000000"/>
          <w:sz w:val="24"/>
        </w:rPr>
        <w:t>); and</w:t>
      </w:r>
    </w:p>
    <w:p>
      <w:pPr>
        <w:pStyle w:val="TextBody"/>
        <w:bidi w:val="0"/>
        <w:spacing w:lineRule="auto" w:line="240" w:before="0" w:after="240"/>
        <w:ind w:left="0" w:right="0" w:firstLine="720"/>
        <w:jc w:val="left"/>
        <w:rPr/>
      </w:pPr>
      <w:r>
        <w:rPr>
          <w:rFonts w:ascii="Times New Roman;serif" w:hAnsi="Times New Roman;serif"/>
          <w:b w:val="false"/>
          <w:color w:val="000000"/>
          <w:sz w:val="24"/>
        </w:rPr>
        <w:t>(ii)</w:t>
      </w:r>
      <w:r>
        <w:rPr>
          <w:rFonts w:ascii="Times New Roman;serif" w:hAnsi="Times New Roman;serif"/>
          <w:b w:val="false"/>
          <w:color w:val="000000"/>
          <w:sz w:val="24"/>
        </w:rPr>
        <w:t>the amount of the excess, if any, of (A) the cash distributions (other than those resulting in an adjustment to this Award or the Award LTIP Units pursuant to Section 7 hereof or otherwise) with a record date on or after the first day of the Performance Period and prior to the Determination Date that would have been received by the Participant with respect to the Earned Performance LTIP Units if such LTIP Units had been outstanding on each of such record dates and the Special LTIP Unit Full Distribution Participation Date (as defined in the LP Agreement) had been the first day of the Performance Period above (B) the cash distributions actually received or to be received by the Participant with respect to the Earned Performance LTIP Units pursuant to distributions with a record date on or after the first day of the Performance Period and prior to the Determination Date (such excess amount being referred to as the “</w:t>
      </w:r>
      <w:r>
        <w:rPr>
          <w:rFonts w:ascii="Times New Roman;serif" w:hAnsi="Times New Roman;serif"/>
          <w:b w:val="false"/>
          <w:color w:val="000000"/>
          <w:sz w:val="24"/>
          <w:u w:val="single"/>
        </w:rPr>
        <w:t>Accumulated Distributions</w:t>
      </w:r>
      <w:r>
        <w:rPr>
          <w:color w:val="000000"/>
        </w:rPr>
        <w:t>”</w:t>
      </w:r>
      <w:r>
        <w:rPr>
          <w:rFonts w:ascii="Times New Roman;serif" w:hAnsi="Times New Roman;serif"/>
          <w:b w:val="false"/>
          <w:color w:val="000000"/>
          <w:sz w:val="24"/>
        </w:rPr>
        <w:t>).</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The Company and the Partnership will have the discretion, as of the Determination Date, to either (i) pay (or cause the Employer to pay) to the Participant the amount of the Accumulated </w:t>
      </w:r>
    </w:p>
    <w:p>
      <w:pPr>
        <w:pStyle w:val="TextBody"/>
        <w:bidi w:val="0"/>
        <w:spacing w:before="0" w:after="0"/>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75260"/>
                <wp:effectExtent l="0" t="0" r="0" b="0"/>
                <wp:wrapNone/>
                <wp:docPr id="165" name="Frame1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rPr>
        <w:t>Distributions in cash, which payment shall be made promptly after the Determination Date, but in no event later than 74 days after the Valuation Date (or the date deemed to be the Valuation Date), or (ii) cause the Participant to earn an additional number of Award LTIP Units equal to (A) the Accumulated Distributions divided by (B) the Fair Market Value of the Common Stock on the Valuation Date (the “</w:t>
      </w:r>
      <w:r>
        <w:rPr>
          <w:rFonts w:ascii="Times New Roman;serif" w:hAnsi="Times New Roman;serif"/>
          <w:b w:val="false"/>
          <w:color w:val="000000"/>
          <w:sz w:val="24"/>
          <w:u w:val="single"/>
        </w:rPr>
        <w:t>Earned Distribution LTIP Units</w:t>
      </w:r>
      <w:r>
        <w:rPr>
          <w:color w:val="000000"/>
        </w:rPr>
        <w:t>”</w:t>
      </w:r>
      <w:r>
        <w:rPr>
          <w:rFonts w:ascii="Times New Roman;serif" w:hAnsi="Times New Roman;serif"/>
          <w:b w:val="false"/>
          <w:color w:val="000000"/>
          <w:sz w:val="24"/>
        </w:rPr>
        <w:t>). The aggregate number of Award LTIP Units earned by the Participant (the “</w:t>
      </w:r>
      <w:r>
        <w:rPr>
          <w:rFonts w:ascii="Times New Roman;serif" w:hAnsi="Times New Roman;serif"/>
          <w:b w:val="false"/>
          <w:color w:val="000000"/>
          <w:sz w:val="24"/>
          <w:u w:val="single"/>
        </w:rPr>
        <w:t>Earned LTIP Units</w:t>
      </w:r>
      <w:r>
        <w:rPr>
          <w:color w:val="000000"/>
        </w:rPr>
        <w:t>”</w:t>
      </w:r>
      <w:r>
        <w:rPr>
          <w:rFonts w:ascii="Times New Roman;serif" w:hAnsi="Times New Roman;serif"/>
          <w:b w:val="false"/>
          <w:color w:val="000000"/>
          <w:sz w:val="24"/>
        </w:rPr>
        <w:t>) shall equal the sum of (i) the Earned Performance LTIP Units plus (ii) to the extent the Accumulated Distributions are not paid in cash in accordance with the foregoing, the Earned Distribution LTIP Units.</w:t>
      </w:r>
      <w:r>
        <w:rPr>
          <w:color w:val="000000"/>
        </w:rPr>
        <w:t xml:space="preserve"> </w:t>
      </w:r>
      <w:r>
        <w:rPr>
          <w:rFonts w:ascii="Times New Roman;serif" w:hAnsi="Times New Roman;serif"/>
          <w:b w:val="false"/>
          <w:color w:val="000000"/>
          <w:sz w:val="24"/>
        </w:rPr>
        <w:t>If the number of Earned LTIP Units is smaller than the number of Award LTIP Units held by the Participant pursuant to this Award, then the Participant, as of the Determination Date, shall forfeit a number of Award LTIP Units equal to the difference without payment of any consideration by the Partnership; thereafter the term Award LTIP Units will refer only to the Award LTIP Units that were not so forfeited and neither the Participant nor any of his or her successors, heirs, assigns, or personal representatives will thereafter have any further rights or interests in the Award LTIP Units that were so forfeited. If the number of Earned LTIP Units is greater than the number of Award LTIP Units held by the Participant pursuant to this Award, then, upon the performance of the calculations set forth in this Section 3(c): (A) the Company shall cause the Partnership to issue to the Participant, as of the Determination Date, a number of additional LTIP Units equal to the difference; (B) such additional LTIP Units shall be added to the Award LTIP Units previously issued, if any, and thereby become part of this Award; (C) the Company and the Partnership shall take such corporate and partnership action as is necessary to accomplish the grant of such additional LTIP Units; and (D) thereafter the term Award LTIP Units will refer collectively to the Award LTIP Units, if any, issued prior to such additional grant plus such additional LTIP Units; provided that such issuance will be subject to the Participant confirming the truth and accuracy of the representations set forth in Section 16 hereof and executing and delivering such documents, comparable to the documents executed and delivered in connection with this Agreement, as the Company and/or the Partnership reasonably request in order to comply with all applicable legal requirements, including, without limitation, federal and state securities laws. If the number of Earned LTIP Units is the same as the number of Award LTIP Units held by the Participant pursuant to this Award, then there will be no change to the number of Award LTIP Units under this Award pursuant to this Section 3.</w:t>
      </w:r>
    </w:p>
    <w:p>
      <w:pPr>
        <w:pStyle w:val="TextBody"/>
        <w:bidi w:val="0"/>
        <w:spacing w:lineRule="auto" w:line="240" w:before="0" w:after="240"/>
        <w:ind w:left="0" w:right="0" w:firstLine="720"/>
        <w:jc w:val="left"/>
        <w:rPr/>
      </w:pPr>
      <w:r>
        <w:rPr>
          <w:rFonts w:ascii="Times New Roman;serif" w:hAnsi="Times New Roman;serif"/>
          <w:b w:val="false"/>
          <w:color w:val="000000"/>
          <w:sz w:val="24"/>
        </w:rPr>
        <w:t>(g)</w:t>
      </w:r>
      <w:r>
        <w:rPr>
          <w:rFonts w:ascii="Times New Roman;serif" w:hAnsi="Times New Roman;serif"/>
          <w:b w:val="false"/>
          <w:color w:val="000000"/>
          <w:sz w:val="24"/>
        </w:rPr>
        <w:t xml:space="preserve">Subject to Sections 4 and 5 hereof, the Earned LTIP Units shall become vested in full on the Valuation Date, provided that the Continuous Service of the Participant continues through and on the vesting date. </w:t>
      </w:r>
    </w:p>
    <w:p>
      <w:pPr>
        <w:pStyle w:val="TextBody"/>
        <w:bidi w:val="0"/>
        <w:spacing w:lineRule="auto" w:line="240" w:before="0" w:after="240"/>
        <w:ind w:left="0" w:right="0" w:firstLine="720"/>
        <w:jc w:val="left"/>
        <w:rPr/>
      </w:pPr>
      <w:r>
        <w:rPr>
          <w:rFonts w:ascii="Times New Roman;serif" w:hAnsi="Times New Roman;serif"/>
          <w:b w:val="false"/>
          <w:color w:val="000000"/>
          <w:sz w:val="24"/>
        </w:rPr>
        <w:t>(h)</w:t>
      </w:r>
      <w:r>
        <w:rPr>
          <w:rFonts w:ascii="Times New Roman;serif" w:hAnsi="Times New Roman;serif"/>
          <w:b w:val="false"/>
          <w:color w:val="000000"/>
          <w:sz w:val="24"/>
        </w:rPr>
        <w:t xml:space="preserve">Any Award LTIP Units that do not become vested pursuant to Section 3(d) or Sections 4 or 5 hereof shall, without payment of any consideration by the Partnership, automatically and without notice be forfeited, and neither the Participant nor any of his or her successors, heirs, assigns, or personal representatives will thereafter have any further rights or interests in such unvested Award LTIP Units. </w:t>
      </w:r>
    </w:p>
    <w:p>
      <w:pPr>
        <w:pStyle w:val="TextBody"/>
        <w:bidi w:val="0"/>
        <w:spacing w:lineRule="auto" w:line="240" w:before="0" w:after="240"/>
        <w:ind w:left="0" w:right="0" w:firstLine="720"/>
        <w:jc w:val="left"/>
        <w:rPr/>
      </w:pPr>
      <w:r>
        <w:rPr>
          <w:rFonts w:ascii="Times New Roman;serif" w:hAnsi="Times New Roman;serif"/>
          <w:b w:val="false"/>
          <w:color w:val="000000"/>
          <w:sz w:val="24"/>
        </w:rPr>
        <w:t>4.</w:t>
      </w:r>
      <w:r>
        <w:rPr>
          <w:rFonts w:ascii="Times New Roman;serif" w:hAnsi="Times New Roman;serif"/>
          <w:b w:val="false"/>
          <w:color w:val="000000"/>
          <w:sz w:val="24"/>
          <w:u w:val="single"/>
        </w:rPr>
        <w:t>Termination of Participant’s Continuous Service</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left"/>
        <w:rPr/>
      </w:pPr>
      <w:r>
        <w:rPr>
          <w:rFonts w:ascii="Times New Roman;serif" w:hAnsi="Times New Roman;serif"/>
          <w:b w:val="false"/>
          <w:color w:val="000000"/>
          <w:sz w:val="24"/>
        </w:rPr>
        <w:t>(a)</w:t>
      </w:r>
      <w:r>
        <w:rPr>
          <w:rFonts w:ascii="Times New Roman;serif" w:hAnsi="Times New Roman;serif"/>
          <w:b w:val="false"/>
          <w:color w:val="000000"/>
          <w:sz w:val="24"/>
        </w:rPr>
        <w:t>In the event of a termination of the Participant’s Continuous Service (A) upon the Participant’s death or (B) due to the Participant’s Disability (each, a “</w:t>
      </w:r>
      <w:r>
        <w:rPr>
          <w:rFonts w:ascii="Times New Roman;serif" w:hAnsi="Times New Roman;serif"/>
          <w:b w:val="false"/>
          <w:color w:val="000000"/>
          <w:sz w:val="24"/>
          <w:u w:val="single"/>
        </w:rPr>
        <w:t>Qualified Termination</w:t>
      </w:r>
      <w:r>
        <w:rPr>
          <w:color w:val="000000"/>
        </w:rPr>
        <w:t>”</w:t>
      </w:r>
      <w:r>
        <w:rPr>
          <w:rFonts w:ascii="Times New Roman;serif" w:hAnsi="Times New Roman;serif"/>
          <w:b w:val="false"/>
          <w:color w:val="000000"/>
          <w:sz w:val="24"/>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75260"/>
                <wp:effectExtent l="0" t="0" r="0" b="0"/>
                <wp:wrapNone/>
                <wp:docPr id="166" name="Frame1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prior to the Valuation Date, the following provisions of this Section 4(a) shall apply and modify the determination and vesting of the Earned LTIP Units for the Participant:</w:t>
      </w:r>
    </w:p>
    <w:p>
      <w:pPr>
        <w:pStyle w:val="TextBody"/>
        <w:bidi w:val="0"/>
        <w:spacing w:lineRule="auto" w:line="240" w:before="0" w:after="240"/>
        <w:ind w:left="0" w:right="0" w:firstLine="720"/>
        <w:jc w:val="left"/>
        <w:rPr/>
      </w:pPr>
      <w:r>
        <w:rPr>
          <w:rFonts w:ascii="Times New Roman;serif" w:hAnsi="Times New Roman;serif"/>
          <w:b w:val="false"/>
          <w:color w:val="000000"/>
          <w:sz w:val="24"/>
        </w:rPr>
        <w:t>(i)</w:t>
      </w:r>
      <w:r>
        <w:rPr>
          <w:rFonts w:ascii="Times New Roman;serif" w:hAnsi="Times New Roman;serif"/>
          <w:b w:val="false"/>
          <w:color w:val="000000"/>
          <w:sz w:val="24"/>
        </w:rPr>
        <w:t>the calculations provided in Section 3(c) hereof shall be performed following the Valuation Date as if the Qualified Termination had not occurred; and</w:t>
      </w:r>
    </w:p>
    <w:p>
      <w:pPr>
        <w:pStyle w:val="TextBody"/>
        <w:bidi w:val="0"/>
        <w:spacing w:lineRule="auto" w:line="240" w:before="0" w:after="240"/>
        <w:ind w:left="0" w:right="0" w:firstLine="720"/>
        <w:jc w:val="left"/>
        <w:rPr/>
      </w:pPr>
      <w:r>
        <w:rPr>
          <w:rFonts w:ascii="Times New Roman;serif" w:hAnsi="Times New Roman;serif"/>
          <w:b w:val="false"/>
          <w:color w:val="000000"/>
          <w:sz w:val="24"/>
        </w:rPr>
        <w:t>(ii)</w:t>
      </w:r>
      <w:r>
        <w:rPr>
          <w:rFonts w:ascii="Times New Roman;serif" w:hAnsi="Times New Roman;serif"/>
          <w:b w:val="false"/>
          <w:color w:val="000000"/>
          <w:sz w:val="24"/>
        </w:rPr>
        <w:t>all of the Earned Performance LTIP Units shall vest on the Valuation Date.</w:t>
      </w:r>
    </w:p>
    <w:p>
      <w:pPr>
        <w:pStyle w:val="TextBody"/>
        <w:bidi w:val="0"/>
        <w:spacing w:lineRule="auto" w:line="240" w:before="0" w:after="240"/>
        <w:ind w:left="0" w:right="0" w:firstLine="720"/>
        <w:jc w:val="left"/>
        <w:rPr/>
      </w:pPr>
      <w:r>
        <w:rPr>
          <w:rFonts w:ascii="Times New Roman;serif" w:hAnsi="Times New Roman;serif"/>
          <w:b w:val="false"/>
          <w:color w:val="000000"/>
          <w:sz w:val="24"/>
        </w:rPr>
        <w:t>(b)</w:t>
      </w:r>
      <w:r>
        <w:rPr>
          <w:rFonts w:ascii="Times New Roman;serif" w:hAnsi="Times New Roman;serif"/>
          <w:b w:val="false"/>
          <w:color w:val="000000"/>
          <w:sz w:val="24"/>
        </w:rPr>
        <w:t>Subject to Section 4(c) below, in the event of a termination of the Participant’s Continuous Service (A) by the Employer without Cause, (B) by the Participant for Good Reason or (C) by the Participant in connection with Participant’s retirement (each, a “</w:t>
      </w:r>
      <w:r>
        <w:rPr>
          <w:rFonts w:ascii="Times New Roman;serif" w:hAnsi="Times New Roman;serif"/>
          <w:b w:val="false"/>
          <w:color w:val="000000"/>
          <w:sz w:val="24"/>
          <w:u w:val="single"/>
        </w:rPr>
        <w:t>Qualified Pro-Rated Termination</w:t>
      </w:r>
      <w:r>
        <w:rPr>
          <w:color w:val="000000"/>
        </w:rPr>
        <w:t>”</w:t>
      </w:r>
      <w:r>
        <w:rPr>
          <w:rFonts w:ascii="Times New Roman;serif" w:hAnsi="Times New Roman;serif"/>
          <w:b w:val="false"/>
          <w:color w:val="000000"/>
          <w:sz w:val="24"/>
        </w:rPr>
        <w:t>) prior to the Valuation Date, the following provisions of this Section 4(b) shall apply and modify the determination and vesting of the Earned LTIP Units for the Participant:</w:t>
      </w:r>
    </w:p>
    <w:p>
      <w:pPr>
        <w:pStyle w:val="TextBody"/>
        <w:bidi w:val="0"/>
        <w:spacing w:lineRule="auto" w:line="240" w:before="0" w:after="240"/>
        <w:ind w:left="0" w:right="0" w:firstLine="720"/>
        <w:jc w:val="left"/>
        <w:rPr/>
      </w:pPr>
      <w:r>
        <w:rPr>
          <w:rFonts w:ascii="Times New Roman;serif" w:hAnsi="Times New Roman;serif"/>
          <w:b w:val="false"/>
          <w:color w:val="000000"/>
          <w:sz w:val="24"/>
        </w:rPr>
        <w:t>(i)</w:t>
      </w:r>
      <w:r>
        <w:rPr>
          <w:rFonts w:ascii="Times New Roman;serif" w:hAnsi="Times New Roman;serif"/>
          <w:b w:val="false"/>
          <w:color w:val="000000"/>
          <w:sz w:val="24"/>
        </w:rPr>
        <w:t>the calculations provided in Section 3(c) hereof shall be performed following the Valuation Date as if the Qualified Pro-Rated Termination had not occurred;</w:t>
      </w:r>
    </w:p>
    <w:p>
      <w:pPr>
        <w:pStyle w:val="TextBody"/>
        <w:bidi w:val="0"/>
        <w:spacing w:lineRule="auto" w:line="240" w:before="0" w:after="240"/>
        <w:ind w:left="0" w:right="0" w:firstLine="720"/>
        <w:jc w:val="left"/>
        <w:rPr/>
      </w:pPr>
      <w:r>
        <w:rPr>
          <w:rFonts w:ascii="Times New Roman;serif" w:hAnsi="Times New Roman;serif"/>
          <w:b w:val="false"/>
          <w:color w:val="000000"/>
          <w:sz w:val="24"/>
        </w:rPr>
        <w:t>(ii)</w:t>
      </w:r>
      <w:r>
        <w:rPr>
          <w:rFonts w:ascii="Times New Roman;serif" w:hAnsi="Times New Roman;serif"/>
          <w:b w:val="false"/>
          <w:color w:val="000000"/>
          <w:sz w:val="24"/>
        </w:rPr>
        <w:t xml:space="preserve">the Earned Performance LTIP Units calculated pursuant to Section 3(c) shall be multiplied by the Partial Service Factor (with the resulting number being rounded to the nearest whole LTIP Unit or, in the case of 0.5 of a unit, up to the next whole unit), and such adjusted number of LTIP Units shall be deemed the Earned Performance LTIP Units for all purposes under this Agreement; </w:t>
      </w:r>
    </w:p>
    <w:p>
      <w:pPr>
        <w:pStyle w:val="TextBody"/>
        <w:bidi w:val="0"/>
        <w:spacing w:lineRule="auto" w:line="240" w:before="0" w:after="240"/>
        <w:ind w:left="0" w:right="0" w:firstLine="720"/>
        <w:jc w:val="left"/>
        <w:rPr/>
      </w:pPr>
      <w:r>
        <w:rPr>
          <w:rFonts w:ascii="Times New Roman;serif" w:hAnsi="Times New Roman;serif"/>
          <w:b w:val="false"/>
          <w:color w:val="000000"/>
          <w:sz w:val="24"/>
        </w:rPr>
        <w:t>(iii)</w:t>
      </w:r>
      <w:r>
        <w:rPr>
          <w:rFonts w:ascii="Times New Roman;serif" w:hAnsi="Times New Roman;serif"/>
          <w:b w:val="false"/>
          <w:color w:val="000000"/>
          <w:sz w:val="24"/>
        </w:rPr>
        <w:t>all of the Earned Performance LTIP Units as adjusted pursuant to Section 4(b)(ii) above shall vest on the Valuation Date; and</w:t>
      </w:r>
    </w:p>
    <w:p>
      <w:pPr>
        <w:pStyle w:val="TextBody"/>
        <w:bidi w:val="0"/>
        <w:spacing w:lineRule="auto" w:line="240" w:before="0" w:after="240"/>
        <w:ind w:left="0" w:right="0" w:firstLine="720"/>
        <w:jc w:val="left"/>
        <w:rPr/>
      </w:pPr>
      <w:r>
        <w:rPr>
          <w:rFonts w:ascii="Times New Roman;serif" w:hAnsi="Times New Roman;serif"/>
          <w:b w:val="false"/>
          <w:color w:val="000000"/>
          <w:sz w:val="24"/>
        </w:rPr>
        <w:t>(iv)</w:t>
      </w:r>
      <w:r>
        <w:rPr>
          <w:rFonts w:ascii="Times New Roman;serif" w:hAnsi="Times New Roman;serif"/>
          <w:b w:val="false"/>
          <w:color w:val="000000"/>
          <w:sz w:val="24"/>
        </w:rPr>
        <w:t>upon such Qualified Pro-Rated Termination and until the Determination Date, the Participant will retain a number of Award LTIP Units equal the product of (A) the number of Award LTIP Units originally granted pursuant to this Award multiplied by (B) the Partial Service Factor (with the resulting number being rounded to the nearest whole LTIP Unit or, in the case of 0.5 of a unit, up to the next whole unit). Any Award LTIP Units originally granted pursuant to this Award in excess of such number shall, without payment of any consideration by the Partnership, automatically and without notice, be forfeited upon the date of such Qualified Pro-Rated Termination, and neither the Participant nor any of his or her successors, heirs, assigns, or personal representatives will thereafter have any further rights or interests in such Award LTIP Units.</w:t>
      </w:r>
    </w:p>
    <w:p>
      <w:pPr>
        <w:pStyle w:val="TextBody"/>
        <w:bidi w:val="0"/>
        <w:spacing w:lineRule="auto" w:line="240" w:before="0" w:after="240"/>
        <w:ind w:left="0" w:right="0" w:firstLine="720"/>
        <w:jc w:val="left"/>
        <w:rPr/>
      </w:pPr>
      <w:r>
        <w:rPr>
          <w:rFonts w:ascii="Times New Roman;serif" w:hAnsi="Times New Roman;serif"/>
          <w:b w:val="false"/>
          <w:color w:val="000000"/>
          <w:sz w:val="24"/>
        </w:rPr>
        <w:t>(c)</w:t>
      </w:r>
      <w:r>
        <w:rPr>
          <w:rFonts w:ascii="Times New Roman;serif" w:hAnsi="Times New Roman;serif"/>
          <w:b w:val="false"/>
          <w:color w:val="000000"/>
          <w:sz w:val="24"/>
        </w:rPr>
        <w:t>The provisions set forth in Sections 4(b) above relating to the termination of the Participant’s Continuous Service will only be effective (and such termination will only be deemed to be a Qualified Pro-Rated Termination) if the Participant signs a separation agreement containing, among other provisions, a release of claims and non-disparagement, confidentiality and return of property, in a form and manner satisfactory to the Company and the Partnership (the “</w:t>
      </w:r>
      <w:r>
        <w:rPr>
          <w:rFonts w:ascii="Times New Roman;serif" w:hAnsi="Times New Roman;serif"/>
          <w:b w:val="false"/>
          <w:color w:val="000000"/>
          <w:sz w:val="24"/>
          <w:u w:val="single"/>
        </w:rPr>
        <w:t>Separation Agreement and Release</w:t>
      </w:r>
      <w:r>
        <w:rPr>
          <w:color w:val="000000"/>
        </w:rPr>
        <w:t>”</w:t>
      </w:r>
      <w:r>
        <w:rPr>
          <w:rFonts w:ascii="Times New Roman;serif" w:hAnsi="Times New Roman;serif"/>
          <w:b w:val="false"/>
          <w:color w:val="000000"/>
          <w:sz w:val="24"/>
        </w:rPr>
        <w:t>), and the Separation Agreement and Release becomes irrevocable, within 30 days (or such later date as may be designated by the Company and communicated to the Participant in writing) after the date of such termination (the “</w:t>
      </w:r>
      <w:r>
        <w:rPr>
          <w:rFonts w:ascii="Times New Roman;serif" w:hAnsi="Times New Roman;serif"/>
          <w:b w:val="false"/>
          <w:color w:val="000000"/>
          <w:sz w:val="24"/>
          <w:u w:val="single"/>
        </w:rPr>
        <w:t>Final Release Date</w:t>
      </w:r>
      <w:r>
        <w:rPr>
          <w:color w:val="000000"/>
        </w:rPr>
        <w:t>”</w:t>
      </w:r>
      <w:r>
        <w:rPr>
          <w:rFonts w:ascii="Times New Roman;serif" w:hAnsi="Times New Roman;serif"/>
          <w:b w:val="false"/>
          <w:color w:val="000000"/>
          <w:sz w:val="24"/>
        </w:rPr>
        <w:t xml:space="preserve">); provided that, for the avoidance of doubt, such requirement will not apply in the event the Participant’s Continuous Service is terminated upon the Participant’s death or due to the Participant’s Disability. To the extent the foregoing requirement is applicable, (i) any accelerated vesting provided for pursuant to Sections 4(b) will be delayed until the effectiveness and irrevocability of the Separation Agreement and Release with respect to the Participant or such later time as is specified in Section 4(b) and (ii) if such requirement is not satisfied, any Award LTIP Units that were not vested upon the termination of the Participant’s Continuous Service will be forfeited on the Final Release Date. </w:t>
      </w:r>
    </w:p>
    <w:p>
      <w:pPr>
        <w:pStyle w:val="TextBody"/>
        <w:bidi w:val="0"/>
        <w:spacing w:before="0" w:after="0"/>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75260"/>
                <wp:effectExtent l="0" t="0" r="0" b="0"/>
                <wp:wrapNone/>
                <wp:docPr id="167" name="Frame1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40" w:before="0" w:after="240"/>
        <w:ind w:left="0" w:right="0" w:firstLine="720"/>
        <w:jc w:val="left"/>
        <w:rPr/>
      </w:pPr>
      <w:r>
        <w:rPr>
          <w:rFonts w:ascii="Times New Roman;serif" w:hAnsi="Times New Roman;serif"/>
          <w:b w:val="false"/>
          <w:color w:val="000000"/>
          <w:sz w:val="24"/>
        </w:rPr>
        <w:t>(d)</w:t>
      </w:r>
      <w:r>
        <w:rPr>
          <w:rFonts w:ascii="Times New Roman;serif" w:hAnsi="Times New Roman;serif"/>
          <w:b w:val="false"/>
          <w:color w:val="000000"/>
          <w:sz w:val="24"/>
        </w:rPr>
        <w:t>In the event of a termination of the Participant’s Continuous Service other than a Qualified Termination or a Qualified Pro-Rated Termination, all Award LTIP Units except for those that, as of the date of such termination, both (i) have ceased to be subject to forfeiture pursuant to Section 3(c) hereof and (ii) are vested pursuant to Section 3(d) or 5 hereof shall, without payment of any consideration by the Partnership, automatically and without notice, be forfeited, and neither the Participant nor any of his or her successors, heirs, assigns, or personal representatives will thereafter have any further rights or interests in such Award LTIP Units.</w:t>
      </w:r>
    </w:p>
    <w:p>
      <w:pPr>
        <w:pStyle w:val="TextBody"/>
        <w:bidi w:val="0"/>
        <w:spacing w:lineRule="auto" w:line="240" w:before="0" w:after="240"/>
        <w:ind w:left="0" w:right="0" w:firstLine="720"/>
        <w:jc w:val="left"/>
        <w:rPr/>
      </w:pPr>
      <w:r>
        <w:rPr>
          <w:rFonts w:ascii="Times New Roman;serif" w:hAnsi="Times New Roman;serif"/>
          <w:b w:val="false"/>
          <w:color w:val="000000"/>
          <w:sz w:val="24"/>
        </w:rPr>
        <w:t>5.</w:t>
      </w:r>
      <w:r>
        <w:rPr>
          <w:rFonts w:ascii="Times New Roman;serif" w:hAnsi="Times New Roman;serif"/>
          <w:b w:val="false"/>
          <w:color w:val="000000"/>
          <w:sz w:val="24"/>
          <w:u w:val="single"/>
        </w:rPr>
        <w:t>Change in Control</w:t>
      </w:r>
      <w:r>
        <w:rPr>
          <w:rFonts w:ascii="Times New Roman;serif" w:hAnsi="Times New Roman;serif"/>
          <w:b w:val="false"/>
          <w:color w:val="000000"/>
          <w:sz w:val="24"/>
        </w:rPr>
        <w:t xml:space="preserve">. If the Valuation Date occurs upon the date of a Change in Control, (i) the provisions of Section 3 (as modified by the provisions of Section 4(b), if applicable) shall apply to determine the number of Earned LTIP Units and (ii) all Earned LTIP Units will vest on the Valuation Date; provided that the percentage of the Maximum Amount earned shall not be less than 50%. </w:t>
      </w:r>
    </w:p>
    <w:p>
      <w:pPr>
        <w:pStyle w:val="TextBody"/>
        <w:bidi w:val="0"/>
        <w:spacing w:lineRule="auto" w:line="240" w:before="0" w:after="240"/>
        <w:ind w:left="0" w:right="0" w:firstLine="720"/>
        <w:jc w:val="left"/>
        <w:rPr/>
      </w:pPr>
      <w:r>
        <w:rPr>
          <w:rFonts w:ascii="Times New Roman;serif" w:hAnsi="Times New Roman;serif"/>
          <w:b w:val="false"/>
          <w:color w:val="000000"/>
          <w:sz w:val="24"/>
        </w:rPr>
        <w:t>6.</w:t>
      </w:r>
      <w:r>
        <w:rPr>
          <w:rFonts w:ascii="Times New Roman;serif" w:hAnsi="Times New Roman;serif"/>
          <w:b w:val="false"/>
          <w:color w:val="000000"/>
          <w:sz w:val="24"/>
          <w:u w:val="single"/>
        </w:rPr>
        <w:t>Distributions</w:t>
      </w:r>
      <w:r>
        <w:rPr>
          <w:rFonts w:ascii="Times New Roman;serif" w:hAnsi="Times New Roman;serif"/>
          <w:b w:val="false"/>
          <w:color w:val="000000"/>
          <w:sz w:val="24"/>
        </w:rPr>
        <w:t>.</w:t>
      </w:r>
    </w:p>
    <w:p>
      <w:pPr>
        <w:pStyle w:val="TextBody"/>
        <w:bidi w:val="0"/>
        <w:spacing w:lineRule="auto" w:line="240" w:before="0" w:after="240"/>
        <w:ind w:left="0" w:right="0" w:firstLine="720"/>
        <w:jc w:val="left"/>
        <w:rPr/>
      </w:pPr>
      <w:r>
        <w:rPr>
          <w:rFonts w:ascii="Times New Roman;serif" w:hAnsi="Times New Roman;serif"/>
          <w:b w:val="false"/>
          <w:color w:val="000000"/>
          <w:sz w:val="24"/>
        </w:rPr>
        <w:t>(a)</w:t>
      </w:r>
      <w:r>
        <w:rPr>
          <w:rFonts w:ascii="Times New Roman;serif" w:hAnsi="Times New Roman;serif"/>
          <w:b w:val="false"/>
          <w:color w:val="000000"/>
          <w:sz w:val="24"/>
        </w:rPr>
        <w:t xml:space="preserve">The holder of the Award LTIP Units shall be entitled to receive distributions with respect to such Award LTIP Units to the extent provided for in the LP Agreement, as modified hereby. </w:t>
      </w:r>
    </w:p>
    <w:p>
      <w:pPr>
        <w:pStyle w:val="TextBody"/>
        <w:bidi w:val="0"/>
        <w:spacing w:lineRule="auto" w:line="240" w:before="0" w:after="240"/>
        <w:ind w:left="0" w:right="0" w:firstLine="720"/>
        <w:jc w:val="left"/>
        <w:rPr/>
      </w:pPr>
      <w:r>
        <w:rPr>
          <w:rFonts w:ascii="Times New Roman;serif" w:hAnsi="Times New Roman;serif"/>
          <w:b w:val="false"/>
          <w:color w:val="000000"/>
          <w:sz w:val="24"/>
        </w:rPr>
        <w:t>(b)</w:t>
      </w:r>
      <w:r>
        <w:rPr>
          <w:rFonts w:ascii="Times New Roman;serif" w:hAnsi="Times New Roman;serif"/>
          <w:b w:val="false"/>
          <w:color w:val="000000"/>
          <w:sz w:val="24"/>
        </w:rPr>
        <w:t>The Special LTIP Unit Full Distribution Participation Date (as defined in the LP Agreement) for the Award LTIP Units shall be the Determination Date; provided that prior to such date Award LTIP Units shall be entitled to the Special LTIP Unit Sharing Percentage (as defined in the LP Agreement) (i.e., 10 percent) of regular periodic distributions. For the avoidance of doubt, with respect to all distributions with a record date on or after the Determination Date, the holder of the Award LTIP Units shall be entitled to receive per unit distributions with respect to all Award LTIP Units, whether vested or unvested, that remain outstanding as of the record date for such distributions equal to the per unit distributions payable with respect to Common Units.</w:t>
      </w:r>
    </w:p>
    <w:p>
      <w:pPr>
        <w:pStyle w:val="TextBody"/>
        <w:bidi w:val="0"/>
        <w:spacing w:lineRule="auto" w:line="240" w:before="0" w:after="240"/>
        <w:ind w:left="0" w:right="0" w:firstLine="720"/>
        <w:jc w:val="left"/>
        <w:rPr/>
      </w:pPr>
      <w:r>
        <w:rPr>
          <w:rFonts w:ascii="Times New Roman;serif" w:hAnsi="Times New Roman;serif"/>
          <w:b w:val="false"/>
          <w:color w:val="000000"/>
          <w:sz w:val="24"/>
        </w:rPr>
        <w:t>(c)</w:t>
      </w:r>
      <w:r>
        <w:rPr>
          <w:rFonts w:ascii="Times New Roman;serif" w:hAnsi="Times New Roman;serif"/>
          <w:b w:val="false"/>
          <w:color w:val="000000"/>
          <w:sz w:val="24"/>
        </w:rPr>
        <w:t>All distributions paid with respect to Award LTIP Units, both before and after the Valuation Date, shall be fully vested and non-forfeitable when paid, whether or not the underlying LTIP Units have been earned based on performance or have become vested as provided in Section 3, Section 4 or Section 5 hereof.</w:t>
      </w:r>
    </w:p>
    <w:p>
      <w:pPr>
        <w:pStyle w:val="TextBody"/>
        <w:bidi w:val="0"/>
        <w:spacing w:lineRule="auto" w:line="240" w:before="0" w:after="240"/>
        <w:ind w:left="0" w:right="0" w:firstLine="720"/>
        <w:jc w:val="left"/>
        <w:rPr/>
      </w:pPr>
      <w:r>
        <w:rPr>
          <w:rFonts w:ascii="Times New Roman;serif" w:hAnsi="Times New Roman;serif"/>
          <w:b w:val="false"/>
          <w:color w:val="000000"/>
          <w:sz w:val="24"/>
        </w:rPr>
        <w:t>7.</w:t>
      </w:r>
      <w:r>
        <w:rPr>
          <w:rFonts w:ascii="Times New Roman;serif" w:hAnsi="Times New Roman;serif"/>
          <w:b w:val="false"/>
          <w:color w:val="000000"/>
          <w:sz w:val="24"/>
          <w:u w:val="single"/>
        </w:rPr>
        <w:t>Changes in Capitalization</w:t>
      </w:r>
      <w:r>
        <w:rPr>
          <w:rFonts w:ascii="Times New Roman;serif" w:hAnsi="Times New Roman;serif"/>
          <w:b w:val="false"/>
          <w:color w:val="000000"/>
          <w:sz w:val="24"/>
        </w:rPr>
        <w:t>. Without duplication with the provisions of the Plan, if (i) the Company shall at any time be involved in a merger, consolidation, dissolution, liquidation, reorganization, exchange of shares, sale of all or substantially all of the assets or capital stock of the Company or a transaction similar thereto, (ii) any stock dividend, stock split, reverse stock split, stock combination, reclassification, recapitalization, or other similar change in the capital structure of the Company, or any distribution to holders of Common Stock other than ordinary cash dividends, shall occur or (iii) any other event shall occur which in the judgment of the Committee necessitates action by way of adjusting the terms of this Agreement, then and in that event, the Committee shall take such action as shall be necessary to maintain the Participant’s rights hereunder so that they are substantially proportionate to the rights existing under this Agreement prior to such event, including, but not limited to, adjustments in the number of Award LTIP Units then subject to this Agreement and substitution of other awards under the Plan or otherwise.</w:t>
      </w:r>
    </w:p>
    <w:p>
      <w:pPr>
        <w:pStyle w:val="TextBody"/>
        <w:bidi w:val="0"/>
        <w:spacing w:lineRule="auto" w:line="240" w:before="0" w:after="240"/>
        <w:ind w:left="0" w:right="0" w:firstLine="720"/>
        <w:jc w:val="left"/>
        <w:rPr/>
      </w:pPr>
      <w:r>
        <w:rPr>
          <w:rFonts w:ascii="Times New Roman;serif" w:hAnsi="Times New Roman;serif"/>
          <w:b w:val="false"/>
          <w:color w:val="000000"/>
          <w:sz w:val="24"/>
        </w:rPr>
        <w:t>8.</w:t>
      </w:r>
      <w:r>
        <w:rPr>
          <w:rFonts w:ascii="Times New Roman;serif" w:hAnsi="Times New Roman;serif"/>
          <w:b w:val="false"/>
          <w:color w:val="000000"/>
          <w:sz w:val="24"/>
          <w:u w:val="single"/>
        </w:rPr>
        <w:t>Incorporation of Plan; Interpretation by Committee</w:t>
      </w:r>
      <w:r>
        <w:rPr>
          <w:rFonts w:ascii="Times New Roman;serif" w:hAnsi="Times New Roman;serif"/>
          <w:b w:val="false"/>
          <w:color w:val="000000"/>
          <w:sz w:val="24"/>
        </w:rPr>
        <w:t xml:space="preserve">. This Agreement is subject to the terms, conditions, limitations and definitions contained in the Plan, to the extent not inconsistent with the terms of this Agreement. In the event of any discrepancy or inconsistency between this Agreement and the Plan, the terms and conditions of this Agreement shall control. The Committee may make such rules and regulations and establish such procedures for the </w:t>
      </w:r>
    </w:p>
    <w:p>
      <w:pPr>
        <w:pStyle w:val="TextBody"/>
        <w:bidi w:val="0"/>
        <w:spacing w:before="0" w:after="0"/>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75260"/>
                <wp:effectExtent l="0" t="0" r="0" b="0"/>
                <wp:wrapNone/>
                <wp:docPr id="168" name="Frame1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administration of this Agreement, which are consistent with the terms of this Agreement, as it deems appropriate. </w:t>
      </w:r>
    </w:p>
    <w:p>
      <w:pPr>
        <w:pStyle w:val="TextBody"/>
        <w:bidi w:val="0"/>
        <w:spacing w:lineRule="auto" w:line="240" w:before="0" w:after="240"/>
        <w:ind w:left="0" w:right="0" w:firstLine="720"/>
        <w:jc w:val="left"/>
        <w:rPr/>
      </w:pPr>
      <w:r>
        <w:rPr>
          <w:rFonts w:ascii="Times New Roman;serif" w:hAnsi="Times New Roman;serif"/>
          <w:b w:val="false"/>
          <w:color w:val="000000"/>
          <w:sz w:val="24"/>
        </w:rPr>
        <w:t>9.</w:t>
      </w:r>
      <w:r>
        <w:rPr>
          <w:rFonts w:ascii="Times New Roman;serif" w:hAnsi="Times New Roman;serif"/>
          <w:b w:val="false"/>
          <w:color w:val="000000"/>
          <w:sz w:val="24"/>
          <w:u w:val="single"/>
        </w:rPr>
        <w:t>Restrictions on Transfer</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left"/>
        <w:rPr/>
      </w:pPr>
      <w:r>
        <w:rPr>
          <w:rFonts w:ascii="Times New Roman;serif" w:hAnsi="Times New Roman;serif"/>
          <w:b w:val="false"/>
          <w:color w:val="000000"/>
          <w:sz w:val="24"/>
        </w:rPr>
        <w:t>(a)</w:t>
      </w:r>
      <w:r>
        <w:rPr>
          <w:rFonts w:ascii="Times New Roman;serif" w:hAnsi="Times New Roman;serif"/>
          <w:b w:val="false"/>
          <w:color w:val="000000"/>
          <w:sz w:val="24"/>
        </w:rPr>
        <w:t>Except as otherwise permitted by the Committee, none of the Award LTIP Units granted hereunder nor any of the common units of the Partnership into which such Award LTIP Units may be converted (the “</w:t>
      </w:r>
      <w:r>
        <w:rPr>
          <w:rFonts w:ascii="Times New Roman;serif" w:hAnsi="Times New Roman;serif"/>
          <w:b w:val="false"/>
          <w:color w:val="000000"/>
          <w:sz w:val="24"/>
          <w:u w:val="single"/>
        </w:rPr>
        <w:t>Award Common Units</w:t>
      </w:r>
      <w:r>
        <w:rPr>
          <w:color w:val="000000"/>
        </w:rPr>
        <w:t>”</w:t>
      </w:r>
      <w:r>
        <w:rPr>
          <w:rFonts w:ascii="Times New Roman;serif" w:hAnsi="Times New Roman;serif"/>
          <w:b w:val="false"/>
          <w:color w:val="000000"/>
          <w:sz w:val="24"/>
        </w:rPr>
        <w:t>) shall be sold, assigned, transferred, pledged, hypothecated, given away or in any other manner disposed of, or encumbered, whether voluntarily or by operation of law (each such action a “</w:t>
      </w:r>
      <w:r>
        <w:rPr>
          <w:rFonts w:ascii="Times New Roman;serif" w:hAnsi="Times New Roman;serif"/>
          <w:b w:val="false"/>
          <w:color w:val="000000"/>
          <w:sz w:val="24"/>
          <w:u w:val="single"/>
        </w:rPr>
        <w:t>Transfer</w:t>
      </w:r>
      <w:r>
        <w:rPr>
          <w:color w:val="000000"/>
        </w:rPr>
        <w:t>”</w:t>
      </w:r>
      <w:r>
        <w:rPr>
          <w:rFonts w:ascii="Times New Roman;serif" w:hAnsi="Times New Roman;serif"/>
          <w:b w:val="false"/>
          <w:color w:val="000000"/>
          <w:sz w:val="24"/>
        </w:rPr>
        <w:t>) and the Exchange Right (as defined in the LP Agreement) may not be exercised with respect to the Award Common Units, provided that, for Award LTIP Units (and any Award Common Units into which such Award LTIP Units may be converted), at any time after the date that (i) such Award LTIP Units have become Earned LTIP Units and vested and (ii) is two years after the Grant Date, (A) such Award LTIP Units or Award Common Units may be Transferred to a charity or to the Participant’s Family Members (as defined below) by gift or domestic relations order, provided that the transferee agrees in writing with the Company and the Partnership to be bound by all the terms and conditions of this Agreement and that subsequent Transfers shall be prohibited except those in accordance with this Section 9 and (B) the Exchange Right may be exercised with respect to such Award Common Units, and such Award Common Units may be Transferred to the Partnership or the Company in connection with the exercise of the Exchange Right, in accordance with and to the extent otherwise permitted by the terms of the LP Agreement. Additionally, all Transfers of Award LTIP Units or Award Common Units must be in compliance with all applicable securities laws (including, without limitation, the Securities Act) and the applicable terms and conditions of the LP Agreement. In connection with any Transfer of Award LTIP Units or Award Common Units, the Partnership may require the Participant to provide an opinion of counsel, satisfactory to the Partnership, that such Transfer is in compliance with all federal and state securities laws (including, without limitation, the Securities Act). Any attempted Transfer of Award LTIP Units or Award Common Units not in accordance with the terms and conditions of this Section 9 shall be null and void, and the Partnership shall not reflect on its records any change in record ownership of any Award LTIP Units or Award Common Units as a result of any such Transfer, shall otherwise refuse to recognize any such Transfer and shall not in any way give effect to any such Transfer of any Award LTIP Units or Award Common Units. Except as otherwise provided herein, this Agreement is personal to the Participant, is non-assignable and is not transferable in any manner, by operation of law or otherwise, other than by will or the laws of descent and distribution.</w:t>
      </w:r>
    </w:p>
    <w:p>
      <w:pPr>
        <w:pStyle w:val="TextBody"/>
        <w:bidi w:val="0"/>
        <w:spacing w:lineRule="auto" w:line="240" w:before="0" w:after="240"/>
        <w:ind w:left="0" w:right="0" w:firstLine="720"/>
        <w:jc w:val="left"/>
        <w:rPr/>
      </w:pPr>
      <w:r>
        <w:rPr>
          <w:rFonts w:ascii="Times New Roman;serif" w:hAnsi="Times New Roman;serif"/>
          <w:b w:val="false"/>
          <w:color w:val="000000"/>
          <w:sz w:val="24"/>
        </w:rPr>
        <w:t>(b)</w:t>
      </w:r>
      <w:r>
        <w:rPr>
          <w:rFonts w:ascii="Times New Roman;serif" w:hAnsi="Times New Roman;serif"/>
          <w:b w:val="false"/>
          <w:color w:val="000000"/>
          <w:sz w:val="24"/>
        </w:rPr>
        <w:t>For purposes of this Agreement, “</w:t>
      </w:r>
      <w:r>
        <w:rPr>
          <w:rFonts w:ascii="Times New Roman;serif" w:hAnsi="Times New Roman;serif"/>
          <w:b w:val="false"/>
          <w:color w:val="000000"/>
          <w:sz w:val="24"/>
          <w:u w:val="single"/>
        </w:rPr>
        <w:t>Family Member</w:t>
      </w:r>
      <w:r>
        <w:rPr>
          <w:color w:val="000000"/>
        </w:rPr>
        <w:t xml:space="preserve">” </w:t>
      </w:r>
      <w:r>
        <w:rPr>
          <w:rFonts w:ascii="Times New Roman;serif" w:hAnsi="Times New Roman;serif"/>
          <w:b w:val="false"/>
          <w:color w:val="000000"/>
          <w:sz w:val="24"/>
        </w:rPr>
        <w:t>of a Participant, means the Participant’s child, stepchild, grandchild, parent, stepparent, grandparent, spouse, former spouse, sibling, niece, nephew, mother-in-law, father-in-law, son-in-law, daughter-in-law, brother-in-law, or sister-in-law, including adoptive relationships, any person sharing the Participant’s household (other than a tenant of the Participant), a trust in which these persons (or the Participant) own more than 50 percent of the beneficial interest, a foundation in which these persons (or the Participant) control the management of assets, and any other entity in which these persons (or the Participant) own more than 50 percent of the voting interests.</w:t>
      </w:r>
    </w:p>
    <w:p>
      <w:pPr>
        <w:pStyle w:val="TextBody"/>
        <w:bidi w:val="0"/>
        <w:spacing w:lineRule="auto" w:line="240" w:before="0" w:after="240"/>
        <w:ind w:left="0" w:right="0" w:firstLine="720"/>
        <w:jc w:val="left"/>
        <w:rPr/>
      </w:pPr>
      <w:r>
        <w:rPr>
          <w:rFonts w:ascii="Times New Roman;serif" w:hAnsi="Times New Roman;serif"/>
          <w:b w:val="false"/>
          <w:color w:val="000000"/>
          <w:sz w:val="24"/>
        </w:rPr>
        <w:t>10.</w:t>
      </w:r>
      <w:r>
        <w:rPr>
          <w:rFonts w:ascii="Times New Roman;serif" w:hAnsi="Times New Roman;serif"/>
          <w:b w:val="false"/>
          <w:color w:val="000000"/>
          <w:sz w:val="24"/>
          <w:u w:val="single"/>
        </w:rPr>
        <w:t>Legend</w:t>
      </w:r>
      <w:r>
        <w:rPr>
          <w:rFonts w:ascii="Times New Roman;serif" w:hAnsi="Times New Roman;serif"/>
          <w:b w:val="false"/>
          <w:color w:val="000000"/>
          <w:sz w:val="24"/>
        </w:rPr>
        <w:t>. The records of the Partnership and any other documentation evidencing the Award LTIP Units shall bear an appropriate legend, as determined by the Partnership in its sole discretion, to the effect that such LTIP Units are subject to restrictions as set forth herein, in the Plan and in the LP Agreement.</w:t>
      </w:r>
    </w:p>
    <w:p>
      <w:pPr>
        <w:pStyle w:val="TextBody"/>
        <w:bidi w:val="0"/>
        <w:spacing w:lineRule="auto" w:line="240" w:before="0" w:after="240"/>
        <w:ind w:left="0" w:right="0" w:firstLine="720"/>
        <w:jc w:val="left"/>
        <w:rPr/>
      </w:pPr>
      <w:r>
        <w:rPr>
          <w:rFonts w:ascii="Times New Roman;serif" w:hAnsi="Times New Roman;serif"/>
          <w:b w:val="false"/>
          <w:color w:val="000000"/>
          <w:sz w:val="24"/>
        </w:rPr>
        <w:t>11.</w:t>
      </w:r>
      <w:r>
        <w:rPr>
          <w:rFonts w:ascii="Times New Roman;serif" w:hAnsi="Times New Roman;serif"/>
          <w:b w:val="false"/>
          <w:color w:val="000000"/>
          <w:sz w:val="24"/>
          <w:u w:val="single"/>
        </w:rPr>
        <w:t>Tax Matters; Section 83(b) Election</w:t>
      </w:r>
      <w:r>
        <w:rPr>
          <w:rFonts w:ascii="Times New Roman;serif" w:hAnsi="Times New Roman;serif"/>
          <w:b w:val="false"/>
          <w:color w:val="000000"/>
          <w:sz w:val="24"/>
        </w:rPr>
        <w:t xml:space="preserve">. The Participant hereby agrees to make an election to include in gross income in the year of transfer the fair market value of the Award LTIP Units hereunder pursuant to Section 83(b) of the Internal Revenue Code substantially in the </w:t>
      </w:r>
    </w:p>
    <w:p>
      <w:pPr>
        <w:pStyle w:val="TextBody"/>
        <w:bidi w:val="0"/>
        <w:spacing w:before="0" w:after="0"/>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75260"/>
                <wp:effectExtent l="0" t="0" r="0" b="0"/>
                <wp:wrapNone/>
                <wp:docPr id="169" name="Frame1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240" w:before="0" w:after="240"/>
        <w:jc w:val="left"/>
        <w:rPr/>
      </w:pPr>
      <w:r>
        <w:rPr>
          <w:rFonts w:ascii="Times New Roman;serif" w:hAnsi="Times New Roman;serif"/>
          <w:b w:val="false"/>
          <w:color w:val="000000"/>
          <w:sz w:val="24"/>
        </w:rPr>
        <w:t xml:space="preserve">form attached hereto as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and to supply the necessary information in accordance with the regulations promulgated thereunder.</w:t>
      </w:r>
    </w:p>
    <w:p>
      <w:pPr>
        <w:pStyle w:val="TextBody"/>
        <w:bidi w:val="0"/>
        <w:spacing w:lineRule="auto" w:line="240" w:before="0" w:after="240"/>
        <w:ind w:left="0" w:right="0" w:firstLine="720"/>
        <w:jc w:val="left"/>
        <w:rPr/>
      </w:pPr>
      <w:r>
        <w:rPr>
          <w:rFonts w:ascii="Times New Roman;serif" w:hAnsi="Times New Roman;serif"/>
          <w:b w:val="false"/>
          <w:color w:val="000000"/>
          <w:sz w:val="24"/>
        </w:rPr>
        <w:t>12.</w:t>
      </w:r>
      <w:r>
        <w:rPr>
          <w:rFonts w:ascii="Times New Roman;serif" w:hAnsi="Times New Roman;serif"/>
          <w:b w:val="false"/>
          <w:color w:val="000000"/>
          <w:sz w:val="24"/>
          <w:u w:val="single"/>
        </w:rPr>
        <w:t>Withholding and Taxes</w:t>
      </w:r>
      <w:r>
        <w:rPr>
          <w:rFonts w:ascii="Times New Roman;serif" w:hAnsi="Times New Roman;serif"/>
          <w:b w:val="false"/>
          <w:color w:val="000000"/>
          <w:sz w:val="24"/>
        </w:rPr>
        <w:t>. No later than the date as of which an amount first becomes includible in the gross income of the Participant for income tax purposes or subject to the Federal Insurance Contributions Act withholding with respect to the Award LTIP Units granted hereunder, the Participant will pay to the Company or, if appropriate, any of its Subsidiaries, or make arrangements satisfactory to the Committee regarding the payment of, any United States federal, state or local or foreign taxes of any kind required by law to be withheld with respect to such amount. The Company may cause the required minimum tax withholding obligation to be satisfied, in whole or in part, by withholding from shares of Stock to be issued to the Participant in respect of the Participant’s exercise of the Exchange Right a number of shares of Stock with an aggregate Fair Market Value that would satisfy the withholding amount due. The obligations of the Company under this Agreement will be conditional on such payment or arrangements, and the Company and its Subsidiaries shall, to the extent permitted by law, have the right to deduct any such taxes from any payment otherwise due to the Participant.</w:t>
      </w:r>
    </w:p>
    <w:p>
      <w:pPr>
        <w:pStyle w:val="TextBody"/>
        <w:bidi w:val="0"/>
        <w:spacing w:lineRule="auto" w:line="240" w:before="0" w:after="240"/>
        <w:ind w:left="0" w:right="0" w:firstLine="720"/>
        <w:jc w:val="left"/>
        <w:rPr/>
      </w:pPr>
      <w:r>
        <w:rPr>
          <w:rFonts w:ascii="Times New Roman;serif" w:hAnsi="Times New Roman;serif"/>
          <w:b w:val="false"/>
          <w:color w:val="000000"/>
          <w:sz w:val="24"/>
        </w:rPr>
        <w:t>13.</w:t>
      </w:r>
      <w:r>
        <w:rPr>
          <w:rFonts w:ascii="Times New Roman;serif" w:hAnsi="Times New Roman;serif"/>
          <w:b w:val="false"/>
          <w:color w:val="000000"/>
          <w:sz w:val="24"/>
          <w:u w:val="single"/>
        </w:rPr>
        <w:t>Clawback</w:t>
      </w:r>
      <w:r>
        <w:rPr>
          <w:rFonts w:ascii="Times New Roman;serif" w:hAnsi="Times New Roman;serif"/>
          <w:b w:val="false"/>
          <w:color w:val="000000"/>
          <w:sz w:val="24"/>
        </w:rPr>
        <w:t xml:space="preserve">. The Participant’s rights under this Agreement shall be subject to any clawback, recoupment or forfeiture provisions (i) required by law or regulation and applicable to the Company or any of its subsidiaries or affiliates in effect from time to time or (ii) set forth in any policies adopted or maintained by the Company or any of its subsidiaries or affiliates as in effect from time to time, including, without limitation, the Company’s Policy Regarding the Mandatory Recovery of Compensation, effective as of October 26, 2023. </w:t>
      </w:r>
    </w:p>
    <w:p>
      <w:pPr>
        <w:pStyle w:val="TextBody"/>
        <w:bidi w:val="0"/>
        <w:spacing w:lineRule="auto" w:line="240" w:before="0" w:after="240"/>
        <w:ind w:left="0" w:right="0" w:firstLine="720"/>
        <w:jc w:val="left"/>
        <w:rPr/>
      </w:pPr>
      <w:r>
        <w:rPr>
          <w:rFonts w:ascii="Times New Roman;serif" w:hAnsi="Times New Roman;serif"/>
          <w:b w:val="false"/>
          <w:color w:val="000000"/>
          <w:sz w:val="24"/>
        </w:rPr>
        <w:t>14.</w:t>
      </w:r>
      <w:r>
        <w:rPr>
          <w:rFonts w:ascii="Times New Roman;serif" w:hAnsi="Times New Roman;serif"/>
          <w:b w:val="false"/>
          <w:color w:val="000000"/>
          <w:sz w:val="24"/>
          <w:u w:val="single"/>
        </w:rPr>
        <w:t>Amendment; Modification</w:t>
      </w:r>
      <w:r>
        <w:rPr>
          <w:rFonts w:ascii="Times New Roman;serif" w:hAnsi="Times New Roman;serif"/>
          <w:b w:val="false"/>
          <w:color w:val="000000"/>
          <w:sz w:val="24"/>
        </w:rPr>
        <w:t>. This Agreement may only be modified or amended in a writing signed by the parties hereto, provided that the Participant acknowledges that the Plan may be amended or discontinued in accordance with Article 14 thereof and that this Agreement may be amended or canceled by the Committee, on behalf of the Company and the Partnership, in each case for the purpose of satisfying changes in law or for any other lawful purpose, so long as no such action shall adversely affect the Participant’s rights under this Agreement without the Participant’s written consent. No promises, assurances, commitments, agreements, undertakings or representations, whether oral, written, electronic or otherwise, and whether express or implied, with respect to the subject matter hereof, have been made by the parties which are not set forth expressly in this Agreement. The failure of the Participant or the Company or the Partnership to insist upon strict compliance with any provision of this Agreement, or to assert any right the Participant or the Company or the Partnership, respectively, may have under this Agreement, shall not be deemed to be a waiver of such provision or right or any other provision or right of this Agreement.</w:t>
      </w:r>
    </w:p>
    <w:p>
      <w:pPr>
        <w:pStyle w:val="TextBody"/>
        <w:bidi w:val="0"/>
        <w:spacing w:lineRule="auto" w:line="240" w:before="0" w:after="240"/>
        <w:ind w:left="0" w:right="0" w:firstLine="720"/>
        <w:jc w:val="left"/>
        <w:rPr/>
      </w:pPr>
      <w:r>
        <w:rPr>
          <w:rFonts w:ascii="Times New Roman;serif" w:hAnsi="Times New Roman;serif"/>
          <w:b w:val="false"/>
          <w:color w:val="000000"/>
          <w:sz w:val="24"/>
        </w:rPr>
        <w:t>15.</w:t>
      </w:r>
      <w:r>
        <w:rPr>
          <w:rFonts w:ascii="Times New Roman;serif" w:hAnsi="Times New Roman;serif"/>
          <w:b w:val="false"/>
          <w:color w:val="000000"/>
          <w:sz w:val="24"/>
          <w:u w:val="single"/>
        </w:rPr>
        <w:t>Complete Agreement</w:t>
      </w:r>
      <w:r>
        <w:rPr>
          <w:rFonts w:ascii="Times New Roman;serif" w:hAnsi="Times New Roman;serif"/>
          <w:b w:val="false"/>
          <w:color w:val="000000"/>
          <w:sz w:val="24"/>
        </w:rPr>
        <w:t>. Other than as specifically stated herein or as otherwise set forth in any employment, change in control or other agreement or arrangement to which the Participant is a party which specifically refers to the Award LTIP Units or to the treatment of compensatory equity held by the Participant generally, this Agreement (together with those agreements and documents expressly referred to herein, for the purposes referred to herein) embody the complete and entire agreement and understanding between the parties with respect to the subject matter hereof, and supersede any and all prior promises, assurances, commitments, agreements, undertakings or representations, whether oral, written, electronic or otherwise, and whether express or implied, which may relate to the subject matter hereof in any way.</w:t>
      </w:r>
    </w:p>
    <w:p>
      <w:pPr>
        <w:pStyle w:val="TextBody"/>
        <w:bidi w:val="0"/>
        <w:spacing w:lineRule="auto" w:line="240" w:before="0" w:after="240"/>
        <w:ind w:left="0" w:right="0" w:firstLine="720"/>
        <w:jc w:val="left"/>
        <w:rPr/>
      </w:pPr>
      <w:r>
        <w:rPr>
          <w:rFonts w:ascii="Times New Roman;serif" w:hAnsi="Times New Roman;serif"/>
          <w:b w:val="false"/>
          <w:color w:val="000000"/>
          <w:sz w:val="24"/>
        </w:rPr>
        <w:t>16.</w:t>
      </w:r>
      <w:r>
        <w:rPr>
          <w:rFonts w:ascii="Times New Roman;serif" w:hAnsi="Times New Roman;serif"/>
          <w:b w:val="false"/>
          <w:color w:val="000000"/>
          <w:sz w:val="24"/>
          <w:u w:val="single"/>
        </w:rPr>
        <w:t>Investment Representation; Registration</w:t>
      </w:r>
      <w:r>
        <w:rPr>
          <w:rFonts w:ascii="Times New Roman;serif" w:hAnsi="Times New Roman;serif"/>
          <w:b w:val="false"/>
          <w:color w:val="000000"/>
          <w:sz w:val="24"/>
        </w:rPr>
        <w:t xml:space="preserve">. The Participant hereby makes the covenants, representations and warranties set forth on </w:t>
      </w:r>
      <w:r>
        <w:rPr>
          <w:rFonts w:ascii="Times New Roman;serif" w:hAnsi="Times New Roman;serif"/>
          <w:b w:val="false"/>
          <w:color w:val="000000"/>
          <w:sz w:val="24"/>
          <w:u w:val="single"/>
        </w:rPr>
        <w:t>Exhibit C</w:t>
      </w:r>
      <w:r>
        <w:rPr>
          <w:color w:val="000000"/>
        </w:rPr>
        <w:t xml:space="preserve"> </w:t>
      </w:r>
      <w:r>
        <w:rPr>
          <w:rFonts w:ascii="Times New Roman;serif" w:hAnsi="Times New Roman;serif"/>
          <w:b w:val="false"/>
          <w:color w:val="000000"/>
          <w:sz w:val="24"/>
        </w:rPr>
        <w:t xml:space="preserve">attached hereto as of the Grant Date. All of such covenants, warranties and representations shall survive the execution and delivery of this Agreement by the Participant. The Participant shall promptly notify the Partnership upon discovering that any of the representations or warranties set forth on </w:t>
      </w:r>
      <w:r>
        <w:rPr>
          <w:rFonts w:ascii="Times New Roman;serif" w:hAnsi="Times New Roman;serif"/>
          <w:b w:val="false"/>
          <w:color w:val="000000"/>
          <w:sz w:val="24"/>
          <w:u w:val="single"/>
        </w:rPr>
        <w:t>Exhibit C</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75260"/>
                <wp:effectExtent l="0" t="0" r="0" b="0"/>
                <wp:wrapNone/>
                <wp:docPr id="170" name="Frame1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was false when made or have, as a result of changes in circumstances, become false. The Partnership will have no obligation to register under the Securities Act any of the Award LTIP Units or upon conversion or exchange of the Award LTIP Units into other limited partnership interests of the Partnership.</w:t>
      </w:r>
    </w:p>
    <w:p>
      <w:pPr>
        <w:pStyle w:val="TextBody"/>
        <w:bidi w:val="0"/>
        <w:spacing w:lineRule="auto" w:line="240" w:before="0" w:after="240"/>
        <w:ind w:left="0" w:right="0" w:firstLine="720"/>
        <w:jc w:val="left"/>
        <w:rPr/>
      </w:pPr>
      <w:r>
        <w:rPr>
          <w:rFonts w:ascii="Times New Roman;serif" w:hAnsi="Times New Roman;serif"/>
          <w:b w:val="false"/>
          <w:color w:val="000000"/>
          <w:sz w:val="24"/>
        </w:rPr>
        <w:t>17.</w:t>
      </w:r>
      <w:r>
        <w:rPr>
          <w:rFonts w:ascii="Times New Roman;serif" w:hAnsi="Times New Roman;serif"/>
          <w:b w:val="false"/>
          <w:color w:val="000000"/>
          <w:sz w:val="24"/>
          <w:u w:val="single"/>
        </w:rPr>
        <w:t>No Obligation to Continue Employment</w:t>
      </w:r>
      <w:r>
        <w:rPr>
          <w:rFonts w:ascii="Times New Roman;serif" w:hAnsi="Times New Roman;serif"/>
          <w:b w:val="false"/>
          <w:color w:val="000000"/>
          <w:sz w:val="24"/>
        </w:rPr>
        <w:t>. Neither the Company nor any Subsidiary is obligated by or as a result of the Plan or this Agreement to continue the Participant in employment and neither the Plan nor this Agreement shall interfere in any way with the right of the Company or any Subsidiary to terminate the employment of the Participant at any time.</w:t>
      </w:r>
    </w:p>
    <w:p>
      <w:pPr>
        <w:pStyle w:val="TextBody"/>
        <w:bidi w:val="0"/>
        <w:spacing w:lineRule="auto" w:line="240" w:before="0" w:after="240"/>
        <w:ind w:left="0" w:right="0" w:firstLine="720"/>
        <w:jc w:val="left"/>
        <w:rPr/>
      </w:pPr>
      <w:r>
        <w:rPr>
          <w:rFonts w:ascii="Times New Roman;serif" w:hAnsi="Times New Roman;serif"/>
          <w:b w:val="false"/>
          <w:color w:val="000000"/>
          <w:sz w:val="24"/>
        </w:rPr>
        <w:t>18.</w:t>
      </w:r>
      <w:r>
        <w:rPr>
          <w:rFonts w:ascii="Times New Roman;serif" w:hAnsi="Times New Roman;serif"/>
          <w:b w:val="false"/>
          <w:color w:val="000000"/>
          <w:sz w:val="24"/>
          <w:u w:val="single"/>
        </w:rPr>
        <w:t>No Limit on Other Compensation Arrangements</w:t>
      </w:r>
      <w:r>
        <w:rPr>
          <w:rFonts w:ascii="Times New Roman;serif" w:hAnsi="Times New Roman;serif"/>
          <w:b w:val="false"/>
          <w:color w:val="000000"/>
          <w:sz w:val="24"/>
        </w:rPr>
        <w:t>. Nothing contained in this Agreement shall preclude the Company from adopting or continuing in effect other or additional compensation plans, agreements or arrangements, and any such plans, agreements and arrangements may be either generally applicable or applicable only in specific cases or to specific persons.</w:t>
      </w:r>
    </w:p>
    <w:p>
      <w:pPr>
        <w:pStyle w:val="TextBody"/>
        <w:bidi w:val="0"/>
        <w:spacing w:lineRule="auto" w:line="240" w:before="0" w:after="240"/>
        <w:ind w:left="0" w:right="0" w:firstLine="720"/>
        <w:jc w:val="left"/>
        <w:rPr/>
      </w:pPr>
      <w:r>
        <w:rPr>
          <w:rFonts w:ascii="Times New Roman;serif" w:hAnsi="Times New Roman;serif"/>
          <w:b w:val="false"/>
          <w:color w:val="000000"/>
          <w:sz w:val="24"/>
        </w:rPr>
        <w:t>19.</w:t>
      </w:r>
      <w:r>
        <w:rPr>
          <w:rFonts w:ascii="Times New Roman;serif" w:hAnsi="Times New Roman;serif"/>
          <w:b w:val="false"/>
          <w:color w:val="000000"/>
          <w:sz w:val="24"/>
          <w:u w:val="single"/>
        </w:rPr>
        <w:t>Status of Award LTIP Units under the Plan</w:t>
      </w:r>
      <w:r>
        <w:rPr>
          <w:rFonts w:ascii="Times New Roman;serif" w:hAnsi="Times New Roman;serif"/>
          <w:b w:val="false"/>
          <w:color w:val="000000"/>
          <w:sz w:val="24"/>
        </w:rPr>
        <w:t>. The Award LTIP Units are both issued as equity securities of the Partnership and granted as an “Other Award” under the Plan. The Company will have the right at its option, as set forth in the LP Agreement, to issue Common Stock in exchange for partnership units into which Award LTIP Units may have been converted pursuant to the LP Agreement, subject to certain limitations set forth in the LP Agreement, and such Common Stock, if issued, will be issued under the Plan. The Participant acknowledges that the Participant will have no right to approve or disapprove such election by the Company.</w:t>
      </w:r>
    </w:p>
    <w:p>
      <w:pPr>
        <w:pStyle w:val="TextBody"/>
        <w:bidi w:val="0"/>
        <w:spacing w:lineRule="auto" w:line="240" w:before="0" w:after="240"/>
        <w:ind w:left="0" w:right="0" w:firstLine="720"/>
        <w:jc w:val="left"/>
        <w:rPr/>
      </w:pPr>
      <w:r>
        <w:rPr>
          <w:rFonts w:ascii="Times New Roman;serif" w:hAnsi="Times New Roman;serif"/>
          <w:b w:val="false"/>
          <w:color w:val="000000"/>
          <w:sz w:val="24"/>
        </w:rPr>
        <w:t>20.</w:t>
      </w:r>
      <w:r>
        <w:rPr>
          <w:rFonts w:ascii="Times New Roman;serif" w:hAnsi="Times New Roman;serif"/>
          <w:b w:val="false"/>
          <w:color w:val="000000"/>
          <w:sz w:val="24"/>
          <w:u w:val="single"/>
        </w:rPr>
        <w:t>Severability</w:t>
      </w:r>
      <w:r>
        <w:rPr>
          <w:rFonts w:ascii="Times New Roman;serif" w:hAnsi="Times New Roman;serif"/>
          <w:b w:val="false"/>
          <w:color w:val="000000"/>
          <w:sz w:val="24"/>
        </w:rPr>
        <w:t>. If any term or provision of this Agreement is, becomes or is deemed to be invalid, illegal or unenforceable in any jurisdiction or under any applicable law, rule or regulation, then such provision shall be construed or deemed amended to conform to applicable law (or if such provision cannot be so construed or deemed amended without materially altering the purpose or intent of this Agreement and the grant of Award LTIP Units hereunder, such provision shall be stricken as to such jurisdiction and the remainder of this Agreement and the award hereunder shall remain in full force and effect).</w:t>
      </w:r>
    </w:p>
    <w:p>
      <w:pPr>
        <w:pStyle w:val="TextBody"/>
        <w:bidi w:val="0"/>
        <w:spacing w:lineRule="auto" w:line="240" w:before="0" w:after="240"/>
        <w:ind w:left="0" w:right="0" w:firstLine="720"/>
        <w:jc w:val="left"/>
        <w:rPr/>
      </w:pPr>
      <w:r>
        <w:rPr>
          <w:rFonts w:ascii="Times New Roman;serif" w:hAnsi="Times New Roman;serif"/>
          <w:b w:val="false"/>
          <w:color w:val="000000"/>
          <w:sz w:val="24"/>
        </w:rPr>
        <w:t>21.</w:t>
      </w:r>
      <w:r>
        <w:rPr>
          <w:rFonts w:ascii="Times New Roman;serif" w:hAnsi="Times New Roman;serif"/>
          <w:b w:val="false"/>
          <w:color w:val="000000"/>
          <w:sz w:val="24"/>
          <w:u w:val="single"/>
        </w:rPr>
        <w:t>Law Governing</w:t>
      </w:r>
      <w:r>
        <w:rPr>
          <w:rFonts w:ascii="Times New Roman;serif" w:hAnsi="Times New Roman;serif"/>
          <w:b w:val="false"/>
          <w:color w:val="000000"/>
          <w:sz w:val="24"/>
        </w:rPr>
        <w:t xml:space="preserve">. This Agreement shall be governed by and construed in accordance with the laws of the Commonwealth of Pennsylvania, without regard to any principles of conflicts of law which could cause the application of the laws of any jurisdiction other than the Commonwealth of Pennsylvania. </w:t>
      </w:r>
    </w:p>
    <w:p>
      <w:pPr>
        <w:pStyle w:val="TextBody"/>
        <w:bidi w:val="0"/>
        <w:spacing w:lineRule="auto" w:line="240" w:before="0" w:after="240"/>
        <w:ind w:left="0" w:right="0" w:firstLine="720"/>
        <w:jc w:val="left"/>
        <w:rPr/>
      </w:pPr>
      <w:r>
        <w:rPr>
          <w:rFonts w:ascii="Times New Roman;serif" w:hAnsi="Times New Roman;serif"/>
          <w:b w:val="false"/>
          <w:color w:val="000000"/>
          <w:sz w:val="24"/>
        </w:rPr>
        <w:t>22.</w:t>
      </w:r>
      <w:r>
        <w:rPr>
          <w:rFonts w:ascii="Times New Roman;serif" w:hAnsi="Times New Roman;serif"/>
          <w:b w:val="false"/>
          <w:color w:val="000000"/>
          <w:sz w:val="24"/>
          <w:u w:val="single"/>
        </w:rPr>
        <w:t>Headings</w:t>
      </w:r>
      <w:r>
        <w:rPr>
          <w:rFonts w:ascii="Times New Roman;serif" w:hAnsi="Times New Roman;serif"/>
          <w:b w:val="false"/>
          <w:color w:val="000000"/>
          <w:sz w:val="24"/>
        </w:rPr>
        <w:t>. Section, paragraph and other headings and captions are provided solely as a convenience to facilitate reference. Such headings and captions shall not be deemed in any way material or relevant to the construction, meaning or interpretation of this Agreement or any term or provision hereof.</w:t>
      </w:r>
    </w:p>
    <w:p>
      <w:pPr>
        <w:pStyle w:val="TextBody"/>
        <w:bidi w:val="0"/>
        <w:spacing w:lineRule="auto" w:line="240" w:before="0" w:after="240"/>
        <w:ind w:left="0" w:right="0" w:firstLine="720"/>
        <w:jc w:val="left"/>
        <w:rPr/>
      </w:pPr>
      <w:r>
        <w:rPr>
          <w:rFonts w:ascii="Times New Roman;serif" w:hAnsi="Times New Roman;serif"/>
          <w:b w:val="false"/>
          <w:color w:val="000000"/>
          <w:sz w:val="24"/>
        </w:rPr>
        <w:t>23.</w:t>
      </w:r>
      <w:r>
        <w:rPr>
          <w:rFonts w:ascii="Times New Roman;serif" w:hAnsi="Times New Roman;serif"/>
          <w:b w:val="false"/>
          <w:color w:val="000000"/>
          <w:sz w:val="24"/>
          <w:u w:val="single"/>
        </w:rPr>
        <w:t>Notices</w:t>
      </w:r>
      <w:r>
        <w:rPr>
          <w:rFonts w:ascii="Times New Roman;serif" w:hAnsi="Times New Roman;serif"/>
          <w:b w:val="false"/>
          <w:color w:val="000000"/>
          <w:sz w:val="24"/>
        </w:rPr>
        <w:t xml:space="preserve">. Notices hereunder shall be mailed or delivered to the Employer at its principal place of business at 845 Berkshire Blvd., Suite 200, Wyomissing, Pennsylvania 19610 and shall be mailed or delivered to the Participant at the address on file with the Employer or, in either case, at such other address as one party may subsequently furnish to the other party in writing. </w:t>
      </w:r>
    </w:p>
    <w:p>
      <w:pPr>
        <w:pStyle w:val="TextBody"/>
        <w:bidi w:val="0"/>
        <w:spacing w:lineRule="auto" w:line="240" w:before="0" w:after="240"/>
        <w:ind w:left="0" w:right="0" w:firstLine="720"/>
        <w:jc w:val="left"/>
        <w:rPr/>
      </w:pPr>
      <w:r>
        <w:rPr>
          <w:rFonts w:ascii="Times New Roman;serif" w:hAnsi="Times New Roman;serif"/>
          <w:b w:val="false"/>
          <w:color w:val="000000"/>
          <w:sz w:val="24"/>
        </w:rPr>
        <w:t>24.</w:t>
      </w:r>
      <w:r>
        <w:rPr>
          <w:rFonts w:ascii="Times New Roman;serif" w:hAnsi="Times New Roman;serif"/>
          <w:b w:val="false"/>
          <w:color w:val="000000"/>
          <w:sz w:val="24"/>
          <w:u w:val="single"/>
        </w:rPr>
        <w:t>Counterparts</w:t>
      </w:r>
      <w:r>
        <w:rPr>
          <w:rFonts w:ascii="Times New Roman;serif" w:hAnsi="Times New Roman;serif"/>
          <w:b w:val="false"/>
          <w:color w:val="000000"/>
          <w:sz w:val="24"/>
        </w:rPr>
        <w:t>. This Agreement may be executed in two or more separate counterparts, each of which shall be an original, and all of which together shall constitute one and the same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75260"/>
                <wp:effectExtent l="0" t="0" r="0" b="0"/>
                <wp:wrapNone/>
                <wp:docPr id="171" name="Frame1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240" w:before="0" w:after="240"/>
        <w:ind w:left="0" w:right="0" w:firstLine="720"/>
        <w:jc w:val="left"/>
        <w:rPr/>
      </w:pPr>
      <w:r>
        <w:rPr>
          <w:rFonts w:ascii="Times New Roman;serif" w:hAnsi="Times New Roman;serif"/>
          <w:b w:val="false"/>
          <w:color w:val="000000"/>
          <w:sz w:val="24"/>
        </w:rPr>
        <w:t>25.</w:t>
      </w:r>
      <w:r>
        <w:rPr>
          <w:rFonts w:ascii="Times New Roman;serif" w:hAnsi="Times New Roman;serif"/>
          <w:b w:val="false"/>
          <w:color w:val="000000"/>
          <w:sz w:val="24"/>
          <w:u w:val="single"/>
        </w:rPr>
        <w:t>Successors and Assigns</w:t>
      </w:r>
      <w:r>
        <w:rPr>
          <w:rFonts w:ascii="Times New Roman;serif" w:hAnsi="Times New Roman;serif"/>
          <w:b w:val="false"/>
          <w:color w:val="000000"/>
          <w:sz w:val="24"/>
        </w:rPr>
        <w:t>. The rights and obligations created hereunder shall be binding on the Participant and his or her heirs and legal representatives and on the successors and assigns of the Partnership.</w:t>
      </w:r>
    </w:p>
    <w:p>
      <w:pPr>
        <w:pStyle w:val="TextBody"/>
        <w:bidi w:val="0"/>
        <w:spacing w:lineRule="auto" w:line="240" w:before="0" w:after="240"/>
        <w:ind w:left="0" w:right="0" w:firstLine="720"/>
        <w:jc w:val="left"/>
        <w:rPr/>
      </w:pPr>
      <w:r>
        <w:rPr>
          <w:rFonts w:ascii="Times New Roman;serif" w:hAnsi="Times New Roman;serif"/>
          <w:b w:val="false"/>
          <w:color w:val="000000"/>
          <w:sz w:val="24"/>
        </w:rPr>
        <w:t>26.</w:t>
      </w:r>
      <w:r>
        <w:rPr>
          <w:rFonts w:ascii="Times New Roman;serif" w:hAnsi="Times New Roman;serif"/>
          <w:b w:val="false"/>
          <w:color w:val="000000"/>
          <w:sz w:val="24"/>
          <w:u w:val="single"/>
        </w:rPr>
        <w:t>Data Privacy Consent</w:t>
      </w:r>
      <w:r>
        <w:rPr>
          <w:rFonts w:ascii="Times New Roman;serif" w:hAnsi="Times New Roman;serif"/>
          <w:b w:val="false"/>
          <w:color w:val="000000"/>
          <w:sz w:val="24"/>
        </w:rPr>
        <w:t>. In order to administer the Plan and this Agreement and to implement or structure future equity grants, the Company and its agents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w:t>
      </w:r>
      <w:r>
        <w:rPr>
          <w:rFonts w:ascii="Times New Roman;serif" w:hAnsi="Times New Roman;serif"/>
          <w:b w:val="false"/>
          <w:color w:val="000000"/>
          <w:sz w:val="24"/>
          <w:u w:val="single"/>
        </w:rPr>
        <w:t>Relevant Information</w:t>
      </w:r>
      <w:r>
        <w:rPr>
          <w:color w:val="000000"/>
        </w:rPr>
        <w:t>”</w:t>
      </w:r>
      <w:r>
        <w:rPr>
          <w:rFonts w:ascii="Times New Roman;serif" w:hAnsi="Times New Roman;serif"/>
          <w:b w:val="false"/>
          <w:color w:val="000000"/>
          <w:sz w:val="24"/>
        </w:rPr>
        <w:t>). By entering into this Agreement, the Participant (i) authorizes the Company to collect, process, register and transfer to its agents all Relevant Information; and (ii) authorizes the Company and its agents to store and transmit such information in electronic form. The Participant shall have access to, and the right to change, the Relevant Information. Relevant Information will only be used in accordance with applicable law and to the extent necessary to administer the Plan and this Agreement, and the Company and its agents will keep the Relevant Information confidential except as specifically authorized under this paragraph.</w:t>
      </w:r>
    </w:p>
    <w:p>
      <w:pPr>
        <w:pStyle w:val="TextBody"/>
        <w:bidi w:val="0"/>
        <w:spacing w:lineRule="auto" w:line="240" w:before="0" w:after="240"/>
        <w:ind w:left="0" w:right="0" w:firstLine="720"/>
        <w:jc w:val="left"/>
        <w:rPr/>
      </w:pPr>
      <w:r>
        <w:rPr>
          <w:rFonts w:ascii="Times New Roman;serif" w:hAnsi="Times New Roman;serif"/>
          <w:b w:val="false"/>
          <w:color w:val="000000"/>
          <w:sz w:val="24"/>
        </w:rPr>
        <w:t>27.</w:t>
      </w:r>
      <w:r>
        <w:rPr>
          <w:rFonts w:ascii="Times New Roman;serif" w:hAnsi="Times New Roman;serif"/>
          <w:b w:val="false"/>
          <w:color w:val="000000"/>
          <w:sz w:val="24"/>
          <w:u w:val="single"/>
        </w:rPr>
        <w:t>Electronic Delivery of Documents</w:t>
      </w:r>
      <w:r>
        <w:rPr>
          <w:rFonts w:ascii="Times New Roman;serif" w:hAnsi="Times New Roman;serif"/>
          <w:b w:val="false"/>
          <w:color w:val="000000"/>
          <w:sz w:val="24"/>
        </w:rPr>
        <w:t>. By accepting this Agreement, the Participant (i) consents to the electronic delivery of this Agreement, all information with respect to the Plan and any reports of the Company provided generally to the Company’s stockholders; (ii) acknowledges that he or she may receive from the Company a paper copy of any documents delivered electronically at no cost to the Participant by contacting the Company by telephone or in writing; (iii) further acknowledges that he or she may revoke his or her consent to electronic delivery of documents at any time by notifying the Company of such revoked consent by telephone, postal service or electronic mail; and (iv) further acknowledges that he or she is not required to consent to electronic delivery of documents.</w:t>
      </w:r>
    </w:p>
    <w:p>
      <w:pPr>
        <w:pStyle w:val="TextBody"/>
        <w:bidi w:val="0"/>
        <w:spacing w:lineRule="auto" w:line="288" w:before="0" w:after="240"/>
        <w:ind w:left="0" w:right="0" w:hanging="720"/>
        <w:jc w:val="center"/>
        <w:rPr>
          <w:rFonts w:ascii="Times New Roman;serif" w:hAnsi="Times New Roman;serif"/>
          <w:b w:val="false"/>
          <w:color w:val="000000"/>
          <w:sz w:val="24"/>
        </w:rPr>
      </w:pPr>
      <w:r>
        <w:rPr>
          <w:rFonts w:ascii="Times New Roman;serif" w:hAnsi="Times New Roman;serif"/>
          <w:b w:val="false"/>
          <w:color w:val="000000"/>
          <w:sz w:val="24"/>
        </w:rPr>
        <w:t>28.[REMAINDER OF PAGE INTENTIONALLY LEFT BLANK]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75260"/>
                <wp:effectExtent l="0" t="0" r="0" b="0"/>
                <wp:wrapNone/>
                <wp:docPr id="172" name="Frame1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29.</w:t>
      </w:r>
    </w:p>
    <w:p>
      <w:pPr>
        <w:pStyle w:val="TextBody"/>
        <w:bidi w:val="0"/>
        <w:spacing w:lineRule="auto" w:line="288" w:before="0" w:after="600"/>
        <w:jc w:val="left"/>
        <w:rPr>
          <w:rFonts w:ascii="Times New Roman;serif" w:hAnsi="Times New Roman;serif"/>
          <w:b w:val="false"/>
          <w:color w:val="000000"/>
          <w:sz w:val="24"/>
        </w:rPr>
      </w:pPr>
      <w:r>
        <w:rPr>
          <w:rFonts w:ascii="Times New Roman;serif" w:hAnsi="Times New Roman;serif"/>
          <w:b w:val="false"/>
          <w:color w:val="000000"/>
          <w:sz w:val="24"/>
        </w:rPr>
        <w:t>GAMING AND LEISURE PROPERTIES, INC.</w:t>
      </w:r>
    </w:p>
    <w:p>
      <w:pPr>
        <w:pStyle w:val="TextBody"/>
        <w:bidi w:val="0"/>
        <w:spacing w:lineRule="auto" w:line="288" w:before="0" w:after="0"/>
        <w:ind w:left="0" w:right="0" w:hanging="450"/>
        <w:jc w:val="left"/>
        <w:rPr/>
      </w:pPr>
      <w:r>
        <w:rPr>
          <w:rFonts w:ascii="Times New Roman;serif" w:hAnsi="Times New Roman;serif"/>
          <w:b w:val="false"/>
          <w:color w:val="000000"/>
          <w:sz w:val="24"/>
        </w:rPr>
        <w:t>By:    </w:t>
      </w:r>
      <w:r>
        <w:rPr>
          <w:color w:val="000000"/>
          <w:u w:val="single"/>
        </w:rPr>
        <w:t>    </w:t>
      </w:r>
    </w:p>
    <w:p>
      <w:pPr>
        <w:pStyle w:val="TextBody"/>
        <w:bidi w:val="0"/>
        <w:spacing w:lineRule="auto" w:line="288" w:before="0" w:after="360"/>
        <w:ind w:left="0" w:right="0" w:hanging="450"/>
        <w:jc w:val="left"/>
        <w:rPr>
          <w:color w:val="000000"/>
        </w:rPr>
      </w:pPr>
      <w:r>
        <w:rPr>
          <w:color w:val="000000"/>
        </w:rPr>
        <w:t>    </w:t>
      </w:r>
      <w:r>
        <w:rPr>
          <w:rFonts w:ascii="Times New Roman;serif" w:hAnsi="Times New Roman;serif"/>
          <w:b w:val="false"/>
          <w:color w:val="000000"/>
          <w:sz w:val="24"/>
        </w:rPr>
        <w:t>[NAME]</w:t>
        <w:br/>
        <w:t>[TITLE]</w:t>
      </w:r>
    </w:p>
    <w:p>
      <w:pPr>
        <w:pStyle w:val="TextBody"/>
        <w:bidi w:val="0"/>
        <w:spacing w:lineRule="auto" w:line="288" w:before="0" w:after="240"/>
        <w:ind w:left="0" w:right="0" w:hanging="90"/>
        <w:jc w:val="left"/>
        <w:rPr>
          <w:rFonts w:ascii="Times New Roman;serif" w:hAnsi="Times New Roman;serif"/>
          <w:b w:val="false"/>
          <w:color w:val="000000"/>
          <w:sz w:val="24"/>
        </w:rPr>
      </w:pPr>
      <w:r>
        <w:rPr>
          <w:rFonts w:ascii="Times New Roman;serif" w:hAnsi="Times New Roman;serif"/>
          <w:b w:val="false"/>
          <w:color w:val="000000"/>
          <w:sz w:val="24"/>
        </w:rPr>
        <w:t>GLP CAPITAL, L.P.</w:t>
      </w:r>
    </w:p>
    <w:p>
      <w:pPr>
        <w:pStyle w:val="TextBody"/>
        <w:bidi w:val="0"/>
        <w:spacing w:lineRule="auto" w:line="288" w:before="0" w:after="600"/>
        <w:ind w:left="0" w:right="0" w:hanging="446"/>
        <w:jc w:val="left"/>
        <w:rPr>
          <w:rFonts w:ascii="Times New Roman;serif" w:hAnsi="Times New Roman;serif"/>
          <w:b w:val="false"/>
          <w:color w:val="000000"/>
          <w:sz w:val="24"/>
        </w:rPr>
      </w:pPr>
      <w:r>
        <w:rPr>
          <w:rFonts w:ascii="Times New Roman;serif" w:hAnsi="Times New Roman;serif"/>
          <w:b w:val="false"/>
          <w:color w:val="000000"/>
          <w:sz w:val="24"/>
        </w:rPr>
        <w:t>By:    GAMING AND LEISURE PROPERTIES, INC., its General Partner</w:t>
      </w:r>
    </w:p>
    <w:p>
      <w:pPr>
        <w:pStyle w:val="TextBody"/>
        <w:bidi w:val="0"/>
        <w:spacing w:lineRule="auto" w:line="288" w:before="0" w:after="0"/>
        <w:ind w:left="0" w:right="0" w:hanging="450"/>
        <w:jc w:val="left"/>
        <w:rPr/>
      </w:pPr>
      <w:r>
        <w:rPr>
          <w:rFonts w:ascii="Times New Roman;serif" w:hAnsi="Times New Roman;serif"/>
          <w:b w:val="false"/>
          <w:color w:val="000000"/>
          <w:sz w:val="24"/>
        </w:rPr>
        <w:t>By:    </w:t>
      </w:r>
      <w:r>
        <w:rPr>
          <w:color w:val="000000"/>
          <w:u w:val="single"/>
        </w:rPr>
        <w:t>    </w:t>
      </w:r>
    </w:p>
    <w:p>
      <w:pPr>
        <w:pStyle w:val="TextBody"/>
        <w:bidi w:val="0"/>
        <w:spacing w:lineRule="auto" w:line="288" w:before="0" w:after="360"/>
        <w:ind w:left="0" w:right="0" w:hanging="450"/>
        <w:jc w:val="left"/>
        <w:rPr>
          <w:color w:val="000000"/>
        </w:rPr>
      </w:pPr>
      <w:r>
        <w:rPr>
          <w:color w:val="000000"/>
        </w:rPr>
        <w:t>    </w:t>
      </w:r>
      <w:r>
        <w:rPr>
          <w:rFonts w:ascii="Times New Roman;serif" w:hAnsi="Times New Roman;serif"/>
          <w:b w:val="false"/>
          <w:color w:val="000000"/>
          <w:sz w:val="24"/>
        </w:rPr>
        <w:t>[NAME]</w:t>
        <w:br/>
        <w:t>[TITLE]</w:t>
      </w:r>
    </w:p>
    <w:p>
      <w:pPr>
        <w:pStyle w:val="TextBody"/>
        <w:bidi w:val="0"/>
        <w:spacing w:lineRule="auto" w:line="288" w:before="0" w:after="600"/>
        <w:jc w:val="left"/>
        <w:rPr>
          <w:rFonts w:ascii="Times New Roman;serif" w:hAnsi="Times New Roman;serif"/>
          <w:b w:val="false"/>
          <w:color w:val="000000"/>
          <w:sz w:val="24"/>
        </w:rPr>
      </w:pPr>
      <w:r>
        <w:rPr>
          <w:rFonts w:ascii="Times New Roman;serif" w:hAnsi="Times New Roman;serif"/>
          <w:b w:val="false"/>
          <w:color w:val="000000"/>
          <w:sz w:val="24"/>
        </w:rPr>
        <w:t>PARTICIPANT</w:t>
      </w:r>
    </w:p>
    <w:p>
      <w:pPr>
        <w:pStyle w:val="TextBody"/>
        <w:bidi w:val="0"/>
        <w:spacing w:lineRule="auto" w:line="288" w:before="0" w:after="0"/>
        <w:jc w:val="left"/>
        <w:rPr>
          <w:color w:val="000000"/>
          <w:u w:val="single"/>
        </w:rPr>
      </w:pPr>
      <w:r>
        <w:rPr>
          <w:color w:val="000000"/>
          <w:u w:val="single"/>
        </w:rPr>
        <w:t>    </w:t>
      </w:r>
    </w:p>
    <w:p>
      <w:pPr>
        <w:pStyle w:val="TextBody"/>
        <w:bidi w:val="0"/>
        <w:spacing w:lineRule="auto" w:line="288" w:before="0" w:after="0"/>
        <w:ind w:left="0" w:right="0" w:hanging="446"/>
        <w:jc w:val="left"/>
        <w:rPr>
          <w:rFonts w:ascii="Times New Roman;serif" w:hAnsi="Times New Roman;serif"/>
          <w:b w:val="false"/>
          <w:color w:val="000000"/>
          <w:sz w:val="24"/>
        </w:rPr>
      </w:pPr>
      <w:r>
        <w:rPr>
          <w:rFonts w:ascii="Times New Roman;serif" w:hAnsi="Times New Roman;serif"/>
          <w:b w:val="false"/>
          <w:color w:val="000000"/>
          <w:sz w:val="24"/>
        </w:rPr>
        <w:t xml:space="preserve">Name: </w:t>
      </w:r>
    </w:p>
    <w:p>
      <w:pPr>
        <w:pStyle w:val="TextBody"/>
        <w:bidi w:val="0"/>
        <w:spacing w:lineRule="auto" w:line="288" w:before="0" w:after="240"/>
        <w:ind w:left="0" w:right="0" w:hanging="446"/>
        <w:jc w:val="left"/>
        <w:rPr>
          <w:rFonts w:ascii="Times New Roman;serif" w:hAnsi="Times New Roman;serif"/>
          <w:b w:val="false"/>
          <w:color w:val="000000"/>
          <w:sz w:val="24"/>
        </w:rPr>
      </w:pPr>
      <w:r>
        <w:rPr>
          <w:rFonts w:ascii="Times New Roman;serif" w:hAnsi="Times New Roman;serif"/>
          <w:b w:val="false"/>
          <w:color w:val="000000"/>
          <w:sz w:val="24"/>
        </w:rPr>
        <w:t xml:space="preserve">Address: </w:t>
      </w:r>
    </w:p>
    <w:p>
      <w:pPr>
        <w:pStyle w:val="TextBody"/>
        <w:bidi w:val="0"/>
        <w:spacing w:lineRule="auto" w:line="288" w:before="0" w:after="120"/>
        <w:jc w:val="left"/>
        <w:rPr>
          <w:color w:val="000000"/>
          <w:u w:val="single"/>
        </w:rPr>
      </w:pPr>
      <w:r>
        <w:rPr>
          <w:color w:val="000000"/>
          <w:u w:val="single"/>
        </w:rPr>
        <w:t>    </w:t>
      </w:r>
    </w:p>
    <w:p>
      <w:pPr>
        <w:pStyle w:val="TextBody"/>
        <w:bidi w:val="0"/>
        <w:spacing w:lineRule="auto" w:line="288" w:before="0" w:after="120"/>
        <w:jc w:val="left"/>
        <w:rPr>
          <w:color w:val="000000"/>
          <w:u w:val="single"/>
        </w:rPr>
      </w:pPr>
      <w:r>
        <w:rPr>
          <w:color w:val="000000"/>
          <w:u w:val="single"/>
        </w:rPr>
        <w:t>    </w:t>
      </w:r>
    </w:p>
    <w:p>
      <w:pPr>
        <w:pStyle w:val="TextBody"/>
        <w:bidi w:val="0"/>
        <w:spacing w:lineRule="auto" w:line="288" w:before="0" w:after="240"/>
        <w:jc w:val="left"/>
        <w:rPr>
          <w:color w:val="000000"/>
          <w:u w:val="single"/>
        </w:rPr>
      </w:pPr>
      <w:r>
        <w:rPr>
          <w:color w:val="000000"/>
          <w:u w:val="single"/>
        </w:rPr>
        <w:t>    </w:t>
      </w:r>
    </w:p>
    <w:p>
      <w:pPr>
        <w:pStyle w:val="TextBody"/>
        <w:bidi w:val="0"/>
        <w:spacing w:before="0" w:after="4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75260"/>
                <wp:effectExtent l="0" t="0" r="0" b="0"/>
                <wp:wrapNone/>
                <wp:docPr id="173" name="Frame1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480"/>
        <w:jc w:val="center"/>
        <w:rPr>
          <w:rFonts w:ascii="Times New Roman;serif" w:hAnsi="Times New Roman;serif"/>
          <w:b/>
          <w:color w:val="000000"/>
          <w:sz w:val="24"/>
          <w:u w:val="single"/>
        </w:rPr>
      </w:pPr>
      <w:r>
        <w:rPr>
          <w:rFonts w:ascii="Times New Roman;serif" w:hAnsi="Times New Roman;serif"/>
          <w:b/>
          <w:color w:val="000000"/>
          <w:sz w:val="24"/>
          <w:u w:val="single"/>
        </w:rPr>
        <w:t>EXHIBIT A</w:t>
      </w:r>
    </w:p>
    <w:p>
      <w:pPr>
        <w:pStyle w:val="TextBody"/>
        <w:bidi w:val="0"/>
        <w:spacing w:lineRule="auto" w:line="288" w:before="0" w:after="480"/>
        <w:jc w:val="center"/>
        <w:rPr>
          <w:rFonts w:ascii="Times New Roman;serif" w:hAnsi="Times New Roman;serif"/>
          <w:b/>
          <w:color w:val="000000"/>
          <w:sz w:val="24"/>
        </w:rPr>
      </w:pPr>
      <w:r>
        <w:rPr>
          <w:rFonts w:ascii="Times New Roman;serif" w:hAnsi="Times New Roman;serif"/>
          <w:b/>
          <w:color w:val="000000"/>
          <w:sz w:val="24"/>
        </w:rPr>
        <w:t>FORM OF LIMITED PARTNER SIGNATURE PAGE (New Partners Only)</w:t>
      </w:r>
    </w:p>
    <w:p>
      <w:pPr>
        <w:pStyle w:val="TextBody"/>
        <w:bidi w:val="0"/>
        <w:spacing w:lineRule="auto" w:line="288" w:before="0" w:after="720"/>
        <w:ind w:left="0" w:right="0" w:firstLine="720"/>
        <w:jc w:val="left"/>
        <w:rPr/>
      </w:pPr>
      <w:r>
        <w:rPr>
          <w:rFonts w:ascii="Times New Roman;serif" w:hAnsi="Times New Roman;serif"/>
          <w:b w:val="false"/>
          <w:color w:val="000000"/>
          <w:sz w:val="24"/>
        </w:rPr>
        <w:t>The Participant, desiring to become one of the within named Limited Partners of GLP Capital, L.P., hereby becomes a party to the Amended and Restated Agreement of Limited Partnership of GLP Capital, L.P., as amended through the date hereof (the “</w:t>
      </w:r>
      <w:r>
        <w:rPr>
          <w:rFonts w:ascii="Times New Roman;serif" w:hAnsi="Times New Roman;serif"/>
          <w:b w:val="false"/>
          <w:color w:val="000000"/>
          <w:sz w:val="24"/>
          <w:u w:val="single"/>
        </w:rPr>
        <w:t>Partnership Agreement</w:t>
      </w:r>
      <w:r>
        <w:rPr>
          <w:color w:val="000000"/>
        </w:rPr>
        <w:t>”</w:t>
      </w:r>
      <w:r>
        <w:rPr>
          <w:rFonts w:ascii="Times New Roman;serif" w:hAnsi="Times New Roman;serif"/>
          <w:b w:val="false"/>
          <w:color w:val="000000"/>
          <w:sz w:val="24"/>
        </w:rPr>
        <w:t>). The Participant agrees that this signature page may be attached to any counterpart of the Partnership Agreement.</w:t>
      </w:r>
    </w:p>
    <w:p>
      <w:pPr>
        <w:pStyle w:val="TextBody"/>
        <w:bidi w:val="0"/>
        <w:spacing w:lineRule="auto" w:line="288" w:before="0" w:after="720"/>
        <w:ind w:left="0" w:right="0" w:hanging="446"/>
        <w:jc w:val="left"/>
        <w:rPr>
          <w:rFonts w:ascii="Times New Roman;serif" w:hAnsi="Times New Roman;serif"/>
          <w:b w:val="false"/>
          <w:color w:val="000000"/>
          <w:sz w:val="24"/>
        </w:rPr>
      </w:pPr>
      <w:r>
        <w:rPr>
          <w:rFonts w:ascii="Times New Roman;serif" w:hAnsi="Times New Roman;serif"/>
          <w:b w:val="false"/>
          <w:color w:val="000000"/>
          <w:sz w:val="24"/>
        </w:rPr>
        <w:t>Signature Line for Limited Partner:</w:t>
      </w:r>
    </w:p>
    <w:p>
      <w:pPr>
        <w:pStyle w:val="TextBody"/>
        <w:bidi w:val="0"/>
        <w:spacing w:lineRule="auto" w:line="288" w:before="0" w:after="0"/>
        <w:ind w:left="0" w:right="0" w:hanging="540"/>
        <w:jc w:val="left"/>
        <w:rPr/>
      </w:pPr>
      <w:r>
        <w:rPr>
          <w:rFonts w:ascii="Times New Roman;serif" w:hAnsi="Times New Roman;serif"/>
          <w:b w:val="false"/>
          <w:color w:val="000000"/>
          <w:sz w:val="24"/>
        </w:rPr>
        <w:t>By:    </w:t>
      </w:r>
      <w:r>
        <w:rPr>
          <w:color w:val="000000"/>
          <w:u w:val="single"/>
        </w:rPr>
        <w:t>    </w:t>
      </w:r>
    </w:p>
    <w:p>
      <w:pPr>
        <w:pStyle w:val="TextBody"/>
        <w:bidi w:val="0"/>
        <w:spacing w:lineRule="auto" w:line="288" w:before="0" w:after="0"/>
        <w:ind w:left="0" w:right="0" w:hanging="540"/>
        <w:jc w:val="left"/>
        <w:rPr>
          <w:color w:val="000000"/>
        </w:rPr>
      </w:pPr>
      <w:r>
        <w:rPr>
          <w:color w:val="000000"/>
        </w:rPr>
        <w:t>    </w:t>
      </w:r>
      <w:r>
        <w:rPr>
          <w:rFonts w:ascii="Times New Roman;serif" w:hAnsi="Times New Roman;serif"/>
          <w:b w:val="false"/>
          <w:color w:val="000000"/>
          <w:sz w:val="24"/>
        </w:rPr>
        <w:t xml:space="preserve">Name: </w:t>
      </w:r>
    </w:p>
    <w:p>
      <w:pPr>
        <w:pStyle w:val="TextBody"/>
        <w:bidi w:val="0"/>
        <w:spacing w:lineRule="auto" w:line="288" w:before="0" w:after="360"/>
        <w:ind w:left="0" w:right="0" w:hanging="547"/>
        <w:jc w:val="left"/>
        <w:rPr>
          <w:color w:val="000000"/>
        </w:rPr>
      </w:pPr>
      <w:r>
        <w:rPr>
          <w:color w:val="000000"/>
        </w:rPr>
        <w:t>    </w:t>
      </w:r>
      <w:r>
        <w:rPr>
          <w:rFonts w:ascii="Times New Roman;serif" w:hAnsi="Times New Roman;serif"/>
          <w:b w:val="false"/>
          <w:color w:val="000000"/>
          <w:sz w:val="24"/>
        </w:rPr>
        <w:t xml:space="preserve">Date: </w:t>
      </w:r>
    </w:p>
    <w:p>
      <w:pPr>
        <w:pStyle w:val="TextBody"/>
        <w:bidi w:val="0"/>
        <w:spacing w:lineRule="auto" w:line="288" w:before="0" w:after="240"/>
        <w:ind w:left="0" w:right="0" w:hanging="446"/>
        <w:jc w:val="left"/>
        <w:rPr>
          <w:rFonts w:ascii="Times New Roman;serif" w:hAnsi="Times New Roman;serif"/>
          <w:b w:val="false"/>
          <w:color w:val="000000"/>
          <w:sz w:val="24"/>
        </w:rPr>
      </w:pPr>
      <w:r>
        <w:rPr>
          <w:rFonts w:ascii="Times New Roman;serif" w:hAnsi="Times New Roman;serif"/>
          <w:b w:val="false"/>
          <w:color w:val="000000"/>
          <w:sz w:val="24"/>
        </w:rPr>
        <w:t>Address of Limited Partner:</w:t>
      </w:r>
    </w:p>
    <w:p>
      <w:pPr>
        <w:pStyle w:val="TextBody"/>
        <w:bidi w:val="0"/>
        <w:spacing w:lineRule="auto" w:line="288" w:before="0" w:after="240"/>
        <w:jc w:val="left"/>
        <w:rPr>
          <w:color w:val="000000"/>
          <w:u w:val="single"/>
        </w:rPr>
      </w:pPr>
      <w:r>
        <w:rPr>
          <w:color w:val="000000"/>
          <w:u w:val="single"/>
        </w:rPr>
        <w:t>    </w:t>
      </w:r>
    </w:p>
    <w:p>
      <w:pPr>
        <w:pStyle w:val="TextBody"/>
        <w:bidi w:val="0"/>
        <w:spacing w:lineRule="auto" w:line="288" w:before="0" w:after="240"/>
        <w:jc w:val="left"/>
        <w:rPr>
          <w:color w:val="000000"/>
          <w:u w:val="single"/>
        </w:rPr>
      </w:pPr>
      <w:r>
        <w:rPr>
          <w:color w:val="000000"/>
          <w:u w:val="single"/>
        </w:rPr>
        <w:t>    </w:t>
      </w:r>
    </w:p>
    <w:p>
      <w:pPr>
        <w:pStyle w:val="TextBody"/>
        <w:bidi w:val="0"/>
        <w:spacing w:lineRule="auto" w:line="288" w:before="0" w:after="240"/>
        <w:jc w:val="left"/>
        <w:rPr>
          <w:color w:val="000000"/>
          <w:u w:val="single"/>
        </w:rPr>
      </w:pPr>
      <w:r>
        <w:rPr>
          <w:color w:val="000000"/>
          <w:u w:val="singl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75260"/>
                <wp:effectExtent l="0" t="0" r="0" b="0"/>
                <wp:wrapNone/>
                <wp:docPr id="174" name="Frame1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480"/>
        <w:jc w:val="center"/>
        <w:rPr>
          <w:rFonts w:ascii="Times New Roman;serif" w:hAnsi="Times New Roman;serif"/>
          <w:b/>
          <w:color w:val="000000"/>
          <w:sz w:val="24"/>
          <w:u w:val="single"/>
        </w:rPr>
      </w:pPr>
      <w:r>
        <w:rPr>
          <w:rFonts w:ascii="Times New Roman;serif" w:hAnsi="Times New Roman;serif"/>
          <w:b/>
          <w:color w:val="000000"/>
          <w:sz w:val="24"/>
          <w:u w:val="single"/>
        </w:rPr>
        <w:t>EXHIBIT B</w:t>
      </w:r>
    </w:p>
    <w:p>
      <w:pPr>
        <w:pStyle w:val="TextBody"/>
        <w:bidi w:val="0"/>
        <w:spacing w:lineRule="auto" w:line="288" w:before="0" w:after="480"/>
        <w:jc w:val="center"/>
        <w:rPr/>
      </w:pPr>
      <w:r>
        <w:rPr>
          <w:rFonts w:ascii="Times New Roman;serif" w:hAnsi="Times New Roman;serif"/>
          <w:b/>
          <w:color w:val="000000"/>
          <w:sz w:val="24"/>
        </w:rPr>
        <w:t>ELECTION TO INCLUDE IN GROSS INCOME IN YEAR OF</w:t>
        <w:br/>
        <w:t>TRANSFER OF PROPERTY PURSUANT TO SECTION 83(B)</w:t>
        <w:br/>
        <w:t>OF THE INTERNAL REVENUE CODE</w:t>
      </w:r>
      <w:r>
        <w:rPr>
          <w:rFonts w:ascii="Times New Roman;serif" w:hAnsi="Times New Roman;serif"/>
          <w:b w:val="false"/>
          <w:color w:val="000000"/>
          <w:sz w:val="16"/>
        </w:rPr>
        <w:t>1</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undersigned hereby makes an election pursuant to Section 83(b) of the Internal Revenue Code of 1986, as amended, to include in gross income as compensation for services the fair market value of the property described below:</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1.    The name, address and taxpayer identification number of the undersigned and the taxable year for which this election is being made are:</w:t>
      </w:r>
    </w:p>
    <w:p>
      <w:pPr>
        <w:pStyle w:val="TextBody"/>
        <w:bidi w:val="0"/>
        <w:spacing w:lineRule="auto" w:line="288" w:before="0" w:after="240"/>
        <w:ind w:left="0" w:right="0" w:firstLine="1440"/>
        <w:jc w:val="left"/>
        <w:rPr/>
      </w:pPr>
      <w:r>
        <w:rPr>
          <w:rFonts w:ascii="Times New Roman;serif" w:hAnsi="Times New Roman;serif"/>
          <w:b w:val="false"/>
          <w:color w:val="000000"/>
          <w:sz w:val="24"/>
        </w:rPr>
        <w:t>Name:    </w:t>
      </w:r>
      <w:r>
        <w:rPr>
          <w:color w:val="000000"/>
          <w:u w:val="single"/>
        </w:rPr>
        <w:t>    </w:t>
      </w:r>
      <w:r>
        <w:rPr>
          <w:color w:val="000000"/>
        </w:rPr>
        <w:t xml:space="preserve"> </w:t>
      </w:r>
      <w:r>
        <w:rPr>
          <w:rFonts w:ascii="Times New Roman;serif" w:hAnsi="Times New Roman;serif"/>
          <w:b w:val="false"/>
          <w:color w:val="000000"/>
          <w:sz w:val="24"/>
        </w:rPr>
        <w:t>(the “</w:t>
      </w:r>
      <w:r>
        <w:rPr>
          <w:rFonts w:ascii="Times New Roman;serif" w:hAnsi="Times New Roman;serif"/>
          <w:b w:val="false"/>
          <w:color w:val="000000"/>
          <w:sz w:val="24"/>
          <w:u w:val="single"/>
        </w:rPr>
        <w:t>Taxpayer</w:t>
      </w:r>
      <w:r>
        <w:rPr>
          <w:color w:val="000000"/>
        </w:rPr>
        <w:t>”</w:t>
      </w:r>
      <w:r>
        <w:rPr>
          <w:rFonts w:ascii="Times New Roman;serif" w:hAnsi="Times New Roman;serif"/>
          <w:b w:val="false"/>
          <w:color w:val="000000"/>
          <w:sz w:val="24"/>
        </w:rPr>
        <w:t>)</w:t>
      </w:r>
    </w:p>
    <w:p>
      <w:pPr>
        <w:pStyle w:val="TextBody"/>
        <w:bidi w:val="0"/>
        <w:spacing w:lineRule="auto" w:line="288" w:before="0" w:after="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Address: ________________________________________________________</w:t>
      </w:r>
    </w:p>
    <w:p>
      <w:pPr>
        <w:pStyle w:val="TextBody"/>
        <w:bidi w:val="0"/>
        <w:spacing w:before="0" w:after="0"/>
        <w:ind w:left="0" w:right="0" w:firstLine="1440"/>
        <w:jc w:val="left"/>
        <w:rPr/>
      </w:pPr>
      <w:r>
        <w:rPr/>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Taxpayer’s Social Security No.: ______________________</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Taxable Year: Calendar Year 2026</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2.    Description of property with respect to which the election is being made:</w:t>
      </w:r>
    </w:p>
    <w:p>
      <w:pPr>
        <w:pStyle w:val="TextBody"/>
        <w:bidi w:val="0"/>
        <w:spacing w:lineRule="auto" w:line="288" w:before="0" w:after="240"/>
        <w:jc w:val="left"/>
        <w:rPr/>
      </w:pPr>
      <w:r>
        <w:rPr>
          <w:rFonts w:ascii="Times New Roman;serif" w:hAnsi="Times New Roman;serif"/>
          <w:b w:val="false"/>
          <w:color w:val="000000"/>
          <w:sz w:val="24"/>
        </w:rPr>
        <w:t>The election is being made with respect to ________ LTIP Units in GLP Capital, L.P. (the “</w:t>
      </w:r>
      <w:r>
        <w:rPr>
          <w:rFonts w:ascii="Times New Roman;serif" w:hAnsi="Times New Roman;serif"/>
          <w:b w:val="false"/>
          <w:color w:val="000000"/>
          <w:sz w:val="24"/>
          <w:u w:val="single"/>
        </w:rPr>
        <w:t>Partnership</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3.    The date on which the LTIP Units were transferred is January 2, 2026.</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4.    Nature of restrictions to which the LTIP Units are subject:</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(a)    With limited exceptions, until the LTIP Units vest, the Taxpayer may not transfer in any manner any portion of the LTIP Units.</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(b)    The Taxpayer’s LTIP Units vest in accordance with the vesting provision described in the Schedule attached hereto. Unvested LTIP Units are forfeited in accordance with the vesting provisions described in the Schedule attached here to.</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5.    The fair market value at time of transfer (determined without regard to any restrictions other than nonlapse restrictions as defined in §1.83-3(h) of the Income </w:t>
      </w:r>
    </w:p>
    <w:p>
      <w:pPr>
        <w:pStyle w:val="TextBody"/>
        <w:bidi w:val="0"/>
        <w:spacing w:lineRule="auto" w:line="288" w:before="0" w:after="0"/>
        <w:jc w:val="left"/>
        <w:rPr/>
      </w:pPr>
      <w:r>
        <w:rPr>
          <w:color w:val="000000"/>
        </w:rPr>
        <w:t>    </w:t>
      </w:r>
      <w:r>
        <w:rPr>
          <w:rFonts w:ascii="Times New Roman;serif" w:hAnsi="Times New Roman;serif"/>
          <w:b w:val="false"/>
          <w:color w:val="000000"/>
          <w:sz w:val="16"/>
        </w:rPr>
        <w:t>1</w:t>
      </w:r>
      <w:r>
        <w:rPr>
          <w:color w:val="000000"/>
        </w:rPr>
        <w:t xml:space="preserve"> </w:t>
      </w:r>
      <w:r>
        <w:rPr>
          <w:rFonts w:ascii="Times New Roman;serif" w:hAnsi="Times New Roman;serif"/>
          <w:b w:val="false"/>
          <w:color w:val="000000"/>
          <w:sz w:val="20"/>
        </w:rPr>
        <w:t xml:space="preserve">The 83(b) Election must be filed no later than 30 days after the date on which the property is transferred with the IRS office with which the taxpayer files his or her tax return. In other contexts, the IRS has indicated that this should be the address listed for the taxpayer’s state under “Are you not including a check or money order . . .” given in </w:t>
      </w:r>
      <w:r>
        <w:rPr>
          <w:rFonts w:ascii="Times New Roman;serif" w:hAnsi="Times New Roman;serif"/>
          <w:b w:val="false"/>
          <w:i/>
          <w:color w:val="000000"/>
          <w:sz w:val="20"/>
        </w:rPr>
        <w:t>Where Do You File</w:t>
      </w:r>
      <w:r>
        <w:rPr>
          <w:color w:val="000000"/>
        </w:rPr>
        <w:t xml:space="preserve"> </w:t>
      </w:r>
      <w:r>
        <w:rPr>
          <w:rFonts w:ascii="Times New Roman;serif" w:hAnsi="Times New Roman;serif"/>
          <w:b w:val="false"/>
          <w:color w:val="000000"/>
          <w:sz w:val="20"/>
        </w:rPr>
        <w:t>in the Instructions for Form 1040 and the Instructions for Form 1040A (this information can also be found by clicking on your state at http://www.irs.gov/file/content/0,,id=105690,00.html)</w:t>
      </w:r>
    </w:p>
    <w:p>
      <w:pPr>
        <w:pStyle w:val="TextBody"/>
        <w:bidi w:val="0"/>
        <w:spacing w:before="0" w:after="0"/>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769620"/>
                <wp:effectExtent l="0" t="0" r="0" b="0"/>
                <wp:wrapNone/>
                <wp:docPr id="175" name="Frame175"/>
                <a:graphic xmlns:a="http://schemas.openxmlformats.org/drawingml/2006/main">
                  <a:graphicData uri="http://schemas.microsoft.com/office/word/2010/wordprocessingShape">
                    <wps:wsp>
                      <wps:cNvSpPr txBox="1"/>
                      <wps:spPr>
                        <a:xfrm>
                          <a:off x="0" y="0"/>
                          <a:ext cx="6480175" cy="7696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B-1</w:t>
                            </w:r>
                            <w:r>
                              <w:br w:type="page"/>
                            </w:r>
                          </w:p>
                          <w:tbl>
                            <w:tblPr>
                              <w:tblW w:w="1769" w:type="dxa"/>
                              <w:jc w:val="left"/>
                              <w:tblInd w:w="0" w:type="dxa"/>
                              <w:tblLayout w:type="fixed"/>
                              <w:tblCellMar>
                                <w:top w:w="28" w:type="dxa"/>
                                <w:left w:w="28" w:type="dxa"/>
                                <w:bottom w:w="28" w:type="dxa"/>
                                <w:right w:w="28" w:type="dxa"/>
                              </w:tblCellMar>
                            </w:tblPr>
                            <w:tblGrid>
                              <w:gridCol w:w="565"/>
                              <w:gridCol w:w="497"/>
                              <w:gridCol w:w="707"/>
                            </w:tblGrid>
                            <w:tr>
                              <w:trPr/>
                              <w:tc>
                                <w:tcPr>
                                  <w:tcW w:w="565"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ACTIVE/134331419.4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B-1</w:t>
                      </w:r>
                    </w:p>
                    <w:tbl>
                      <w:tblPr>
                        <w:tblW w:w="1769" w:type="dxa"/>
                        <w:jc w:val="left"/>
                        <w:tblInd w:w="0" w:type="dxa"/>
                        <w:tblLayout w:type="fixed"/>
                        <w:tblCellMar>
                          <w:top w:w="28" w:type="dxa"/>
                          <w:left w:w="28" w:type="dxa"/>
                          <w:bottom w:w="28" w:type="dxa"/>
                          <w:right w:w="28" w:type="dxa"/>
                        </w:tblCellMar>
                      </w:tblPr>
                      <w:tblGrid>
                        <w:gridCol w:w="565"/>
                        <w:gridCol w:w="497"/>
                        <w:gridCol w:w="707"/>
                      </w:tblGrid>
                      <w:tr>
                        <w:trPr/>
                        <w:tc>
                          <w:tcPr>
                            <w:tcW w:w="565"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ACTIVE/134331419.4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Tax Regulations) of the LTIP Units with respect to which this election is being made is $0 per LTIP Unit.</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6.    The amount paid by the Taxpayer for the LTIP Units was $0 per LTIP Unit.</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7.    The amount to include in gross income is $0.</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8.    The undersigned taxpayer will file this election with the Internal Revenue Service Center at which taxpayer files his or her annual tax return not later than 30 days after the date of transfer of the property. A copy of this election will be furnished to the Partnership and to its general partner, Gaming and Leisure Properties, Inc. The undersigned is the person performing services in connection with which the LTIP Units were transferred.</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Dated: ___________________</w:t>
      </w:r>
    </w:p>
    <w:p>
      <w:pPr>
        <w:pStyle w:val="TextBody"/>
        <w:bidi w:val="0"/>
        <w:spacing w:lineRule="auto" w:line="288" w:before="0" w:after="0"/>
        <w:jc w:val="left"/>
        <w:rPr>
          <w:color w:val="000000"/>
          <w:u w:val="single"/>
        </w:rPr>
      </w:pPr>
      <w:r>
        <w:rPr>
          <w:color w:val="000000"/>
          <w:u w:val="single"/>
        </w:rPr>
        <w:t>    </w:t>
      </w:r>
    </w:p>
    <w:p>
      <w:pPr>
        <w:pStyle w:val="TextBody"/>
        <w:bidi w:val="0"/>
        <w:spacing w:lineRule="auto" w:line="288" w:before="0" w:after="480"/>
        <w:jc w:val="center"/>
        <w:rPr>
          <w:rFonts w:ascii="Times New Roman;serif" w:hAnsi="Times New Roman;serif"/>
          <w:b w:val="false"/>
          <w:color w:val="000000"/>
          <w:sz w:val="24"/>
        </w:rPr>
      </w:pPr>
      <w:r>
        <w:rPr>
          <w:rFonts w:ascii="Times New Roman;serif" w:hAnsi="Times New Roman;serif"/>
          <w:b w:val="false"/>
          <w:color w:val="000000"/>
          <w:sz w:val="24"/>
        </w:rPr>
        <w:t>Name:</w:t>
      </w:r>
    </w:p>
    <w:p>
      <w:pPr>
        <w:pStyle w:val="TextBody"/>
        <w:bidi w:val="0"/>
        <w:spacing w:before="0" w:after="0"/>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75260"/>
                <wp:effectExtent l="0" t="0" r="0" b="0"/>
                <wp:wrapNone/>
                <wp:docPr id="176" name="Frame1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B-2</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SCHEDULE TO 83(b) ELECTION</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 xml:space="preserve">Vesting Provisions of LTIP Units </w:t>
      </w:r>
    </w:p>
    <w:p>
      <w:pPr>
        <w:pStyle w:val="TextBody"/>
        <w:bidi w:val="0"/>
        <w:spacing w:lineRule="auto" w:line="288" w:before="0" w:after="240"/>
        <w:ind w:left="0" w:right="0" w:firstLine="720"/>
        <w:jc w:val="both"/>
        <w:rPr/>
      </w:pPr>
      <w:r>
        <w:rPr>
          <w:rFonts w:ascii="Times New Roman;serif" w:hAnsi="Times New Roman;serif"/>
          <w:b w:val="false"/>
          <w:color w:val="000000"/>
          <w:sz w:val="24"/>
        </w:rPr>
        <w:t>The LTIP Units are subject to performance-based vesting for the period from January 1, 2026 through December 31, 2028 (or earlier in certain circumstances) (the “</w:t>
      </w:r>
      <w:r>
        <w:rPr>
          <w:rFonts w:ascii="Times New Roman;serif" w:hAnsi="Times New Roman;serif"/>
          <w:b w:val="false"/>
          <w:color w:val="000000"/>
          <w:sz w:val="24"/>
          <w:u w:val="single"/>
        </w:rPr>
        <w:t>Measurement Period</w:t>
      </w:r>
      <w:r>
        <w:rPr>
          <w:color w:val="000000"/>
        </w:rPr>
        <w:t>”</w:t>
      </w:r>
      <w:r>
        <w:rPr>
          <w:rFonts w:ascii="Times New Roman;serif" w:hAnsi="Times New Roman;serif"/>
          <w:b w:val="false"/>
          <w:color w:val="000000"/>
          <w:sz w:val="24"/>
        </w:rPr>
        <w:t>). The LTIP Units may vest based on the percentile rank performance with respect to per-share total return to holders of common stock (“</w:t>
      </w:r>
      <w:r>
        <w:rPr>
          <w:rFonts w:ascii="Times New Roman;serif" w:hAnsi="Times New Roman;serif"/>
          <w:b w:val="false"/>
          <w:color w:val="000000"/>
          <w:sz w:val="24"/>
          <w:u w:val="single"/>
        </w:rPr>
        <w:t>Total Return</w:t>
      </w:r>
      <w:r>
        <w:rPr>
          <w:color w:val="000000"/>
        </w:rPr>
        <w:t>”</w:t>
      </w:r>
      <w:r>
        <w:rPr>
          <w:rFonts w:ascii="Times New Roman;serif" w:hAnsi="Times New Roman;serif"/>
          <w:b w:val="false"/>
          <w:color w:val="000000"/>
          <w:sz w:val="24"/>
        </w:rPr>
        <w:t>) of Gaming and Leisure Properties, a Pennsylvania corporation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relative to the Total Return of a group of peer companies, as measured at the end of the Measurement Period as set forth below, subject to linear interpolation for performance between levels:</w:t>
      </w:r>
    </w:p>
    <w:tbl>
      <w:tblPr>
        <w:tblW w:w="8790" w:type="dxa"/>
        <w:jc w:val="left"/>
        <w:tblInd w:w="0" w:type="dxa"/>
        <w:tblLayout w:type="fixed"/>
        <w:tblCellMar>
          <w:top w:w="28" w:type="dxa"/>
          <w:left w:w="28" w:type="dxa"/>
          <w:bottom w:w="28" w:type="dxa"/>
          <w:right w:w="28" w:type="dxa"/>
        </w:tblCellMar>
      </w:tblPr>
      <w:tblGrid>
        <w:gridCol w:w="695"/>
        <w:gridCol w:w="612"/>
        <w:gridCol w:w="613"/>
        <w:gridCol w:w="939"/>
        <w:gridCol w:w="939"/>
        <w:gridCol w:w="942"/>
        <w:gridCol w:w="1185"/>
        <w:gridCol w:w="1185"/>
        <w:gridCol w:w="1680"/>
      </w:tblGrid>
      <w:tr>
        <w:trPr/>
        <w:tc>
          <w:tcPr>
            <w:tcW w:w="695"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680"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12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Performance Level</w:t>
            </w:r>
          </w:p>
        </w:tc>
        <w:tc>
          <w:tcPr>
            <w:tcW w:w="282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12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 xml:space="preserve">Peer Group Percentile Rank </w:t>
            </w:r>
          </w:p>
        </w:tc>
        <w:tc>
          <w:tcPr>
            <w:tcW w:w="40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12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Percentage of Maximum Amount Earned</w:t>
            </w:r>
          </w:p>
        </w:tc>
      </w:tr>
      <w:tr>
        <w:trPr/>
        <w:tc>
          <w:tcPr>
            <w:tcW w:w="192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Threshold</w:t>
            </w:r>
          </w:p>
        </w:tc>
        <w:tc>
          <w:tcPr>
            <w:tcW w:w="282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4"/>
              </w:rPr>
              <w:t>Below 25</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Percentile</w:t>
            </w:r>
          </w:p>
        </w:tc>
        <w:tc>
          <w:tcPr>
            <w:tcW w:w="40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0%</w:t>
            </w:r>
          </w:p>
        </w:tc>
      </w:tr>
      <w:tr>
        <w:trPr/>
        <w:tc>
          <w:tcPr>
            <w:tcW w:w="192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Target</w:t>
            </w:r>
          </w:p>
        </w:tc>
        <w:tc>
          <w:tcPr>
            <w:tcW w:w="282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4"/>
              </w:rPr>
              <w:t>50</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Percentile</w:t>
            </w:r>
          </w:p>
        </w:tc>
        <w:tc>
          <w:tcPr>
            <w:tcW w:w="40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50%</w:t>
            </w:r>
          </w:p>
        </w:tc>
      </w:tr>
      <w:tr>
        <w:trPr/>
        <w:tc>
          <w:tcPr>
            <w:tcW w:w="192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Maximum</w:t>
            </w:r>
          </w:p>
        </w:tc>
        <w:tc>
          <w:tcPr>
            <w:tcW w:w="282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4"/>
              </w:rPr>
              <w:t>75</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Percentile or Above</w:t>
            </w:r>
          </w:p>
        </w:tc>
        <w:tc>
          <w:tcPr>
            <w:tcW w:w="405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100%</w:t>
            </w:r>
          </w:p>
        </w:tc>
      </w:tr>
    </w:tbl>
    <w:p>
      <w:pPr>
        <w:pStyle w:val="TextBody"/>
        <w:bidi w:val="0"/>
        <w:spacing w:lineRule="auto" w:line="288" w:before="120" w:after="48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above vesting is conditioned upon the Taxpayer’s continuous service with the Company through the applicable vesting date, subject to acceleration under specified circumstances. Unvested LTIP Units are subject to forfeiture in the event of failure to vest.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75260"/>
                <wp:effectExtent l="0" t="0" r="0" b="0"/>
                <wp:wrapNone/>
                <wp:docPr id="177" name="Frame1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B-3</w:t>
                      </w:r>
                    </w:p>
                  </w:txbxContent>
                </v:textbox>
                <w10:wrap type="none"/>
              </v:rect>
            </w:pict>
          </mc:Fallback>
        </mc:AlternateContent>
      </w:r>
    </w:p>
    <w:p>
      <w:pPr>
        <w:pStyle w:val="TextBody"/>
        <w:bidi w:val="0"/>
        <w:spacing w:lineRule="auto" w:line="288" w:before="0" w:after="480"/>
        <w:jc w:val="center"/>
        <w:rPr>
          <w:rFonts w:ascii="Times New Roman;serif" w:hAnsi="Times New Roman;serif"/>
          <w:b/>
          <w:color w:val="000000"/>
          <w:sz w:val="24"/>
          <w:u w:val="single"/>
        </w:rPr>
      </w:pPr>
      <w:r>
        <w:rPr>
          <w:rFonts w:ascii="Times New Roman;serif" w:hAnsi="Times New Roman;serif"/>
          <w:b/>
          <w:color w:val="000000"/>
          <w:sz w:val="24"/>
          <w:u w:val="single"/>
        </w:rPr>
        <w:t>EXHIBIT C</w:t>
      </w:r>
    </w:p>
    <w:p>
      <w:pPr>
        <w:pStyle w:val="TextBody"/>
        <w:bidi w:val="0"/>
        <w:spacing w:lineRule="auto" w:line="288" w:before="0" w:after="480"/>
        <w:jc w:val="center"/>
        <w:rPr>
          <w:rFonts w:ascii="Times New Roman;serif" w:hAnsi="Times New Roman;serif"/>
          <w:b/>
          <w:color w:val="000000"/>
          <w:sz w:val="24"/>
        </w:rPr>
      </w:pPr>
      <w:r>
        <w:rPr>
          <w:rFonts w:ascii="Times New Roman;serif" w:hAnsi="Times New Roman;serif"/>
          <w:b/>
          <w:color w:val="000000"/>
          <w:sz w:val="24"/>
        </w:rPr>
        <w:t>PARTICIPANT’S COVENANTS, REPRESENTATIONS AND WARRANTIES</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Participant hereby represents, warrants and covenants as follows:</w:t>
      </w:r>
    </w:p>
    <w:p>
      <w:pPr>
        <w:pStyle w:val="TextBody"/>
        <w:bidi w:val="0"/>
        <w:spacing w:lineRule="auto" w:line="288" w:before="0" w:after="240"/>
        <w:ind w:left="0" w:right="0" w:firstLine="1440"/>
        <w:jc w:val="left"/>
        <w:rPr/>
      </w:pPr>
      <w:r>
        <w:rPr>
          <w:rFonts w:ascii="Times New Roman;serif" w:hAnsi="Times New Roman;serif"/>
          <w:b w:val="false"/>
          <w:color w:val="000000"/>
          <w:sz w:val="24"/>
        </w:rPr>
        <w:t>(a)</w:t>
      </w:r>
      <w:r>
        <w:rPr>
          <w:rFonts w:ascii="Times New Roman;serif" w:hAnsi="Times New Roman;serif"/>
          <w:b w:val="false"/>
          <w:color w:val="000000"/>
          <w:sz w:val="24"/>
        </w:rPr>
        <w:t xml:space="preserve">(a)    The Participant has received and had an opportunity to review the following documents (the “Background Documents”): </w:t>
      </w:r>
    </w:p>
    <w:p>
      <w:pPr>
        <w:pStyle w:val="TextBody"/>
        <w:bidi w:val="0"/>
        <w:spacing w:lineRule="auto" w:line="240"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(i)The Company’s latest Annual Report to Stockholders;</w:t>
      </w:r>
    </w:p>
    <w:p>
      <w:pPr>
        <w:pStyle w:val="TextBody"/>
        <w:bidi w:val="0"/>
        <w:spacing w:lineRule="auto" w:line="240"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(ii)The Company’s Proxy Statement for its most recent Annual Meeting of Stockholders;</w:t>
      </w:r>
    </w:p>
    <w:p>
      <w:pPr>
        <w:pStyle w:val="TextBody"/>
        <w:bidi w:val="0"/>
        <w:spacing w:lineRule="auto" w:line="240"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(iii)The Company’s Report on Form 10-K most recently filed by the Company;</w:t>
      </w:r>
    </w:p>
    <w:p>
      <w:pPr>
        <w:pStyle w:val="TextBody"/>
        <w:bidi w:val="0"/>
        <w:spacing w:lineRule="auto" w:line="240"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(iv)The Company’s Form 10-Q for the most recently ended quarter filed by the Company with the Securities and Exchange Commission since the filing of the Form 10-K described in clause (iii) above, if any;</w:t>
      </w:r>
    </w:p>
    <w:p>
      <w:pPr>
        <w:pStyle w:val="TextBody"/>
        <w:bidi w:val="0"/>
        <w:spacing w:lineRule="auto" w:line="240"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(v)Each of the Company’s Current Report(s) on Form 8-K, if any, filed since the end of the fiscal year most recently ended for which a Form 10-K has been filed by the Company;</w:t>
      </w:r>
    </w:p>
    <w:p>
      <w:pPr>
        <w:pStyle w:val="TextBody"/>
        <w:bidi w:val="0"/>
        <w:spacing w:lineRule="auto" w:line="240"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 xml:space="preserve">(vi)The Amended and Restated Agreement of Limited Partnership of GLP Capital, L.P., as amended and supplemented; </w:t>
      </w:r>
    </w:p>
    <w:p>
      <w:pPr>
        <w:pStyle w:val="TextBody"/>
        <w:bidi w:val="0"/>
        <w:spacing w:lineRule="auto" w:line="240"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(vii)The Company’s Second Amended and Restated 2013 Long Term Incentive Compensation Plan; and</w:t>
      </w:r>
    </w:p>
    <w:p>
      <w:pPr>
        <w:pStyle w:val="TextBody"/>
        <w:bidi w:val="0"/>
        <w:spacing w:lineRule="auto" w:line="240"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(viii)The Company’s Articles of Incorporation.</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The Participant also acknowledges that any delivery of the Background Documents and other information relating to the Company and the Partnership prior to the determination by the Partnership of the suitability of the Participant as a holder of Award LTIP Units shall not constitute an offer of Award LTIP Units until such determination of suitability shall be made.</w:t>
      </w:r>
    </w:p>
    <w:p>
      <w:pPr>
        <w:pStyle w:val="TextBody"/>
        <w:bidi w:val="0"/>
        <w:spacing w:lineRule="auto" w:line="288" w:before="0" w:after="240"/>
        <w:ind w:left="0" w:right="0" w:firstLine="1440"/>
        <w:jc w:val="left"/>
        <w:rPr/>
      </w:pPr>
      <w:r>
        <w:rPr>
          <w:rFonts w:ascii="Times New Roman;serif" w:hAnsi="Times New Roman;serif"/>
          <w:b w:val="false"/>
          <w:color w:val="000000"/>
          <w:sz w:val="24"/>
        </w:rPr>
        <w:t>(b)</w:t>
      </w:r>
      <w:r>
        <w:rPr>
          <w:rFonts w:ascii="Times New Roman;serif" w:hAnsi="Times New Roman;serif"/>
          <w:b w:val="false"/>
          <w:color w:val="000000"/>
          <w:sz w:val="24"/>
        </w:rPr>
        <w:t xml:space="preserve">(b)    The Participant hereby represents and warrants that </w:t>
      </w:r>
    </w:p>
    <w:p>
      <w:pPr>
        <w:pStyle w:val="TextBody"/>
        <w:bidi w:val="0"/>
        <w:spacing w:lineRule="auto" w:line="288" w:before="0" w:after="240"/>
        <w:ind w:left="0" w:right="0" w:firstLine="1440"/>
        <w:jc w:val="left"/>
        <w:rPr/>
      </w:pPr>
      <w:r>
        <w:rPr>
          <w:rFonts w:ascii="Times New Roman;serif" w:hAnsi="Times New Roman;serif"/>
          <w:b w:val="false"/>
          <w:color w:val="000000"/>
          <w:sz w:val="24"/>
        </w:rPr>
        <w:t>(ix)(i)    The Participant either (A) is an “accredited investor” as defined in Rule 501(a) under the Securities Act, or (B) by reason of the business and financial experience of the Participant, together with the business and financial experience of those persons, if any, retained by the Participant to represent or advise him or her with respect to the grant to him or her of LTIP Units, the potential conversion of LTIP Units into common units of the Partnership (“</w:t>
      </w:r>
      <w:r>
        <w:rPr>
          <w:rFonts w:ascii="Times New Roman;serif" w:hAnsi="Times New Roman;serif"/>
          <w:b w:val="false"/>
          <w:color w:val="000000"/>
          <w:sz w:val="24"/>
          <w:u w:val="single"/>
        </w:rPr>
        <w:t>Common Units</w:t>
      </w:r>
      <w:r>
        <w:rPr>
          <w:color w:val="000000"/>
        </w:rPr>
        <w:t>”</w:t>
      </w:r>
      <w:r>
        <w:rPr>
          <w:rFonts w:ascii="Times New Roman;serif" w:hAnsi="Times New Roman;serif"/>
          <w:b w:val="false"/>
          <w:color w:val="000000"/>
          <w:sz w:val="24"/>
        </w:rPr>
        <w:t>) and the potential redemption of such Common Units for shares of Stock (“</w:t>
      </w:r>
      <w:r>
        <w:rPr>
          <w:rFonts w:ascii="Times New Roman;serif" w:hAnsi="Times New Roman;serif"/>
          <w:b w:val="false"/>
          <w:color w:val="000000"/>
          <w:sz w:val="24"/>
          <w:u w:val="single"/>
        </w:rPr>
        <w:t>Shares</w:t>
      </w:r>
      <w:r>
        <w:rPr>
          <w:color w:val="000000"/>
        </w:rPr>
        <w:t>”</w:t>
      </w:r>
      <w:r>
        <w:rPr>
          <w:rFonts w:ascii="Times New Roman;serif" w:hAnsi="Times New Roman;serif"/>
          <w:b w:val="false"/>
          <w:color w:val="000000"/>
          <w:sz w:val="24"/>
        </w:rPr>
        <w:t xml:space="preserve">), has such knowledge, </w:t>
      </w:r>
    </w:p>
    <w:p>
      <w:pPr>
        <w:pStyle w:val="TextBody"/>
        <w:bidi w:val="0"/>
        <w:spacing w:before="0" w:after="0"/>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75260"/>
                <wp:effectExtent l="0" t="0" r="0" b="0"/>
                <wp:wrapNone/>
                <wp:docPr id="178" name="Frame1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C-1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C-1</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sophistication and experience in financial and business matters and in making investment decisions of this type that the Participant (I) is capable of evaluating the merits and risks of an investment in the Partnership and potential investment in the Company and of making an informed investment decision, (II) is capable of protecting his or her own interest or has engaged representatives or advisors to assist him or her in protecting his or her its interests, and (III) is capable of bearing the economic risk of such investment.</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(x)(ii)    The Participant understands that (A) the Participant is responsible for consulting his or her own tax advisors with respect to the application of the U.S. federal income tax laws, and the tax laws of any state, local or other taxing jurisdiction to which the Participant is or by reason of the award of LTIP Units may become subject, to his or her particular situation; (B) the Participant has not received or relied upon business or tax advice from the Company, the Partnership or any of their respective employees, agents, consultants or advisors, in their capacity as such; (C) the Participant provides or will provide services to the Partnership on a regular basis and in such capacity has access to such information, and has such experience of and involvement in the business and operations of the Partnership, as the Participant believes to be necessary and appropriate to make an informed decision to accept this Award of LTIP Units; and (D) an investment in the Partnership and/or the Company involves substantial risks. The Participant has been given the opportunity to make a thorough investigation of matters relevant to the LTIP Units and has been furnished with, and has reviewed and understands, materials relating to the Partnership and the Company and their respective activities (including, but not limited to, the Background Documents). The Participant has been afforded the opportunity to obtain any additional information (including any exhibits to the Background Documents) deemed necessary by the Participant to verify the accuracy of information conveyed to the Participant. The Participant confirms that all documents, records, and books pertaining to his or her receipt of LTIP Units which were requested by the Participant have been made available or delivered to the Participant. The Participant has had an opportunity to ask questions of and receive answers from the Partnership and the Company, or from a person or persons acting on their behalf, concerning the terms and conditions of the LTIP Units. The Participant has relied upon, and is making his or her decision solely upon, the Background Documents and other written information provided to the Participant by the Partnership or the Company. The Participant did not receive any tax, legal or financial advice from the Partnership or the Company and, to the extent it deemed necessary, has consulted with his or her own advisors in connection with his or her evaluation of the Background Documents and this Agreement and the Participant’s receipt of LTIP Units.</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 xml:space="preserve">(xi)(iii)    The LTIP Units to be issued, the Common Units issuable upon conversion of the LTIP Units and any Shares issued in connection with the redemption of any such Common Units will be acquired for the account of the Participant for investment only and not with a current view to, or with any intention of, a distribution or resale thereof, in whole or in part, or the grant of any participation therein, without prejudice, however, to the Participant’s right (subject to the terms of the LTIP Units, the Plan and this Agreement) at all times to sell or otherwise dispose of all or any part of his </w:t>
      </w:r>
    </w:p>
    <w:p>
      <w:pPr>
        <w:pStyle w:val="TextBody"/>
        <w:bidi w:val="0"/>
        <w:spacing w:before="0" w:after="0"/>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75260"/>
                <wp:effectExtent l="0" t="0" r="0" b="0"/>
                <wp:wrapNone/>
                <wp:docPr id="179" name="Frame1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C-2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C-2</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or her or her LTIP Units, Common Units or Shares in compliance with the Securities Act, and applicable state securities laws, and subject, nevertheless, to the disposition of his or her assets being at all times within his or her control. </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(xii)(iv)    The Participant acknowledges that (A) neither the LTIP Units to be issued, nor the Common Units issuable upon conversion of the LTIP Units, have been registered under the Securities Act or state securities laws by reason of a specific exemption or exemptions from registration under the Securities Act and applicable state securities laws and, if such LTIP Units or Common Units are represented by certificates, such certificates will bear a legend to such effect, (B) the reliance by the Partnership and the Company on such exemptions is predicated in part on the accuracy and completeness of the representations and warranties of the Participant contained herein, (C) such LTIP Units, or Common Units, therefore, cannot be resold unless registered under the Securities Act and applicable state securities laws, or unless an exemption from registration is available, (D) there is no public market for such LTIP Units and Common Units and (E) neither the Partnership nor the Company has any obligation or intention to register such LTIP Units or the Common Units issuable upon conversion of the LTIP Units under the Securities Act or any state securities laws or to take any action that would make available any exemption from the registration requirements of such laws, except, that, upon the redemption of the Common Units for Shares, the Company currently intends to issue such Shares under the Plan and pursuant to a Registration Statement on Form S-8 under the Securities Act, to the extent that (I) the Participant is eligible to receive such Shares under the Plan at the time of such issuance and (II) the Company maintains an effective Form S-8 Registration Statement with the Securities and Exchange Commission registering the issuance of such Shares. The Participant hereby acknowledges that because of the restrictions on transfer or assignment of such LTIP Units acquired hereby and the Common Units issuable upon conversion of the LTIP Units which are set forth in the Partnership Agreement and this Agreement, the Participant may have to bear the economic risk of his or her ownership of the LTIP Units acquired hereby and the Common Units issuable upon conversion of the LTIP Units for an indefinite period of time.</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(xiii)(v)    The Participant has determined that the LTIP Units are a suitable investment for the Participant.</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(xiv)(vi)    No representations or warranties have been made to the Participant by the Partnership or the Company, or any officer, director, shareholder, agent, or affiliate of any of them, and the Participant has received no information relating to an investment in the Partnership or the LTIP Units except the information specified in this Paragraph (b).</w:t>
      </w:r>
    </w:p>
    <w:p>
      <w:pPr>
        <w:pStyle w:val="TextBody"/>
        <w:bidi w:val="0"/>
        <w:spacing w:lineRule="auto" w:line="240" w:before="0" w:after="240"/>
        <w:ind w:left="0" w:right="0" w:firstLine="1440"/>
        <w:jc w:val="left"/>
        <w:rPr/>
      </w:pPr>
      <w:r>
        <w:rPr>
          <w:rFonts w:ascii="Times New Roman;serif" w:hAnsi="Times New Roman;serif"/>
          <w:b w:val="false"/>
          <w:color w:val="000000"/>
          <w:sz w:val="24"/>
        </w:rPr>
        <w:t>(c)</w:t>
      </w:r>
      <w:r>
        <w:rPr>
          <w:rFonts w:ascii="Times New Roman;serif" w:hAnsi="Times New Roman;serif"/>
          <w:b w:val="false"/>
          <w:color w:val="000000"/>
          <w:sz w:val="24"/>
        </w:rPr>
        <w:t>So long as the Participant holds any LTIP Units, the Participant shall disclose to the Partnership in writing such information as may be reasonably requested with respect to ownership of LTIP Units as the Partnership may deem reasonably necessary to ascertain and to establish compliance with provisions of the Code, applicable to the Partnership or to comply with requirements of any other appropriate taxing authority.</w:t>
      </w:r>
    </w:p>
    <w:p>
      <w:pPr>
        <w:pStyle w:val="TextBody"/>
        <w:bidi w:val="0"/>
        <w:spacing w:before="0" w:after="0"/>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75260"/>
                <wp:effectExtent l="0" t="0" r="0" b="0"/>
                <wp:wrapNone/>
                <wp:docPr id="180" name="Frame1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C-3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C-3</w:t>
                      </w:r>
                    </w:p>
                  </w:txbxContent>
                </v:textbox>
                <w10:wrap type="none"/>
              </v:rect>
            </w:pict>
          </mc:Fallback>
        </mc:AlternateContent>
      </w:r>
    </w:p>
    <w:p>
      <w:pPr>
        <w:pStyle w:val="TextBody"/>
        <w:bidi w:val="0"/>
        <w:spacing w:lineRule="auto" w:line="240" w:before="0" w:after="240"/>
        <w:ind w:left="0" w:right="0" w:firstLine="1440"/>
        <w:jc w:val="left"/>
        <w:rPr/>
      </w:pPr>
      <w:r>
        <w:rPr>
          <w:rFonts w:ascii="Times New Roman;serif" w:hAnsi="Times New Roman;serif"/>
          <w:b w:val="false"/>
          <w:color w:val="000000"/>
          <w:sz w:val="24"/>
        </w:rPr>
        <w:t>(d)</w:t>
      </w:r>
      <w:r>
        <w:rPr>
          <w:rFonts w:ascii="Times New Roman;serif" w:hAnsi="Times New Roman;serif"/>
          <w:b w:val="false"/>
          <w:color w:val="000000"/>
          <w:sz w:val="24"/>
        </w:rPr>
        <w:t>The Participant hereby agrees to make an election under Section 83(b) of the Code with respect to the LTIP Units awarded hereunder, and has delivered with this Agreement a completed, executed copy of the election form attached to this Agreement as Exhibit B. The Participant agrees to file the election (or to permit the Partnership to file such election on the Participant’s behalf) within 30 days after the Award of the LTIP Units hereunder with the IRS Service Center at which such Participant files his or her personal income tax returns if no check or money order is included with the returns, and to file a copy of such election with the Participant’s U.S. federal income tax return for the taxable year in which the LTIP Units are awarded to the Participant.</w:t>
      </w:r>
    </w:p>
    <w:p>
      <w:pPr>
        <w:pStyle w:val="TextBody"/>
        <w:bidi w:val="0"/>
        <w:spacing w:lineRule="auto" w:line="240" w:before="0" w:after="240"/>
        <w:ind w:left="0" w:right="0" w:firstLine="1440"/>
        <w:jc w:val="left"/>
        <w:rPr/>
      </w:pPr>
      <w:r>
        <w:rPr>
          <w:rFonts w:ascii="Times New Roman;serif" w:hAnsi="Times New Roman;serif"/>
          <w:b w:val="false"/>
          <w:color w:val="000000"/>
          <w:sz w:val="24"/>
        </w:rPr>
        <w:t>(e)</w:t>
      </w:r>
      <w:r>
        <w:rPr>
          <w:rFonts w:ascii="Times New Roman;serif" w:hAnsi="Times New Roman;serif"/>
          <w:b w:val="false"/>
          <w:color w:val="000000"/>
          <w:sz w:val="24"/>
        </w:rPr>
        <w:t xml:space="preserve">The address set forth on the signature page of this Agreement is the address of the Participant’s principal residence, and the Participant has no present intention of becoming a resident of any country, state or jurisdiction other than the country and state in which such residence is sited. </w:t>
      </w:r>
    </w:p>
    <w:p>
      <w:pPr>
        <w:pStyle w:val="TextBody"/>
        <w:bidi w:val="0"/>
        <w:spacing w:lineRule="auto" w:line="240" w:before="0" w:after="240"/>
        <w:ind w:left="0" w:right="0" w:firstLine="1440"/>
        <w:jc w:val="left"/>
        <w:rPr/>
      </w:pPr>
      <w:r>
        <w:rPr>
          <w:rFonts w:ascii="Times New Roman;serif" w:hAnsi="Times New Roman;serif"/>
          <w:b w:val="false"/>
          <w:color w:val="000000"/>
          <w:sz w:val="24"/>
        </w:rPr>
        <w:t>(f)</w:t>
      </w:r>
      <w:r>
        <w:rPr>
          <w:rFonts w:ascii="Times New Roman;serif" w:hAnsi="Times New Roman;serif"/>
          <w:b w:val="false"/>
          <w:color w:val="000000"/>
          <w:sz w:val="24"/>
        </w:rPr>
        <w:t>The representations of the Participant as set forth above are true and complete to the information and belief of the Participant, and the Partnership shall be notified promptly of any changes in the foregoing representations.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75260"/>
                <wp:effectExtent l="0" t="0" r="0" b="0"/>
                <wp:wrapNone/>
                <wp:docPr id="181" name="Frame1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C-4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C-4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APPENDIX A</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PEER GROUP COMPANIES</w:t>
      </w:r>
    </w:p>
    <w:p>
      <w:pPr>
        <w:pStyle w:val="TextBody"/>
        <w:bidi w:val="0"/>
        <w:spacing w:before="0" w:after="0"/>
        <w:jc w:val="center"/>
        <w:rPr/>
      </w:pPr>
      <w:r>
        <w:rPr/>
      </w:r>
    </w:p>
    <w:tbl>
      <w:tblPr>
        <w:tblW w:w="3435" w:type="dxa"/>
        <w:jc w:val="left"/>
        <w:tblInd w:w="0" w:type="dxa"/>
        <w:tblLayout w:type="fixed"/>
        <w:tblCellMar>
          <w:top w:w="28" w:type="dxa"/>
          <w:left w:w="28" w:type="dxa"/>
          <w:bottom w:w="28" w:type="dxa"/>
          <w:right w:w="28" w:type="dxa"/>
        </w:tblCellMar>
      </w:tblPr>
      <w:tblGrid>
        <w:gridCol w:w="1099"/>
        <w:gridCol w:w="965"/>
        <w:gridCol w:w="1371"/>
      </w:tblGrid>
      <w:tr>
        <w:trPr/>
        <w:tc>
          <w:tcPr>
            <w:tcW w:w="1099"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Agree Reality Corporation</w:t>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EPR Properties</w:t>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Four Corners Property Trust, Inc.</w:t>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Gaming and Leisure Properties, Inc.</w:t>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Global Net Lease, Inc.</w:t>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LXP Industrial Trust</w:t>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NNN REIT Inc.</w:t>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Realty Income Corporation</w:t>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W.P. Carey Inc.</w:t>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Omega Healthcare Investors, Inc.</w:t>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Alexandria Real Estate Equities Inc.</w:t>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LTC Properties, Inc.</w:t>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Stag Industrial, Inc.</w:t>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CareTrust REIT, Inc.</w:t>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Medical Properties Trust</w:t>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Sabra Health Care REIT Inc.</w:t>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VICI Properties Inc.</w:t>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Essential Properties Realty Trust Inc.</w:t>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Safehold Inc.</w:t>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Service Properties Trust</w:t>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Broadstone Net Lease</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75260"/>
                <wp:effectExtent l="0" t="0" r="0" b="0"/>
                <wp:wrapNone/>
                <wp:docPr id="182" name="Frame1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21</w:t>
      </w:r>
    </w:p>
    <w:p>
      <w:pPr>
        <w:pStyle w:val="TextBody"/>
        <w:bidi w:val="0"/>
        <w:spacing w:before="0" w:after="0"/>
        <w:jc w:val="right"/>
        <w:rPr/>
      </w:pPr>
      <w:r>
        <w:rPr/>
      </w:r>
    </w:p>
    <w:p>
      <w:pPr>
        <w:pStyle w:val="TextBody"/>
        <w:bidi w:val="0"/>
        <w:spacing w:before="0" w:after="0"/>
        <w:jc w:val="right"/>
        <w:rPr/>
      </w:pPr>
      <w:r>
        <w:rPr/>
      </w:r>
    </w:p>
    <w:tbl>
      <w:tblPr>
        <w:tblW w:w="8366" w:type="dxa"/>
        <w:jc w:val="center"/>
        <w:tblInd w:w="0" w:type="dxa"/>
        <w:tblLayout w:type="fixed"/>
        <w:tblCellMar>
          <w:top w:w="28" w:type="dxa"/>
          <w:left w:w="28" w:type="dxa"/>
          <w:bottom w:w="28" w:type="dxa"/>
          <w:right w:w="28" w:type="dxa"/>
        </w:tblCellMar>
      </w:tblPr>
      <w:tblGrid>
        <w:gridCol w:w="1012"/>
        <w:gridCol w:w="889"/>
        <w:gridCol w:w="889"/>
        <w:gridCol w:w="734"/>
        <w:gridCol w:w="734"/>
        <w:gridCol w:w="734"/>
        <w:gridCol w:w="974"/>
        <w:gridCol w:w="974"/>
        <w:gridCol w:w="1426"/>
      </w:tblGrid>
      <w:tr>
        <w:trPr/>
        <w:tc>
          <w:tcPr>
            <w:tcW w:w="1012"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83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Subsidiaries of Gaming and Leisure Properties, Inc. (a Pennsylvania corporation)</w:t>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Name of Subsidiary</w:t>
            </w:r>
          </w:p>
        </w:tc>
        <w:tc>
          <w:tcPr>
            <w:tcW w:w="2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 Incorporation</w:t>
            </w:r>
          </w:p>
        </w:tc>
      </w:tr>
      <w:tr>
        <w:trPr/>
        <w:tc>
          <w:tcPr>
            <w:tcW w:w="27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CCR PA Racing, LLC</w:t>
            </w:r>
          </w:p>
        </w:tc>
        <w:tc>
          <w:tcPr>
            <w:tcW w:w="22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Pennsylvania</w:t>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GLP Capital, L.P.</w:t>
            </w:r>
          </w:p>
        </w:tc>
        <w:tc>
          <w:tcPr>
            <w:tcW w:w="2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Pennsylvania</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GLP Financing I, LLC</w:t>
            </w:r>
          </w:p>
        </w:tc>
        <w:tc>
          <w:tcPr>
            <w:tcW w:w="22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GLP Financing II, Inc.</w:t>
            </w:r>
          </w:p>
        </w:tc>
        <w:tc>
          <w:tcPr>
            <w:tcW w:w="2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 Merger Sub, LLC</w:t>
            </w:r>
          </w:p>
        </w:tc>
        <w:tc>
          <w:tcPr>
            <w:tcW w:w="22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Morgantown Real Property, LLC</w:t>
            </w:r>
          </w:p>
        </w:tc>
        <w:tc>
          <w:tcPr>
            <w:tcW w:w="2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 Meadows, LLC</w:t>
            </w:r>
          </w:p>
        </w:tc>
        <w:tc>
          <w:tcPr>
            <w:tcW w:w="22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Tropicana Land, LLC</w:t>
            </w:r>
          </w:p>
        </w:tc>
        <w:tc>
          <w:tcPr>
            <w:tcW w:w="2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Nevada</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GLPC Administrator, LLC</w:t>
            </w:r>
          </w:p>
        </w:tc>
        <w:tc>
          <w:tcPr>
            <w:tcW w:w="22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Pennsylvania</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75260"/>
                <wp:effectExtent l="0" t="0" r="0" b="0"/>
                <wp:wrapNone/>
                <wp:docPr id="183" name="Frame1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160"/>
        <w:jc w:val="right"/>
        <w:rPr>
          <w:rFonts w:ascii="Times New Roman;serif" w:hAnsi="Times New Roman;serif"/>
          <w:b/>
          <w:color w:val="000000"/>
          <w:sz w:val="24"/>
        </w:rPr>
      </w:pPr>
      <w:r>
        <w:rPr>
          <w:rFonts w:ascii="Times New Roman;serif" w:hAnsi="Times New Roman;serif"/>
          <w:b/>
          <w:color w:val="000000"/>
          <w:sz w:val="24"/>
        </w:rPr>
        <w:t>Exhibit 22.1</w:t>
      </w:r>
    </w:p>
    <w:p>
      <w:pPr>
        <w:pStyle w:val="TextBody"/>
        <w:bidi w:val="0"/>
        <w:spacing w:lineRule="auto" w:line="300" w:before="0" w:after="160"/>
        <w:jc w:val="center"/>
        <w:rPr>
          <w:rFonts w:ascii="Times New Roman;serif" w:hAnsi="Times New Roman;serif"/>
          <w:b/>
          <w:color w:val="000000"/>
          <w:sz w:val="24"/>
        </w:rPr>
      </w:pPr>
      <w:r>
        <w:rPr>
          <w:rFonts w:ascii="Times New Roman;serif" w:hAnsi="Times New Roman;serif"/>
          <w:b/>
          <w:color w:val="000000"/>
          <w:sz w:val="24"/>
        </w:rPr>
        <w:t>List of Subsidiary Issuers of Guaranteed Securities</w:t>
      </w:r>
    </w:p>
    <w:p>
      <w:pPr>
        <w:pStyle w:val="TextBody"/>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The following subsidiaries of Gaming and Leisure Properties, Inc. (the “Company”) were, as of December 31, 2025, issuers of the (i) $500 million 5.75% senior unsecured notes due June 2028, (ii) $750 million 5.30% senior unsecured notes due January 2029, (iii) $700 million 4.00% senior unsecured notes due January 2030, (iv) $700 million 4.000% senior unsecured notes due January 2031, (v) $800 million 3.25% senior unsecured notes due January 2032, (vi) $600 million 5.25% senior unsecured notes due February 2033, (vii) $400 million 6.75% senior unsecured notes due December 2033, (viii) $800 million 5.625% senior unsecured notes due September 2024, and (ix) $700 million 5.75% senior unsecured notes due November 2037, (x) $400 million 6.25% senior unsecured notes due September 2054, each guaranteed by the Company:</w:t>
      </w:r>
    </w:p>
    <w:tbl>
      <w:tblPr>
        <w:tblW w:w="6793" w:type="dxa"/>
        <w:jc w:val="left"/>
        <w:tblInd w:w="0" w:type="dxa"/>
        <w:tblLayout w:type="fixed"/>
        <w:tblCellMar>
          <w:top w:w="28" w:type="dxa"/>
          <w:left w:w="28" w:type="dxa"/>
          <w:bottom w:w="28" w:type="dxa"/>
          <w:right w:w="28" w:type="dxa"/>
        </w:tblCellMar>
      </w:tblPr>
      <w:tblGrid>
        <w:gridCol w:w="826"/>
        <w:gridCol w:w="724"/>
        <w:gridCol w:w="729"/>
        <w:gridCol w:w="1320"/>
        <w:gridCol w:w="1320"/>
        <w:gridCol w:w="1874"/>
      </w:tblGrid>
      <w:tr>
        <w:trPr/>
        <w:tc>
          <w:tcPr>
            <w:tcW w:w="826"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Entity</w:t>
            </w:r>
          </w:p>
        </w:tc>
        <w:tc>
          <w:tcPr>
            <w:tcW w:w="4514"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Jurisdiction of Incorporation or Formation</w:t>
            </w:r>
          </w:p>
        </w:tc>
      </w:tr>
      <w:tr>
        <w:trPr/>
        <w:tc>
          <w:tcPr>
            <w:tcW w:w="227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GLP Capital, L.P.</w:t>
            </w:r>
          </w:p>
        </w:tc>
        <w:tc>
          <w:tcPr>
            <w:tcW w:w="4514"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Pennsylvania</w:t>
            </w:r>
          </w:p>
        </w:tc>
      </w:tr>
      <w:tr>
        <w:trPr/>
        <w:tc>
          <w:tcPr>
            <w:tcW w:w="2279" w:type="dxa"/>
            <w:gridSpan w:val="3"/>
            <w:tcBorders>
              <w:top w:val="single" w:sz="2" w:space="0" w:color="000000"/>
              <w:left w:val="single" w:sz="2" w:space="0" w:color="000000"/>
              <w:bottom w:val="single" w:sz="2"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GLP Financing II, Inc.</w:t>
            </w:r>
          </w:p>
        </w:tc>
        <w:tc>
          <w:tcPr>
            <w:tcW w:w="4514" w:type="dxa"/>
            <w:gridSpan w:val="3"/>
            <w:tcBorders>
              <w:top w:val="single" w:sz="2" w:space="0" w:color="000000"/>
              <w:left w:val="single" w:sz="2" w:space="0" w:color="000000"/>
              <w:bottom w:val="single" w:sz="2" w:space="0" w:color="000000"/>
              <w:right w:val="single" w:sz="2"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Delaware</w:t>
            </w:r>
          </w:p>
        </w:tc>
      </w:tr>
    </w:tbl>
    <w:p>
      <w:pPr>
        <w:pStyle w:val="TextBody"/>
        <w:bidi w:val="0"/>
        <w:spacing w:before="0" w:after="160"/>
        <w:jc w:val="left"/>
        <w:rPr/>
      </w:pPr>
      <w:r>
        <w:rPr/>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75260"/>
                <wp:effectExtent l="0" t="0" r="0" b="0"/>
                <wp:wrapNone/>
                <wp:docPr id="184" name="Frame1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23.1</w:t>
      </w:r>
    </w:p>
    <w:p>
      <w:pPr>
        <w:pStyle w:val="TextBody"/>
        <w:bidi w:val="0"/>
        <w:spacing w:before="0" w:after="0"/>
        <w:jc w:val="right"/>
        <w:rPr/>
      </w:pPr>
      <w:r>
        <w:rPr/>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CONSENT OF INDEPENDENT REGISTERED PUBLIC ACCOUNTING FIRM</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consent to the incorporation by reference in the following Registration Statements of our reports dated February 19, 2026, relating to the financial statements of Gaming and Leisure Properties, Inc. and the effectiveness of Gaming and Leisure Properties, Inc.'s internal control over financial reporting appearing in this Annual Report on Form 10-K for the year ended December 31, 2025.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Registration Statement No. 333-286909 on Form S-3</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Registration Statement No. 333-289123 on Form S-8</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Registration Statement No. 333-192017 on Form S-8</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Registration Statement No. 333-249523 on Form S-8</w:t>
      </w:r>
    </w:p>
    <w:p>
      <w:pPr>
        <w:pStyle w:val="TextBody"/>
        <w:bidi w:val="0"/>
        <w:spacing w:before="180" w:after="283"/>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DELOITTE &amp; TOUCHE LLP</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New York, New York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February 19, 2026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75260"/>
                <wp:effectExtent l="0" t="0" r="0" b="0"/>
                <wp:wrapNone/>
                <wp:docPr id="185" name="Frame1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 RULE 13a-14(a) OR 15d-14(a) OF THE SECURITIES EXCHANGE ACT OF 1934</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Peter M. Carlino,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1.</w:t>
      </w:r>
      <w:r>
        <w:rPr>
          <w:color w:val="000000"/>
        </w:rPr>
        <w:t xml:space="preserve">                                      </w:t>
      </w:r>
      <w:r>
        <w:rPr>
          <w:rFonts w:ascii="Times New Roman;serif" w:hAnsi="Times New Roman;serif"/>
          <w:b w:val="false"/>
          <w:color w:val="000000"/>
          <w:sz w:val="20"/>
        </w:rPr>
        <w:t>I have reviewed this annual report on Form 10-K of Gaming and Leisure Properties, Inc.;</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2.</w:t>
      </w:r>
      <w:r>
        <w:rPr>
          <w:color w:val="000000"/>
        </w:rPr>
        <w:t xml:space="preserve">                                      </w:t>
      </w: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3.</w:t>
      </w:r>
      <w:r>
        <w:rPr>
          <w:color w:val="000000"/>
        </w:rPr>
        <w:t xml:space="preserve">                                      </w:t>
      </w: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4.</w:t>
      </w:r>
      <w:r>
        <w:rPr>
          <w:color w:val="000000"/>
        </w:rPr>
        <w:t xml:space="preserve">                                      </w:t>
      </w:r>
      <w:r>
        <w:rPr>
          <w:rFonts w:ascii="Times New Roman;serif" w:hAnsi="Times New Roman;serif"/>
          <w:b w:val="false"/>
          <w:color w:val="000000"/>
          <w:sz w:val="20"/>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rFonts w:ascii="Times New Roman;serif" w:hAnsi="Times New Roman;serif"/>
          <w:b w:val="false"/>
          <w:color w:val="000000"/>
          <w:sz w:val="20"/>
        </w:rPr>
        <w:t>(a)</w:t>
      </w:r>
      <w:r>
        <w:rPr>
          <w:color w:val="000000"/>
        </w:rPr>
        <w:t xml:space="preserve">                                 </w:t>
      </w:r>
      <w:r>
        <w:rPr>
          <w:rFonts w:ascii="Times New Roman;serif" w:hAnsi="Times New Roman;serif"/>
          <w:b w:val="false"/>
          <w:color w:val="000000"/>
          <w:sz w:val="20"/>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pPr>
      <w:r>
        <w:rPr>
          <w:rFonts w:ascii="Times New Roman;serif" w:hAnsi="Times New Roman;serif"/>
          <w:b w:val="false"/>
          <w:color w:val="000000"/>
          <w:sz w:val="20"/>
        </w:rPr>
        <w:t>(c)</w:t>
      </w:r>
      <w:r>
        <w:rPr>
          <w:color w:val="000000"/>
        </w:rPr>
        <w:t xml:space="preserve">                                </w:t>
      </w: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(d) </w:t>
      </w:r>
      <w:r>
        <w:rPr>
          <w:color w:val="000000"/>
        </w:rPr>
        <w:t xml:space="preserve">                            </w:t>
      </w: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5.</w:t>
      </w:r>
      <w:r>
        <w:rPr>
          <w:color w:val="000000"/>
        </w:rPr>
        <w:t xml:space="preserve">                                      </w:t>
      </w:r>
      <w:r>
        <w:rPr>
          <w:rFonts w:ascii="Times New Roman;serif" w:hAnsi="Times New Roman;serif"/>
          <w:b w:val="false"/>
          <w:color w:val="000000"/>
          <w:sz w:val="20"/>
        </w:rPr>
        <w:t>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rFonts w:ascii="Times New Roman;serif" w:hAnsi="Times New Roman;serif"/>
          <w:b w:val="false"/>
          <w:color w:val="000000"/>
          <w:sz w:val="20"/>
        </w:rPr>
        <w:t>(a)</w:t>
      </w:r>
      <w:r>
        <w:rPr>
          <w:color w:val="000000"/>
        </w:rPr>
        <w:t xml:space="preserve">                                 </w:t>
      </w: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pPr>
      <w:r>
        <w:rPr>
          <w:rFonts w:ascii="Times New Roman;serif" w:hAnsi="Times New Roman;serif"/>
          <w:b w:val="false"/>
          <w:color w:val="000000"/>
          <w:sz w:val="20"/>
        </w:rPr>
        <w:t>(b)</w:t>
      </w:r>
      <w:r>
        <w:rPr>
          <w:color w:val="000000"/>
        </w:rPr>
        <w:t xml:space="preserve">                                 </w:t>
      </w: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6599" w:type="dxa"/>
        <w:jc w:val="left"/>
        <w:tblInd w:w="0" w:type="dxa"/>
        <w:tblLayout w:type="fixed"/>
        <w:tblCellMar>
          <w:top w:w="28" w:type="dxa"/>
          <w:left w:w="28" w:type="dxa"/>
          <w:bottom w:w="28" w:type="dxa"/>
          <w:right w:w="28" w:type="dxa"/>
        </w:tblCellMar>
      </w:tblPr>
      <w:tblGrid>
        <w:gridCol w:w="200"/>
        <w:gridCol w:w="177"/>
        <w:gridCol w:w="178"/>
        <w:gridCol w:w="529"/>
        <w:gridCol w:w="529"/>
        <w:gridCol w:w="531"/>
        <w:gridCol w:w="1303"/>
        <w:gridCol w:w="1303"/>
        <w:gridCol w:w="1849"/>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849"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19, 2026</w:t>
            </w:r>
          </w:p>
        </w:tc>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Peter M. Carlino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Peter M. Carlino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 (Principal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75260"/>
                <wp:effectExtent l="0" t="0" r="0" b="0"/>
                <wp:wrapNone/>
                <wp:docPr id="186" name="Frame1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 RULE 13a-14(a) OR 15d-14(a) OF THE SECURITIES EXCHANGE ACT OF 1934</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Desiree A. Burke,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1.</w:t>
      </w:r>
      <w:r>
        <w:rPr>
          <w:color w:val="000000"/>
        </w:rPr>
        <w:t xml:space="preserve">                                      </w:t>
      </w:r>
      <w:r>
        <w:rPr>
          <w:rFonts w:ascii="Times New Roman;serif" w:hAnsi="Times New Roman;serif"/>
          <w:b w:val="false"/>
          <w:color w:val="000000"/>
          <w:sz w:val="20"/>
        </w:rPr>
        <w:t>I have reviewed this annual report on Form 10-K of Gaming and Leisure Properties, Inc.;</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2.</w:t>
      </w:r>
      <w:r>
        <w:rPr>
          <w:color w:val="000000"/>
        </w:rPr>
        <w:t xml:space="preserve">                                      </w:t>
      </w: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3.</w:t>
      </w:r>
      <w:r>
        <w:rPr>
          <w:color w:val="000000"/>
        </w:rPr>
        <w:t xml:space="preserve">                                      </w:t>
      </w: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4.</w:t>
      </w:r>
      <w:r>
        <w:rPr>
          <w:color w:val="000000"/>
        </w:rPr>
        <w:t xml:space="preserve">                                      </w:t>
      </w:r>
      <w:r>
        <w:rPr>
          <w:rFonts w:ascii="Times New Roman;serif" w:hAnsi="Times New Roman;serif"/>
          <w:b w:val="false"/>
          <w:color w:val="000000"/>
          <w:sz w:val="20"/>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rFonts w:ascii="Times New Roman;serif" w:hAnsi="Times New Roman;serif"/>
          <w:b w:val="false"/>
          <w:color w:val="000000"/>
          <w:sz w:val="20"/>
        </w:rPr>
        <w:t>(a)</w:t>
      </w:r>
      <w:r>
        <w:rPr>
          <w:color w:val="000000"/>
        </w:rPr>
        <w:t xml:space="preserve">                                 </w:t>
      </w:r>
      <w:r>
        <w:rPr>
          <w:rFonts w:ascii="Times New Roman;serif" w:hAnsi="Times New Roman;serif"/>
          <w:b w:val="false"/>
          <w:color w:val="000000"/>
          <w:sz w:val="20"/>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pPr>
      <w:r>
        <w:rPr>
          <w:rFonts w:ascii="Times New Roman;serif" w:hAnsi="Times New Roman;serif"/>
          <w:b w:val="false"/>
          <w:color w:val="000000"/>
          <w:sz w:val="20"/>
        </w:rPr>
        <w:t>(c)</w:t>
      </w:r>
      <w:r>
        <w:rPr>
          <w:color w:val="000000"/>
        </w:rPr>
        <w:t xml:space="preserve">                                </w:t>
      </w: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(d) </w:t>
      </w:r>
      <w:r>
        <w:rPr>
          <w:color w:val="000000"/>
        </w:rPr>
        <w:t xml:space="preserve">                            </w:t>
      </w: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5.</w:t>
      </w:r>
      <w:r>
        <w:rPr>
          <w:color w:val="000000"/>
        </w:rPr>
        <w:t xml:space="preserve">                                      </w:t>
      </w:r>
      <w:r>
        <w:rPr>
          <w:rFonts w:ascii="Times New Roman;serif" w:hAnsi="Times New Roman;serif"/>
          <w:b w:val="false"/>
          <w:color w:val="000000"/>
          <w:sz w:val="20"/>
        </w:rPr>
        <w:t>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rFonts w:ascii="Times New Roman;serif" w:hAnsi="Times New Roman;serif"/>
          <w:b w:val="false"/>
          <w:color w:val="000000"/>
          <w:sz w:val="20"/>
        </w:rPr>
        <w:t>(a)</w:t>
      </w:r>
      <w:r>
        <w:rPr>
          <w:color w:val="000000"/>
        </w:rPr>
        <w:t xml:space="preserve">                                 </w:t>
      </w: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pPr>
      <w:r>
        <w:rPr>
          <w:rFonts w:ascii="Times New Roman;serif" w:hAnsi="Times New Roman;serif"/>
          <w:b w:val="false"/>
          <w:color w:val="000000"/>
          <w:sz w:val="20"/>
        </w:rPr>
        <w:t>(b)</w:t>
      </w:r>
      <w:r>
        <w:rPr>
          <w:color w:val="000000"/>
        </w:rPr>
        <w:t xml:space="preserve">                                 </w:t>
      </w: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6629" w:type="dxa"/>
        <w:jc w:val="left"/>
        <w:tblInd w:w="0" w:type="dxa"/>
        <w:tblLayout w:type="fixed"/>
        <w:tblCellMar>
          <w:top w:w="28" w:type="dxa"/>
          <w:left w:w="28" w:type="dxa"/>
          <w:bottom w:w="28" w:type="dxa"/>
          <w:right w:w="28" w:type="dxa"/>
        </w:tblCellMar>
      </w:tblPr>
      <w:tblGrid>
        <w:gridCol w:w="200"/>
        <w:gridCol w:w="177"/>
        <w:gridCol w:w="178"/>
        <w:gridCol w:w="529"/>
        <w:gridCol w:w="529"/>
        <w:gridCol w:w="531"/>
        <w:gridCol w:w="1312"/>
        <w:gridCol w:w="1312"/>
        <w:gridCol w:w="1861"/>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86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19, 2026</w:t>
            </w:r>
          </w:p>
        </w:tc>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Desiree A. Burke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Desiree A. Burke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 (Principal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75260"/>
                <wp:effectExtent l="0" t="0" r="0" b="0"/>
                <wp:wrapNone/>
                <wp:docPr id="187" name="Frame1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annual report of Gaming and Leisure Properties, Inc. (the “Company”) on Form 10-K for the year ended December 31, 2025, as filed with the Securities and Exchange Commission on the date hereof (the “Report”), I, Peter M. Carlino, Chief Executive Officer of the Company, certify, pursuant to Section 906 of the Sarbanes-Oxley Act of 2002, 18 U.S.C. Section 1350, that, to my knowledge:</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pPr>
      <w:r>
        <w:rPr>
          <w:rFonts w:ascii="Times New Roman;serif" w:hAnsi="Times New Roman;serif"/>
          <w:b w:val="false"/>
          <w:color w:val="000000"/>
          <w:sz w:val="20"/>
        </w:rPr>
        <w:t>1.</w:t>
      </w:r>
      <w:r>
        <w:rPr>
          <w:color w:val="000000"/>
        </w:rPr>
        <w:t xml:space="preserve">                                      </w:t>
      </w:r>
      <w:r>
        <w:rPr>
          <w:rFonts w:ascii="Times New Roman;serif" w:hAnsi="Times New Roman;serif"/>
          <w:b w:val="false"/>
          <w:color w:val="000000"/>
          <w:sz w:val="20"/>
        </w:rPr>
        <w:t>The Report fully complies with the requirements of Section 13(a) or 15(d) of the Securities Exchange Act of 1934, as amended; and</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pPr>
      <w:r>
        <w:rPr>
          <w:rFonts w:ascii="Times New Roman;serif" w:hAnsi="Times New Roman;serif"/>
          <w:b w:val="false"/>
          <w:color w:val="000000"/>
          <w:sz w:val="20"/>
        </w:rPr>
        <w:t>2.</w:t>
      </w:r>
      <w:r>
        <w:rPr>
          <w:color w:val="000000"/>
        </w:rPr>
        <w:t xml:space="preserve">                                      </w:t>
      </w:r>
      <w:r>
        <w:rPr>
          <w:rFonts w:ascii="Times New Roman;serif" w:hAnsi="Times New Roman;serif"/>
          <w:b w:val="false"/>
          <w:color w:val="000000"/>
          <w:sz w:val="20"/>
        </w:rPr>
        <w:t>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5009" w:type="dxa"/>
        <w:jc w:val="left"/>
        <w:tblInd w:w="0" w:type="dxa"/>
        <w:tblLayout w:type="fixed"/>
        <w:tblCellMar>
          <w:top w:w="28" w:type="dxa"/>
          <w:left w:w="28" w:type="dxa"/>
          <w:bottom w:w="28" w:type="dxa"/>
          <w:right w:w="28" w:type="dxa"/>
        </w:tblCellMar>
      </w:tblPr>
      <w:tblGrid>
        <w:gridCol w:w="200"/>
        <w:gridCol w:w="177"/>
        <w:gridCol w:w="178"/>
        <w:gridCol w:w="1302"/>
        <w:gridCol w:w="1302"/>
        <w:gridCol w:w="185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Peter M. Carlino</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Peter M. Carlino</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 (Principal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19, 2026</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75260"/>
                <wp:effectExtent l="0" t="0" r="0" b="0"/>
                <wp:wrapNone/>
                <wp:docPr id="188" name="Frame1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annual report of Gaming and Leisure Properties, Inc. (the “Company”) on Form 10-K for the year ended December 31, 2023, as filed with the Securities and Exchange Commission on the date hereof (the “Report”), I, Desiree A. Burke, Chief Financial Officer of the Company, certify, pursuant to Section 906 of the Sarbanes-Oxley Act of 2002, 18 U.S.C. Section 1350, that, to my knowledge:</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pPr>
      <w:r>
        <w:rPr>
          <w:rFonts w:ascii="Times New Roman;serif" w:hAnsi="Times New Roman;serif"/>
          <w:b w:val="false"/>
          <w:color w:val="000000"/>
          <w:sz w:val="20"/>
        </w:rPr>
        <w:t>1.</w:t>
      </w:r>
      <w:r>
        <w:rPr>
          <w:color w:val="000000"/>
        </w:rPr>
        <w:t xml:space="preserve">                                      </w:t>
      </w:r>
      <w:r>
        <w:rPr>
          <w:rFonts w:ascii="Times New Roman;serif" w:hAnsi="Times New Roman;serif"/>
          <w:b w:val="false"/>
          <w:color w:val="000000"/>
          <w:sz w:val="20"/>
        </w:rPr>
        <w:t>The Report fully complies with the requirements of Section 13(a) or 15(d) of the Securities Exchange Act of 1934, as amended; and</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pPr>
      <w:r>
        <w:rPr>
          <w:rFonts w:ascii="Times New Roman;serif" w:hAnsi="Times New Roman;serif"/>
          <w:b w:val="false"/>
          <w:color w:val="000000"/>
          <w:sz w:val="20"/>
        </w:rPr>
        <w:t>2.</w:t>
      </w:r>
      <w:r>
        <w:rPr>
          <w:color w:val="000000"/>
        </w:rPr>
        <w:t xml:space="preserve">                                      </w:t>
      </w:r>
      <w:r>
        <w:rPr>
          <w:rFonts w:ascii="Times New Roman;serif" w:hAnsi="Times New Roman;serif"/>
          <w:b w:val="false"/>
          <w:color w:val="000000"/>
          <w:sz w:val="20"/>
        </w:rPr>
        <w:t>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5040" w:type="dxa"/>
        <w:jc w:val="left"/>
        <w:tblInd w:w="0" w:type="dxa"/>
        <w:tblLayout w:type="fixed"/>
        <w:tblCellMar>
          <w:top w:w="28" w:type="dxa"/>
          <w:left w:w="28" w:type="dxa"/>
          <w:bottom w:w="28" w:type="dxa"/>
          <w:right w:w="28" w:type="dxa"/>
        </w:tblCellMar>
      </w:tblPr>
      <w:tblGrid>
        <w:gridCol w:w="200"/>
        <w:gridCol w:w="177"/>
        <w:gridCol w:w="178"/>
        <w:gridCol w:w="1312"/>
        <w:gridCol w:w="1312"/>
        <w:gridCol w:w="1861"/>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86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Desiree A. Burke</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Desiree A. Burke</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 (Principal Financial Officer)</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19, 2026</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75260"/>
                <wp:effectExtent l="0" t="0" r="0" b="0"/>
                <wp:wrapNone/>
                <wp:docPr id="189" name="Frame1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575965/000110465913082396/a13-23794_2ex2d1.htm" TargetMode="External"/><Relationship Id="rId3" Type="http://schemas.openxmlformats.org/officeDocument/2006/relationships/hyperlink" Target="http://www.sec.gov/Archives/edgar/data/1575965/000119312516564256/d169218dex24.htm" TargetMode="External"/><Relationship Id="rId4" Type="http://schemas.openxmlformats.org/officeDocument/2006/relationships/hyperlink" Target="http://www.sec.gov/Archives/edgar/data/1575965/000157596518000016/glpiexhibit31amendedandres.htm" TargetMode="External"/><Relationship Id="rId5" Type="http://schemas.openxmlformats.org/officeDocument/2006/relationships/hyperlink" Target="https://www.sec.gov/Archives/edgar/data/1575965/000157596523000042/secondamendedandrestatedby.htm" TargetMode="External"/><Relationship Id="rId6" Type="http://schemas.openxmlformats.org/officeDocument/2006/relationships/hyperlink" Target="http://www.sec.gov/Archives/edgar/data/1575965/000110465913080098/a13-22016_6ex4d1.htm" TargetMode="External"/><Relationship Id="rId7" Type="http://schemas.openxmlformats.org/officeDocument/2006/relationships/hyperlink" Target="http://www.sec.gov/Archives/edgar/data/1575965/000119312516519802/d155565dex41.htm" TargetMode="External"/><Relationship Id="rId8" Type="http://schemas.openxmlformats.org/officeDocument/2006/relationships/hyperlink" Target="http://www.sec.gov/Archives/edgar/data/1575965/000119312516564256/d169218dex43.htm" TargetMode="External"/><Relationship Id="rId9" Type="http://schemas.openxmlformats.org/officeDocument/2006/relationships/hyperlink" Target="http://www.sec.gov/Archives/edgar/data/1575965/000119312516564256/d169218dex44.htm" TargetMode="External"/><Relationship Id="rId10" Type="http://schemas.openxmlformats.org/officeDocument/2006/relationships/hyperlink" Target="http://www.sec.gov/Archives/edgar/data/1575965/000119312518170967/d584186dex43.htm" TargetMode="External"/><Relationship Id="rId11" Type="http://schemas.openxmlformats.org/officeDocument/2006/relationships/hyperlink" Target="http://www.sec.gov/Archives/edgar/data/1575965/000119312518170967/d584186dex44.htm" TargetMode="External"/><Relationship Id="rId12" Type="http://schemas.openxmlformats.org/officeDocument/2006/relationships/hyperlink" Target="http://www.sec.gov/Archives/edgar/data/1575965/000119312518170967/d584186dex45.htm" TargetMode="External"/><Relationship Id="rId13" Type="http://schemas.openxmlformats.org/officeDocument/2006/relationships/hyperlink" Target="http://www.sec.gov/Archives/edgar/data/1575965/000119312518284105/d596721dex44.htm" TargetMode="External"/><Relationship Id="rId14" Type="http://schemas.openxmlformats.org/officeDocument/2006/relationships/hyperlink" Target="http://www.sec.gov/Archives/edgar/data/1575965/000119312519238989/d796187dex43.htm" TargetMode="External"/><Relationship Id="rId15" Type="http://schemas.openxmlformats.org/officeDocument/2006/relationships/hyperlink" Target="http://www.sec.gov/Archives/edgar/data/1575965/000119312519238989/d796187dex44.htm" TargetMode="External"/><Relationship Id="rId16" Type="http://schemas.openxmlformats.org/officeDocument/2006/relationships/hyperlink" Target="http://www.sec.gov/Archives/edgar/data/1575965/000119312520184548/d911884dex43.htm" TargetMode="External"/><Relationship Id="rId17" Type="http://schemas.openxmlformats.org/officeDocument/2006/relationships/hyperlink" Target="https://www.sec.gov/Archives/edgar/data/1575965/000119312521359808/d258688dex43.htm" TargetMode="External"/><Relationship Id="rId18" Type="http://schemas.openxmlformats.org/officeDocument/2006/relationships/hyperlink" Target="https://www.sec.gov/Archives/edgar/data/1575965/000119312523284275/d906744dex43.htm" TargetMode="External"/><Relationship Id="rId19" Type="http://schemas.openxmlformats.org/officeDocument/2006/relationships/hyperlink" Target="https://www.sec.gov/Archives/edgar/data/1575965/000119312524198412/d862698dex43.htm" TargetMode="External"/><Relationship Id="rId20" Type="http://schemas.openxmlformats.org/officeDocument/2006/relationships/hyperlink" Target="https://www.sec.gov/Archives/edgar/data/1575965/000119312524198412/d862698dex44.htm" TargetMode="External"/><Relationship Id="rId21" Type="http://schemas.openxmlformats.org/officeDocument/2006/relationships/hyperlink" Target="https://www.sec.gov/Archives/edgar/data/1575965/000119312525189701/d79316dex43.htm" TargetMode="External"/><Relationship Id="rId22" Type="http://schemas.openxmlformats.org/officeDocument/2006/relationships/hyperlink" Target="https://www.sec.gov/Archives/edgar/data/1575965/000119312525189701/d79316dex44.htm" TargetMode="External"/><Relationship Id="rId23" Type="http://schemas.openxmlformats.org/officeDocument/2006/relationships/hyperlink" Target="http://www.sec.gov/Archives/edgar/data/1575965/000119312516564256/d169218dex44.htm" TargetMode="External"/><Relationship Id="rId24" Type="http://schemas.openxmlformats.org/officeDocument/2006/relationships/hyperlink" Target="http://www.sec.gov/Archives/edgar/data/1575965/000119312518170967/d584186dex44.htm" TargetMode="External"/><Relationship Id="rId25" Type="http://schemas.openxmlformats.org/officeDocument/2006/relationships/hyperlink" Target="http://www.sec.gov/Archives/edgar/data/1575965/000119312518170967/d584186dex45.htm" TargetMode="External"/><Relationship Id="rId26" Type="http://schemas.openxmlformats.org/officeDocument/2006/relationships/hyperlink" Target="http://www.sec.gov/Archives/edgar/data/1575965/000119312518284105/d596721dex44.htm" TargetMode="External"/><Relationship Id="rId27" Type="http://schemas.openxmlformats.org/officeDocument/2006/relationships/hyperlink" Target="http://www.sec.gov/Archives/edgar/data/1575965/000119312519238989/d796187dex43.htm" TargetMode="External"/><Relationship Id="rId28" Type="http://schemas.openxmlformats.org/officeDocument/2006/relationships/hyperlink" Target="http://www.sec.gov/Archives/edgar/data/1575965/000119312519238989/d796187dex44.htm" TargetMode="External"/><Relationship Id="rId29" Type="http://schemas.openxmlformats.org/officeDocument/2006/relationships/hyperlink" Target="https://www.sec.gov/Archives/edgar/data/1575965/000119312520184548/d911884dex43.htm" TargetMode="External"/><Relationship Id="rId30" Type="http://schemas.openxmlformats.org/officeDocument/2006/relationships/hyperlink" Target="https://www.sec.gov/Archives/edgar/data/0001575965/000119312521359808/d258688dex43.htm" TargetMode="External"/><Relationship Id="rId31" Type="http://schemas.openxmlformats.org/officeDocument/2006/relationships/hyperlink" Target="https://www.sec.gov/Archives/edgar/data/1575965/000119312523284275/d906744dex43.htm" TargetMode="External"/><Relationship Id="rId32" Type="http://schemas.openxmlformats.org/officeDocument/2006/relationships/hyperlink" Target="https://www.sec.gov/Archives/edgar/data/1575965/000119312524198412/d862698dex43.htm" TargetMode="External"/><Relationship Id="rId33" Type="http://schemas.openxmlformats.org/officeDocument/2006/relationships/hyperlink" Target="https://www.sec.gov/Archives/edgar/data/1575965/000119312524198412/d862698dex43.htm" TargetMode="External"/><Relationship Id="rId34" Type="http://schemas.openxmlformats.org/officeDocument/2006/relationships/hyperlink" Target="https://www.sec.gov/Archives/edgar/data/1575965/000119312525189701/d79316dex43.htm" TargetMode="External"/><Relationship Id="rId35" Type="http://schemas.openxmlformats.org/officeDocument/2006/relationships/hyperlink" Target="https://www.sec.gov/Archives/edgar/data/1575965/000119312525189701/d79316dex44.htm" TargetMode="External"/><Relationship Id="rId36" Type="http://schemas.openxmlformats.org/officeDocument/2006/relationships/hyperlink" Target="http://www.sec.gov/Archives/edgar/data/1575965/000110465913082396/a13-23794_2ex10d1.htm" TargetMode="External"/><Relationship Id="rId37" Type="http://schemas.openxmlformats.org/officeDocument/2006/relationships/hyperlink" Target="http://www.sec.gov/Archives/edgar/data/1575965/000110465914037525/a14-12326_1ex10d1.htm" TargetMode="External"/><Relationship Id="rId38" Type="http://schemas.openxmlformats.org/officeDocument/2006/relationships/hyperlink" Target="http://www.sec.gov/Archives/edgar/data/1575965/000110465914055690/a14-14237_1ex10d1.htm" TargetMode="External"/><Relationship Id="rId39" Type="http://schemas.openxmlformats.org/officeDocument/2006/relationships/hyperlink" Target="http://www.sec.gov/Archives/edgar/data/1575965/000157596516000134/glpi-2016930exhibit102.htm" TargetMode="External"/><Relationship Id="rId40" Type="http://schemas.openxmlformats.org/officeDocument/2006/relationships/hyperlink" Target="http://www.sec.gov/Archives/edgar/data/1575965/000157596517000022/glpi-2017331exhibit102.htm" TargetMode="External"/><Relationship Id="rId41" Type="http://schemas.openxmlformats.org/officeDocument/2006/relationships/hyperlink" Target="http://www.sec.gov/Archives/edgar/data/1575965/000157596518000019/glpi-2018630exhibit103.htm" TargetMode="External"/><Relationship Id="rId42" Type="http://schemas.openxmlformats.org/officeDocument/2006/relationships/hyperlink" Target="http://www.sec.gov/Archives/edgar/data/1575965/000157596518000024/glpi-2018930exhibit101.htm" TargetMode="External"/><Relationship Id="rId43" Type="http://schemas.openxmlformats.org/officeDocument/2006/relationships/hyperlink" Target="http://www.sec.gov/Archives/edgar/data/1575965/000157596519000005/glpi-20181231exhibit1016.htm" TargetMode="External"/><Relationship Id="rId44" Type="http://schemas.openxmlformats.org/officeDocument/2006/relationships/hyperlink" Target="http://www.sec.gov/Archives/edgar/data/1575965/000157596519000005/glpi-20181231exhibit1017.htm" TargetMode="External"/><Relationship Id="rId45" Type="http://schemas.openxmlformats.org/officeDocument/2006/relationships/hyperlink" Target="https://www.sec.gov/Archives/edgar/data/1575965/000157596523000007/ninthamendmenttopennmaster.htm" TargetMode="External"/><Relationship Id="rId46" Type="http://schemas.openxmlformats.org/officeDocument/2006/relationships/hyperlink" Target="https://www.sec.gov/Archives/edgar/data/1575965/000157596523000007/penn-armasterleaseexecutio.htm" TargetMode="External"/><Relationship Id="rId47" Type="http://schemas.openxmlformats.org/officeDocument/2006/relationships/hyperlink" Target="https://www.sec.gov/Archives/edgar/data/1575965/000157596523000007/penn-newmasterlease7proper.htm" TargetMode="External"/><Relationship Id="rId48" Type="http://schemas.openxmlformats.org/officeDocument/2006/relationships/hyperlink" Target="http://www.sec.gov/Archives/edgar/data/1575965/000119312516564256/d169218dex23.htm" TargetMode="External"/><Relationship Id="rId49" Type="http://schemas.openxmlformats.org/officeDocument/2006/relationships/hyperlink" Target="http://www.sec.gov/Archives/edgar/data/1575965/000157596516000134/glpi-2016930exhibit101.htm" TargetMode="External"/><Relationship Id="rId50" Type="http://schemas.openxmlformats.org/officeDocument/2006/relationships/hyperlink" Target="http://www.sec.gov/Archives/edgar/data/1575965/000157596517000006/glpi-20161231exhibit1013.htm" TargetMode="External"/><Relationship Id="rId51" Type="http://schemas.openxmlformats.org/officeDocument/2006/relationships/hyperlink" Target="http://www.sec.gov/Archives/edgar/data/1575965/000157596517000022/glpi-2017331exhibit101.htm" TargetMode="External"/><Relationship Id="rId52" Type="http://schemas.openxmlformats.org/officeDocument/2006/relationships/hyperlink" Target="http://www.sec.gov/Archives/edgar/data/1575965/000119312518299507/d621785dex101.htm" TargetMode="External"/><Relationship Id="rId53" Type="http://schemas.openxmlformats.org/officeDocument/2006/relationships/hyperlink" Target="https://www.sec.gov/Archives/edgar/data/1575965/000157596523000007/fifthamendmenttopinnaclema.htm" TargetMode="External"/><Relationship Id="rId54" Type="http://schemas.openxmlformats.org/officeDocument/2006/relationships/hyperlink" Target="http://www.sec.gov/Archives/edgar/data/1575965/000119312518299507/d621785dex102.htm" TargetMode="External"/><Relationship Id="rId55" Type="http://schemas.openxmlformats.org/officeDocument/2006/relationships/hyperlink" Target="http://www.sec.gov/Archives/edgar/data/1575965/000110465913082396/a13-23794_2ex10d2.htm" TargetMode="External"/><Relationship Id="rId56" Type="http://schemas.openxmlformats.org/officeDocument/2006/relationships/hyperlink" Target="http://www.sec.gov/Archives/edgar/data/1575965/000157596515000036/glpi72215exhibit101.htm" TargetMode="External"/><Relationship Id="rId57" Type="http://schemas.openxmlformats.org/officeDocument/2006/relationships/hyperlink" Target="http://www.sec.gov/Archives/edgar/data/1575965/000114036120010098/nc100007829x1_def14a.htm" TargetMode="External"/><Relationship Id="rId58" Type="http://schemas.openxmlformats.org/officeDocument/2006/relationships/hyperlink" Target="https://www.sec.gov/Archives/edgar/data/1575965/000157596525000031/glpi-2013ltipx2025amendmen.htm" TargetMode="External"/><Relationship Id="rId59" Type="http://schemas.openxmlformats.org/officeDocument/2006/relationships/hyperlink" Target="https://www.sec.gov/Archives/edgar/data/1575965/000157596522000005/glpirsaex-1030.htm" TargetMode="External"/><Relationship Id="rId60" Type="http://schemas.openxmlformats.org/officeDocument/2006/relationships/hyperlink" Target="https://www.sec.gov/Archives/edgar/data/1575965/000157596522000005/glpirsaex-1031.htm" TargetMode="External"/><Relationship Id="rId61" Type="http://schemas.openxmlformats.org/officeDocument/2006/relationships/hyperlink" Target="https://www.sec.gov/Archives/edgar/data/1575965/000157596522000005/glpisaquarterlyex-1032.htm" TargetMode="External"/><Relationship Id="rId62" Type="http://schemas.openxmlformats.org/officeDocument/2006/relationships/hyperlink" Target="https://www.sec.gov/Archives/edgar/data/1575965/000157596522000005/glpirsaex-1033.htm" TargetMode="External"/><Relationship Id="rId63" Type="http://schemas.openxmlformats.org/officeDocument/2006/relationships/hyperlink" Target="https://www.sec.gov/Archives/edgar/data/1575965/000157596522000005/glpirsaperf2020ex-1034.htm" TargetMode="External"/><Relationship Id="rId64" Type="http://schemas.openxmlformats.org/officeDocument/2006/relationships/hyperlink" Target="https://www.sec.gov/Archives/edgar/data/1575965/000157596522000005/glpirsaperf2020ex-1034.htm" TargetMode="External"/><Relationship Id="rId65" Type="http://schemas.openxmlformats.org/officeDocument/2006/relationships/hyperlink" Target="https://www.sec.gov/Archives/edgar/data/1575965/000157596522000005/glpirsaperf2020ex-1034.htm" TargetMode="External"/><Relationship Id="rId66" Type="http://schemas.openxmlformats.org/officeDocument/2006/relationships/hyperlink" Target="https://www.sec.gov/Archives/edgar/data/1575965/000157596522000005/glpirsaperf2020ex-1034.htm" TargetMode="External"/><Relationship Id="rId67" Type="http://schemas.openxmlformats.org/officeDocument/2006/relationships/hyperlink" Target="https://www.sec.gov/Archives/edgar/data/1575965/000157596522000005/glpirsaperf2021exhibit1035.htm" TargetMode="External"/><Relationship Id="rId68" Type="http://schemas.openxmlformats.org/officeDocument/2006/relationships/hyperlink" Target="https://www.sec.gov/Archives/edgar/data/1575965/000157596522000005/glpirsaperf2021exhibit1035.htm" TargetMode="External"/><Relationship Id="rId69" Type="http://schemas.openxmlformats.org/officeDocument/2006/relationships/hyperlink" Target="https://www.sec.gov/Archives/edgar/data/1575965/000157596522000005/glpirsaperf2021exhibit1035.htm" TargetMode="External"/><Relationship Id="rId70" Type="http://schemas.openxmlformats.org/officeDocument/2006/relationships/hyperlink" Target="https://www.sec.gov/Archives/edgar/data/1575965/000157596522000005/glpirsaperf2021exhibit1035.htm" TargetMode="External"/><Relationship Id="rId71" Type="http://schemas.openxmlformats.org/officeDocument/2006/relationships/hyperlink" Target="https://www.sec.gov/Archives/edgar/data/1575965/000157596522000005/glpirsa2020ex-1036.htm" TargetMode="External"/><Relationship Id="rId72" Type="http://schemas.openxmlformats.org/officeDocument/2006/relationships/hyperlink" Target="https://www.sec.gov/Archives/edgar/data/1575965/000157596522000005/glpirsa2020ex-1036.htm" TargetMode="External"/><Relationship Id="rId73" Type="http://schemas.openxmlformats.org/officeDocument/2006/relationships/hyperlink" Target="https://www.sec.gov/Archives/edgar/data/1575965/000157596522000005/glpirsa2020ex-1036.htm" TargetMode="External"/><Relationship Id="rId74" Type="http://schemas.openxmlformats.org/officeDocument/2006/relationships/hyperlink" Target="https://www.sec.gov/Archives/edgar/data/1575965/000157596522000005/glpirsa2020ex-1036.htm" TargetMode="External"/><Relationship Id="rId75" Type="http://schemas.openxmlformats.org/officeDocument/2006/relationships/hyperlink" Target="https://www.sec.gov/Archives/edgar/data/1575965/000157596522000005/glpirsaperf2021ex-1037.htm" TargetMode="External"/><Relationship Id="rId76" Type="http://schemas.openxmlformats.org/officeDocument/2006/relationships/hyperlink" Target="https://www.sec.gov/Archives/edgar/data/1575965/000157596522000005/glpirsaperf2021ex-1037.htm" TargetMode="External"/><Relationship Id="rId77" Type="http://schemas.openxmlformats.org/officeDocument/2006/relationships/hyperlink" Target="https://www.sec.gov/Archives/edgar/data/1575965/000157596522000005/glpirsaperf2021ex-1037.htm" TargetMode="External"/><Relationship Id="rId78" Type="http://schemas.openxmlformats.org/officeDocument/2006/relationships/hyperlink" Target="https://www.sec.gov/Archives/edgar/data/1575965/000157596522000005/glpirsaperf2021ex-1037.htm" TargetMode="External"/><Relationship Id="rId79" Type="http://schemas.openxmlformats.org/officeDocument/2006/relationships/hyperlink" Target="https://www.sec.gov/Archives/edgar/data/1575965/000157596522000005/glpirsaperf2021ex-1037.htm" TargetMode="External"/><Relationship Id="rId80" Type="http://schemas.openxmlformats.org/officeDocument/2006/relationships/hyperlink" Target="https://www.sec.gov/Archives/edgar/data/1575965/000157596522000005/glpisaperfex-1038.htm" TargetMode="External"/><Relationship Id="rId81" Type="http://schemas.openxmlformats.org/officeDocument/2006/relationships/hyperlink" Target="https://www.sec.gov/Archives/edgar/data/1575965/000157596522000005/glpisaperfex-1038.htm" TargetMode="External"/><Relationship Id="rId82" Type="http://schemas.openxmlformats.org/officeDocument/2006/relationships/hyperlink" Target="https://www.sec.gov/Archives/edgar/data/1575965/000157596522000005/glpisaperfex-1038.htm" TargetMode="External"/><Relationship Id="rId83" Type="http://schemas.openxmlformats.org/officeDocument/2006/relationships/hyperlink" Target="https://www.sec.gov/Archives/edgar/data/1575965/000157596522000005/glpisaperfex-1038.htm" TargetMode="External"/><Relationship Id="rId84" Type="http://schemas.openxmlformats.org/officeDocument/2006/relationships/hyperlink" Target="https://www.sec.gov/Archives/edgar/data/1575965/000157596524000005/0001575965-24-000005-index.html" TargetMode="External"/><Relationship Id="rId85" Type="http://schemas.openxmlformats.org/officeDocument/2006/relationships/hyperlink" Target="https://www.sec.gov/Archives/edgar/data/1575965/000157596524000005/0001575965-24-000005-index.html" TargetMode="External"/><Relationship Id="rId86" Type="http://schemas.openxmlformats.org/officeDocument/2006/relationships/hyperlink" Target="https://www.sec.gov/Archives/edgar/data/1575965/000157596524000005/0001575965-24-000005-index.html" TargetMode="External"/><Relationship Id="rId87" Type="http://schemas.openxmlformats.org/officeDocument/2006/relationships/hyperlink" Target="https://www.sec.gov/Archives/edgar/data/1575965/000157596524000005/0001575965-24-000005-index.html" TargetMode="External"/><Relationship Id="rId88" Type="http://schemas.openxmlformats.org/officeDocument/2006/relationships/hyperlink" Target="https://www.sec.gov/Archives/edgar/data/1575965/000157596525000008/glpi_formofrestrictedstock.htm" TargetMode="External"/><Relationship Id="rId89" Type="http://schemas.openxmlformats.org/officeDocument/2006/relationships/hyperlink" Target="https://www.sec.gov/Archives/edgar/data/1575965/000157596525000008/glpi_formofrestrictedstocka.htm" TargetMode="External"/><Relationship Id="rId90" Type="http://schemas.openxmlformats.org/officeDocument/2006/relationships/hyperlink" Target="https://www.sec.gov/Archives/edgar/data/1575965/000157596525000008/glpi-2025timexbasedltipuni.htm" TargetMode="External"/><Relationship Id="rId91" Type="http://schemas.openxmlformats.org/officeDocument/2006/relationships/hyperlink" Target="https://www.sec.gov/Archives/edgar/data/1575965/000157596525000008/glpi-2025performanceltipuna.htm" TargetMode="External"/><Relationship Id="rId92" Type="http://schemas.openxmlformats.org/officeDocument/2006/relationships/hyperlink" Target="https://www.sec.gov/Archives/edgar/data/1575965/000157596525000008/glpi-2025performanceltipun.htm" TargetMode="External"/><Relationship Id="rId93" Type="http://schemas.openxmlformats.org/officeDocument/2006/relationships/hyperlink" Target="http://www.sec.gov/Archives/edgar/data/1575965/000157596519000002/glpiexhibit101executivecha.htm" TargetMode="External"/><Relationship Id="rId94" Type="http://schemas.openxmlformats.org/officeDocument/2006/relationships/hyperlink" Target="https://www.sec.gov/Archives/edgar/data/1575965/000157596522000005/tropicana-secondarmasterle.htm" TargetMode="External"/><Relationship Id="rId95" Type="http://schemas.openxmlformats.org/officeDocument/2006/relationships/hyperlink" Target="http://www.sec.gov/Archives/edgar/data/1575965/000119312520201915/d43959dex101.htm" TargetMode="External"/><Relationship Id="rId96" Type="http://schemas.openxmlformats.org/officeDocument/2006/relationships/hyperlink" Target="https://www.sec.gov/Archives/edgar/data/1575965/000119312521369126/d230824dex101.htm" TargetMode="External"/><Relationship Id="rId97" Type="http://schemas.openxmlformats.org/officeDocument/2006/relationships/hyperlink" Target="https://www.sec.gov/Archives/edgar/data/1575965/000157596522000021/glpi-creditagreementwithsi.htm" TargetMode="External"/><Relationship Id="rId98" Type="http://schemas.openxmlformats.org/officeDocument/2006/relationships/hyperlink" Target="https://www.sec.gov/Archives/edgar/data/1575965/000119312522241046/d358207dex101.htm" TargetMode="External"/><Relationship Id="rId99" Type="http://schemas.openxmlformats.org/officeDocument/2006/relationships/hyperlink" Target="https://www.sec.gov/Archives/edgar/data/1575965/000119312522241046/d358207dex102.htm" TargetMode="External"/><Relationship Id="rId100" Type="http://schemas.openxmlformats.org/officeDocument/2006/relationships/hyperlink" Target="https://www.sec.gov/Archives/edgar/data/1575965/000157596524000039/glpi-amendmentno2amendedrc.htm" TargetMode="External"/><Relationship Id="rId101" Type="http://schemas.openxmlformats.org/officeDocument/2006/relationships/hyperlink" Target="https://www.sec.gov/ix?doc=/Archives/edgar/data/1575965/000119312524178062/d779010d8k.htm" TargetMode="External"/><Relationship Id="rId102" Type="http://schemas.openxmlformats.org/officeDocument/2006/relationships/hyperlink" Target="https://www.sec.gov/Archives/edgar/data/1575965/000157596525000045/glpi-demchykseparationagre.htm" TargetMode="External"/><Relationship Id="rId103" Type="http://schemas.openxmlformats.org/officeDocument/2006/relationships/hyperlink" Target="https://www.sec.gov/Archives/edgar/data/1575965/000157596525000008/gamingandleisureinsidertra.htm" TargetMode="External"/><Relationship Id="rId104" Type="http://schemas.openxmlformats.org/officeDocument/2006/relationships/hyperlink" Target="https://www.sec.gov/ix?doc=/Archives/edgar/data/1575965/000157596524000005/glpi-20231231.htm" TargetMode="External"/><Relationship Id="rId105" Type="http://schemas.openxmlformats.org/officeDocument/2006/relationships/fontTable" Target="fontTable.xml"/><Relationship Id="rId10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76</Pages>
  <Words>102457</Words>
  <Characters>548659</Characters>
  <CharactersWithSpaces>649155</CharactersWithSpaces>
  <Paragraphs>7072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