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471805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37465</wp:posOffset>
            </wp:positionV>
            <wp:extent cx="20231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9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24765</wp:posOffset>
            </wp:positionV>
            <wp:extent cx="20231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 PURSUANT TO SECTION 13 OR 15(d) OF</w:t>
      </w:r>
    </w:p>
    <w:p>
      <w:pPr>
        <w:spacing w:after="0" w:line="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45085</wp:posOffset>
            </wp:positionV>
            <wp:extent cx="20231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Gaming and Leisure Properties, Inc.</w:t>
      </w:r>
    </w:p>
    <w:p>
      <w:pPr>
        <w:spacing w:after="0" w:line="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14605</wp:posOffset>
            </wp:positionV>
            <wp:extent cx="20231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ectPr>
          <w:pgSz w:w="11900" w:h="16838" w:orient="portrait"/>
          <w:cols w:equalWidth="0" w:num="1">
            <w:col w:w="11288"/>
          </w:cols>
          <w:pgMar w:left="292" w:top="918" w:right="319" w:bottom="1440" w:gutter="0" w:footer="0" w:header="0"/>
        </w:sectPr>
      </w:pPr>
    </w:p>
    <w:p>
      <w:pPr>
        <w:spacing w:after="0" w:line="143" w:lineRule="exact"/>
        <w:rPr>
          <w:sz w:val="24"/>
          <w:szCs w:val="24"/>
          <w:color w:val="auto"/>
        </w:rPr>
      </w:pPr>
    </w:p>
    <w:p>
      <w:pPr>
        <w:jc w:val="center"/>
        <w:ind w:right="752"/>
        <w:spacing w:after="0"/>
        <w:rPr>
          <w:sz w:val="20"/>
          <w:szCs w:val="20"/>
          <w:color w:val="auto"/>
        </w:rPr>
      </w:pPr>
      <w:r>
        <w:rPr>
          <w:rFonts w:ascii="Times New Roman" w:cs="Times New Roman" w:eastAsia="Times New Roman" w:hAnsi="Times New Roman"/>
          <w:sz w:val="12"/>
          <w:szCs w:val="12"/>
          <w:b w:val="1"/>
          <w:bCs w:val="1"/>
          <w:color w:val="auto"/>
        </w:rPr>
        <w:t>Pennsylvania</w:t>
      </w:r>
    </w:p>
    <w:p>
      <w:pPr>
        <w:spacing w:after="0" w:line="21" w:lineRule="exact"/>
        <w:rPr>
          <w:sz w:val="24"/>
          <w:szCs w:val="24"/>
          <w:color w:val="auto"/>
        </w:rPr>
      </w:pPr>
    </w:p>
    <w:p>
      <w:pPr>
        <w:jc w:val="center"/>
        <w:ind w:right="752"/>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001-36124</w:t>
      </w:r>
    </w:p>
    <w:p>
      <w:pPr>
        <w:spacing w:after="0" w:line="2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46-2116489</w:t>
      </w:r>
    </w:p>
    <w:p>
      <w:pPr>
        <w:spacing w:after="0" w:line="2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 w:lineRule="exact"/>
        <w:rPr>
          <w:sz w:val="24"/>
          <w:szCs w:val="24"/>
          <w:color w:val="auto"/>
        </w:rPr>
      </w:pPr>
    </w:p>
    <w:p>
      <w:pPr>
        <w:sectPr>
          <w:pgSz w:w="11900" w:h="16838" w:orient="portrait"/>
          <w:cols w:equalWidth="0" w:num="3">
            <w:col w:w="4248" w:space="720"/>
            <w:col w:w="3020" w:space="720"/>
            <w:col w:w="2580"/>
          </w:cols>
          <w:pgMar w:left="292" w:top="918" w:right="319" w:bottom="1440" w:gutter="0" w:footer="0" w:header="0"/>
          <w:type w:val="continuous"/>
        </w:sectPr>
      </w:pPr>
    </w:p>
    <w:p>
      <w:pPr>
        <w:ind w:left="1008"/>
        <w:spacing w:after="0" w:line="229" w:lineRule="auto"/>
        <w:rPr>
          <w:sz w:val="20"/>
          <w:szCs w:val="20"/>
          <w:color w:val="auto"/>
        </w:rPr>
      </w:pPr>
      <w:r>
        <w:rPr>
          <w:rFonts w:ascii="Times New Roman" w:cs="Times New Roman" w:eastAsia="Times New Roman" w:hAnsi="Times New Roman"/>
          <w:sz w:val="12"/>
          <w:szCs w:val="12"/>
          <w:color w:val="auto"/>
        </w:rPr>
        <w:t>Incorporation or Organization)</w:t>
      </w:r>
    </w:p>
    <w:p>
      <w:pPr>
        <w:spacing w:after="0" w:line="6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845 Berkshire Blvd., Suite 200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Wyomissing, PA 19610</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ectPr>
          <w:pgSz w:w="11900" w:h="16838" w:orient="portrait"/>
          <w:cols w:equalWidth="0" w:num="1">
            <w:col w:w="11288"/>
          </w:cols>
          <w:pgMar w:left="292" w:top="918" w:right="319" w:bottom="1440" w:gutter="0" w:footer="0" w:header="0"/>
          <w:type w:val="continuous"/>
        </w:sectPr>
      </w:pPr>
    </w:p>
    <w:p>
      <w:pPr>
        <w:spacing w:after="0" w:line="16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610-401-2900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64"/>
        </w:trPr>
        <w:tc>
          <w:tcPr>
            <w:tcW w:w="4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37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420" w:type="dxa"/>
            <w:vAlign w:val="bottom"/>
            <w:tcBorders>
              <w:right w:val="single" w:sz="8" w:color="auto"/>
            </w:tcBorders>
          </w:tcPr>
          <w:p>
            <w:pPr>
              <w:spacing w:after="0"/>
              <w:rPr>
                <w:sz w:val="13"/>
                <w:szCs w:val="13"/>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420" w:type="dxa"/>
            <w:vAlign w:val="bottom"/>
            <w:tcBorders>
              <w:right w:val="single" w:sz="8" w:color="auto"/>
            </w:tcBorders>
          </w:tcPr>
          <w:p>
            <w:pPr>
              <w:spacing w:after="0"/>
              <w:rPr>
                <w:sz w:val="13"/>
                <w:szCs w:val="13"/>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2"/>
        </w:trPr>
        <w:tc>
          <w:tcPr>
            <w:tcW w:w="40" w:type="dxa"/>
            <w:vAlign w:val="bottom"/>
            <w:tcBorders>
              <w:right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Common Stock, par value $.01 per share</w:t>
            </w:r>
          </w:p>
        </w:tc>
        <w:tc>
          <w:tcPr>
            <w:tcW w:w="420" w:type="dxa"/>
            <w:vAlign w:val="bottom"/>
            <w:tcBorders>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GLPI</w:t>
            </w:r>
          </w:p>
        </w:tc>
        <w:tc>
          <w:tcPr>
            <w:tcW w:w="420" w:type="dxa"/>
            <w:vAlign w:val="bottom"/>
            <w:tcBorders>
              <w:right w:val="single" w:sz="8" w:color="auto"/>
            </w:tcBorders>
          </w:tcPr>
          <w:p>
            <w:pPr>
              <w:spacing w:after="0"/>
              <w:rPr>
                <w:sz w:val="12"/>
                <w:szCs w:val="12"/>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61" w:lineRule="exact"/>
        <w:rPr>
          <w:sz w:val="24"/>
          <w:szCs w:val="24"/>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jc w:val="center"/>
        <w:ind w:right="-27"/>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3"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18" w:right="31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448945</wp:posOffset>
            </wp:positionV>
            <wp:extent cx="71666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5715"/>
                    </a:xfrm>
                    <a:prstGeom prst="rect">
                      <a:avLst/>
                    </a:prstGeom>
                    <a:noFill/>
                  </pic:spPr>
                </pic:pic>
              </a:graphicData>
            </a:graphic>
          </wp:anchor>
        </w:drawing>
        <w:t>Item 2.02. Results of Operations and Financial Condition.</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April 23, 2026, Gaming and Leisure Properties, Inc. issued a press release announcing its financial results for the three months ended March 31, 2026. A copy of the press release is attached hereto as Exhibit 99.1 and incorporated herein by reference.</w:t>
      </w:r>
    </w:p>
    <w:p>
      <w:pPr>
        <w:spacing w:after="0" w:line="129" w:lineRule="exact"/>
        <w:rPr>
          <w:sz w:val="20"/>
          <w:szCs w:val="20"/>
          <w:color w:val="auto"/>
        </w:rPr>
      </w:pPr>
    </w:p>
    <w:p>
      <w:pPr>
        <w:ind w:left="8" w:right="220"/>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pursuant to Item 2.02 and shall not be deemed to be “filed” for the purposes of Section 18 of the Securities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filing.</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Exhibits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vMerge w:val="restart"/>
          </w:tcPr>
          <w:p>
            <w:pPr>
              <w:ind w:left="800"/>
              <w:spacing w:after="0"/>
              <w:rPr>
                <w:sz w:val="20"/>
                <w:szCs w:val="20"/>
                <w:color w:val="auto"/>
              </w:rPr>
            </w:pPr>
            <w:r>
              <w:rPr>
                <w:rFonts w:ascii="Times New Roman" w:cs="Times New Roman" w:eastAsia="Times New Roman" w:hAnsi="Times New Roman"/>
                <w:sz w:val="10"/>
                <w:szCs w:val="10"/>
                <w:b w:val="1"/>
                <w:bCs w:val="1"/>
                <w:color w:val="auto"/>
                <w:w w:val="92"/>
              </w:rPr>
              <w:t>Description</w:t>
            </w:r>
          </w:p>
        </w:tc>
        <w:tc>
          <w:tcPr>
            <w:tcW w:w="0" w:type="dxa"/>
            <w:vAlign w:val="bottom"/>
          </w:tcPr>
          <w:p>
            <w:pPr>
              <w:spacing w:after="0"/>
              <w:rPr>
                <w:sz w:val="1"/>
                <w:szCs w:val="1"/>
                <w:color w:val="auto"/>
              </w:rPr>
            </w:pPr>
          </w:p>
        </w:tc>
      </w:tr>
      <w:tr>
        <w:trPr>
          <w:trHeight w:val="130"/>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0" w:type="dxa"/>
            <w:vAlign w:val="bottom"/>
          </w:tcPr>
          <w:p>
            <w:pPr>
              <w:spacing w:after="0"/>
              <w:rPr>
                <w:sz w:val="23"/>
                <w:szCs w:val="23"/>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Gaming and Leisure Properties, Inc. Earnings Press Release, dated April 23, 2026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0" w:type="dxa"/>
            <w:vAlign w:val="bottom"/>
          </w:tcPr>
          <w:p>
            <w:pPr>
              <w:spacing w:after="0"/>
              <w:rPr>
                <w:sz w:val="14"/>
                <w:szCs w:val="14"/>
                <w:color w:val="auto"/>
              </w:rPr>
            </w:pPr>
          </w:p>
        </w:tc>
        <w:tc>
          <w:tcPr>
            <w:tcW w:w="3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Supplemental Financial Information, First Quarter Ended March 31, 2026</w:t>
            </w:r>
          </w:p>
        </w:tc>
        <w:tc>
          <w:tcPr>
            <w:tcW w:w="380" w:type="dxa"/>
            <w:vAlign w:val="bottom"/>
            <w:tcBorders>
              <w:top w:val="single" w:sz="8" w:color="0000FF"/>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148" w:hanging="1136"/>
        <w:spacing w:after="0"/>
        <w:tabs>
          <w:tab w:leader="none" w:pos="114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 page from the Company's Current Report on Form 8-K, dated April 24, 2026, formatted in Inline XBRL.</w:t>
      </w:r>
    </w:p>
    <w:p>
      <w:pPr>
        <w:spacing w:after="0" w:line="222" w:lineRule="exact"/>
        <w:rPr>
          <w:rFonts w:ascii="Times New Roman" w:cs="Times New Roman" w:eastAsia="Times New Roman" w:hAnsi="Times New Roman"/>
          <w:sz w:val="12"/>
          <w:szCs w:val="12"/>
          <w:color w:val="auto"/>
        </w:rPr>
      </w:pPr>
    </w:p>
    <w:p>
      <w:pPr>
        <w:ind w:left="55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w:t>
      </w:r>
    </w:p>
    <w:p>
      <w:pPr>
        <w:spacing w:after="0" w:line="375"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64" w:right="3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Dated: April 24, 2026</w:t>
            </w:r>
          </w:p>
        </w:tc>
        <w:tc>
          <w:tcPr>
            <w:tcW w:w="5180" w:type="dxa"/>
            <w:vAlign w:val="bottom"/>
            <w:gridSpan w:val="3"/>
          </w:tcPr>
          <w:p>
            <w:pPr>
              <w:ind w:left="2240"/>
              <w:spacing w:after="0"/>
              <w:rPr>
                <w:sz w:val="20"/>
                <w:szCs w:val="20"/>
                <w:color w:val="auto"/>
              </w:rPr>
            </w:pPr>
            <w:r>
              <w:rPr>
                <w:rFonts w:ascii="Times New Roman" w:cs="Times New Roman" w:eastAsia="Times New Roman" w:hAnsi="Times New Roman"/>
                <w:sz w:val="12"/>
                <w:szCs w:val="12"/>
                <w:color w:val="auto"/>
              </w:rPr>
              <w:t>GAMING AND LEISURE PROPERTIES, INC.</w:t>
            </w:r>
          </w:p>
        </w:tc>
      </w:tr>
      <w:tr>
        <w:trPr>
          <w:trHeight w:val="432"/>
        </w:trPr>
        <w:tc>
          <w:tcPr>
            <w:tcW w:w="3300" w:type="dxa"/>
            <w:vAlign w:val="bottom"/>
          </w:tcPr>
          <w:p>
            <w:pPr>
              <w:spacing w:after="0"/>
              <w:rPr>
                <w:sz w:val="24"/>
                <w:szCs w:val="24"/>
                <w:color w:val="auto"/>
              </w:rPr>
            </w:pPr>
          </w:p>
        </w:tc>
        <w:tc>
          <w:tcPr>
            <w:tcW w:w="33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/s/ Desiree A. Burke</w:t>
            </w:r>
          </w:p>
        </w:tc>
        <w:tc>
          <w:tcPr>
            <w:tcW w:w="820" w:type="dxa"/>
            <w:vAlign w:val="bottom"/>
          </w:tcPr>
          <w:p>
            <w:pPr>
              <w:spacing w:after="0"/>
              <w:rPr>
                <w:sz w:val="24"/>
                <w:szCs w:val="24"/>
                <w:color w:val="auto"/>
              </w:rPr>
            </w:pPr>
          </w:p>
        </w:tc>
      </w:tr>
      <w:tr>
        <w:trPr>
          <w:trHeight w:val="158"/>
        </w:trPr>
        <w:tc>
          <w:tcPr>
            <w:tcW w:w="3300" w:type="dxa"/>
            <w:vAlign w:val="bottom"/>
          </w:tcPr>
          <w:p>
            <w:pPr>
              <w:spacing w:after="0"/>
              <w:rPr>
                <w:sz w:val="13"/>
                <w:szCs w:val="13"/>
                <w:color w:val="auto"/>
              </w:rPr>
            </w:pPr>
          </w:p>
        </w:tc>
        <w:tc>
          <w:tcPr>
            <w:tcW w:w="33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Name:</w:t>
            </w:r>
          </w:p>
        </w:tc>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Desiree A. Burke</w:t>
            </w:r>
          </w:p>
        </w:tc>
      </w:tr>
      <w:tr>
        <w:trPr>
          <w:trHeight w:val="155"/>
        </w:trPr>
        <w:tc>
          <w:tcPr>
            <w:tcW w:w="3300" w:type="dxa"/>
            <w:vAlign w:val="bottom"/>
          </w:tcPr>
          <w:p>
            <w:pPr>
              <w:spacing w:after="0"/>
              <w:rPr>
                <w:sz w:val="13"/>
                <w:szCs w:val="13"/>
                <w:color w:val="auto"/>
              </w:rPr>
            </w:pPr>
          </w:p>
        </w:tc>
        <w:tc>
          <w:tcPr>
            <w:tcW w:w="33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Chief Financial Officer and Treasurer</w:t>
            </w:r>
          </w:p>
        </w:tc>
      </w:tr>
      <w:tr>
        <w:trPr>
          <w:trHeight w:val="747"/>
        </w:trPr>
        <w:tc>
          <w:tcPr>
            <w:tcW w:w="3300" w:type="dxa"/>
            <w:vAlign w:val="bottom"/>
          </w:tcPr>
          <w:p>
            <w:pPr>
              <w:spacing w:after="0"/>
              <w:rPr>
                <w:sz w:val="24"/>
                <w:szCs w:val="24"/>
                <w:color w:val="auto"/>
              </w:rPr>
            </w:pPr>
          </w:p>
        </w:tc>
        <w:tc>
          <w:tcPr>
            <w:tcW w:w="33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3</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159"/>
          </w:cols>
          <w:pgMar w:left="300" w:top="638" w:right="1440" w:bottom="1440" w:gutter="0" w:footer="0" w:header="0"/>
        </w:sectPr>
      </w:pPr>
    </w:p>
    <w:bookmarkStart w:id="3" w:name="page4"/>
    <w:bookmarkEnd w:id="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1537335" cy="302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37335" cy="302895"/>
                    </a:xfrm>
                    <a:prstGeom prst="rect">
                      <a:avLst/>
                    </a:prstGeom>
                    <a:noFill/>
                  </pic:spPr>
                </pic:pic>
              </a:graphicData>
            </a:graphic>
          </wp:anchor>
        </w:drawing>
        <w:t>GAMING AND LEISURE PROPERTIES REPORTS RECORD FIRST QUARTER 2026 RESULTS AND INCREASES 2026 FULL YEAR GUIDANCE</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WYOMISSING, PA — April 23, 2026 </w:t>
      </w:r>
      <w:r>
        <w:rPr>
          <w:rFonts w:ascii="Times New Roman" w:cs="Times New Roman" w:eastAsia="Times New Roman" w:hAnsi="Times New Roman"/>
          <w:sz w:val="12"/>
          <w:szCs w:val="12"/>
          <w:color w:val="auto"/>
        </w:rPr>
        <w:t>— Gaming and Leisure Properties, Inc. (NASDAQ: GLPI) (“GLPI” or the “Company”) today announced financial results for the quarter ended March 31, 2026.</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Financial Highlights</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3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40" w:type="dxa"/>
            <w:vAlign w:val="bottom"/>
          </w:tcPr>
          <w:p>
            <w:pPr>
              <w:spacing w:after="0"/>
              <w:rPr>
                <w:sz w:val="12"/>
                <w:szCs w:val="12"/>
                <w:color w:val="auto"/>
              </w:rPr>
            </w:pPr>
          </w:p>
        </w:tc>
      </w:tr>
      <w:tr>
        <w:trPr>
          <w:trHeight w:val="134"/>
        </w:trPr>
        <w:tc>
          <w:tcPr>
            <w:tcW w:w="5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data)</w:t>
            </w:r>
          </w:p>
        </w:tc>
        <w:tc>
          <w:tcPr>
            <w:tcW w:w="400" w:type="dxa"/>
            <w:vAlign w:val="bottom"/>
          </w:tcPr>
          <w:p>
            <w:pPr>
              <w:spacing w:after="0"/>
              <w:rPr>
                <w:sz w:val="11"/>
                <w:szCs w:val="11"/>
                <w:color w:val="auto"/>
              </w:rPr>
            </w:pPr>
          </w:p>
        </w:tc>
        <w:tc>
          <w:tcPr>
            <w:tcW w:w="1220" w:type="dxa"/>
            <w:vAlign w:val="bottom"/>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w w:val="99"/>
              </w:rPr>
              <w:t>2025</w:t>
            </w:r>
          </w:p>
        </w:tc>
      </w:tr>
      <w:tr>
        <w:trPr>
          <w:trHeight w:val="151"/>
        </w:trPr>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420.0</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395.2</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333.3</w:t>
            </w:r>
          </w:p>
        </w:tc>
        <w:tc>
          <w:tcPr>
            <w:tcW w:w="1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258.8</w:t>
            </w:r>
          </w:p>
        </w:tc>
      </w:tr>
      <w:tr>
        <w:trPr>
          <w:trHeight w:val="153"/>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239.4</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170.4</w:t>
            </w:r>
          </w:p>
        </w:tc>
      </w:tr>
      <w:tr>
        <w:trPr>
          <w:trHeight w:val="153"/>
        </w:trPr>
        <w:tc>
          <w:tcPr>
            <w:tcW w:w="5440" w:type="dxa"/>
            <w:vAlign w:val="bottom"/>
            <w:gridSpan w:val="2"/>
          </w:tcPr>
          <w:p>
            <w:pPr>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FFO</w:t>
            </w:r>
            <w:r>
              <w:rPr>
                <w:rFonts w:ascii="Times New Roman" w:cs="Times New Roman" w:eastAsia="Times New Roman" w:hAnsi="Times New Roman"/>
                <w:sz w:val="7"/>
                <w:szCs w:val="7"/>
                <w:b w:val="1"/>
                <w:bCs w:val="1"/>
                <w:color w:val="auto"/>
              </w:rPr>
              <w:t xml:space="preserve"> (1) (4)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304.0</w:t>
            </w:r>
          </w:p>
        </w:tc>
        <w:tc>
          <w:tcPr>
            <w:tcW w:w="1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234.8</w:t>
            </w: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AFFO</w:t>
            </w:r>
            <w:r>
              <w:rPr>
                <w:rFonts w:ascii="Times New Roman" w:cs="Times New Roman" w:eastAsia="Times New Roman" w:hAnsi="Times New Roman"/>
                <w:sz w:val="7"/>
                <w:szCs w:val="7"/>
                <w:b w:val="1"/>
                <w:bCs w:val="1"/>
                <w:color w:val="auto"/>
              </w:rPr>
              <w:t xml:space="preserve"> (2) (4)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297.1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272.0</w:t>
            </w:r>
          </w:p>
        </w:tc>
      </w:tr>
      <w:tr>
        <w:trPr>
          <w:trHeight w:val="153"/>
        </w:trPr>
        <w:tc>
          <w:tcPr>
            <w:tcW w:w="54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5"/>
                <w:szCs w:val="15"/>
                <w:b w:val="1"/>
                <w:bCs w:val="1"/>
                <w:color w:val="auto"/>
                <w:vertAlign w:val="superscript"/>
              </w:rPr>
              <w:t>(3) (4)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393.0</w:t>
            </w:r>
          </w:p>
        </w:tc>
        <w:tc>
          <w:tcPr>
            <w:tcW w:w="1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360.1</w:t>
            </w: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Net income, per diluted common share and OP/LTIP units</w:t>
            </w:r>
            <w:r>
              <w:rPr>
                <w:rFonts w:ascii="Times New Roman" w:cs="Times New Roman" w:eastAsia="Times New Roman" w:hAnsi="Times New Roman"/>
                <w:sz w:val="15"/>
                <w:szCs w:val="15"/>
                <w:b w:val="1"/>
                <w:bCs w:val="1"/>
                <w:color w:val="auto"/>
                <w:vertAlign w:val="superscript"/>
              </w:rPr>
              <w:t>(4)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0.82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0.60</w:t>
            </w:r>
          </w:p>
        </w:tc>
      </w:tr>
      <w:tr>
        <w:trPr>
          <w:trHeight w:val="153"/>
        </w:trPr>
        <w:tc>
          <w:tcPr>
            <w:tcW w:w="54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FFO, per diluted common share and OP/LTIP units </w:t>
            </w:r>
            <w:r>
              <w:rPr>
                <w:rFonts w:ascii="Times New Roman" w:cs="Times New Roman" w:eastAsia="Times New Roman" w:hAnsi="Times New Roman"/>
                <w:sz w:val="15"/>
                <w:szCs w:val="15"/>
                <w:b w:val="1"/>
                <w:bCs w:val="1"/>
                <w:color w:val="auto"/>
                <w:vertAlign w:val="superscript"/>
              </w:rPr>
              <w:t>(4)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0.83</w:t>
            </w: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AFFO, per diluted common share and OP/LTIP units </w:t>
            </w:r>
            <w:r>
              <w:rPr>
                <w:rFonts w:ascii="Times New Roman" w:cs="Times New Roman" w:eastAsia="Times New Roman" w:hAnsi="Times New Roman"/>
                <w:sz w:val="15"/>
                <w:szCs w:val="15"/>
                <w:b w:val="1"/>
                <w:bCs w:val="1"/>
                <w:color w:val="auto"/>
                <w:vertAlign w:val="superscript"/>
              </w:rPr>
              <w:t>(4)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0.96</w:t>
            </w: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Annualized dividend per share</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3.12</w:t>
            </w:r>
          </w:p>
        </w:tc>
        <w:tc>
          <w:tcPr>
            <w:tcW w:w="1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3.04</w:t>
            </w:r>
          </w:p>
        </w:tc>
      </w:tr>
      <w:tr>
        <w:trPr>
          <w:trHeight w:val="153"/>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Dividend yield based on period end stock price</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7.03 %</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8003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1" w:lineRule="exact"/>
        <w:rPr>
          <w:sz w:val="20"/>
          <w:szCs w:val="20"/>
          <w:color w:val="auto"/>
        </w:rPr>
      </w:pPr>
    </w:p>
    <w:p>
      <w:pPr>
        <w:ind w:left="148" w:hanging="148"/>
        <w:spacing w:after="0"/>
        <w:tabs>
          <w:tab w:leader="none" w:pos="148"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Funds from Operations ("FFO") is net income, excluding (gains) or losses from dispositions of property and real estate depreciation as defined by NAREIT.</w:t>
      </w:r>
    </w:p>
    <w:p>
      <w:pPr>
        <w:spacing w:after="0" w:line="151" w:lineRule="exact"/>
        <w:rPr>
          <w:rFonts w:ascii="Times New Roman" w:cs="Times New Roman" w:eastAsia="Times New Roman" w:hAnsi="Times New Roman"/>
          <w:sz w:val="16"/>
          <w:szCs w:val="16"/>
          <w:color w:val="auto"/>
          <w:vertAlign w:val="superscript"/>
        </w:rPr>
      </w:pPr>
    </w:p>
    <w:p>
      <w:pPr>
        <w:jc w:val="both"/>
        <w:ind w:left="8" w:right="20" w:hanging="8"/>
        <w:spacing w:after="0" w:line="231" w:lineRule="auto"/>
        <w:tabs>
          <w:tab w:leader="none" w:pos="124"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Adjusted Funds From Operations ("AFFO") is FFO, excluding, as applicable to the particular period, stock 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w:t>
      </w:r>
    </w:p>
    <w:p>
      <w:pPr>
        <w:spacing w:after="0" w:line="151" w:lineRule="exact"/>
        <w:rPr>
          <w:rFonts w:ascii="Times New Roman" w:cs="Times New Roman" w:eastAsia="Times New Roman" w:hAnsi="Times New Roman"/>
          <w:sz w:val="16"/>
          <w:szCs w:val="16"/>
          <w:color w:val="auto"/>
          <w:vertAlign w:val="superscript"/>
        </w:rPr>
      </w:pPr>
    </w:p>
    <w:p>
      <w:pPr>
        <w:jc w:val="both"/>
        <w:ind w:left="8" w:hanging="8"/>
        <w:spacing w:after="0" w:line="231" w:lineRule="auto"/>
        <w:tabs>
          <w:tab w:leader="none" w:pos="195"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Adjusted EBITDA is net income, excluding, as applicable to the particular period, interest, net; income tax expense; real estate depreciation; other depreciation; (gains) or losses from dispositions of property; stock 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spacing w:after="0" w:line="122" w:lineRule="exact"/>
        <w:rPr>
          <w:rFonts w:ascii="Times New Roman" w:cs="Times New Roman" w:eastAsia="Times New Roman" w:hAnsi="Times New Roman"/>
          <w:sz w:val="16"/>
          <w:szCs w:val="16"/>
          <w:color w:val="auto"/>
          <w:vertAlign w:val="superscript"/>
        </w:rPr>
      </w:pPr>
    </w:p>
    <w:p>
      <w:pPr>
        <w:ind w:left="148" w:hanging="148"/>
        <w:spacing w:after="0"/>
        <w:tabs>
          <w:tab w:leader="none" w:pos="148"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Metrics are presented assuming full conversion of limited partnership units to common shares and therefore before the income statement impact of non-controlling interests.</w:t>
      </w:r>
    </w:p>
    <w:p>
      <w:pPr>
        <w:spacing w:after="0" w:line="151"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Peter Carlino, Chairman and Chief Executive Officer of GLPI, commented, "GLPI’s consistent growth and momentum is evident in our record first quarter results, as we continue to prudently expand our portfolio and explore avenues for future growth. On an operating basis, first quarter total revenue rose 6.3% year over year to $420.0 million, while AFFO increased 9.2% to $297.1 million. Long term tenant stability and lease coverage remain the foundation of our underwriting criteria, with the vast majority of our leases' rent coverage in excess of 1.8x, despite a challenging environment for our tenants for much of 2025. Reflecting our momentum, most notably on the development front, we are raising our AFFO per share guidance for 2026 to a range of $4.08 to $4.12.”</w:t>
      </w: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322" w:right="29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2"/>
          <w:szCs w:val="12"/>
          <w:color w:val="auto"/>
        </w:rPr>
        <w:t>“During the first quarter we completed two accretive transactions for $727 million, acquiring Bally’s Lincoln real estate assets and the land associated with The Cordish Companies Live! Casino &amp; Hotel Virginia. In January, GLPI acquired the land associated with The Cordish Companies Live! Casino &amp; Hotel Virginia for $27 million. The purchase marked the first step in the $467 million development commitment to the Live! Casino &amp; Hotel Virginia project, with draws on the remaining $440 million commitment expected to commence in the second half of 2026, with a late 2027 targeted project opening. The transaction represents an expansion of GLPI’s relationship with Cordish, as the development marks the fourth property with this tenant. The cap rate on both the land purchase and hard cost funding is 8.0%. This unique opportunity marks our entrance into Virginia, which represents the 21st state in the GLPI portfolio.”</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then completed the acquisition of the real property assets of Bally’s Lincoln in February for $700 million, at an 8.0% cap rate. The acquisition is immediately accretive to AFFO per share and adds another premier asset, in the healthy Rhode Island gaming market, to the GLPI portfolio. The transaction further expands our relationship with Bally’s, adding a fifth asset to our Bally’s Master Lease II, which boasts proforma rent coverage of 2.20x. Bally’s Lincoln is one of the top performing regional casino properties in the U.S., having generated over $490.0 million in gross gaming revenue in 2025.”</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“During the quarter, we funded approximately $159 million toward our development projects, inclusive of the land associated with the Cordish Companies Live! Casino &amp; Hotel Virginia discussed above; two of these projects are now open, with Bally's Chicago remaining on schedule for a 2027 opening. Our balance sheet remains the bedrock of our business, and despite primarily debt financing the Bally’s Lincoln transaction, current financial leverage stood at 5.0x as of March 31, the low end of our target range of 5.0x to 5.5x net debt to adjusted EBITDA. Looking ahead, the pipeline remains robust, with nearly $1.8 billion of commitments left to fund, and we expect to remain at or near the low end of the target leverage range, as we execute on our pipeline, while also contemplating the delivery of the proceeds from our previously completed ATM transactions later this year. Our balance sheet strength allows us financial flexibility when evaluating transactions, and, moreover, allows us to drive accretive and accelerating AFFO growth through our announced pipeline, without the need for additional equity.”</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we sit today, GLPI remains well positioned for near- and long-term growth, supported by our strong operator relationships, our rights and options to participate in select tenants’ future growth and expansion, a healthy in-place deal pipeline, a healthy broader transaction market, and our ability to competitively structure and fund innovative transactions. In addition, our tenants' strength, combined with our balance sheet and liquidity, positions the Company to grow cash flows, support dividend growth, and build value for shareholders in 2026 and beyond.”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Recent Developments</w:t>
      </w:r>
    </w:p>
    <w:p>
      <w:pPr>
        <w:spacing w:after="0" w:line="163" w:lineRule="exact"/>
        <w:rPr>
          <w:sz w:val="20"/>
          <w:szCs w:val="20"/>
          <w:color w:val="auto"/>
        </w:rPr>
      </w:pPr>
    </w:p>
    <w:p>
      <w:pPr>
        <w:ind w:left="420" w:right="20" w:hanging="212"/>
        <w:spacing w:after="0" w:line="264"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4, 2026, the Company issued $800 million of senior notes due on March 1, 2036. The notes were priced at 99.857% of par value, with a coupon of 5.625%. The Company used the net proceeds to repay borrowings outstanding under the Company's term loan credit facility as well as for working capital and general corporate purposes.</w:t>
      </w:r>
    </w:p>
    <w:p>
      <w:pPr>
        <w:spacing w:after="0" w:line="128" w:lineRule="exact"/>
        <w:rPr>
          <w:rFonts w:ascii="Times New Roman" w:cs="Times New Roman" w:eastAsia="Times New Roman" w:hAnsi="Times New Roman"/>
          <w:sz w:val="12"/>
          <w:szCs w:val="12"/>
          <w:color w:val="auto"/>
        </w:rPr>
      </w:pPr>
    </w:p>
    <w:p>
      <w:pPr>
        <w:ind w:left="420" w:hanging="212"/>
        <w:spacing w:after="0" w:line="264"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11, 2026, GLPI exercised its option to acquire the real property assets of Bally’s Twin River Lincoln Casino Resort ("Bally's Lincoln") for a purchase price of $700 million and additional rent of $56.0 million (8.0% cap rate). The Company issued 332,890 LTIP Units in connection with the transaction, with the balance of the consideration payable in cash.</w:t>
      </w:r>
    </w:p>
    <w:p>
      <w:pPr>
        <w:spacing w:after="0" w:line="137"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January 15, 2026, GLPI entered into a development agreement with The Cordish Companies ("Cordish") to fund up to $440 million of real estate construction costs for the Live! Virginia Casino &amp; Hotel and acquired the project land for $27 million, representing a total commitment of $467 million at an 8.0% cap rate.</w:t>
      </w:r>
    </w:p>
    <w:p>
      <w:pPr>
        <w:spacing w:after="0" w:line="17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March 31, 2026, GLPI has provided $299.6 million of development funding for Bally's Chicago under its $940 million development commitment, including $98 million funded during the first quarter (8.5% cap rate).</w:t>
      </w:r>
    </w:p>
    <w:p>
      <w:pPr>
        <w:spacing w:after="0" w:line="16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March 31, 2026, GLPI has funded $83.6 million of the $110 million delayed draw term loan facility with the Ione Band of Miwok Indians ("Ione") (the "Ione Loan") for the tribe's Acorn Ridge casino development that opened in February 2026, including $27 million funded during the first quarter (11% interest rate).</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March 31, 2026, GLPI completed the $16.5 million landside development funding for Bally's Marquette, including $6.9 million funded during the first quarter (8.25% cap rate).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Dividends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18, 2026, the Company's Board of Directors declared a first quarter dividend of $0.78 per share on the Company's common stock that was paid on March 27, 2026 to shareholders of record on March 13,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2026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Reflecting the current operating and competitive environment, the Company is updating its AFFO guidance for the full year 2026 based on the following assumptions and other factors:</w:t>
      </w:r>
    </w:p>
    <w:p>
      <w:pPr>
        <w:spacing w:after="0" w:line="168" w:lineRule="exact"/>
        <w:rPr>
          <w:sz w:val="20"/>
          <w:szCs w:val="20"/>
          <w:color w:val="auto"/>
        </w:rPr>
      </w:pPr>
    </w:p>
    <w:p>
      <w:pPr>
        <w:jc w:val="both"/>
        <w:ind w:left="420" w:hanging="212"/>
        <w:spacing w:after="0" w:line="256"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guidance does not include the impact on operating results from any possible future acquisitions or dispositions, future capital markets activity, or other future non-recurring transactions other than additional development fundings of approximately $590 million to $640 million, which will be funded relatively evenly by quarter throughout the remainder of 2026, bringing total development spend to $750 million to $800 million for 2026; $225 million of funding for PENN's Aurora facility on or about June 24, 2026; and, the anticipated settlement of $363.3 million of our forward equity sale agreement on June 1, 2026 subject to certain contractual adjustments.</w:t>
      </w:r>
    </w:p>
    <w:p>
      <w:pPr>
        <w:spacing w:after="0" w:line="1"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guidance assumes there will be no material changes in applicable legislation, regulatory environment, world events, including weather, recent consumer trends, economic conditions, oil prices, competitive landscape or other circumstances beyond our control that may adversely affect the Company's results of operations.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estimates AFFO for the year ending December 31, 2026 will be between $1.212 billion and $1.223 billion, or between $4.08 and $4.12 per diluted share and OP/LTIP units. GLPI's prior guidance contemplated AFFO for the year ending December 31, 2026 of between $1.207 billion and $1.222 billion, or between $4.06 and $4.11 per diluted share and OP/LTIP units.</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2"/>
          <w:szCs w:val="12"/>
          <w:color w:val="auto"/>
        </w:rPr>
        <w:t>The Company does not provide a reconciliation for non-GAAP estimates on a forward-looking basis, including the information above, where it is unable to provide a meaningful or accurate calculation or estimation of reconciling items and the information is not available without unreasonable effort. This is due to the inherent difficulty of forecasting the timing and/or amounts of various items that would impact net income, which is the most directly comparable forward-looking GAAP financial measure. This includes, for example, provision for credit losses, net, and other non-core items that have not yet occurred, are out of the Company’s control and/or cannot be reasonably predicted. For the same reasons, the Company is unable to address the probable significance of the unavailable information. In particular, the Company is unable to predict with reasonable certainty the amount of the change in the provision for credit losses, net, under ASU No. 2016-13 - Financial Instruments - Credit Losses ("ASC 326") in future periods. The non-cash change in the provision for credit losses under ASC 326 with respect to future periods is dependent upon future events that are entirely outside of the Company's control and may not be reliably predicted, including the performance and future outlook of our tenant's operations for our leases that are accounted for as investment in leases, as well as broader macroeconomic factors and future predictions of such factors. As a result, forward-looking non-GAAP financial measures provided without the most directly comparable GAAP financial measures may vary materially from the corresponding GAAP financial measures.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63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auto"/>
        </w:rPr>
        <w:t>Portfolio Update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GLPI's primary business consists of acquiring, financing, and owning real estate property to be leased to gaming operators in triple-net lease arrangements. The Company also extends loans that produce fixed or variable returns which may convert into leased rent upon project completion or stabilization. As of March 31, 2026, GLPI's portfolio consisted of interests in 71 gaming and related facilities, including, the real property associated with 34 gaming and related facilities operated by PENN Entertainment, Inc. (NASDAQ: PENN) ("PENN"), the real property associated with 6 gaming and related facilities operated by Caesars Entertainment, Inc. (NASDAQ: CZR) ("Caesars"), the real property associated with 4 gaming and related facilities operated by Boyd Gaming Corporation (NYSE: BYD) ("Boyd"), the real property associated with 16 gaming and related facilities operated by Bally's Corporation (NYSE: BALY) ("Bally's"), 2 facilities under development, namely for Bally's in Chicago, Illinois and for Cordish and Bruce Smith Enterprise in Petersburg, Virginia, the real property associated with 3 gaming and related facilities operated by Cordish, 1 gaming and related facility operated by American Racing &amp; Entertainment LLC ("American Racing"), 4 gaming and related facilities operated by Strategic Gaming Management, LLC ("Strategic") and 1 facility managed by a subsidiary of Hard Rock International ("Hard Rock"). These facilities are geographically diversified across 21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hold a conference call on April 24, 2026, at 10:00 a.m. (Eastern Time) to discuss its financial results, current business trends and market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Participate in the Telephone Conference Call: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Dial in at least five minutes prior to start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Domestic: 1-877/407-0784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1-201/689-8560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Conference Call Playback: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Domestic: 1-844/512-2921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1-412/317-6671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Passcode: 13759777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playback can be accessed through Friday, May 1,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Webcast</w:t>
      </w:r>
    </w:p>
    <w:p>
      <w:pPr>
        <w:spacing w:after="0" w:line="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The conference call will be available in the Investor Relations section of the Company's website at www.glpropinc.com. To listen to a live broadcast, go to the site at least 15 minutes prior to the scheduled start time in order to register, download and install any necessary software. A replay of the call will also be available for 90 days thereafter on the Company’s website.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638" w:right="2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 except per share data) (unaudited)</w:t>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134"/>
        </w:trPr>
        <w:tc>
          <w:tcPr>
            <w:tcW w:w="52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Rental income</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356,522</w:t>
            </w:r>
          </w:p>
        </w:tc>
        <w:tc>
          <w:tcPr>
            <w:tcW w:w="10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from investment in leases, financing receivables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52,702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47,764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from investment in leases, sales type</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3,838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income from real estate loans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6,923</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Total income from real estate</w:t>
            </w: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419,985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395,235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Land rights and ground lease expense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13,798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17,938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Gains from dispositions of property</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65,037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Provision (benefit) for credit losses, net</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(10,137)</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86,636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136,401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333,349</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 (expenses)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(95,856)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2,737</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Losses on debt extinguishment and other financing costs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expenses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(93,387)</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(87,916)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239,962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170,918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560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239,402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170,354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 in the Operating Partnership</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shareholders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231,829</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165,184</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attributable to common shareholders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0.82</w:t>
            </w:r>
          </w:p>
        </w:tc>
        <w:tc>
          <w:tcPr>
            <w:tcW w:w="10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attributable to common shareholders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0.82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239,402</w:t>
            </w:r>
          </w:p>
        </w:tc>
        <w:tc>
          <w:tcPr>
            <w:tcW w:w="10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170,354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derivative gain to interest expense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239,378</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170,354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income attributable to non-controlling interest in the Operating Partnership</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attributable to common shareholders</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231,806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140"/>
              <w:spacing w:after="0"/>
              <w:rPr>
                <w:sz w:val="20"/>
                <w:szCs w:val="20"/>
                <w:color w:val="auto"/>
              </w:rPr>
            </w:pPr>
            <w:r>
              <w:rPr>
                <w:rFonts w:ascii="Times New Roman" w:cs="Times New Roman" w:eastAsia="Times New Roman" w:hAnsi="Times New Roman"/>
                <w:sz w:val="12"/>
                <w:szCs w:val="12"/>
                <w:color w:val="auto"/>
              </w:rPr>
              <w:t>5</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38"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Year Revenue Detail</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 rent and Interest income on real</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Straight-line rent and</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5"/>
              </w:rPr>
              <w:t>Ground rent in</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Total income from</w:t>
            </w:r>
          </w:p>
        </w:tc>
        <w:tc>
          <w:tcPr>
            <w:tcW w:w="0" w:type="dxa"/>
            <w:vAlign w:val="bottom"/>
          </w:tcPr>
          <w:p>
            <w:pPr>
              <w:spacing w:after="0"/>
              <w:rPr>
                <w:sz w:val="1"/>
                <w:szCs w:val="1"/>
                <w:color w:val="auto"/>
              </w:rPr>
            </w:pPr>
          </w:p>
        </w:tc>
      </w:tr>
      <w:tr>
        <w:trPr>
          <w:trHeight w:val="97"/>
        </w:trPr>
        <w:tc>
          <w:tcPr>
            <w:tcW w:w="720" w:type="dxa"/>
            <w:vAlign w:val="bottom"/>
            <w:vMerge w:val="restart"/>
            <w:shd w:val="clear" w:color="auto" w:fill="CCEEFF"/>
          </w:tcPr>
          <w:p>
            <w:pPr>
              <w:spacing w:after="0"/>
              <w:rPr>
                <w:sz w:val="8"/>
                <w:szCs w:val="8"/>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 2026</w:t>
            </w:r>
          </w:p>
        </w:tc>
        <w:tc>
          <w:tcPr>
            <w:tcW w:w="72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4"/>
              </w:rPr>
              <w:t>Building base rent</w:t>
            </w:r>
          </w:p>
        </w:tc>
        <w:tc>
          <w:tcPr>
            <w:tcW w:w="1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6"/>
              </w:rPr>
              <w:t>Land base rent</w:t>
            </w:r>
          </w:p>
        </w:tc>
        <w:tc>
          <w:tcPr>
            <w:tcW w:w="1880" w:type="dxa"/>
            <w:vAlign w:val="bottom"/>
            <w:gridSpan w:val="4"/>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5"/>
              </w:rPr>
              <w:t>Total cash income</w:t>
            </w: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jc w:val="center"/>
              <w:ind w:right="81"/>
              <w:spacing w:after="0" w:line="98" w:lineRule="exact"/>
              <w:rPr>
                <w:sz w:val="20"/>
                <w:szCs w:val="20"/>
                <w:color w:val="auto"/>
              </w:rPr>
            </w:pPr>
            <w:r>
              <w:rPr>
                <w:rFonts w:ascii="Times New Roman" w:cs="Times New Roman" w:eastAsia="Times New Roman" w:hAnsi="Times New Roman"/>
                <w:sz w:val="10"/>
                <w:szCs w:val="10"/>
                <w:b w:val="1"/>
                <w:bCs w:val="1"/>
                <w:color w:val="auto"/>
                <w:w w:val="94"/>
              </w:rPr>
              <w:t>deferred rent</w:t>
            </w: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Accretion on leases</w:t>
            </w:r>
          </w:p>
        </w:tc>
        <w:tc>
          <w:tcPr>
            <w:tcW w:w="9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CCEEFF"/>
            </w:tcBorders>
            <w:vMerge w:val="continue"/>
            <w:shd w:val="clear" w:color="auto" w:fill="CCEEFF"/>
          </w:tcPr>
          <w:p>
            <w:pPr>
              <w:spacing w:after="0"/>
              <w:rPr>
                <w:sz w:val="10"/>
                <w:szCs w:val="10"/>
                <w:color w:val="auto"/>
              </w:rPr>
            </w:pPr>
          </w:p>
        </w:tc>
        <w:tc>
          <w:tcPr>
            <w:tcW w:w="1540" w:type="dxa"/>
            <w:vAlign w:val="bottom"/>
            <w:tcBorders>
              <w:bottom w:val="single" w:sz="8" w:color="auto"/>
            </w:tcBorders>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other rental revenue</w:t>
            </w:r>
          </w:p>
        </w:tc>
        <w:tc>
          <w:tcPr>
            <w:tcW w:w="16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ind w:right="201"/>
              <w:spacing w:after="0" w:line="79" w:lineRule="exact"/>
              <w:rPr>
                <w:sz w:val="20"/>
                <w:szCs w:val="20"/>
                <w:color w:val="auto"/>
              </w:rPr>
            </w:pPr>
            <w:r>
              <w:rPr>
                <w:rFonts w:ascii="Times New Roman" w:cs="Times New Roman" w:eastAsia="Times New Roman" w:hAnsi="Times New Roman"/>
                <w:sz w:val="8"/>
                <w:szCs w:val="8"/>
                <w:b w:val="1"/>
                <w:bCs w:val="1"/>
                <w:color w:val="auto"/>
              </w:rPr>
              <w:t>estate loans</w:t>
            </w: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center"/>
              <w:ind w:right="61"/>
              <w:spacing w:after="0" w:line="79" w:lineRule="exact"/>
              <w:rPr>
                <w:sz w:val="20"/>
                <w:szCs w:val="20"/>
                <w:color w:val="auto"/>
              </w:rPr>
            </w:pPr>
            <w:r>
              <w:rPr>
                <w:rFonts w:ascii="Times New Roman" w:cs="Times New Roman" w:eastAsia="Times New Roman" w:hAnsi="Times New Roman"/>
                <w:sz w:val="8"/>
                <w:szCs w:val="8"/>
                <w:b w:val="1"/>
                <w:bCs w:val="1"/>
                <w:color w:val="auto"/>
              </w:rPr>
              <w:t>adjustments (1)</w:t>
            </w:r>
          </w:p>
        </w:tc>
        <w:tc>
          <w:tcPr>
            <w:tcW w:w="1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jc w:val="right"/>
              <w:ind w:right="201"/>
              <w:spacing w:after="0" w:line="79" w:lineRule="exact"/>
              <w:rPr>
                <w:sz w:val="20"/>
                <w:szCs w:val="20"/>
                <w:color w:val="auto"/>
              </w:rPr>
            </w:pPr>
            <w:r>
              <w:rPr>
                <w:rFonts w:ascii="Times New Roman" w:cs="Times New Roman" w:eastAsia="Times New Roman" w:hAnsi="Times New Roman"/>
                <w:sz w:val="8"/>
                <w:szCs w:val="8"/>
                <w:b w:val="1"/>
                <w:bCs w:val="1"/>
                <w:color w:val="auto"/>
              </w:rPr>
              <w:t>revenue</w:t>
            </w:r>
          </w:p>
        </w:tc>
        <w:tc>
          <w:tcPr>
            <w:tcW w:w="84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jc w:val="right"/>
              <w:ind w:right="181"/>
              <w:spacing w:after="0" w:line="79" w:lineRule="exact"/>
              <w:rPr>
                <w:sz w:val="20"/>
                <w:szCs w:val="20"/>
                <w:color w:val="auto"/>
              </w:rPr>
            </w:pPr>
            <w:r>
              <w:rPr>
                <w:rFonts w:ascii="Times New Roman" w:cs="Times New Roman" w:eastAsia="Times New Roman" w:hAnsi="Times New Roman"/>
                <w:sz w:val="8"/>
                <w:szCs w:val="8"/>
                <w:b w:val="1"/>
                <w:bCs w:val="1"/>
                <w:color w:val="auto"/>
              </w:rPr>
              <w:t>real estate</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Amended PENN Master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55,235</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10,759</w:t>
            </w: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6,514</w:t>
            </w: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72,508</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300" w:type="dxa"/>
            <w:vAlign w:val="bottom"/>
          </w:tcPr>
          <w:p>
            <w:pPr>
              <w:jc w:val="right"/>
              <w:ind w:right="164"/>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78,033</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PENN 2023 Master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66,142</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66,227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70,355</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Amended Pinnacle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61,482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17,814</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8,122</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87,418</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2,208</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91,484</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PENN Morgantown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806</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806</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Caesars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16,587</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5,932</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22,519</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1,631</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24,480</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Horseshoe St. Louis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6,096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6,315</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Boyd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20,879</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2,946</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26,871</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25,033</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Boyd Belterra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1,712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1,335</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Bally's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26,939</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26,939</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2,599</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29,538</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Bally's Master Lease II</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23,037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23,037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23,940</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Maryland Live!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19,752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19,752</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2,039</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3,181</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24,972</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Pennsylvania Live! Master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13,017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15,520</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Casino Queen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3,375</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3,375</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3,430</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Tropicana Las Vegas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3,838</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3,838</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Rockford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2,081</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2,081</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2,599</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Rockford Loan</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3,000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3,000</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Tioga Downs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3,716</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3,716</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4,298</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Strategic Gaming Leases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6,049</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7,086</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Ione Loan</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2,026</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Bally's Chicago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10,507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Dry Creek Loan</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1,436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1,436</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1,436</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Virginia Live! Development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461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461</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461</w:t>
            </w:r>
          </w:p>
        </w:tc>
        <w:tc>
          <w:tcPr>
            <w:tcW w:w="0" w:type="dxa"/>
            <w:vAlign w:val="bottom"/>
          </w:tcPr>
          <w:p>
            <w:pPr>
              <w:spacing w:after="0"/>
              <w:rPr>
                <w:sz w:val="1"/>
                <w:szCs w:val="1"/>
                <w:color w:val="auto"/>
              </w:rPr>
            </w:pPr>
          </w:p>
        </w:tc>
      </w:tr>
      <w:tr>
        <w:trPr>
          <w:trHeight w:val="142"/>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328,551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49,650</w:t>
            </w:r>
          </w:p>
        </w:tc>
        <w:tc>
          <w:tcPr>
            <w:tcW w:w="3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18,267</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6,923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403,391</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9,653</w:t>
            </w:r>
          </w:p>
        </w:tc>
        <w:tc>
          <w:tcPr>
            <w:tcW w:w="30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7,412</w:t>
            </w: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419,985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80" w:hanging="118"/>
        <w:spacing w:after="0"/>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$0.1 million of tenant improvement allowance amortization.</w:t>
      </w: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638" w:right="299" w:bottom="1440" w:gutter="0" w:footer="0" w:header="0"/>
        </w:sectPr>
      </w:pPr>
    </w:p>
    <w:bookmarkStart w:id="9" w:name="page10"/>
    <w:bookmarkEnd w:id="9"/>
    <w:p>
      <w:pPr>
        <w:jc w:val="center"/>
        <w:ind w:right="-1079"/>
        <w:spacing w:after="0"/>
        <w:rPr>
          <w:sz w:val="20"/>
          <w:szCs w:val="20"/>
          <w:color w:val="auto"/>
        </w:rPr>
      </w:pPr>
      <w:r>
        <w:rPr>
          <w:rFonts w:ascii="Times New Roman" w:cs="Times New Roman" w:eastAsia="Times New Roman" w:hAnsi="Times New Roman"/>
          <w:sz w:val="12"/>
          <w:szCs w:val="12"/>
          <w:color w:val="auto"/>
        </w:rPr>
        <w:t>Reconciliation of Net income (GAAP) to FFO, FFO to AFFO, and AFFO to Adjusted EBITDA</w:t>
      </w:r>
    </w:p>
    <w:p>
      <w:pPr>
        <w:spacing w:after="0" w:line="17"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2"/>
          <w:szCs w:val="12"/>
          <w:color w:val="auto"/>
        </w:rPr>
        <w:t>Gaming and Leisure Properties, Inc. and Subsidiaries</w:t>
      </w:r>
    </w:p>
    <w:p>
      <w:pPr>
        <w:spacing w:after="0" w:line="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2"/>
          <w:szCs w:val="12"/>
          <w:b w:val="1"/>
          <w:bCs w:val="1"/>
          <w:color w:val="auto"/>
        </w:rPr>
        <w:t>CONSOLIDATED</w:t>
      </w:r>
    </w:p>
    <w:p>
      <w:pPr>
        <w:spacing w:after="0" w:line="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2"/>
          <w:szCs w:val="12"/>
          <w:color w:val="auto"/>
        </w:rPr>
        <w:t>(in thousands, except per share and share data) (unaudited)</w:t>
      </w:r>
    </w:p>
    <w:p>
      <w:pPr>
        <w:spacing w:after="0" w:line="16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16" w:lineRule="exact"/>
        <w:rPr>
          <w:sz w:val="20"/>
          <w:szCs w:val="20"/>
          <w:color w:val="auto"/>
        </w:rPr>
      </w:pPr>
    </w:p>
    <w:tbl>
      <w:tblPr>
        <w:tblLayout w:type="fixed"/>
        <w:tblInd w:w="1080" w:type="dxa"/>
        <w:tblCellMar>
          <w:top w:w="0" w:type="dxa"/>
          <w:left w:w="0" w:type="dxa"/>
          <w:bottom w:w="0" w:type="dxa"/>
          <w:right w:w="0" w:type="dxa"/>
        </w:tblCellMar>
      </w:tblPr>
      <w:tr>
        <w:trPr>
          <w:trHeight w:val="127"/>
        </w:trPr>
        <w:tc>
          <w:tcPr>
            <w:tcW w:w="576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6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940" w:type="dxa"/>
            <w:vAlign w:val="bottom"/>
            <w:shd w:val="clear" w:color="auto" w:fill="CCEEFF"/>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239,402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170,354</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Gains from dispositions of property</w:t>
            </w:r>
          </w:p>
        </w:tc>
        <w:tc>
          <w:tcPr>
            <w:tcW w:w="9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Real estate depreciation</w:t>
            </w:r>
          </w:p>
        </w:tc>
        <w:tc>
          <w:tcPr>
            <w:tcW w:w="9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64,552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64,529</w:t>
            </w:r>
          </w:p>
        </w:tc>
      </w:tr>
      <w:tr>
        <w:trPr>
          <w:trHeight w:val="142"/>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Funds from operations</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303,954</w:t>
            </w:r>
          </w:p>
        </w:tc>
        <w:tc>
          <w:tcPr>
            <w:tcW w:w="100" w:type="dxa"/>
            <w:vAlign w:val="bottom"/>
          </w:tcPr>
          <w:p>
            <w:pPr>
              <w:spacing w:after="0"/>
              <w:rPr>
                <w:sz w:val="12"/>
                <w:szCs w:val="12"/>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234,758</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Straight-line rent and deferred rent adjustments</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(8,412)</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depreciation</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(benefit) for credit losses, net</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39,246</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land rights</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4,270</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debt issuance costs, bond premiums and original issuance discounts</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Capitalized interest</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(3,605)</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8,858</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Losses on debt extinguishment and other financing costs</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on investment in leases</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(6,896)</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adjustment to financing lease liabilities</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maintenance expenditures</w:t>
            </w:r>
          </w:p>
        </w:tc>
        <w:tc>
          <w:tcPr>
            <w:tcW w:w="9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2"/>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funds from operations</w:t>
            </w:r>
          </w:p>
        </w:tc>
        <w:tc>
          <w:tcPr>
            <w:tcW w:w="940" w:type="dxa"/>
            <w:vAlign w:val="bottom"/>
            <w:tcBorders>
              <w:top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297,139</w:t>
            </w: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271,996</w:t>
            </w:r>
          </w:p>
        </w:tc>
      </w:tr>
      <w:tr>
        <w:trPr>
          <w:trHeight w:val="153"/>
        </w:trPr>
        <w:tc>
          <w:tcPr>
            <w:tcW w:w="57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Interest, net </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92,346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87,149</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maintenance expenditures</w:t>
            </w:r>
          </w:p>
        </w:tc>
        <w:tc>
          <w:tcPr>
            <w:tcW w:w="9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debt issuance costs, bond premiums and original issuance discounts</w:t>
            </w:r>
          </w:p>
        </w:tc>
        <w:tc>
          <w:tcPr>
            <w:tcW w:w="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Capitalized interest</w:t>
            </w:r>
          </w:p>
        </w:tc>
        <w:tc>
          <w:tcPr>
            <w:tcW w:w="9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6,430</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3,605</w:t>
            </w:r>
          </w:p>
        </w:tc>
      </w:tr>
      <w:tr>
        <w:trPr>
          <w:trHeight w:val="15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940" w:type="dxa"/>
            <w:vAlign w:val="bottom"/>
            <w:tcBorders>
              <w:bottom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393,007</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360,118</w:t>
            </w:r>
          </w:p>
        </w:tc>
      </w:tr>
      <w:tr>
        <w:trPr>
          <w:trHeight w:val="90"/>
        </w:trPr>
        <w:tc>
          <w:tcPr>
            <w:tcW w:w="57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per diluted common share and OP/LTIP units</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0.82</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0.60</w:t>
            </w:r>
          </w:p>
        </w:tc>
      </w:tr>
      <w:tr>
        <w:trPr>
          <w:trHeight w:val="1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FFO, per diluted common share and OP/LTIP units</w:t>
            </w:r>
          </w:p>
        </w:tc>
        <w:tc>
          <w:tcPr>
            <w:tcW w:w="940" w:type="dxa"/>
            <w:vAlign w:val="bottom"/>
            <w:shd w:val="clear" w:color="auto" w:fill="CCEEFF"/>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0.83</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AFFO, per diluted common share and OP/LTIP units</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1.02</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0.96</w:t>
            </w:r>
          </w:p>
        </w:tc>
      </w:tr>
      <w:tr>
        <w:trPr>
          <w:trHeight w:val="99"/>
        </w:trPr>
        <w:tc>
          <w:tcPr>
            <w:tcW w:w="57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 average number of common shares and OP/LTIP units outstanding</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 common shares</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283,555,675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275,403,292</w:t>
            </w:r>
          </w:p>
        </w:tc>
      </w:tr>
      <w:tr>
        <w:trPr>
          <w:trHeight w:val="153"/>
        </w:trPr>
        <w:tc>
          <w:tcPr>
            <w:tcW w:w="5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Diluted OP/LTIP units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8,544,389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8,352,978</w:t>
            </w:r>
          </w:p>
        </w:tc>
      </w:tr>
      <w:tr>
        <w:trPr>
          <w:trHeight w:val="14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 common shares and diluted OP/ LTIP units</w:t>
            </w: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292,100,064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283,756,270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wp:posOffset>
            </wp:positionV>
            <wp:extent cx="28003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Excludes non-cash interest expense gross ups related to certain ground leases.</w:t>
      </w:r>
    </w:p>
    <w:p>
      <w:pPr>
        <w:spacing w:after="0" w:line="3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200"/>
          </w:cols>
          <w:pgMar w:left="300" w:top="642" w:right="1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4"/>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Reconciliation of Cash Net Operating Income</w:t>
            </w:r>
          </w:p>
        </w:tc>
        <w:tc>
          <w:tcPr>
            <w:tcW w:w="2000" w:type="dxa"/>
            <w:vAlign w:val="bottom"/>
          </w:tcPr>
          <w:p>
            <w:pPr>
              <w:spacing w:after="0"/>
              <w:rPr>
                <w:sz w:val="12"/>
                <w:szCs w:val="12"/>
                <w:color w:val="auto"/>
              </w:rPr>
            </w:pPr>
          </w:p>
        </w:tc>
      </w:tr>
      <w:tr>
        <w:trPr>
          <w:trHeight w:val="140"/>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Gaming and Leisure Properties, Inc. and Subsidiaries</w:t>
            </w:r>
          </w:p>
        </w:tc>
        <w:tc>
          <w:tcPr>
            <w:tcW w:w="2000" w:type="dxa"/>
            <w:vAlign w:val="bottom"/>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CONSOLIDATED</w:t>
            </w:r>
          </w:p>
        </w:tc>
        <w:tc>
          <w:tcPr>
            <w:tcW w:w="2000" w:type="dxa"/>
            <w:vAlign w:val="bottom"/>
          </w:tcPr>
          <w:p>
            <w:pPr>
              <w:spacing w:after="0"/>
              <w:rPr>
                <w:sz w:val="12"/>
                <w:szCs w:val="12"/>
                <w:color w:val="auto"/>
              </w:rPr>
            </w:pPr>
          </w:p>
        </w:tc>
      </w:tr>
      <w:tr>
        <w:trPr>
          <w:trHeight w:val="155"/>
        </w:trPr>
        <w:tc>
          <w:tcPr>
            <w:tcW w:w="20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(in thousands, except per share and share data) (unaudited)</w:t>
            </w:r>
          </w:p>
        </w:tc>
        <w:tc>
          <w:tcPr>
            <w:tcW w:w="2000" w:type="dxa"/>
            <w:vAlign w:val="bottom"/>
          </w:tcPr>
          <w:p>
            <w:pPr>
              <w:spacing w:after="0"/>
              <w:rPr>
                <w:sz w:val="13"/>
                <w:szCs w:val="13"/>
                <w:color w:val="auto"/>
              </w:rPr>
            </w:pPr>
          </w:p>
        </w:tc>
      </w:tr>
      <w:tr>
        <w:trPr>
          <w:trHeight w:val="592"/>
        </w:trPr>
        <w:tc>
          <w:tcPr>
            <w:tcW w:w="2040" w:type="dxa"/>
            <w:vAlign w:val="bottom"/>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w w:val="99"/>
              </w:rPr>
              <w:t>Three Months Ended March 31, 2026</w:t>
            </w:r>
          </w:p>
        </w:tc>
      </w:tr>
      <w:tr>
        <w:trPr>
          <w:trHeight w:val="144"/>
        </w:trPr>
        <w:tc>
          <w:tcPr>
            <w:tcW w:w="2040" w:type="dxa"/>
            <w:vAlign w:val="bottom"/>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393,007</w:t>
            </w:r>
          </w:p>
        </w:tc>
      </w:tr>
      <w:tr>
        <w:trPr>
          <w:trHeight w:val="153"/>
        </w:trPr>
        <w:tc>
          <w:tcPr>
            <w:tcW w:w="2040" w:type="dxa"/>
            <w:vAlign w:val="bottom"/>
          </w:tcPr>
          <w:p>
            <w:pPr>
              <w:spacing w:after="0"/>
              <w:rPr>
                <w:sz w:val="13"/>
                <w:szCs w:val="13"/>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17,938</w:t>
            </w:r>
          </w:p>
        </w:tc>
      </w:tr>
      <w:tr>
        <w:trPr>
          <w:trHeight w:val="153"/>
        </w:trPr>
        <w:tc>
          <w:tcPr>
            <w:tcW w:w="2040" w:type="dxa"/>
            <w:vAlign w:val="bottom"/>
          </w:tcPr>
          <w:p>
            <w:pPr>
              <w:spacing w:after="0"/>
              <w:rPr>
                <w:sz w:val="13"/>
                <w:szCs w:val="13"/>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38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(8,104)</w:t>
            </w:r>
          </w:p>
        </w:tc>
      </w:tr>
      <w:tr>
        <w:trPr>
          <w:trHeight w:val="142"/>
        </w:trPr>
        <w:tc>
          <w:tcPr>
            <w:tcW w:w="2040" w:type="dxa"/>
            <w:vAlign w:val="bottom"/>
          </w:tcPr>
          <w:p>
            <w:pPr>
              <w:spacing w:after="0"/>
              <w:rPr>
                <w:sz w:val="12"/>
                <w:szCs w:val="12"/>
                <w:color w:val="auto"/>
              </w:rPr>
            </w:pPr>
          </w:p>
        </w:tc>
        <w:tc>
          <w:tcPr>
            <w:tcW w:w="198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 xml:space="preserve">Cash net operating income </w:t>
            </w:r>
            <w:r>
              <w:rPr>
                <w:rFonts w:ascii="Times New Roman" w:cs="Times New Roman" w:eastAsia="Times New Roman" w:hAnsi="Times New Roman"/>
                <w:sz w:val="15"/>
                <w:szCs w:val="15"/>
                <w:b w:val="1"/>
                <w:bCs w:val="1"/>
                <w:color w:val="auto"/>
                <w:vertAlign w:val="superscript"/>
              </w:rPr>
              <w:t>(1)</w:t>
            </w:r>
          </w:p>
        </w:tc>
        <w:tc>
          <w:tcPr>
            <w:tcW w:w="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402,841</w:t>
            </w:r>
          </w:p>
        </w:tc>
      </w:tr>
      <w:tr>
        <w:trPr>
          <w:trHeight w:val="20"/>
        </w:trPr>
        <w:tc>
          <w:tcPr>
            <w:tcW w:w="2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8"/>
        </w:trPr>
        <w:tc>
          <w:tcPr>
            <w:tcW w:w="20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Cash net operating income is cash rental income and interest on real estate loans less cash property level expenses.</w:t>
      </w:r>
    </w:p>
    <w:p>
      <w:pPr>
        <w:spacing w:after="0" w:line="3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642" w:right="1440"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0" w:type="dxa"/>
            <w:vAlign w:val="bottom"/>
          </w:tcPr>
          <w:p>
            <w:pPr>
              <w:spacing w:after="0"/>
              <w:rPr>
                <w:sz w:val="1"/>
                <w:szCs w:val="1"/>
                <w:color w:val="auto"/>
              </w:rPr>
            </w:pPr>
          </w:p>
        </w:tc>
      </w:tr>
      <w:tr>
        <w:trPr>
          <w:trHeight w:val="133"/>
        </w:trPr>
        <w:tc>
          <w:tcPr>
            <w:tcW w:w="78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Real estate investments, net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9,224,584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8,474,261</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leases, financing receivables, net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2,562,869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2,557,504</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Investment in leases, sales-type, net</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250,512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248,421</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Real estate loans, net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299,709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247,999</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Right-of-use assets and land rights, net</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1,067,185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1,072,163</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274,513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224,314</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86,034</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84,947</w:t>
            </w:r>
          </w:p>
        </w:tc>
        <w:tc>
          <w:tcPr>
            <w:tcW w:w="0" w:type="dxa"/>
            <w:vAlign w:val="bottom"/>
          </w:tcPr>
          <w:p>
            <w:pPr>
              <w:spacing w:after="0"/>
              <w:rPr>
                <w:sz w:val="1"/>
                <w:szCs w:val="1"/>
                <w:color w:val="auto"/>
              </w:rPr>
            </w:pPr>
          </w:p>
        </w:tc>
      </w:tr>
      <w:tr>
        <w:trPr>
          <w:trHeight w:val="140"/>
        </w:trPr>
        <w:tc>
          <w:tcPr>
            <w:tcW w:w="784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60" w:type="dxa"/>
            <w:vAlign w:val="bottom"/>
            <w:tcBorders>
              <w:bottom w:val="single" w:sz="8" w:color="auto"/>
            </w:tcBorders>
          </w:tcPr>
          <w:p>
            <w:pPr>
              <w:jc w:val="right"/>
              <w:ind w:right="1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13,765,406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12,909,609</w:t>
            </w:r>
          </w:p>
        </w:tc>
        <w:tc>
          <w:tcPr>
            <w:tcW w:w="0" w:type="dxa"/>
            <w:vAlign w:val="bottom"/>
          </w:tcPr>
          <w:p>
            <w:pPr>
              <w:spacing w:after="0"/>
              <w:rPr>
                <w:sz w:val="1"/>
                <w:szCs w:val="1"/>
                <w:color w:val="auto"/>
              </w:rPr>
            </w:pPr>
          </w:p>
        </w:tc>
      </w:tr>
      <w:tr>
        <w:trPr>
          <w:trHeight w:val="126"/>
        </w:trPr>
        <w:tc>
          <w:tcPr>
            <w:tcW w:w="7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6,641</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interest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106,253</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salaries and wages</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10,209</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241,765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242,481</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Financing lease liabilities</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61,219</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 net of unamortized debt issuance costs, bond premiums and original issuance discounts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8,075,014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7,203,731</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rental revenue</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206,201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205,786</w:t>
            </w:r>
          </w:p>
        </w:tc>
        <w:tc>
          <w:tcPr>
            <w:tcW w:w="0" w:type="dxa"/>
            <w:vAlign w:val="bottom"/>
          </w:tcPr>
          <w:p>
            <w:pPr>
              <w:spacing w:after="0"/>
              <w:rPr>
                <w:sz w:val="1"/>
                <w:szCs w:val="1"/>
                <w:color w:val="auto"/>
              </w:rPr>
            </w:pPr>
          </w:p>
        </w:tc>
      </w:tr>
      <w:tr>
        <w:trPr>
          <w:trHeight w:val="153"/>
        </w:trPr>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liabilities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53,043</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65,029</w:t>
            </w: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8,728,577</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7,901,349</w:t>
            </w:r>
          </w:p>
        </w:tc>
        <w:tc>
          <w:tcPr>
            <w:tcW w:w="0" w:type="dxa"/>
            <w:vAlign w:val="bottom"/>
          </w:tcPr>
          <w:p>
            <w:pPr>
              <w:spacing w:after="0"/>
              <w:rPr>
                <w:sz w:val="1"/>
                <w:szCs w:val="1"/>
                <w:color w:val="auto"/>
              </w:rPr>
            </w:pPr>
          </w:p>
        </w:tc>
      </w:tr>
      <w:tr>
        <w:trPr>
          <w:trHeight w:val="124"/>
        </w:trPr>
        <w:tc>
          <w:tcPr>
            <w:tcW w:w="7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 ($.01 par value, 50,000,000 shares authorized, no shares issued or outstanding at March 31, 2026 and December 31, 2025)</w:t>
            </w:r>
          </w:p>
        </w:tc>
        <w:tc>
          <w:tcPr>
            <w:tcW w:w="26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2"/>
                <w:szCs w:val="12"/>
                <w:color w:val="auto"/>
              </w:rPr>
              <w:t>Common stock ($.01 par value, 500,000,000 shares authorized, 283,221,841 and 283,037,310 shares issued and outstanding at March 31, 2026 and December</w:t>
            </w:r>
          </w:p>
        </w:tc>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31, 2025, respectively)</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2,830</w:t>
            </w:r>
          </w:p>
        </w:tc>
        <w:tc>
          <w:tcPr>
            <w:tcW w:w="0" w:type="dxa"/>
            <w:vAlign w:val="bottom"/>
          </w:tcPr>
          <w:p>
            <w:pPr>
              <w:spacing w:after="0"/>
              <w:rPr>
                <w:sz w:val="1"/>
                <w:szCs w:val="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6,611,159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6,613,488</w:t>
            </w:r>
          </w:p>
        </w:tc>
        <w:tc>
          <w:tcPr>
            <w:tcW w:w="0" w:type="dxa"/>
            <w:vAlign w:val="bottom"/>
          </w:tcPr>
          <w:p>
            <w:pPr>
              <w:spacing w:after="0"/>
              <w:rPr>
                <w:sz w:val="1"/>
                <w:szCs w:val="1"/>
                <w:color w:val="auto"/>
              </w:rPr>
            </w:pP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(1,980,009)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(1,990,770)</w:t>
            </w:r>
          </w:p>
        </w:tc>
        <w:tc>
          <w:tcPr>
            <w:tcW w:w="0" w:type="dxa"/>
            <w:vAlign w:val="bottom"/>
          </w:tcPr>
          <w:p>
            <w:pPr>
              <w:spacing w:after="0"/>
              <w:rPr>
                <w:sz w:val="1"/>
                <w:szCs w:val="1"/>
                <w:color w:val="auto"/>
              </w:rPr>
            </w:pPr>
          </w:p>
        </w:tc>
      </w:tr>
      <w:tr>
        <w:trPr>
          <w:trHeight w:val="153"/>
        </w:trPr>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equity attributable to Gaming and Leisure Properties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4,634,863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4,626,452</w:t>
            </w: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Noncontrolling interests in GLPI's Operating Partnership (8,581,163 units and 8,224,939 units outstanding at March 31, 2026 and December 31, 2025,</w:t>
            </w: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401,966</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381,808</w:t>
            </w: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equity</w:t>
            </w:r>
          </w:p>
        </w:tc>
        <w:tc>
          <w:tcPr>
            <w:tcW w:w="2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5,036,829</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5,008,260</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13,765,406</w:t>
            </w: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12,909,609</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5620"/>
              <w:spacing w:after="0"/>
              <w:rPr>
                <w:sz w:val="20"/>
                <w:szCs w:val="20"/>
                <w:color w:val="auto"/>
              </w:rPr>
            </w:pPr>
            <w:r>
              <w:rPr>
                <w:rFonts w:ascii="Times New Roman" w:cs="Times New Roman" w:eastAsia="Times New Roman" w:hAnsi="Times New Roman"/>
                <w:sz w:val="12"/>
                <w:szCs w:val="12"/>
                <w:color w:val="auto"/>
              </w:rPr>
              <w:t>9</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00" w:top="63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auto"/>
        </w:rPr>
        <w:t>Debt Capitalization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debt structure as of March 31, 2026 was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w w:val="95"/>
              </w:rPr>
              <w:t>Years to Maturity</w:t>
            </w:r>
          </w:p>
        </w:tc>
        <w:tc>
          <w:tcPr>
            <w:tcW w:w="5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130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Balance</w:t>
            </w:r>
          </w:p>
        </w:tc>
      </w:tr>
      <w:tr>
        <w:trPr>
          <w:trHeight w:val="124"/>
        </w:trPr>
        <w:tc>
          <w:tcPr>
            <w:tcW w:w="7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(in thousands)</w:t>
            </w:r>
          </w:p>
        </w:tc>
      </w:tr>
      <w:tr>
        <w:trPr>
          <w:trHeight w:val="158"/>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Unsecured $2,090 Million Revolver Due December 2028</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4.968%</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330,793</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Term Loan Due December 2028</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2.7</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4.964%</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679,000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June 2028</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5.750%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500,000</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2029</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2.8</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5.300%</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750,000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2030</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3.8</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2031</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4.8</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2032</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5.8</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3.250%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February 2033</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6.9</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5.250%</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600,000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December 2033</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7.7</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6.750%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400,000</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September 2034</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8.5</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5.625%</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March 2036</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9.9</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5.625%</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53"/>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November 2037</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11.6</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5.750%</w:t>
            </w: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53"/>
        </w:trPr>
        <w:tc>
          <w:tcPr>
            <w:tcW w:w="700" w:type="dxa"/>
            <w:vAlign w:val="bottom"/>
          </w:tcPr>
          <w:p>
            <w:pPr>
              <w:spacing w:after="0"/>
              <w:rPr>
                <w:sz w:val="13"/>
                <w:szCs w:val="13"/>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September 2054</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28.5</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6.250%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400,000</w:t>
            </w:r>
          </w:p>
        </w:tc>
      </w:tr>
      <w:tr>
        <w:trPr>
          <w:trHeight w:val="153"/>
        </w:trPr>
        <w:tc>
          <w:tcPr>
            <w:tcW w:w="700" w:type="dxa"/>
            <w:vAlign w:val="bottom"/>
          </w:tcPr>
          <w:p>
            <w:pPr>
              <w:spacing w:after="0"/>
              <w:rPr>
                <w:sz w:val="13"/>
                <w:szCs w:val="13"/>
                <w:color w:val="auto"/>
              </w:rPr>
            </w:pPr>
          </w:p>
        </w:tc>
        <w:tc>
          <w:tcPr>
            <w:tcW w:w="6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50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2"/>
                <w:szCs w:val="12"/>
                <w:color w:val="auto"/>
              </w:rPr>
              <w:t>0.4</w:t>
            </w:r>
          </w:p>
        </w:tc>
        <w:tc>
          <w:tcPr>
            <w:tcW w:w="1180" w:type="dxa"/>
            <w:vAlign w:val="bottom"/>
            <w:tcBorders>
              <w:bottom w:val="single" w:sz="8" w:color="CCEEFF"/>
            </w:tcBorders>
          </w:tcPr>
          <w:p>
            <w:pPr>
              <w:jc w:val="center"/>
              <w:ind w:right="141"/>
              <w:spacing w:after="0"/>
              <w:rPr>
                <w:sz w:val="20"/>
                <w:szCs w:val="20"/>
                <w:color w:val="auto"/>
              </w:rPr>
            </w:pPr>
            <w:r>
              <w:rPr>
                <w:rFonts w:ascii="Times New Roman" w:cs="Times New Roman" w:eastAsia="Times New Roman" w:hAnsi="Times New Roman"/>
                <w:sz w:val="12"/>
                <w:szCs w:val="12"/>
                <w:color w:val="auto"/>
              </w:rPr>
              <w:t>4.780%</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70</w:t>
            </w:r>
          </w:p>
        </w:tc>
      </w:tr>
      <w:tr>
        <w:trPr>
          <w:trHeight w:val="142"/>
        </w:trPr>
        <w:tc>
          <w:tcPr>
            <w:tcW w:w="700" w:type="dxa"/>
            <w:vAlign w:val="bottom"/>
          </w:tcPr>
          <w:p>
            <w:pPr>
              <w:spacing w:after="0"/>
              <w:rPr>
                <w:sz w:val="12"/>
                <w:szCs w:val="12"/>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long-term debt</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8,159,863</w:t>
            </w:r>
          </w:p>
        </w:tc>
      </w:tr>
      <w:tr>
        <w:trPr>
          <w:trHeight w:val="153"/>
        </w:trPr>
        <w:tc>
          <w:tcPr>
            <w:tcW w:w="700" w:type="dxa"/>
            <w:vAlign w:val="bottom"/>
          </w:tcPr>
          <w:p>
            <w:pPr>
              <w:spacing w:after="0"/>
              <w:rPr>
                <w:sz w:val="13"/>
                <w:szCs w:val="13"/>
                <w:color w:val="auto"/>
              </w:rPr>
            </w:pPr>
          </w:p>
        </w:tc>
        <w:tc>
          <w:tcPr>
            <w:tcW w:w="6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 bond premiums and original issuance discounts</w:t>
            </w:r>
          </w:p>
        </w:tc>
        <w:tc>
          <w:tcPr>
            <w:tcW w:w="5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(84,849)</w:t>
            </w:r>
          </w:p>
        </w:tc>
      </w:tr>
      <w:tr>
        <w:trPr>
          <w:trHeight w:val="162"/>
        </w:trPr>
        <w:tc>
          <w:tcPr>
            <w:tcW w:w="700" w:type="dxa"/>
            <w:vAlign w:val="bottom"/>
          </w:tcPr>
          <w:p>
            <w:pPr>
              <w:spacing w:after="0"/>
              <w:rPr>
                <w:sz w:val="14"/>
                <w:szCs w:val="14"/>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long-term debt, net of unamortized debt issuance costs, bond premiums and original issuance discounts</w:t>
            </w:r>
          </w:p>
        </w:tc>
        <w:tc>
          <w:tcPr>
            <w:tcW w:w="5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8,075,014</w:t>
            </w:r>
          </w:p>
        </w:tc>
      </w:tr>
      <w:tr>
        <w:trPr>
          <w:trHeight w:val="137"/>
        </w:trPr>
        <w:tc>
          <w:tcPr>
            <w:tcW w:w="700" w:type="dxa"/>
            <w:vAlign w:val="bottom"/>
          </w:tcPr>
          <w:p>
            <w:pPr>
              <w:spacing w:after="0"/>
              <w:rPr>
                <w:sz w:val="11"/>
                <w:szCs w:val="11"/>
                <w:color w:val="auto"/>
              </w:rPr>
            </w:pPr>
          </w:p>
        </w:tc>
        <w:tc>
          <w:tcPr>
            <w:tcW w:w="680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500" w:type="dxa"/>
            <w:vAlign w:val="bottom"/>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7.1</w:t>
            </w:r>
          </w:p>
        </w:tc>
        <w:tc>
          <w:tcPr>
            <w:tcW w:w="118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2"/>
                <w:szCs w:val="12"/>
                <w:color w:val="auto"/>
              </w:rPr>
              <w:t>5.078%</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19"/>
        </w:trPr>
        <w:tc>
          <w:tcPr>
            <w:tcW w:w="7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Rating Agency - Issue Rating</w:t>
      </w:r>
    </w:p>
    <w:p>
      <w:pPr>
        <w:spacing w:after="0" w:line="33" w:lineRule="exact"/>
        <w:rPr>
          <w:sz w:val="20"/>
          <w:szCs w:val="20"/>
          <w:color w:val="auto"/>
        </w:rPr>
      </w:pPr>
    </w:p>
    <w:tbl>
      <w:tblPr>
        <w:tblLayout w:type="fixed"/>
        <w:tblInd w:w="3880" w:type="dxa"/>
        <w:tblCellMar>
          <w:top w:w="0" w:type="dxa"/>
          <w:left w:w="0" w:type="dxa"/>
          <w:bottom w:w="0" w:type="dxa"/>
          <w:right w:w="0" w:type="dxa"/>
        </w:tblCellMar>
      </w:tblPr>
      <w:tr>
        <w:trPr>
          <w:trHeight w:val="159"/>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 Agency</w:t>
            </w: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Rating</w:t>
            </w:r>
          </w:p>
        </w:tc>
      </w:tr>
      <w:tr>
        <w:trPr>
          <w:trHeight w:val="142"/>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Standard &amp; Poor's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BBB-</w:t>
            </w:r>
          </w:p>
        </w:tc>
      </w:tr>
      <w:tr>
        <w:trPr>
          <w:trHeight w:val="153"/>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Fitch</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BBB-</w:t>
            </w:r>
          </w:p>
        </w:tc>
      </w:tr>
      <w:tr>
        <w:trPr>
          <w:trHeight w:val="15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Moody's</w:t>
            </w: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Ba1</w:t>
            </w:r>
          </w:p>
        </w:tc>
      </w:tr>
      <w:tr>
        <w:trPr>
          <w:trHeight w:val="576"/>
        </w:trPr>
        <w:tc>
          <w:tcPr>
            <w:tcW w:w="1300" w:type="dxa"/>
            <w:vAlign w:val="bottom"/>
          </w:tcPr>
          <w:p>
            <w:pPr>
              <w:spacing w:after="0"/>
              <w:rPr>
                <w:sz w:val="24"/>
                <w:szCs w:val="24"/>
                <w:color w:val="auto"/>
              </w:rPr>
            </w:pPr>
          </w:p>
        </w:tc>
        <w:tc>
          <w:tcPr>
            <w:tcW w:w="130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80"/>
          </w:cols>
          <w:pgMar w:left="300" w:top="638" w:right="101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Funding commitments</w:t>
      </w:r>
    </w:p>
    <w:p>
      <w:pPr>
        <w:spacing w:after="0" w:line="163"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As of March 31, 2026,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240" w:type="dxa"/>
            <w:vAlign w:val="bottom"/>
            <w:shd w:val="clear" w:color="auto" w:fill="CCEEFF"/>
          </w:tcPr>
          <w:p>
            <w:pPr>
              <w:spacing w:after="0"/>
              <w:rPr>
                <w:sz w:val="12"/>
                <w:szCs w:val="12"/>
                <w:color w:val="auto"/>
              </w:rPr>
            </w:pPr>
          </w:p>
        </w:tc>
        <w:tc>
          <w:tcPr>
            <w:tcW w:w="316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2"/>
                <w:szCs w:val="12"/>
                <w:color w:val="auto"/>
                <w:w w:val="99"/>
              </w:rPr>
              <w:t>Estimated Commitment</w:t>
            </w:r>
          </w:p>
        </w:tc>
        <w:tc>
          <w:tcPr>
            <w:tcW w:w="1900" w:type="dxa"/>
            <w:vAlign w:val="bottom"/>
            <w:shd w:val="clear" w:color="auto" w:fill="CCEEFF"/>
          </w:tcPr>
          <w:p>
            <w:pPr>
              <w:spacing w:after="0"/>
              <w:rPr>
                <w:sz w:val="12"/>
                <w:szCs w:val="12"/>
                <w:color w:val="auto"/>
              </w:rPr>
            </w:pPr>
          </w:p>
        </w:tc>
      </w:tr>
      <w:tr>
        <w:trPr>
          <w:trHeight w:val="162"/>
        </w:trPr>
        <w:tc>
          <w:tcPr>
            <w:tcW w:w="6240" w:type="dxa"/>
            <w:vAlign w:val="bottom"/>
            <w:tcBorders>
              <w:bottom w:val="single" w:sz="8" w:color="auto"/>
            </w:tcBorders>
            <w:shd w:val="clear" w:color="auto" w:fill="CCEEFF"/>
          </w:tcPr>
          <w:p>
            <w:pPr>
              <w:ind w:left="3740"/>
              <w:spacing w:after="0"/>
              <w:rPr>
                <w:sz w:val="20"/>
                <w:szCs w:val="20"/>
                <w:color w:val="auto"/>
              </w:rPr>
            </w:pPr>
            <w:r>
              <w:rPr>
                <w:rFonts w:ascii="Times New Roman" w:cs="Times New Roman" w:eastAsia="Times New Roman" w:hAnsi="Times New Roman"/>
                <w:sz w:val="12"/>
                <w:szCs w:val="12"/>
                <w:color w:val="auto"/>
              </w:rPr>
              <w:t>Description</w:t>
            </w:r>
          </w:p>
        </w:tc>
        <w:tc>
          <w:tcPr>
            <w:tcW w:w="3160" w:type="dxa"/>
            <w:vAlign w:val="bottom"/>
            <w:tcBorders>
              <w:bottom w:val="single" w:sz="8" w:color="auto"/>
            </w:tcBorders>
            <w:shd w:val="clear" w:color="auto" w:fill="CCEEFF"/>
          </w:tcPr>
          <w:p>
            <w:pPr>
              <w:jc w:val="center"/>
              <w:ind w:left="1740"/>
              <w:spacing w:after="0"/>
              <w:rPr>
                <w:sz w:val="20"/>
                <w:szCs w:val="20"/>
                <w:color w:val="auto"/>
              </w:rPr>
            </w:pPr>
            <w:r>
              <w:rPr>
                <w:rFonts w:ascii="Times New Roman" w:cs="Times New Roman" w:eastAsia="Times New Roman" w:hAnsi="Times New Roman"/>
                <w:sz w:val="12"/>
                <w:szCs w:val="12"/>
                <w:color w:val="auto"/>
                <w:w w:val="99"/>
              </w:rPr>
              <w:t>amount</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Amount funded at March 31, 2026</w:t>
            </w: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2"/>
                <w:szCs w:val="12"/>
                <w:color w:val="auto"/>
              </w:rPr>
              <w:t xml:space="preserve">Relocation of Hollywood Casino Aurora </w:t>
            </w:r>
            <w:r>
              <w:rPr>
                <w:rFonts w:ascii="Times New Roman" w:cs="Times New Roman" w:eastAsia="Times New Roman" w:hAnsi="Times New Roman"/>
                <w:sz w:val="15"/>
                <w:szCs w:val="15"/>
                <w:color w:val="auto"/>
                <w:vertAlign w:val="superscript"/>
              </w:rPr>
              <w:t>(1)</w:t>
            </w:r>
          </w:p>
        </w:tc>
        <w:tc>
          <w:tcPr>
            <w:tcW w:w="31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$225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r>
      <w:tr>
        <w:trPr>
          <w:trHeight w:val="153"/>
        </w:trPr>
        <w:tc>
          <w:tcPr>
            <w:tcW w:w="62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Funding associated with a landside move at Ameristar Casino Council Bluffs </w:t>
            </w:r>
            <w:r>
              <w:rPr>
                <w:rFonts w:ascii="Times New Roman" w:cs="Times New Roman" w:eastAsia="Times New Roman" w:hAnsi="Times New Roman"/>
                <w:sz w:val="15"/>
                <w:szCs w:val="15"/>
                <w:color w:val="auto"/>
                <w:vertAlign w:val="superscript"/>
              </w:rPr>
              <w:t>(2)</w:t>
            </w:r>
          </w:p>
        </w:tc>
        <w:tc>
          <w:tcPr>
            <w:tcW w:w="316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2"/>
                <w:szCs w:val="12"/>
                <w:color w:val="auto"/>
              </w:rPr>
              <w:t>$150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r>
      <w:tr>
        <w:trPr>
          <w:trHeight w:val="153"/>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Potential transaction at the former Tropicana Las Vegas site with Bally's</w:t>
            </w:r>
          </w:p>
        </w:tc>
        <w:tc>
          <w:tcPr>
            <w:tcW w:w="31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$175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$48.5 million</w:t>
            </w:r>
          </w:p>
        </w:tc>
      </w:tr>
      <w:tr>
        <w:trPr>
          <w:trHeight w:val="15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 construction costs for Bally's Chicago</w:t>
            </w:r>
          </w:p>
        </w:tc>
        <w:tc>
          <w:tcPr>
            <w:tcW w:w="316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2"/>
                <w:szCs w:val="12"/>
                <w:color w:val="auto"/>
              </w:rPr>
              <w:t>$940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$299.6 million</w:t>
            </w:r>
          </w:p>
        </w:tc>
      </w:tr>
      <w:tr>
        <w:trPr>
          <w:trHeight w:val="153"/>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Construction costs for the landside development project at Bally's Marquette</w:t>
            </w:r>
          </w:p>
        </w:tc>
        <w:tc>
          <w:tcPr>
            <w:tcW w:w="316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8"/>
              </w:rPr>
              <w:t>$16.5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$16.5 million</w:t>
            </w:r>
          </w:p>
        </w:tc>
      </w:tr>
      <w:tr>
        <w:trPr>
          <w:trHeight w:val="15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Ione Loan to fund a new casino development near Sacramento, California</w:t>
            </w:r>
          </w:p>
        </w:tc>
        <w:tc>
          <w:tcPr>
            <w:tcW w:w="3160" w:type="dxa"/>
            <w:vAlign w:val="bottom"/>
            <w:shd w:val="clear" w:color="auto" w:fill="CCEEFF"/>
          </w:tcPr>
          <w:p>
            <w:pPr>
              <w:jc w:val="center"/>
              <w:ind w:left="1740"/>
              <w:spacing w:after="0"/>
              <w:rPr>
                <w:sz w:val="20"/>
                <w:szCs w:val="20"/>
                <w:color w:val="auto"/>
              </w:rPr>
            </w:pPr>
            <w:r>
              <w:rPr>
                <w:rFonts w:ascii="Times New Roman" w:cs="Times New Roman" w:eastAsia="Times New Roman" w:hAnsi="Times New Roman"/>
                <w:sz w:val="12"/>
                <w:szCs w:val="12"/>
                <w:color w:val="auto"/>
                <w:w w:val="97"/>
              </w:rPr>
              <w:t>$110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$83.6 million</w:t>
            </w:r>
          </w:p>
        </w:tc>
      </w:tr>
      <w:tr>
        <w:trPr>
          <w:trHeight w:val="153"/>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Funding associated with the future site and construction for Live! Virginia Casino &amp; Hotel</w:t>
            </w:r>
          </w:p>
        </w:tc>
        <w:tc>
          <w:tcPr>
            <w:tcW w:w="31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$467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$27.0 million</w:t>
            </w:r>
          </w:p>
        </w:tc>
      </w:tr>
      <w:tr>
        <w:trPr>
          <w:trHeight w:val="15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Delayed draw term loan for Dry Creek Rancheria Resort development</w:t>
            </w:r>
          </w:p>
        </w:tc>
        <w:tc>
          <w:tcPr>
            <w:tcW w:w="3160" w:type="dxa"/>
            <w:vAlign w:val="bottom"/>
            <w:shd w:val="clear" w:color="auto" w:fill="CCEEFF"/>
          </w:tcPr>
          <w:p>
            <w:pPr>
              <w:jc w:val="center"/>
              <w:ind w:left="1720"/>
              <w:spacing w:after="0"/>
              <w:rPr>
                <w:sz w:val="20"/>
                <w:szCs w:val="20"/>
                <w:color w:val="auto"/>
              </w:rPr>
            </w:pPr>
            <w:r>
              <w:rPr>
                <w:rFonts w:ascii="Times New Roman" w:cs="Times New Roman" w:eastAsia="Times New Roman" w:hAnsi="Times New Roman"/>
                <w:sz w:val="12"/>
                <w:szCs w:val="12"/>
                <w:color w:val="auto"/>
              </w:rPr>
              <w:t>$180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r>
    </w:tbl>
    <w:p>
      <w:pPr>
        <w:spacing w:after="0" w:line="214" w:lineRule="exact"/>
        <w:rPr>
          <w:sz w:val="20"/>
          <w:szCs w:val="20"/>
          <w:color w:val="auto"/>
        </w:rPr>
      </w:pPr>
    </w:p>
    <w:p>
      <w:pPr>
        <w:ind w:left="8" w:hanging="8"/>
        <w:spacing w:after="0" w:line="216" w:lineRule="auto"/>
        <w:tabs>
          <w:tab w:leader="none" w:pos="28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PENN anticipates completing the relocation of its riverboat casino in Aurora to a land based facility on June 24, 2026, pending customary regulatory approvals. The Company anticipates funding $225 million at a 7.75% capitalization rate for this project on or about June 24, 2026.</w:t>
      </w:r>
    </w:p>
    <w:p>
      <w:pPr>
        <w:spacing w:after="0" w:line="142" w:lineRule="exact"/>
        <w:rPr>
          <w:rFonts w:ascii="Times New Roman" w:cs="Times New Roman" w:eastAsia="Times New Roman" w:hAnsi="Times New Roman"/>
          <w:sz w:val="16"/>
          <w:szCs w:val="16"/>
          <w:color w:val="auto"/>
          <w:vertAlign w:val="superscript"/>
        </w:rPr>
      </w:pPr>
    </w:p>
    <w:p>
      <w:pPr>
        <w:ind w:left="8" w:right="20" w:hanging="8"/>
        <w:spacing w:after="0" w:line="222" w:lineRule="auto"/>
        <w:tabs>
          <w:tab w:leader="none" w:pos="232"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spacing w:after="0" w:line="200" w:lineRule="exact"/>
        <w:rPr>
          <w:sz w:val="20"/>
          <w:szCs w:val="20"/>
          <w:color w:val="auto"/>
        </w:rPr>
      </w:pPr>
    </w:p>
    <w:p>
      <w:pPr>
        <w:spacing w:after="0" w:line="3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737"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i w:val="1"/>
          <w:iCs w:val="1"/>
          <w:color w:val="auto"/>
        </w:rPr>
        <w:t>Property and lease information</w:t>
      </w:r>
    </w:p>
    <w:p>
      <w:pPr>
        <w:spacing w:after="0" w:line="170"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The Company has disclosed the following key terms of its Master Leases and Single Property Leases in the tables below, along with the properties within each lease at March 31, 2026. We believe the following key terms are important for users of our financial statements to understand.</w:t>
      </w:r>
    </w:p>
    <w:p>
      <w:pPr>
        <w:spacing w:after="0" w:line="128" w:lineRule="exact"/>
        <w:rPr>
          <w:sz w:val="20"/>
          <w:szCs w:val="20"/>
          <w:color w:val="auto"/>
        </w:rPr>
      </w:pPr>
    </w:p>
    <w:p>
      <w:pPr>
        <w:ind w:left="860" w:hanging="220"/>
        <w:spacing w:after="0" w:line="264"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plus rent expense paid to GLPI.</w:t>
      </w:r>
    </w:p>
    <w:p>
      <w:pPr>
        <w:spacing w:after="0" w:line="128" w:lineRule="exact"/>
        <w:rPr>
          <w:rFonts w:ascii="Times New Roman" w:cs="Times New Roman" w:eastAsia="Times New Roman" w:hAnsi="Times New Roman"/>
          <w:sz w:val="12"/>
          <w:szCs w:val="12"/>
          <w:color w:val="auto"/>
        </w:rPr>
      </w:pPr>
    </w:p>
    <w:p>
      <w:pPr>
        <w:ind w:left="860" w:hanging="220"/>
        <w:spacing w:after="0" w:line="264"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28" w:lineRule="exact"/>
        <w:rPr>
          <w:rFonts w:ascii="Times New Roman" w:cs="Times New Roman" w:eastAsia="Times New Roman" w:hAnsi="Times New Roman"/>
          <w:sz w:val="12"/>
          <w:szCs w:val="12"/>
          <w:color w:val="auto"/>
        </w:rPr>
      </w:pPr>
    </w:p>
    <w:p>
      <w:pPr>
        <w:jc w:val="both"/>
        <w:ind w:left="860" w:hanging="220"/>
        <w:spacing w:after="0" w:line="249"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on leases that have been in effect for less than twelve months.</w:t>
      </w:r>
    </w:p>
    <w:p>
      <w:pPr>
        <w:spacing w:after="0" w:line="137" w:lineRule="exact"/>
        <w:rPr>
          <w:rFonts w:ascii="Times New Roman" w:cs="Times New Roman" w:eastAsia="Times New Roman" w:hAnsi="Times New Roman"/>
          <w:sz w:val="12"/>
          <w:szCs w:val="12"/>
          <w:color w:val="auto"/>
        </w:rPr>
      </w:pPr>
    </w:p>
    <w:p>
      <w:pPr>
        <w:jc w:val="both"/>
        <w:ind w:left="860" w:hanging="220"/>
        <w:spacing w:after="0" w:line="241"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631"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97155"/>
                    </a:xfrm>
                    <a:prstGeom prst="rect">
                      <a:avLst/>
                    </a:prstGeom>
                    <a:noFill/>
                  </pic:spPr>
                </pic:pic>
              </a:graphicData>
            </a:graphic>
          </wp:anchor>
        </w:drawing>
        <w:t>Master Leases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100" w:type="dxa"/>
            <w:vAlign w:val="bottom"/>
            <w:gridSpan w:val="2"/>
          </w:tcPr>
          <w:p>
            <w:pPr>
              <w:jc w:val="right"/>
              <w:ind w:right="1012"/>
              <w:spacing w:after="0"/>
              <w:rPr>
                <w:sz w:val="20"/>
                <w:szCs w:val="20"/>
                <w:color w:val="auto"/>
              </w:rPr>
            </w:pPr>
            <w:r>
              <w:rPr>
                <w:rFonts w:ascii="Times New Roman" w:cs="Times New Roman" w:eastAsia="Times New Roman" w:hAnsi="Times New Roman"/>
                <w:sz w:val="10"/>
                <w:szCs w:val="10"/>
                <w:b w:val="1"/>
                <w:bCs w:val="1"/>
                <w:color w:val="auto"/>
              </w:rPr>
              <w:t>Penn 2023 Master Lease</w:t>
            </w:r>
          </w:p>
        </w:tc>
        <w:tc>
          <w:tcPr>
            <w:tcW w:w="4800" w:type="dxa"/>
            <w:vAlign w:val="bottom"/>
            <w:gridSpan w:val="3"/>
          </w:tcPr>
          <w:p>
            <w:pPr>
              <w:ind w:left="1940"/>
              <w:spacing w:after="0"/>
              <w:rPr>
                <w:sz w:val="20"/>
                <w:szCs w:val="20"/>
                <w:color w:val="auto"/>
              </w:rPr>
            </w:pPr>
            <w:r>
              <w:rPr>
                <w:rFonts w:ascii="Times New Roman" w:cs="Times New Roman" w:eastAsia="Times New Roman" w:hAnsi="Times New Roman"/>
                <w:sz w:val="10"/>
                <w:szCs w:val="10"/>
                <w:b w:val="1"/>
                <w:bCs w:val="1"/>
                <w:color w:val="auto"/>
              </w:rPr>
              <w:t>Amended Penn Master Lease</w:t>
            </w:r>
          </w:p>
        </w:tc>
      </w:tr>
      <w:tr>
        <w:trPr>
          <w:trHeight w:val="14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392"/>
              <w:spacing w:after="0"/>
              <w:rPr>
                <w:sz w:val="20"/>
                <w:szCs w:val="20"/>
                <w:color w:val="auto"/>
              </w:rPr>
            </w:pPr>
            <w:r>
              <w:rPr>
                <w:rFonts w:ascii="Times New Roman" w:cs="Times New Roman" w:eastAsia="Times New Roman" w:hAnsi="Times New Roman"/>
                <w:sz w:val="10"/>
                <w:szCs w:val="10"/>
                <w:b w:val="1"/>
                <w:bCs w:val="1"/>
                <w:color w:val="auto"/>
              </w:rPr>
              <w:t>PENN</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PENN</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2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Hollywood Casino Aurora</w:t>
            </w:r>
          </w:p>
        </w:tc>
        <w:tc>
          <w:tcPr>
            <w:tcW w:w="188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Aurora, IL</w:t>
            </w: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Lawrenceburg</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Lawrenceburg, IN</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Hollywood Casino Joliet</w:t>
            </w:r>
          </w:p>
        </w:tc>
        <w:tc>
          <w:tcPr>
            <w:tcW w:w="18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0"/>
                <w:szCs w:val="10"/>
                <w:color w:val="auto"/>
              </w:rPr>
              <w:t>Joliet, IL</w:t>
            </w: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Argosy Casino Alton</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Alton, IL</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Hollywood Casino Toledo</w:t>
            </w:r>
          </w:p>
        </w:tc>
        <w:tc>
          <w:tcPr>
            <w:tcW w:w="188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Toledo, OH</w:t>
            </w: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at Charles Town Races</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Charles Town, WV</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Hollywood Casino Columbus</w:t>
            </w:r>
          </w:p>
        </w:tc>
        <w:tc>
          <w:tcPr>
            <w:tcW w:w="18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0"/>
                <w:szCs w:val="10"/>
                <w:color w:val="auto"/>
              </w:rPr>
              <w:t>Columbus, OH</w:t>
            </w: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Hollywood Casino at Penn National Race Course</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Grantville, PA</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M Resort</w:t>
            </w:r>
          </w:p>
        </w:tc>
        <w:tc>
          <w:tcPr>
            <w:tcW w:w="188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Henderson, NV</w:t>
            </w: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Bangor</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Bangor, ME</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Hollywood Casino at the Meadows</w:t>
            </w:r>
          </w:p>
        </w:tc>
        <w:tc>
          <w:tcPr>
            <w:tcW w:w="18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0"/>
                <w:szCs w:val="10"/>
                <w:color w:val="auto"/>
              </w:rPr>
              <w:t>Washington, PA</w:t>
            </w: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Zia Park Casino</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Hobbs, NM</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Hollywood Casino Perryville</w:t>
            </w:r>
          </w:p>
        </w:tc>
        <w:tc>
          <w:tcPr>
            <w:tcW w:w="188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Perryville, MD</w:t>
            </w: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Gulf Coast</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Bay St. Louis, MS</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Argosy Casino Riverside</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Riverside, MO</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Tunica</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Tunica, MS</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Boomtown Biloxi</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Biloxi, MS</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St. Louis</w:t>
            </w:r>
          </w:p>
        </w:tc>
        <w:tc>
          <w:tcPr>
            <w:tcW w:w="82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Maryland Heights, MO</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Hollywood Gaming Casino at Dayton Raceway</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Dayton, OH</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Hollywood Gaming Casino at Mahoning Valley Race Track</w:t>
            </w:r>
          </w:p>
        </w:tc>
        <w:tc>
          <w:tcPr>
            <w:tcW w:w="1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Youngstown, OH</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1st Jackpot Casino</w:t>
            </w:r>
          </w:p>
        </w:tc>
        <w:tc>
          <w:tcPr>
            <w:tcW w:w="820" w:type="dxa"/>
            <w:vAlign w:val="bottom"/>
            <w:shd w:val="clear" w:color="auto" w:fill="CCEEFF"/>
          </w:tcPr>
          <w:p>
            <w:pPr>
              <w:spacing w:after="0"/>
              <w:rPr>
                <w:sz w:val="12"/>
                <w:szCs w:val="1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Tunica, MS</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1/1/2023</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11/1/2013</w:t>
            </w:r>
          </w:p>
        </w:tc>
        <w:tc>
          <w:tcPr>
            <w:tcW w:w="16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10/31/2033</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10/31/2033</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15 (3x5 years)</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(3x5 years)</w:t>
            </w:r>
          </w:p>
        </w:tc>
        <w:tc>
          <w:tcPr>
            <w:tcW w:w="16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Yes</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Yes</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Yes</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1.1</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6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Yes</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80" w:type="dxa"/>
            <w:vAlign w:val="bottom"/>
            <w:shd w:val="clear" w:color="auto" w:fill="CCEEFF"/>
          </w:tcPr>
          <w:p>
            <w:pPr>
              <w:spacing w:after="0"/>
              <w:rPr>
                <w:sz w:val="12"/>
                <w:szCs w:val="12"/>
                <w:color w:val="auto"/>
              </w:rPr>
            </w:pPr>
          </w:p>
        </w:tc>
      </w:tr>
      <w:tr>
        <w:trPr>
          <w:trHeight w:val="107"/>
        </w:trPr>
        <w:tc>
          <w:tcPr>
            <w:tcW w:w="70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gridSpan w:val="2"/>
          </w:tcPr>
          <w:p>
            <w:pPr>
              <w:spacing w:after="0"/>
              <w:rPr>
                <w:sz w:val="9"/>
                <w:szCs w:val="9"/>
                <w:color w:val="auto"/>
              </w:rPr>
            </w:pPr>
          </w:p>
        </w:tc>
        <w:tc>
          <w:tcPr>
            <w:tcW w:w="2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14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1.5% (1)</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1.83</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16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N/A</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6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220" w:type="dxa"/>
            <w:vAlign w:val="bottom"/>
          </w:tcPr>
          <w:p>
            <w:pPr>
              <w:spacing w:after="0"/>
              <w:rPr>
                <w:sz w:val="11"/>
                <w:szCs w:val="11"/>
                <w:color w:val="auto"/>
              </w:rPr>
            </w:pPr>
          </w:p>
        </w:tc>
        <w:tc>
          <w:tcPr>
            <w:tcW w:w="1880" w:type="dxa"/>
            <w:vAlign w:val="bottom"/>
          </w:tcPr>
          <w:p>
            <w:pPr>
              <w:jc w:val="right"/>
              <w:ind w:right="912"/>
              <w:spacing w:after="0"/>
              <w:rPr>
                <w:sz w:val="20"/>
                <w:szCs w:val="20"/>
                <w:color w:val="auto"/>
              </w:rPr>
            </w:pPr>
            <w:r>
              <w:rPr>
                <w:rFonts w:ascii="Times New Roman" w:cs="Times New Roman" w:eastAsia="Times New Roman" w:hAnsi="Times New Roman"/>
                <w:sz w:val="10"/>
                <w:szCs w:val="10"/>
                <w:color w:val="auto"/>
              </w:rPr>
              <w:t>November</w:t>
            </w:r>
          </w:p>
        </w:tc>
        <w:tc>
          <w:tcPr>
            <w:tcW w:w="2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November</w:t>
            </w:r>
          </w:p>
        </w:tc>
        <w:tc>
          <w:tcPr>
            <w:tcW w:w="1680" w:type="dxa"/>
            <w:vAlign w:val="bottom"/>
          </w:tcPr>
          <w:p>
            <w:pPr>
              <w:spacing w:after="0"/>
              <w:rPr>
                <w:sz w:val="11"/>
                <w:szCs w:val="11"/>
                <w:color w:val="auto"/>
              </w:rPr>
            </w:pPr>
          </w:p>
        </w:tc>
      </w:tr>
      <w:tr>
        <w:trPr>
          <w:trHeight w:val="121"/>
        </w:trPr>
        <w:tc>
          <w:tcPr>
            <w:tcW w:w="2400" w:type="dxa"/>
            <w:vAlign w:val="bottom"/>
            <w:gridSpan w:val="3"/>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2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r>
      <w:tr>
        <w:trPr>
          <w:trHeight w:val="129"/>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tcBorders>
              <w:top w:val="single" w:sz="8" w:color="CCEEFF"/>
            </w:tcBorders>
          </w:tcPr>
          <w:p>
            <w:pPr>
              <w:spacing w:after="0"/>
              <w:rPr>
                <w:sz w:val="11"/>
                <w:szCs w:val="11"/>
                <w:color w:val="auto"/>
              </w:rPr>
            </w:pPr>
          </w:p>
        </w:tc>
        <w:tc>
          <w:tcPr>
            <w:tcW w:w="2220" w:type="dxa"/>
            <w:vAlign w:val="bottom"/>
            <w:tcBorders>
              <w:top w:val="single" w:sz="8" w:color="CCEEFF"/>
            </w:tcBorders>
          </w:tcPr>
          <w:p>
            <w:pPr>
              <w:spacing w:after="0"/>
              <w:rPr>
                <w:sz w:val="11"/>
                <w:szCs w:val="11"/>
                <w:color w:val="auto"/>
              </w:rPr>
            </w:pPr>
          </w:p>
        </w:tc>
        <w:tc>
          <w:tcPr>
            <w:tcW w:w="1880" w:type="dxa"/>
            <w:vAlign w:val="bottom"/>
            <w:tcBorders>
              <w:top w:val="single" w:sz="8" w:color="CCEEFF"/>
            </w:tcBorders>
          </w:tcPr>
          <w:p>
            <w:pPr>
              <w:jc w:val="right"/>
              <w:ind w:right="912"/>
              <w:spacing w:after="0"/>
              <w:rPr>
                <w:sz w:val="20"/>
                <w:szCs w:val="20"/>
                <w:color w:val="auto"/>
              </w:rPr>
            </w:pPr>
            <w:r>
              <w:rPr>
                <w:rFonts w:ascii="Times New Roman" w:cs="Times New Roman" w:eastAsia="Times New Roman" w:hAnsi="Times New Roman"/>
                <w:sz w:val="10"/>
                <w:szCs w:val="10"/>
                <w:color w:val="auto"/>
              </w:rPr>
              <w:t>N/A</w:t>
            </w:r>
          </w:p>
        </w:tc>
        <w:tc>
          <w:tcPr>
            <w:tcW w:w="23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5 years</w:t>
            </w:r>
          </w:p>
        </w:tc>
        <w:tc>
          <w:tcPr>
            <w:tcW w:w="1680" w:type="dxa"/>
            <w:vAlign w:val="bottom"/>
            <w:tcBorders>
              <w:top w:val="single" w:sz="8" w:color="CCEEFF"/>
            </w:tcBorders>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0"/>
                <w:szCs w:val="10"/>
                <w:color w:val="auto"/>
              </w:rPr>
              <w:t>N/A</w:t>
            </w:r>
          </w:p>
        </w:tc>
        <w:tc>
          <w:tcPr>
            <w:tcW w:w="2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Nov-28</w:t>
            </w:r>
          </w:p>
        </w:tc>
        <w:tc>
          <w:tcPr>
            <w:tcW w:w="1680" w:type="dxa"/>
            <w:vAlign w:val="bottom"/>
            <w:shd w:val="clear" w:color="auto" w:fill="CCEEFF"/>
          </w:tcPr>
          <w:p>
            <w:pPr>
              <w:spacing w:after="0"/>
              <w:rPr>
                <w:sz w:val="12"/>
                <w:szCs w:val="12"/>
                <w:color w:val="auto"/>
              </w:rPr>
            </w:pPr>
          </w:p>
        </w:tc>
      </w:tr>
    </w:tbl>
    <w:p>
      <w:pPr>
        <w:spacing w:after="0" w:line="122"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16"/>
          <w:szCs w:val="16"/>
          <w:color w:val="auto"/>
          <w:vertAlign w:val="superscript"/>
        </w:rPr>
      </w:pPr>
    </w:p>
    <w:p>
      <w:pPr>
        <w:spacing w:after="0" w:line="200" w:lineRule="exact"/>
        <w:rPr>
          <w:rFonts w:ascii="Times New Roman" w:cs="Times New Roman" w:eastAsia="Times New Roman" w:hAnsi="Times New Roman"/>
          <w:sz w:val="16"/>
          <w:szCs w:val="16"/>
          <w:color w:val="auto"/>
          <w:vertAlign w:val="superscript"/>
        </w:rPr>
      </w:pPr>
    </w:p>
    <w:p>
      <w:pPr>
        <w:spacing w:after="0" w:line="210" w:lineRule="exact"/>
        <w:rPr>
          <w:rFonts w:ascii="Times New Roman" w:cs="Times New Roman" w:eastAsia="Times New Roman" w:hAnsi="Times New Roman"/>
          <w:sz w:val="16"/>
          <w:szCs w:val="16"/>
          <w:color w:val="auto"/>
          <w:vertAlign w:val="superscript"/>
        </w:rPr>
      </w:pPr>
    </w:p>
    <w:p>
      <w:pPr>
        <w:ind w:left="558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1023"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83755"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97155"/>
                    </a:xfrm>
                    <a:prstGeom prst="rect">
                      <a:avLst/>
                    </a:prstGeom>
                    <a:noFill/>
                  </pic:spPr>
                </pic:pic>
              </a:graphicData>
            </a:graphic>
          </wp:anchor>
        </w:drawing>
        <w:t>Master Leases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100" w:type="dxa"/>
            <w:vAlign w:val="bottom"/>
            <w:gridSpan w:val="2"/>
          </w:tcPr>
          <w:p>
            <w:pPr>
              <w:ind w:left="1880"/>
              <w:spacing w:after="0"/>
              <w:rPr>
                <w:sz w:val="20"/>
                <w:szCs w:val="20"/>
                <w:color w:val="auto"/>
              </w:rPr>
            </w:pPr>
            <w:r>
              <w:rPr>
                <w:rFonts w:ascii="Times New Roman" w:cs="Times New Roman" w:eastAsia="Times New Roman" w:hAnsi="Times New Roman"/>
                <w:sz w:val="10"/>
                <w:szCs w:val="10"/>
                <w:b w:val="1"/>
                <w:bCs w:val="1"/>
                <w:color w:val="auto"/>
              </w:rPr>
              <w:t>Amended Pinnacle Master Lease</w:t>
            </w:r>
          </w:p>
        </w:tc>
        <w:tc>
          <w:tcPr>
            <w:tcW w:w="34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Bally's Master Lease</w:t>
            </w:r>
          </w:p>
        </w:tc>
        <w:tc>
          <w:tcPr>
            <w:tcW w:w="1380" w:type="dxa"/>
            <w:vAlign w:val="bottom"/>
          </w:tcPr>
          <w:p>
            <w:pPr>
              <w:spacing w:after="0"/>
              <w:rPr>
                <w:sz w:val="11"/>
                <w:szCs w:val="11"/>
                <w:color w:val="auto"/>
              </w:rPr>
            </w:pPr>
          </w:p>
        </w:tc>
      </w:tr>
      <w:tr>
        <w:trPr>
          <w:trHeight w:val="14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30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PENN</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Bally's</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Ameristar Black Hawk</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Black Hawk, CO</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Bally's Evansville</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Evansville, IN</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Ameristar East Chicago</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East Chicago, IN</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Bally's Dover Casino Resort</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Dover, DE</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Ameristar Council Bluffs</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Council Bluffs, IA</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Black Hawk (Black Hawk North, West and East casinos)</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 Hawk, CO</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L'Auberge Baton Rouge</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Baton Rouge, LA</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Quad Cities Casino &amp; Hotel</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Rock Island, IL</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Boomtown Bossier City</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Bossier City, LA</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Bally's Tiverton Hotel &amp; Casino</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Tiverton, RI</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L'Auberge Lake Charles</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Lake Charles, LA</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Hard Rock Casino and Hotel Biloxi</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Biloxi, MS</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Boomtown New Orleans</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New Orleans, LA</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Ameristar Vicksburg</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Vicksburg, MS</w:t>
            </w:r>
          </w:p>
        </w:tc>
        <w:tc>
          <w:tcPr>
            <w:tcW w:w="3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River City Casino &amp; Hotel</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St. Louis, MO</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Jackpot Properties (Cactus Petes and Horseshu)</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Jackpot, NV</w:t>
            </w:r>
          </w:p>
        </w:tc>
        <w:tc>
          <w:tcPr>
            <w:tcW w:w="3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Plainridge Park Casino</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Plainridge, MA</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4/28/2016</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6/3/2021</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4/30/2031</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6/2/2036</w:t>
            </w: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(4x5 years)</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(4x5 years)</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 (1)</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21"/>
        </w:trPr>
        <w:tc>
          <w:tcPr>
            <w:tcW w:w="700" w:type="dxa"/>
            <w:vAlign w:val="bottom"/>
            <w:tcBorders>
              <w:bottom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tcBorders>
              <w:bottom w:val="single" w:sz="8" w:color="CCEEFF"/>
            </w:tcBorders>
            <w:gridSpan w:val="2"/>
            <w:shd w:val="clear" w:color="auto" w:fill="CCEEFF"/>
          </w:tcPr>
          <w:p>
            <w:pPr>
              <w:spacing w:after="0"/>
              <w:rPr>
                <w:sz w:val="10"/>
                <w:szCs w:val="10"/>
                <w:color w:val="auto"/>
              </w:rPr>
            </w:pPr>
          </w:p>
        </w:tc>
        <w:tc>
          <w:tcPr>
            <w:tcW w:w="304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342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 (3)</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1380" w:type="dxa"/>
            <w:vAlign w:val="bottom"/>
            <w:shd w:val="clear" w:color="auto" w:fill="CCEEFF"/>
          </w:tcPr>
          <w:p>
            <w:pPr>
              <w:spacing w:after="0"/>
              <w:rPr>
                <w:sz w:val="12"/>
                <w:szCs w:val="12"/>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tcPr>
          <w:p>
            <w:pPr>
              <w:spacing w:after="0"/>
              <w:rPr>
                <w:sz w:val="11"/>
                <w:szCs w:val="11"/>
                <w:color w:val="auto"/>
              </w:rPr>
            </w:pP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May</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June</w:t>
            </w:r>
          </w:p>
        </w:tc>
        <w:tc>
          <w:tcPr>
            <w:tcW w:w="1380" w:type="dxa"/>
            <w:vAlign w:val="bottom"/>
            <w:shd w:val="clear" w:color="auto" w:fill="CCEEFF"/>
          </w:tcPr>
          <w:p>
            <w:pPr>
              <w:spacing w:after="0"/>
              <w:rPr>
                <w:sz w:val="12"/>
                <w:szCs w:val="12"/>
                <w:color w:val="auto"/>
              </w:rPr>
            </w:pPr>
          </w:p>
        </w:tc>
      </w:tr>
      <w:tr>
        <w:trPr>
          <w:trHeight w:val="107"/>
        </w:trPr>
        <w:tc>
          <w:tcPr>
            <w:tcW w:w="24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3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43"/>
        </w:trPr>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shd w:val="clear" w:color="auto" w:fill="CCEEFF"/>
          </w:tcPr>
          <w:p>
            <w:pPr>
              <w:spacing w:after="0"/>
              <w:rPr>
                <w:sz w:val="12"/>
                <w:szCs w:val="12"/>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 years</w:t>
            </w:r>
          </w:p>
        </w:tc>
        <w:tc>
          <w:tcPr>
            <w:tcW w:w="1060" w:type="dxa"/>
            <w:vAlign w:val="bottom"/>
            <w:shd w:val="clear" w:color="auto" w:fill="CCEEFF"/>
          </w:tcPr>
          <w:p>
            <w:pPr>
              <w:spacing w:after="0"/>
              <w:rPr>
                <w:sz w:val="12"/>
                <w:szCs w:val="12"/>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shd w:val="clear" w:color="auto" w:fill="CCEEFF"/>
          </w:tcPr>
          <w:p>
            <w:pPr>
              <w:spacing w:after="0"/>
              <w:rPr>
                <w:sz w:val="12"/>
                <w:szCs w:val="12"/>
                <w:color w:val="auto"/>
              </w:rPr>
            </w:pPr>
          </w:p>
        </w:tc>
      </w:tr>
      <w:tr>
        <w:trPr>
          <w:trHeight w:val="123"/>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May-26</w:t>
            </w:r>
          </w:p>
        </w:tc>
        <w:tc>
          <w:tcPr>
            <w:tcW w:w="1060" w:type="dxa"/>
            <w:vAlign w:val="bottom"/>
          </w:tcPr>
          <w:p>
            <w:pPr>
              <w:spacing w:after="0"/>
              <w:rPr>
                <w:sz w:val="10"/>
                <w:szCs w:val="10"/>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tcPr>
          <w:p>
            <w:pPr>
              <w:spacing w:after="0"/>
              <w:rPr>
                <w:sz w:val="10"/>
                <w:szCs w:val="10"/>
                <w:color w:val="auto"/>
              </w:rPr>
            </w:pPr>
          </w:p>
        </w:tc>
      </w:tr>
    </w:tbl>
    <w:p>
      <w:pPr>
        <w:spacing w:after="0" w:line="154" w:lineRule="exact"/>
        <w:rPr>
          <w:sz w:val="20"/>
          <w:szCs w:val="20"/>
          <w:color w:val="auto"/>
        </w:rPr>
      </w:pPr>
    </w:p>
    <w:p>
      <w:pPr>
        <w:ind w:left="428" w:right="20" w:hanging="428"/>
        <w:spacing w:after="0" w:line="216" w:lineRule="auto"/>
        <w:tabs>
          <w:tab w:leader="none" w:pos="165"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79" w:lineRule="exact"/>
        <w:rPr>
          <w:rFonts w:ascii="Times New Roman" w:cs="Times New Roman" w:eastAsia="Times New Roman" w:hAnsi="Times New Roman"/>
          <w:sz w:val="16"/>
          <w:szCs w:val="16"/>
          <w:color w:val="auto"/>
          <w:vertAlign w:val="superscript"/>
        </w:rPr>
      </w:pPr>
    </w:p>
    <w:p>
      <w:pPr>
        <w:ind w:left="428" w:right="20" w:hanging="428"/>
        <w:spacing w:after="0" w:line="222" w:lineRule="auto"/>
        <w:tabs>
          <w:tab w:leader="none" w:pos="174"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14"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771"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97155"/>
                    </a:xfrm>
                    <a:prstGeom prst="rect">
                      <a:avLst/>
                    </a:prstGeom>
                    <a:noFill/>
                  </pic:spPr>
                </pic:pic>
              </a:graphicData>
            </a:graphic>
          </wp:anchor>
        </w:drawing>
        <w:t>Master Leases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300" w:type="dxa"/>
            <w:vAlign w:val="bottom"/>
            <w:gridSpan w:val="2"/>
          </w:tcPr>
          <w:p>
            <w:pPr>
              <w:jc w:val="right"/>
              <w:ind w:right="1052"/>
              <w:spacing w:after="0"/>
              <w:rPr>
                <w:sz w:val="20"/>
                <w:szCs w:val="20"/>
                <w:color w:val="auto"/>
              </w:rPr>
            </w:pPr>
            <w:r>
              <w:rPr>
                <w:rFonts w:ascii="Times New Roman" w:cs="Times New Roman" w:eastAsia="Times New Roman" w:hAnsi="Times New Roman"/>
                <w:sz w:val="10"/>
                <w:szCs w:val="10"/>
                <w:b w:val="1"/>
                <w:bCs w:val="1"/>
                <w:color w:val="auto"/>
              </w:rPr>
              <w:t>Bally's Master Lease II</w:t>
            </w:r>
          </w:p>
        </w:tc>
        <w:tc>
          <w:tcPr>
            <w:tcW w:w="1620" w:type="dxa"/>
            <w:vAlign w:val="bottom"/>
          </w:tcPr>
          <w:p>
            <w:pPr>
              <w:spacing w:after="0"/>
              <w:rPr>
                <w:sz w:val="11"/>
                <w:szCs w:val="11"/>
                <w:color w:val="auto"/>
              </w:rPr>
            </w:pPr>
          </w:p>
        </w:tc>
        <w:tc>
          <w:tcPr>
            <w:tcW w:w="2980" w:type="dxa"/>
            <w:vAlign w:val="bottom"/>
          </w:tcPr>
          <w:p>
            <w:pPr>
              <w:jc w:val="right"/>
              <w:ind w:right="1432"/>
              <w:spacing w:after="0"/>
              <w:rPr>
                <w:sz w:val="20"/>
                <w:szCs w:val="20"/>
                <w:color w:val="auto"/>
              </w:rPr>
            </w:pPr>
            <w:r>
              <w:rPr>
                <w:rFonts w:ascii="Times New Roman" w:cs="Times New Roman" w:eastAsia="Times New Roman" w:hAnsi="Times New Roman"/>
                <w:sz w:val="10"/>
                <w:szCs w:val="10"/>
                <w:b w:val="1"/>
                <w:bCs w:val="1"/>
                <w:color w:val="auto"/>
              </w:rPr>
              <w:t>Casino Queen Master Lease</w:t>
            </w:r>
          </w:p>
        </w:tc>
      </w:tr>
      <w:tr>
        <w:trPr>
          <w:trHeight w:val="14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392"/>
              <w:spacing w:after="0"/>
              <w:rPr>
                <w:sz w:val="20"/>
                <w:szCs w:val="20"/>
                <w:color w:val="auto"/>
              </w:rPr>
            </w:pPr>
            <w:r>
              <w:rPr>
                <w:rFonts w:ascii="Times New Roman" w:cs="Times New Roman" w:eastAsia="Times New Roman" w:hAnsi="Times New Roman"/>
                <w:sz w:val="10"/>
                <w:szCs w:val="10"/>
                <w:b w:val="1"/>
                <w:bCs w:val="1"/>
                <w:color w:val="auto"/>
              </w:rPr>
              <w:t>Bally's</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872"/>
              <w:spacing w:after="0"/>
              <w:rPr>
                <w:sz w:val="20"/>
                <w:szCs w:val="20"/>
                <w:color w:val="auto"/>
              </w:rPr>
            </w:pPr>
            <w:r>
              <w:rPr>
                <w:rFonts w:ascii="Times New Roman" w:cs="Times New Roman" w:eastAsia="Times New Roman" w:hAnsi="Times New Roman"/>
                <w:sz w:val="10"/>
                <w:szCs w:val="10"/>
                <w:b w:val="1"/>
                <w:bCs w:val="1"/>
                <w:color w:val="auto"/>
              </w:rPr>
              <w:t>Bally's</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4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Bally's Kansas City</w:t>
            </w:r>
          </w:p>
        </w:tc>
        <w:tc>
          <w:tcPr>
            <w:tcW w:w="18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Kansas City, MO</w:t>
            </w:r>
          </w:p>
        </w:tc>
        <w:tc>
          <w:tcPr>
            <w:tcW w:w="16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Bally's Marquette</w:t>
            </w:r>
          </w:p>
        </w:tc>
        <w:tc>
          <w:tcPr>
            <w:tcW w:w="2980" w:type="dxa"/>
            <w:vAlign w:val="bottom"/>
          </w:tcPr>
          <w:p>
            <w:pPr>
              <w:ind w:left="1340"/>
              <w:spacing w:after="0"/>
              <w:rPr>
                <w:sz w:val="20"/>
                <w:szCs w:val="20"/>
                <w:color w:val="auto"/>
              </w:rPr>
            </w:pPr>
            <w:r>
              <w:rPr>
                <w:rFonts w:ascii="Times New Roman" w:cs="Times New Roman" w:eastAsia="Times New Roman" w:hAnsi="Times New Roman"/>
                <w:sz w:val="10"/>
                <w:szCs w:val="10"/>
                <w:color w:val="auto"/>
              </w:rPr>
              <w:t>Marquette, IA</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Bally's Shreveport Casino &amp; Hotel</w:t>
            </w:r>
          </w:p>
        </w:tc>
        <w:tc>
          <w:tcPr>
            <w:tcW w:w="1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Shreveport, LA</w:t>
            </w:r>
          </w:p>
        </w:tc>
        <w:tc>
          <w:tcPr>
            <w:tcW w:w="1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Bally's Baton Rouge</w:t>
            </w:r>
          </w:p>
        </w:tc>
        <w:tc>
          <w:tcPr>
            <w:tcW w:w="29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Baton Rouge, LA</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Draft Kings at Casino Queen (4)</w:t>
            </w:r>
          </w:p>
        </w:tc>
        <w:tc>
          <w:tcPr>
            <w:tcW w:w="18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East St. Louis, IL</w:t>
            </w:r>
          </w:p>
        </w:tc>
        <w:tc>
          <w:tcPr>
            <w:tcW w:w="162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The Queen Baton Rouge (4)</w:t>
            </w:r>
          </w:p>
        </w:tc>
        <w:tc>
          <w:tcPr>
            <w:tcW w:w="1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Baton Rouge, LA</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Bally's Twin River Lincoln Casino Resort</w:t>
            </w:r>
          </w:p>
        </w:tc>
        <w:tc>
          <w:tcPr>
            <w:tcW w:w="18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Lincoln, RI</w:t>
            </w:r>
          </w:p>
        </w:tc>
        <w:tc>
          <w:tcPr>
            <w:tcW w:w="162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86"/>
        </w:trPr>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12/16/2024</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12/17/2021</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12/15/2039</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12/31/2036</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20 (4x5 years)</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20 (4x5 years)</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(5)</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1.35 (1)</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1.35 (1)</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07"/>
        </w:trPr>
        <w:tc>
          <w:tcPr>
            <w:tcW w:w="70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980" w:type="dxa"/>
            <w:vAlign w:val="bottom"/>
          </w:tcPr>
          <w:p>
            <w:pPr>
              <w:spacing w:after="0"/>
              <w:rPr>
                <w:sz w:val="9"/>
                <w:szCs w:val="9"/>
                <w:color w:val="auto"/>
              </w:rPr>
            </w:pPr>
          </w:p>
        </w:tc>
      </w:tr>
      <w:tr>
        <w:trPr>
          <w:trHeight w:val="14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(3)</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2.20 (6)</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29"/>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420" w:type="dxa"/>
            <w:vAlign w:val="bottom"/>
          </w:tcPr>
          <w:p>
            <w:pPr>
              <w:spacing w:after="0"/>
              <w:rPr>
                <w:sz w:val="11"/>
                <w:szCs w:val="11"/>
                <w:color w:val="auto"/>
              </w:rPr>
            </w:pPr>
          </w:p>
        </w:tc>
        <w:tc>
          <w:tcPr>
            <w:tcW w:w="188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December</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December</w:t>
            </w:r>
          </w:p>
        </w:tc>
      </w:tr>
      <w:tr>
        <w:trPr>
          <w:trHeight w:val="121"/>
        </w:trPr>
        <w:tc>
          <w:tcPr>
            <w:tcW w:w="2400" w:type="dxa"/>
            <w:vAlign w:val="bottom"/>
            <w:gridSpan w:val="3"/>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4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r>
      <w:tr>
        <w:trPr>
          <w:trHeight w:val="129"/>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tcBorders>
              <w:top w:val="single" w:sz="8" w:color="CCEEFF"/>
            </w:tcBorders>
          </w:tcPr>
          <w:p>
            <w:pPr>
              <w:spacing w:after="0"/>
              <w:rPr>
                <w:sz w:val="11"/>
                <w:szCs w:val="11"/>
                <w:color w:val="auto"/>
              </w:rPr>
            </w:pPr>
          </w:p>
        </w:tc>
        <w:tc>
          <w:tcPr>
            <w:tcW w:w="2420" w:type="dxa"/>
            <w:vAlign w:val="bottom"/>
            <w:tcBorders>
              <w:top w:val="single" w:sz="8" w:color="CCEEFF"/>
            </w:tcBorders>
          </w:tcPr>
          <w:p>
            <w:pPr>
              <w:spacing w:after="0"/>
              <w:rPr>
                <w:sz w:val="11"/>
                <w:szCs w:val="11"/>
                <w:color w:val="auto"/>
              </w:rPr>
            </w:pPr>
          </w:p>
        </w:tc>
        <w:tc>
          <w:tcPr>
            <w:tcW w:w="1880" w:type="dxa"/>
            <w:vAlign w:val="bottom"/>
            <w:tcBorders>
              <w:top w:val="single" w:sz="8" w:color="CCEEFF"/>
            </w:tcBorders>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tcBorders>
              <w:top w:val="single" w:sz="8" w:color="CCEEFF"/>
            </w:tcBorders>
          </w:tcPr>
          <w:p>
            <w:pPr>
              <w:spacing w:after="0"/>
              <w:rPr>
                <w:sz w:val="11"/>
                <w:szCs w:val="11"/>
                <w:color w:val="auto"/>
              </w:rPr>
            </w:pPr>
          </w:p>
        </w:tc>
        <w:tc>
          <w:tcPr>
            <w:tcW w:w="2980" w:type="dxa"/>
            <w:vAlign w:val="bottom"/>
            <w:tcBorders>
              <w:top w:val="single" w:sz="8" w:color="CCEEFF"/>
            </w:tcBorders>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41"/>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4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bl>
    <w:p>
      <w:pPr>
        <w:spacing w:after="0" w:line="200" w:lineRule="exact"/>
        <w:rPr>
          <w:sz w:val="20"/>
          <w:szCs w:val="20"/>
          <w:color w:val="auto"/>
        </w:rPr>
      </w:pPr>
    </w:p>
    <w:p>
      <w:pPr>
        <w:spacing w:after="0" w:line="203" w:lineRule="exact"/>
        <w:rPr>
          <w:sz w:val="20"/>
          <w:szCs w:val="20"/>
          <w:color w:val="auto"/>
        </w:rPr>
      </w:pPr>
    </w:p>
    <w:p>
      <w:pPr>
        <w:ind w:left="428" w:right="20" w:hanging="428"/>
        <w:spacing w:after="0" w:line="222" w:lineRule="auto"/>
        <w:tabs>
          <w:tab w:leader="none" w:pos="165"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w:t>
      </w:r>
    </w:p>
    <w:p>
      <w:pPr>
        <w:spacing w:after="0" w:line="80" w:lineRule="exact"/>
        <w:rPr>
          <w:rFonts w:ascii="Times New Roman" w:cs="Times New Roman" w:eastAsia="Times New Roman" w:hAnsi="Times New Roman"/>
          <w:sz w:val="16"/>
          <w:szCs w:val="16"/>
          <w:color w:val="auto"/>
          <w:vertAlign w:val="superscript"/>
        </w:rPr>
      </w:pPr>
    </w:p>
    <w:p>
      <w:pPr>
        <w:ind w:left="428" w:right="20" w:hanging="428"/>
        <w:spacing w:after="0" w:line="216" w:lineRule="auto"/>
        <w:tabs>
          <w:tab w:leader="none" w:pos="174"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42" w:lineRule="exact"/>
        <w:rPr>
          <w:rFonts w:ascii="Times New Roman" w:cs="Times New Roman" w:eastAsia="Times New Roman" w:hAnsi="Times New Roman"/>
          <w:sz w:val="16"/>
          <w:szCs w:val="16"/>
          <w:color w:val="auto"/>
          <w:vertAlign w:val="superscript"/>
        </w:rPr>
      </w:pPr>
    </w:p>
    <w:p>
      <w:pPr>
        <w:ind w:left="428" w:right="20" w:hanging="428"/>
        <w:spacing w:after="0" w:line="222" w:lineRule="auto"/>
        <w:tabs>
          <w:tab w:leader="none" w:pos="165"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152"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9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Effective July 1, 2025, these properties were transferred to Bally's Master Lease II and the associated annual rental income of $28.9 million was reallocated from the Casino Queen Master Lease to Bally's Master Lease II. The Bally's Master Lease II rent coverage ratio has been restated on a proforma basis.</w:t>
      </w:r>
    </w:p>
    <w:p>
      <w:pPr>
        <w:spacing w:after="0" w:line="114"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a default were to occur under the Casino Queen Master Lease, the Company has the right under the terms of the lease to elect to amend Bally’s Master Lease II and place the assets into it, which carries a corporate guarantee.</w:t>
      </w:r>
    </w:p>
    <w:p>
      <w:pPr>
        <w:spacing w:after="0" w:line="113"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above is proforma for the acquisition of the real estate assets of Bally's Twin River Lincoln Casino Resort which closed on 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1023"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97155"/>
                    </a:xfrm>
                    <a:prstGeom prst="rect">
                      <a:avLst/>
                    </a:prstGeom>
                    <a:noFill/>
                  </pic:spPr>
                </pic:pic>
              </a:graphicData>
            </a:graphic>
          </wp:anchor>
        </w:drawing>
        <w:t>Master Leases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0" w:type="dxa"/>
            <w:vAlign w:val="bottom"/>
          </w:tcPr>
          <w:p>
            <w:pPr>
              <w:jc w:val="right"/>
              <w:ind w:right="1152"/>
              <w:spacing w:after="0"/>
              <w:rPr>
                <w:sz w:val="20"/>
                <w:szCs w:val="20"/>
                <w:color w:val="auto"/>
              </w:rPr>
            </w:pPr>
            <w:r>
              <w:rPr>
                <w:rFonts w:ascii="Times New Roman" w:cs="Times New Roman" w:eastAsia="Times New Roman" w:hAnsi="Times New Roman"/>
                <w:sz w:val="10"/>
                <w:szCs w:val="10"/>
                <w:b w:val="1"/>
                <w:bCs w:val="1"/>
                <w:color w:val="auto"/>
              </w:rPr>
              <w:t>Boyd Master Lease</w:t>
            </w:r>
          </w:p>
        </w:tc>
        <w:tc>
          <w:tcPr>
            <w:tcW w:w="1600" w:type="dxa"/>
            <w:vAlign w:val="bottom"/>
          </w:tcPr>
          <w:p>
            <w:pPr>
              <w:spacing w:after="0"/>
              <w:rPr>
                <w:sz w:val="11"/>
                <w:szCs w:val="11"/>
                <w:color w:val="auto"/>
              </w:rPr>
            </w:pPr>
          </w:p>
        </w:tc>
        <w:tc>
          <w:tcPr>
            <w:tcW w:w="3020" w:type="dxa"/>
            <w:vAlign w:val="bottom"/>
          </w:tcPr>
          <w:p>
            <w:pPr>
              <w:jc w:val="right"/>
              <w:ind w:right="1092"/>
              <w:spacing w:after="0"/>
              <w:rPr>
                <w:sz w:val="20"/>
                <w:szCs w:val="20"/>
                <w:color w:val="auto"/>
              </w:rPr>
            </w:pPr>
            <w:r>
              <w:rPr>
                <w:rFonts w:ascii="Times New Roman" w:cs="Times New Roman" w:eastAsia="Times New Roman" w:hAnsi="Times New Roman"/>
                <w:sz w:val="10"/>
                <w:szCs w:val="10"/>
                <w:b w:val="1"/>
                <w:bCs w:val="1"/>
                <w:color w:val="auto"/>
                <w:w w:val="94"/>
              </w:rPr>
              <w:t>Caesars Amended and Restated Master Lease</w:t>
            </w:r>
          </w:p>
        </w:tc>
      </w:tr>
      <w:tr>
        <w:trPr>
          <w:trHeight w:val="14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0"/>
                <w:szCs w:val="10"/>
                <w:b w:val="1"/>
                <w:bCs w:val="1"/>
                <w:color w:val="auto"/>
              </w:rPr>
              <w:t>Boyd</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872"/>
              <w:spacing w:after="0"/>
              <w:rPr>
                <w:sz w:val="20"/>
                <w:szCs w:val="20"/>
                <w:color w:val="auto"/>
              </w:rPr>
            </w:pPr>
            <w:r>
              <w:rPr>
                <w:rFonts w:ascii="Times New Roman" w:cs="Times New Roman" w:eastAsia="Times New Roman" w:hAnsi="Times New Roman"/>
                <w:sz w:val="10"/>
                <w:szCs w:val="10"/>
                <w:b w:val="1"/>
                <w:bCs w:val="1"/>
                <w:color w:val="auto"/>
              </w:rPr>
              <w:t>Caesars</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1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Belterra Casino Resort</w:t>
            </w:r>
          </w:p>
        </w:tc>
        <w:tc>
          <w:tcPr>
            <w:tcW w:w="240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Florence, IN</w:t>
            </w: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Tropicana Atlantic City</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Atlantic City, NJ</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Ameristar Kansas City</w:t>
            </w:r>
          </w:p>
        </w:tc>
        <w:tc>
          <w:tcPr>
            <w:tcW w:w="2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0"/>
                <w:szCs w:val="10"/>
                <w:color w:val="auto"/>
              </w:rPr>
              <w:t>Kansas City, MO</w:t>
            </w:r>
          </w:p>
        </w:tc>
        <w:tc>
          <w:tcPr>
            <w:tcW w:w="1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Tropicana Laughlin</w:t>
            </w:r>
          </w:p>
        </w:tc>
        <w:tc>
          <w:tcPr>
            <w:tcW w:w="3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0"/>
                <w:szCs w:val="10"/>
                <w:color w:val="auto"/>
              </w:rPr>
              <w:t>Laughlin, NV</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Ameristar St. Charles</w:t>
            </w:r>
          </w:p>
        </w:tc>
        <w:tc>
          <w:tcPr>
            <w:tcW w:w="240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St. Charles, MO</w:t>
            </w: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Trop Casino Greenville</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Greenville, MS</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w w:val="95"/>
              </w:rPr>
              <w:t>Isle Casino Hotel Bettendorf</w:t>
            </w:r>
          </w:p>
        </w:tc>
        <w:tc>
          <w:tcPr>
            <w:tcW w:w="3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0"/>
                <w:szCs w:val="10"/>
                <w:color w:val="auto"/>
              </w:rPr>
              <w:t>Bettendorf, IA</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Isle Casino Hotel Waterloo</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Waterloo, IA</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10/15/2018</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10/1/2018</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4/30/2031</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9/30/2038</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20 (4x5 years)</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20 (4x5 years)</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No</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1.4</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1.2</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21"/>
        </w:trPr>
        <w:tc>
          <w:tcPr>
            <w:tcW w:w="700" w:type="dxa"/>
            <w:vAlign w:val="bottom"/>
            <w:tcBorders>
              <w:bottom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660" w:type="dxa"/>
            <w:vAlign w:val="bottom"/>
            <w:tcBorders>
              <w:bottom w:val="single" w:sz="8" w:color="CCEEFF"/>
            </w:tcBorders>
            <w:gridSpan w:val="2"/>
            <w:shd w:val="clear" w:color="auto" w:fill="CCEEFF"/>
          </w:tcPr>
          <w:p>
            <w:pPr>
              <w:spacing w:after="0"/>
              <w:rPr>
                <w:sz w:val="10"/>
                <w:szCs w:val="10"/>
                <w:color w:val="auto"/>
              </w:rPr>
            </w:pPr>
          </w:p>
        </w:tc>
        <w:tc>
          <w:tcPr>
            <w:tcW w:w="1920" w:type="dxa"/>
            <w:vAlign w:val="bottom"/>
            <w:tcBorders>
              <w:bottom w:val="single" w:sz="8" w:color="CCEEFF"/>
            </w:tcBorders>
            <w:shd w:val="clear" w:color="auto" w:fill="CCEEFF"/>
          </w:tcPr>
          <w:p>
            <w:pPr>
              <w:spacing w:after="0"/>
              <w:rPr>
                <w:sz w:val="10"/>
                <w:szCs w:val="10"/>
                <w:color w:val="auto"/>
              </w:rPr>
            </w:pPr>
          </w:p>
        </w:tc>
        <w:tc>
          <w:tcPr>
            <w:tcW w:w="24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3020" w:type="dxa"/>
            <w:vAlign w:val="bottom"/>
            <w:tcBorders>
              <w:bottom w:val="single" w:sz="8" w:color="CCEEFF"/>
            </w:tcBorders>
            <w:shd w:val="clear" w:color="auto" w:fill="CCEEFF"/>
          </w:tcPr>
          <w:p>
            <w:pPr>
              <w:spacing w:after="0"/>
              <w:rPr>
                <w:sz w:val="10"/>
                <w:szCs w:val="10"/>
                <w:color w:val="auto"/>
              </w:rPr>
            </w:pP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2 %</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2 %</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2.47</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1.59</w:t>
            </w:r>
          </w:p>
        </w:tc>
      </w:tr>
      <w:tr>
        <w:trPr>
          <w:trHeight w:val="129"/>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1.8</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41"/>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May</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October</w:t>
            </w:r>
          </w:p>
        </w:tc>
      </w:tr>
      <w:tr>
        <w:trPr>
          <w:trHeight w:val="107"/>
        </w:trPr>
        <w:tc>
          <w:tcPr>
            <w:tcW w:w="23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19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143"/>
        </w:trPr>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 years</w:t>
            </w:r>
          </w:p>
        </w:tc>
        <w:tc>
          <w:tcPr>
            <w:tcW w:w="1600" w:type="dxa"/>
            <w:vAlign w:val="bottom"/>
            <w:shd w:val="clear" w:color="auto" w:fill="CCEEFF"/>
          </w:tcPr>
          <w:p>
            <w:pPr>
              <w:spacing w:after="0"/>
              <w:rPr>
                <w:sz w:val="12"/>
                <w:szCs w:val="12"/>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23"/>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1920" w:type="dxa"/>
            <w:vAlign w:val="bottom"/>
          </w:tcPr>
          <w:p>
            <w:pPr>
              <w:spacing w:after="0"/>
              <w:rPr>
                <w:sz w:val="10"/>
                <w:szCs w:val="10"/>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May-26</w:t>
            </w:r>
          </w:p>
        </w:tc>
        <w:tc>
          <w:tcPr>
            <w:tcW w:w="1600" w:type="dxa"/>
            <w:vAlign w:val="bottom"/>
          </w:tcPr>
          <w:p>
            <w:pPr>
              <w:spacing w:after="0"/>
              <w:rPr>
                <w:sz w:val="10"/>
                <w:szCs w:val="10"/>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1023" w:right="29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97155"/>
                    </a:xfrm>
                    <a:prstGeom prst="rect">
                      <a:avLst/>
                    </a:prstGeom>
                    <a:noFill/>
                  </pic:spPr>
                </pic:pic>
              </a:graphicData>
            </a:graphic>
          </wp:anchor>
        </w:drawing>
        <w:t>Master Leases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00" w:type="dxa"/>
            <w:vAlign w:val="bottom"/>
          </w:tcPr>
          <w:p>
            <w:pPr>
              <w:jc w:val="right"/>
              <w:ind w:right="872"/>
              <w:spacing w:after="0"/>
              <w:rPr>
                <w:sz w:val="20"/>
                <w:szCs w:val="20"/>
                <w:color w:val="auto"/>
              </w:rPr>
            </w:pPr>
            <w:r>
              <w:rPr>
                <w:rFonts w:ascii="Times New Roman" w:cs="Times New Roman" w:eastAsia="Times New Roman" w:hAnsi="Times New Roman"/>
                <w:sz w:val="10"/>
                <w:szCs w:val="10"/>
                <w:b w:val="1"/>
                <w:bCs w:val="1"/>
                <w:color w:val="auto"/>
                <w:w w:val="96"/>
              </w:rPr>
              <w:t>Pennsylvania Live! Master Lease</w:t>
            </w:r>
          </w:p>
        </w:tc>
        <w:tc>
          <w:tcPr>
            <w:tcW w:w="1920" w:type="dxa"/>
            <w:vAlign w:val="bottom"/>
          </w:tcPr>
          <w:p>
            <w:pPr>
              <w:spacing w:after="0"/>
              <w:rPr>
                <w:sz w:val="11"/>
                <w:szCs w:val="11"/>
                <w:color w:val="auto"/>
              </w:rPr>
            </w:pPr>
          </w:p>
        </w:tc>
        <w:tc>
          <w:tcPr>
            <w:tcW w:w="2660" w:type="dxa"/>
            <w:vAlign w:val="bottom"/>
            <w:gridSpan w:val="2"/>
          </w:tcPr>
          <w:p>
            <w:pPr>
              <w:jc w:val="right"/>
              <w:ind w:right="1432"/>
              <w:spacing w:after="0"/>
              <w:rPr>
                <w:sz w:val="20"/>
                <w:szCs w:val="20"/>
                <w:color w:val="auto"/>
              </w:rPr>
            </w:pPr>
            <w:r>
              <w:rPr>
                <w:rFonts w:ascii="Times New Roman" w:cs="Times New Roman" w:eastAsia="Times New Roman" w:hAnsi="Times New Roman"/>
                <w:sz w:val="10"/>
                <w:szCs w:val="10"/>
                <w:b w:val="1"/>
                <w:bCs w:val="1"/>
                <w:color w:val="auto"/>
                <w:w w:val="96"/>
              </w:rPr>
              <w:t>Strategic Gaming Leases (1)</w:t>
            </w:r>
          </w:p>
        </w:tc>
      </w:tr>
      <w:tr>
        <w:trPr>
          <w:trHeight w:val="143"/>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0"/>
                <w:szCs w:val="10"/>
                <w:b w:val="1"/>
                <w:bCs w:val="1"/>
                <w:color w:val="auto"/>
              </w:rPr>
              <w:t>Cordish</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812"/>
              <w:spacing w:after="0"/>
              <w:rPr>
                <w:sz w:val="20"/>
                <w:szCs w:val="20"/>
                <w:color w:val="auto"/>
              </w:rPr>
            </w:pPr>
            <w:r>
              <w:rPr>
                <w:rFonts w:ascii="Times New Roman" w:cs="Times New Roman" w:eastAsia="Times New Roman" w:hAnsi="Times New Roman"/>
                <w:sz w:val="10"/>
                <w:szCs w:val="10"/>
                <w:b w:val="1"/>
                <w:bCs w:val="1"/>
                <w:color w:val="auto"/>
              </w:rPr>
              <w:t>Strategic</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040" w:type="dxa"/>
            <w:vAlign w:val="bottom"/>
          </w:tcPr>
          <w:p>
            <w:pPr>
              <w:ind w:left="680"/>
              <w:spacing w:after="0"/>
              <w:rPr>
                <w:sz w:val="20"/>
                <w:szCs w:val="20"/>
                <w:color w:val="auto"/>
              </w:rPr>
            </w:pPr>
            <w:r>
              <w:rPr>
                <w:rFonts w:ascii="Times New Roman" w:cs="Times New Roman" w:eastAsia="Times New Roman" w:hAnsi="Times New Roman"/>
                <w:sz w:val="10"/>
                <w:szCs w:val="10"/>
                <w:color w:val="auto"/>
                <w:w w:val="96"/>
              </w:rPr>
              <w:t>Live! Casino &amp; Hotel Philadelphia</w:t>
            </w:r>
          </w:p>
        </w:tc>
        <w:tc>
          <w:tcPr>
            <w:tcW w:w="2300" w:type="dxa"/>
            <w:vAlign w:val="bottom"/>
          </w:tcPr>
          <w:p>
            <w:pPr>
              <w:ind w:left="1160"/>
              <w:spacing w:after="0"/>
              <w:rPr>
                <w:sz w:val="20"/>
                <w:szCs w:val="20"/>
                <w:color w:val="auto"/>
              </w:rPr>
            </w:pPr>
            <w:r>
              <w:rPr>
                <w:rFonts w:ascii="Times New Roman" w:cs="Times New Roman" w:eastAsia="Times New Roman" w:hAnsi="Times New Roman"/>
                <w:sz w:val="10"/>
                <w:szCs w:val="10"/>
                <w:color w:val="auto"/>
              </w:rPr>
              <w:t>Philadelphia, PA</w:t>
            </w:r>
          </w:p>
        </w:tc>
        <w:tc>
          <w:tcPr>
            <w:tcW w:w="228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w w:val="95"/>
              </w:rPr>
              <w:t>Silverado Franklin Hotel &amp; Gaming Complex</w:t>
            </w:r>
          </w:p>
        </w:tc>
        <w:tc>
          <w:tcPr>
            <w:tcW w:w="23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Deadwood, SD</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Live! Casino Pittsburgh</w:t>
            </w:r>
          </w:p>
        </w:tc>
        <w:tc>
          <w:tcPr>
            <w:tcW w:w="23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0"/>
                <w:szCs w:val="10"/>
                <w:color w:val="auto"/>
              </w:rPr>
              <w:t>Greensburg, PA</w:t>
            </w:r>
          </w:p>
        </w:tc>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8"/>
              </w:rPr>
              <w:t>Deadwood Mountain Grand Casino</w:t>
            </w: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Deadwood, SD</w:t>
            </w:r>
          </w:p>
        </w:tc>
      </w:tr>
      <w:tr>
        <w:trPr>
          <w:trHeight w:val="129"/>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9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Baldini's Casino</w:t>
            </w:r>
          </w:p>
        </w:tc>
        <w:tc>
          <w:tcPr>
            <w:tcW w:w="360" w:type="dxa"/>
            <w:vAlign w:val="bottom"/>
          </w:tcPr>
          <w:p>
            <w:pPr>
              <w:spacing w:after="0"/>
              <w:rPr>
                <w:sz w:val="11"/>
                <w:szCs w:val="11"/>
                <w:color w:val="auto"/>
              </w:rPr>
            </w:pPr>
          </w:p>
        </w:tc>
        <w:tc>
          <w:tcPr>
            <w:tcW w:w="23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Sparks, NV</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8"/>
              </w:rPr>
              <w:t>Sunland Park Race Track &amp; Casino</w:t>
            </w: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Sunland Park, NM</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3/1/2022</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5/16/2024</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2/28/2061</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5/31/2049</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21 (1x11 years, 1x10 years)</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w w:val="98"/>
              </w:rPr>
              <w:t>20 (2x10 years)</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No</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1.4</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1.4 (2)</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07"/>
        </w:trPr>
        <w:tc>
          <w:tcPr>
            <w:tcW w:w="70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680" w:type="dxa"/>
            <w:vAlign w:val="bottom"/>
            <w:gridSpan w:val="2"/>
          </w:tcPr>
          <w:p>
            <w:pPr>
              <w:spacing w:after="0"/>
              <w:rPr>
                <w:sz w:val="9"/>
                <w:szCs w:val="9"/>
                <w:color w:val="auto"/>
              </w:rPr>
            </w:pPr>
          </w:p>
        </w:tc>
        <w:tc>
          <w:tcPr>
            <w:tcW w:w="20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4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1.75 %</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2% (2)</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2.55</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1.85 (3)</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29"/>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March</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June</w:t>
            </w:r>
          </w:p>
        </w:tc>
      </w:tr>
      <w:tr>
        <w:trPr>
          <w:trHeight w:val="121"/>
        </w:trPr>
        <w:tc>
          <w:tcPr>
            <w:tcW w:w="2380" w:type="dxa"/>
            <w:vAlign w:val="bottom"/>
            <w:gridSpan w:val="3"/>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04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r>
      <w:tr>
        <w:trPr>
          <w:trHeight w:val="129"/>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6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41"/>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04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bl>
    <w:p>
      <w:pPr>
        <w:spacing w:after="0" w:line="122"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Consists of two leases that are cross collateralized and co-terminus with each other.</w:t>
      </w:r>
    </w:p>
    <w:p>
      <w:pPr>
        <w:spacing w:after="0" w:line="79" w:lineRule="exact"/>
        <w:rPr>
          <w:rFonts w:ascii="Times New Roman" w:cs="Times New Roman" w:eastAsia="Times New Roman" w:hAnsi="Times New Roman"/>
          <w:sz w:val="16"/>
          <w:szCs w:val="16"/>
          <w:color w:val="auto"/>
          <w:vertAlign w:val="superscript"/>
        </w:rPr>
      </w:pPr>
    </w:p>
    <w:p>
      <w:pPr>
        <w:ind w:left="428" w:hanging="428"/>
        <w:spacing w:after="0" w:line="216" w:lineRule="auto"/>
        <w:tabs>
          <w:tab w:leader="none" w:pos="174"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50"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above is proforma for the acquisition of the real estate assets of Sunland Park which closed on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8"/>
          </w:cols>
          <w:pgMar w:left="292" w:top="1023" w:right="299" w:bottom="1440" w:gutter="0" w:footer="0" w:header="0"/>
        </w:sectPr>
      </w:pPr>
    </w:p>
    <w:bookmarkStart w:id="20" w:name="page21"/>
    <w:bookmarkEnd w:id="20"/>
    <w:p>
      <w:pPr>
        <w:ind w:left="38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459740</wp:posOffset>
            </wp:positionH>
            <wp:positionV relativeFrom="page">
              <wp:posOffset>488950</wp:posOffset>
            </wp:positionV>
            <wp:extent cx="492061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0615" cy="97155"/>
                    </a:xfrm>
                    <a:prstGeom prst="rect">
                      <a:avLst/>
                    </a:prstGeom>
                    <a:noFill/>
                  </pic:spPr>
                </pic:pic>
              </a:graphicData>
            </a:graphic>
          </wp:anchor>
        </w:drawing>
        <w:t>Single Property Leases</w:t>
      </w:r>
    </w:p>
    <w:p>
      <w:pPr>
        <w:spacing w:after="0" w:line="29" w:lineRule="exact"/>
        <w:rPr>
          <w:sz w:val="20"/>
          <w:szCs w:val="20"/>
          <w:color w:val="auto"/>
        </w:rPr>
      </w:pPr>
    </w:p>
    <w:tbl>
      <w:tblPr>
        <w:tblLayout w:type="fixed"/>
        <w:tblInd w:w="428"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5"/>
              </w:rPr>
              <w:t>Belterra Park Lease</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Horseshoe St Louis Lease</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Morgantown Lease</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3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8"/>
              </w:rPr>
              <w:t>Boyd</w:t>
            </w:r>
          </w:p>
        </w:tc>
        <w:tc>
          <w:tcPr>
            <w:tcW w:w="13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Caesars</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5"/>
              </w:rPr>
              <w:t>PENN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Properties</w:t>
            </w:r>
          </w:p>
        </w:tc>
        <w:tc>
          <w:tcPr>
            <w:tcW w:w="2340" w:type="dxa"/>
            <w:vAlign w:val="bottom"/>
          </w:tcPr>
          <w:p>
            <w:pPr>
              <w:jc w:val="center"/>
              <w:ind w:left="512"/>
              <w:spacing w:after="0" w:line="90" w:lineRule="exact"/>
              <w:rPr>
                <w:sz w:val="20"/>
                <w:szCs w:val="20"/>
                <w:color w:val="auto"/>
              </w:rPr>
            </w:pPr>
            <w:r>
              <w:rPr>
                <w:rFonts w:ascii="Times New Roman" w:cs="Times New Roman" w:eastAsia="Times New Roman" w:hAnsi="Times New Roman"/>
                <w:sz w:val="10"/>
                <w:szCs w:val="10"/>
                <w:color w:val="auto"/>
                <w:w w:val="95"/>
              </w:rPr>
              <w:t>Belterra Park Gaming &amp; Entertainment</w:t>
            </w:r>
          </w:p>
        </w:tc>
        <w:tc>
          <w:tcPr>
            <w:tcW w:w="13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Horseshoe St. Louis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Hollywood Casino Morgantown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234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7"/>
              </w:rPr>
              <w:t>Center</w:t>
            </w:r>
          </w:p>
        </w:tc>
        <w:tc>
          <w:tcPr>
            <w:tcW w:w="13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3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4"/>
              </w:rPr>
              <w:t>Cincinnati, OH</w:t>
            </w: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0"/>
                <w:szCs w:val="10"/>
                <w:color w:val="auto"/>
                <w:w w:val="94"/>
              </w:rPr>
              <w:t>St. Louis, MO</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Morgantown, PA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340" w:type="dxa"/>
            <w:vAlign w:val="bottom"/>
          </w:tcPr>
          <w:p>
            <w:pPr>
              <w:jc w:val="center"/>
              <w:ind w:left="492"/>
              <w:spacing w:after="0"/>
              <w:rPr>
                <w:sz w:val="20"/>
                <w:szCs w:val="20"/>
                <w:color w:val="auto"/>
              </w:rPr>
            </w:pPr>
            <w:r>
              <w:rPr>
                <w:rFonts w:ascii="Times New Roman" w:cs="Times New Roman" w:eastAsia="Times New Roman" w:hAnsi="Times New Roman"/>
                <w:sz w:val="10"/>
                <w:szCs w:val="10"/>
                <w:color w:val="auto"/>
                <w:w w:val="96"/>
              </w:rPr>
              <w:t>10/15/2018</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9/29/2020</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10/1/2020</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0"/>
                <w:szCs w:val="10"/>
                <w:color w:val="auto"/>
                <w:w w:val="96"/>
              </w:rPr>
              <w:t>04/30/2031</w:t>
            </w:r>
          </w:p>
        </w:tc>
        <w:tc>
          <w:tcPr>
            <w:tcW w:w="13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10/31/2033</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10/31/2040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340" w:type="dxa"/>
            <w:vAlign w:val="bottom"/>
          </w:tcPr>
          <w:p>
            <w:pPr>
              <w:jc w:val="center"/>
              <w:ind w:left="492"/>
              <w:spacing w:after="0"/>
              <w:rPr>
                <w:sz w:val="20"/>
                <w:szCs w:val="20"/>
                <w:color w:val="auto"/>
              </w:rPr>
            </w:pPr>
            <w:r>
              <w:rPr>
                <w:rFonts w:ascii="Times New Roman" w:cs="Times New Roman" w:eastAsia="Times New Roman" w:hAnsi="Times New Roman"/>
                <w:sz w:val="10"/>
                <w:szCs w:val="10"/>
                <w:color w:val="auto"/>
                <w:w w:val="96"/>
              </w:rPr>
              <w:t>20 (4x5 years)</w:t>
            </w: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20 (4x5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30 (6x5 years)</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0"/>
                <w:szCs w:val="10"/>
                <w:color w:val="auto"/>
                <w:w w:val="97"/>
              </w:rPr>
              <w:t>No</w:t>
            </w: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34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89"/>
              </w:rPr>
              <w:t>Yes</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0"/>
                <w:szCs w:val="10"/>
                <w:color w:val="auto"/>
                <w:w w:val="95"/>
              </w:rPr>
              <w:t>1.4</w:t>
            </w:r>
          </w:p>
        </w:tc>
        <w:tc>
          <w:tcPr>
            <w:tcW w:w="13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34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89"/>
              </w:rPr>
              <w:t>Yes</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tcBorders>
              <w:bottom w:val="single" w:sz="8" w:color="CCEEFF"/>
            </w:tcBorders>
            <w:gridSpan w:val="2"/>
            <w:shd w:val="clear" w:color="auto" w:fill="CCEEFF"/>
          </w:tcPr>
          <w:p>
            <w:pPr>
              <w:spacing w:after="0"/>
              <w:rPr>
                <w:sz w:val="10"/>
                <w:szCs w:val="10"/>
                <w:color w:val="auto"/>
              </w:rPr>
            </w:pPr>
          </w:p>
        </w:tc>
        <w:tc>
          <w:tcPr>
            <w:tcW w:w="234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340" w:type="dxa"/>
            <w:vAlign w:val="bottom"/>
          </w:tcPr>
          <w:p>
            <w:pPr>
              <w:jc w:val="center"/>
              <w:ind w:left="492"/>
              <w:spacing w:after="0"/>
              <w:rPr>
                <w:sz w:val="20"/>
                <w:szCs w:val="20"/>
                <w:color w:val="auto"/>
              </w:rPr>
            </w:pPr>
            <w:r>
              <w:rPr>
                <w:rFonts w:ascii="Times New Roman" w:cs="Times New Roman" w:eastAsia="Times New Roman" w:hAnsi="Times New Roman"/>
                <w:sz w:val="10"/>
                <w:szCs w:val="10"/>
                <w:color w:val="auto"/>
                <w:w w:val="89"/>
              </w:rPr>
              <w:t>2%</w:t>
            </w:r>
          </w:p>
        </w:tc>
        <w:tc>
          <w:tcPr>
            <w:tcW w:w="138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0"/>
                <w:szCs w:val="10"/>
                <w:color w:val="auto"/>
                <w:w w:val="90"/>
              </w:rPr>
              <w:t xml:space="preserve">1.75% </w:t>
            </w:r>
            <w:r>
              <w:rPr>
                <w:rFonts w:ascii="Times New Roman" w:cs="Times New Roman" w:eastAsia="Times New Roman" w:hAnsi="Times New Roman"/>
                <w:sz w:val="12"/>
                <w:szCs w:val="12"/>
                <w:color w:val="auto"/>
                <w:w w:val="90"/>
                <w:vertAlign w:val="superscript"/>
              </w:rPr>
              <w:t>(1)</w:t>
            </w:r>
          </w:p>
        </w:tc>
        <w:tc>
          <w:tcPr>
            <w:tcW w:w="1600" w:type="dxa"/>
            <w:vAlign w:val="bottom"/>
          </w:tcPr>
          <w:p>
            <w:pPr>
              <w:jc w:val="center"/>
              <w:ind w:left="12"/>
              <w:spacing w:after="0" w:line="135" w:lineRule="exact"/>
              <w:rPr>
                <w:sz w:val="20"/>
                <w:szCs w:val="20"/>
                <w:color w:val="auto"/>
              </w:rPr>
            </w:pPr>
            <w:r>
              <w:rPr>
                <w:rFonts w:ascii="Times New Roman" w:cs="Times New Roman" w:eastAsia="Times New Roman" w:hAnsi="Times New Roman"/>
                <w:sz w:val="10"/>
                <w:szCs w:val="10"/>
                <w:color w:val="auto"/>
                <w:w w:val="90"/>
              </w:rPr>
              <w:t xml:space="preserve">1.25% </w:t>
            </w:r>
            <w:r>
              <w:rPr>
                <w:rFonts w:ascii="Times New Roman" w:cs="Times New Roman" w:eastAsia="Times New Roman" w:hAnsi="Times New Roman"/>
                <w:sz w:val="12"/>
                <w:szCs w:val="12"/>
                <w:color w:val="auto"/>
                <w:w w:val="90"/>
                <w:vertAlign w:val="superscript"/>
              </w:rPr>
              <w:t>(2)</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0"/>
                <w:szCs w:val="10"/>
                <w:color w:val="auto"/>
                <w:w w:val="91"/>
              </w:rPr>
              <w:t>2.93</w:t>
            </w: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0"/>
                <w:szCs w:val="10"/>
                <w:color w:val="auto"/>
              </w:rPr>
              <w:t>2.04</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340" w:type="dxa"/>
            <w:vAlign w:val="bottom"/>
          </w:tcPr>
          <w:p>
            <w:pPr>
              <w:jc w:val="center"/>
              <w:ind w:left="492"/>
              <w:spacing w:after="0"/>
              <w:rPr>
                <w:sz w:val="20"/>
                <w:szCs w:val="20"/>
                <w:color w:val="auto"/>
              </w:rPr>
            </w:pPr>
            <w:r>
              <w:rPr>
                <w:rFonts w:ascii="Times New Roman" w:cs="Times New Roman" w:eastAsia="Times New Roman" w:hAnsi="Times New Roman"/>
                <w:sz w:val="10"/>
                <w:szCs w:val="10"/>
                <w:color w:val="auto"/>
                <w:w w:val="95"/>
              </w:rPr>
              <w:t>1.8</w:t>
            </w: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3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7"/>
              </w:rPr>
              <w:t>May</w:t>
            </w: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0"/>
                <w:szCs w:val="10"/>
                <w:color w:val="auto"/>
                <w:w w:val="92"/>
              </w:rPr>
              <w:t>October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December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shd w:val="clear" w:color="auto" w:fill="CCEEFF"/>
          </w:tcPr>
          <w:p>
            <w:pPr>
              <w:spacing w:after="0"/>
              <w:rPr>
                <w:sz w:val="12"/>
                <w:szCs w:val="12"/>
                <w:color w:val="auto"/>
              </w:rPr>
            </w:pPr>
          </w:p>
        </w:tc>
        <w:tc>
          <w:tcPr>
            <w:tcW w:w="2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0"/>
                <w:szCs w:val="10"/>
                <w:color w:val="auto"/>
                <w:w w:val="97"/>
              </w:rPr>
              <w:t>2 years</w:t>
            </w:r>
          </w:p>
        </w:tc>
        <w:tc>
          <w:tcPr>
            <w:tcW w:w="13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340" w:type="dxa"/>
            <w:vAlign w:val="bottom"/>
          </w:tcPr>
          <w:p>
            <w:pPr>
              <w:jc w:val="center"/>
              <w:ind w:left="492"/>
              <w:spacing w:after="0"/>
              <w:rPr>
                <w:sz w:val="20"/>
                <w:szCs w:val="20"/>
                <w:color w:val="auto"/>
              </w:rPr>
            </w:pPr>
            <w:r>
              <w:rPr>
                <w:rFonts w:ascii="Times New Roman" w:cs="Times New Roman" w:eastAsia="Times New Roman" w:hAnsi="Times New Roman"/>
                <w:sz w:val="10"/>
                <w:szCs w:val="10"/>
                <w:color w:val="auto"/>
                <w:w w:val="97"/>
              </w:rPr>
              <w:t>May 2026</w:t>
            </w: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 w:hanging="168"/>
        <w:spacing w:after="0"/>
        <w:tabs>
          <w:tab w:leader="none" w:pos="16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sixth and seventh lease years, after which time the annual escalation becomes 2% for the remaining term of the lease.</w:t>
      </w:r>
    </w:p>
    <w:p>
      <w:pPr>
        <w:spacing w:after="0" w:line="151"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65"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8"/>
          </w:cols>
          <w:pgMar w:left="292" w:top="771" w:right="299" w:bottom="1440" w:gutter="0" w:footer="0" w:header="0"/>
        </w:sectPr>
      </w:pPr>
    </w:p>
    <w:bookmarkStart w:id="21" w:name="page22"/>
    <w:bookmarkEnd w:id="21"/>
    <w:p>
      <w:pPr>
        <w:ind w:left="38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459740</wp:posOffset>
            </wp:positionH>
            <wp:positionV relativeFrom="page">
              <wp:posOffset>534670</wp:posOffset>
            </wp:positionV>
            <wp:extent cx="492061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0615" cy="97155"/>
                    </a:xfrm>
                    <a:prstGeom prst="rect">
                      <a:avLst/>
                    </a:prstGeom>
                    <a:noFill/>
                  </pic:spPr>
                </pic:pic>
              </a:graphicData>
            </a:graphic>
          </wp:anchor>
        </w:drawing>
        <w:t>Single Property Leases</w:t>
      </w:r>
    </w:p>
    <w:p>
      <w:pPr>
        <w:spacing w:after="0" w:line="29" w:lineRule="exact"/>
        <w:rPr>
          <w:sz w:val="20"/>
          <w:szCs w:val="20"/>
          <w:color w:val="auto"/>
        </w:rPr>
      </w:pPr>
    </w:p>
    <w:tbl>
      <w:tblPr>
        <w:tblLayout w:type="fixed"/>
        <w:tblInd w:w="428"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b w:val="1"/>
                <w:bCs w:val="1"/>
                <w:color w:val="auto"/>
                <w:w w:val="96"/>
              </w:rPr>
              <w:t>MD Live! Lease</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5"/>
              </w:rPr>
              <w:t>Tropicana Lease</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6"/>
              </w:rPr>
              <w:t>Tioga Downs Lease</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18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0"/>
                <w:szCs w:val="10"/>
                <w:b w:val="1"/>
                <w:bCs w:val="1"/>
                <w:color w:val="auto"/>
                <w:w w:val="98"/>
              </w:rPr>
              <w:t>Cordish</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6"/>
              </w:rPr>
              <w:t>Bally's</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5"/>
              </w:rPr>
              <w:t>American Racing and Entertainment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Live! Casino &amp; Hotel Maryland</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4"/>
              </w:rPr>
              <w:t>Tropicana Las Vegas</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Tioga Downs</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3"/>
              </w:rPr>
              <w:t>Hanover, MD</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Las Vegas, NV</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4"/>
              </w:rPr>
              <w:t>Nichols, NY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12/29/2021</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9/26/2022</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5"/>
              </w:rPr>
              <w:t>2/6/2024</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12/31/2060</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3"/>
              </w:rPr>
              <w:t>9/25/2072</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93"/>
              </w:rPr>
              <w:t>2/28/2054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180" w:type="dxa"/>
            <w:vAlign w:val="bottom"/>
            <w:vMerge w:val="restart"/>
          </w:tcPr>
          <w:p>
            <w:pPr>
              <w:jc w:val="center"/>
              <w:ind w:left="552"/>
              <w:spacing w:after="0"/>
              <w:rPr>
                <w:sz w:val="20"/>
                <w:szCs w:val="20"/>
                <w:color w:val="auto"/>
              </w:rPr>
            </w:pPr>
            <w:r>
              <w:rPr>
                <w:rFonts w:ascii="Times New Roman" w:cs="Times New Roman" w:eastAsia="Times New Roman" w:hAnsi="Times New Roman"/>
                <w:sz w:val="10"/>
                <w:szCs w:val="10"/>
                <w:color w:val="auto"/>
                <w:w w:val="95"/>
              </w:rPr>
              <w:t>21 (1x11 years, 1x10 years)</w:t>
            </w:r>
          </w:p>
        </w:tc>
        <w:tc>
          <w:tcPr>
            <w:tcW w:w="144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5"/>
              </w:rPr>
              <w:t>49 (1 x 24 years, 1 x 25 years)</w:t>
            </w:r>
          </w:p>
        </w:tc>
        <w:tc>
          <w:tcPr>
            <w:tcW w:w="1640" w:type="dxa"/>
            <w:vAlign w:val="bottom"/>
          </w:tcPr>
          <w:p>
            <w:pPr>
              <w:jc w:val="center"/>
              <w:ind w:left="52"/>
              <w:spacing w:after="0" w:line="94" w:lineRule="exact"/>
              <w:rPr>
                <w:sz w:val="20"/>
                <w:szCs w:val="20"/>
                <w:color w:val="auto"/>
              </w:rPr>
            </w:pPr>
            <w:r>
              <w:rPr>
                <w:rFonts w:ascii="Times New Roman" w:cs="Times New Roman" w:eastAsia="Times New Roman" w:hAnsi="Times New Roman"/>
                <w:sz w:val="10"/>
                <w:szCs w:val="10"/>
                <w:color w:val="auto"/>
                <w:w w:val="96"/>
              </w:rPr>
              <w:t>32 years and 10 months (2x10 years,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1x12 years and 10 months)</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7"/>
              </w:rPr>
              <w:t>No</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5"/>
              </w:rPr>
              <w:t>1.4</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1.35 (1)</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5"/>
              </w:rPr>
              <w:t>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60" w:type="dxa"/>
            <w:vAlign w:val="bottom"/>
            <w:tcBorders>
              <w:bottom w:val="single" w:sz="8" w:color="CCEEFF"/>
            </w:tcBorders>
            <w:gridSpan w:val="2"/>
            <w:shd w:val="clear" w:color="auto" w:fill="CCEEFF"/>
          </w:tcPr>
          <w:p>
            <w:pPr>
              <w:spacing w:after="0"/>
              <w:rPr>
                <w:sz w:val="10"/>
                <w:szCs w:val="10"/>
                <w:color w:val="auto"/>
              </w:rPr>
            </w:pPr>
          </w:p>
        </w:tc>
        <w:tc>
          <w:tcPr>
            <w:tcW w:w="218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1.75%</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5"/>
              </w:rPr>
              <w:t>(2)</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 xml:space="preserve">1.75% </w:t>
            </w:r>
            <w:r>
              <w:rPr>
                <w:rFonts w:ascii="Times New Roman" w:cs="Times New Roman" w:eastAsia="Times New Roman" w:hAnsi="Times New Roman"/>
                <w:sz w:val="6"/>
                <w:szCs w:val="6"/>
                <w:color w:val="auto"/>
                <w:w w:val="96"/>
              </w:rPr>
              <w:t>(3)</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1"/>
              </w:rPr>
              <w:t>3.49</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1"/>
              </w:rPr>
              <w:t>1.94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18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0"/>
                <w:szCs w:val="10"/>
                <w:color w:val="auto"/>
                <w:w w:val="96"/>
              </w:rPr>
              <w:t>January</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2"/>
              </w:rPr>
              <w:t>October</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99"/>
              </w:rPr>
              <w:t>March</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240" w:type="dxa"/>
            <w:vAlign w:val="bottom"/>
            <w:shd w:val="clear" w:color="auto" w:fill="CCEEFF"/>
          </w:tcPr>
          <w:p>
            <w:pPr>
              <w:spacing w:after="0"/>
              <w:rPr>
                <w:sz w:val="12"/>
                <w:szCs w:val="12"/>
                <w:color w:val="auto"/>
              </w:rPr>
            </w:pP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28" w:hanging="428"/>
        <w:spacing w:after="0" w:line="222" w:lineRule="auto"/>
        <w:tabs>
          <w:tab w:leader="none" w:pos="165"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52"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74"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32"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Increases by 1.75% beginning with the first anniversary and increases to 2% beginning in year fifteen of the lease through the remainder of the initial lease term.</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288"/>
          </w:cols>
          <w:pgMar w:left="292" w:top="843" w:right="319" w:bottom="1440" w:gutter="0" w:footer="0" w:header="0"/>
        </w:sectPr>
      </w:pPr>
    </w:p>
    <w:bookmarkStart w:id="22" w:name="page23"/>
    <w:bookmarkEnd w:id="22"/>
    <w:p>
      <w:pPr>
        <w:ind w:left="36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426085</wp:posOffset>
            </wp:positionV>
            <wp:extent cx="521779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7795" cy="97155"/>
                    </a:xfrm>
                    <a:prstGeom prst="rect">
                      <a:avLst/>
                    </a:prstGeom>
                    <a:noFill/>
                  </pic:spPr>
                </pic:pic>
              </a:graphicData>
            </a:graphic>
          </wp:anchor>
        </w:drawing>
        <w:t>Single Property Leases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b w:val="1"/>
                <w:bCs w:val="1"/>
                <w:color w:val="auto"/>
                <w:w w:val="94"/>
              </w:rPr>
              <w:t>Rockford Lease</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Bally's Chicago Lease</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Virginia Live!</w:t>
            </w:r>
          </w:p>
        </w:tc>
      </w:tr>
      <w:tr>
        <w:trPr>
          <w:trHeight w:val="143"/>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b w:val="1"/>
                <w:bCs w:val="1"/>
                <w:color w:val="auto"/>
                <w:w w:val="95"/>
              </w:rPr>
              <w:t>(managed by Hard Rock)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Bally's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Cordish</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22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96"/>
              </w:rPr>
              <w:t>Hard Rock Casino Rockford</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Bally's Chicago Development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Cordish Virginia Live! Development</w:t>
            </w:r>
          </w:p>
        </w:tc>
      </w:tr>
      <w:tr>
        <w:trPr>
          <w:trHeight w:val="141"/>
        </w:trPr>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0"/>
                <w:szCs w:val="10"/>
                <w:color w:val="auto"/>
                <w:w w:val="95"/>
              </w:rPr>
              <w:t>Rockford, IL</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Chicago, IL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Petersburg, Virginia</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color w:val="auto"/>
                <w:w w:val="98"/>
              </w:rPr>
              <w:t>8/29/2023</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7/18/2025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1/15/2026</w:t>
            </w:r>
          </w:p>
        </w:tc>
      </w:tr>
      <w:tr>
        <w:trPr>
          <w:trHeight w:val="141"/>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8"/>
              </w:rPr>
              <w:t>8/31/2122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7/31/2040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5"/>
              </w:rPr>
              <w:t>(3)</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color w:val="auto"/>
                <w:w w:val="92"/>
              </w:rPr>
              <w:t>None</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20 (4 x 5 years)</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21 (1x11 years, 1x10 years)</w:t>
            </w:r>
          </w:p>
        </w:tc>
      </w:tr>
      <w:tr>
        <w:trPr>
          <w:trHeight w:val="141"/>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7"/>
              </w:rPr>
              <w:t>No</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No</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22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r>
      <w:tr>
        <w:trPr>
          <w:trHeight w:val="141"/>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5"/>
              </w:rPr>
              <w:t>1.4</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1.35 (1)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5"/>
              </w:rPr>
              <w:t>1.4</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22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r>
      <w:tr>
        <w:trPr>
          <w:trHeight w:val="121"/>
        </w:trPr>
        <w:tc>
          <w:tcPr>
            <w:tcW w:w="700" w:type="dxa"/>
            <w:vAlign w:val="bottom"/>
            <w:tcBorders>
              <w:bottom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880" w:type="dxa"/>
            <w:vAlign w:val="bottom"/>
            <w:tcBorders>
              <w:bottom w:val="single" w:sz="8" w:color="CCEEFF"/>
            </w:tcBorders>
            <w:gridSpan w:val="2"/>
            <w:shd w:val="clear" w:color="auto" w:fill="CCEEFF"/>
          </w:tcPr>
          <w:p>
            <w:pPr>
              <w:spacing w:after="0"/>
              <w:rPr>
                <w:sz w:val="10"/>
                <w:szCs w:val="10"/>
                <w:color w:val="auto"/>
              </w:rPr>
            </w:pPr>
          </w:p>
        </w:tc>
        <w:tc>
          <w:tcPr>
            <w:tcW w:w="222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color w:val="auto"/>
                <w:w w:val="89"/>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1.75%</w:t>
            </w:r>
          </w:p>
        </w:tc>
      </w:tr>
      <w:tr>
        <w:trPr>
          <w:trHeight w:val="141"/>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December 31, 2025</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29"/>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41"/>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3"/>
              </w:rPr>
              <w:t>September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August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5"/>
              </w:rPr>
              <w:t>(3)</w:t>
            </w:r>
          </w:p>
        </w:tc>
      </w:tr>
      <w:tr>
        <w:trPr>
          <w:trHeight w:val="107"/>
        </w:trPr>
        <w:tc>
          <w:tcPr>
            <w:tcW w:w="258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43"/>
        </w:trPr>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360" w:type="dxa"/>
            <w:vAlign w:val="bottom"/>
            <w:shd w:val="clear" w:color="auto" w:fill="CCEEFF"/>
          </w:tcPr>
          <w:p>
            <w:pPr>
              <w:spacing w:after="0"/>
              <w:rPr>
                <w:sz w:val="12"/>
                <w:szCs w:val="12"/>
                <w:color w:val="auto"/>
              </w:rPr>
            </w:pPr>
          </w:p>
        </w:tc>
        <w:tc>
          <w:tcPr>
            <w:tcW w:w="22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23"/>
        </w:trPr>
        <w:tc>
          <w:tcPr>
            <w:tcW w:w="25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220" w:type="dxa"/>
            <w:vAlign w:val="bottom"/>
          </w:tcPr>
          <w:p>
            <w:pPr>
              <w:jc w:val="center"/>
              <w:ind w:left="572"/>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bl>
    <w:p>
      <w:pPr>
        <w:spacing w:after="0" w:line="226" w:lineRule="exact"/>
        <w:rPr>
          <w:sz w:val="20"/>
          <w:szCs w:val="20"/>
          <w:color w:val="auto"/>
        </w:rPr>
      </w:pPr>
    </w:p>
    <w:p>
      <w:pPr>
        <w:ind w:left="428" w:hanging="428"/>
        <w:spacing w:after="0" w:line="222" w:lineRule="auto"/>
        <w:tabs>
          <w:tab w:leader="none" w:pos="165"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52"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74"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23"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initial term of the lease shall expire on the last day of the calendar month in which the 39th anniversary of the facility opening date occurs. Rent shall increase annually on each anniversary of the facility opening date.</w:t>
      </w:r>
    </w:p>
    <w:p>
      <w:pPr>
        <w:spacing w:after="0" w:line="3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288"/>
          </w:cols>
          <w:pgMar w:left="292" w:top="67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auto"/>
        </w:rPr>
        <w:t>Disclosure Regarding Non-GAAP Financial Measures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Net Operating Income ("Cash NOI"), which are detailed in the reconciliation tables that accompany this release, are used by the Company as performance measures for benchmarking against the Company’s peers and as internal measures of business operating performance, which is used for a bonus metric. These metrics are presented assuming full conversion of limited partnership units to common shares and therefore before the income statement impact of non-controlling interests. The Company believes FFO, FFO per diluted common share and OP/LTIP units, AFFO, AFFO per diluted common share and OP/LTIP units, Adjusted EBITDA and Cash NOI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Cash NOI is cash rental income and interest on real estate loans, less cash property level expenses. Cash NOI excludes depreciation, the amortization of land rights, real estate general and administrative expenses, other non-routine costs and the impact of certain generally accepted accounting principles (“GAAP”) adjustments to rental revenue, such as straight-line rent and deferred rent adjustments and non-cash ground lease income and expense. It is management's view that Cash NOI is a performance measure used to evaluate the operating performance of the Company’s real estate operations and provides investors relevant and useful information because it reflects only income and operating expense items that are incurred at the property level and presents them on an unleveraged basis.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NOI are non-GAAP financial measures that are considered supplemental measures for the real estate industry and a supplement to GAAP measures. NAREIT defines FFO as net income (computed in accordance with GAAP), excluding (gains) or losses from dispositions of property and real estate depreciation. We have defined AFFO as FFO excluding, as applicable to the particular period, stock based compensation expense, the amortization of debt issuance costs, bond premiums and original issuance discounts, other depreciation, the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We have defined Adjusted EBITDA as net income excluding, as applicable to the particular period, interest, net, income tax expense, real estate depreciation, other depreciation, (gains) or losses from dispositions of property, stock based compensation expense, straight-line rent and deferred rent adjustments, the amortization of land rights, accretion on investment in leases, non-cash adjustments to financing lease liabilities, losses on debt extinguishment and other financing costs, severance charges, and provision (benefit) for credit losses, net. Finally, we have defined Cash NOI as Adjusted EBITDA excluding general and administrative expenses and including stock based compensation expense and severance charges.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NOI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FFO per diluted common share and OP/LTIP units, AFFO, AFFO per diluted common share and OP/LTIP units, Adjusted EBITDA and Cash NOI,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About Gaming and Leisure Properties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GLPI is engaged in the business of acquiring, financing, and owning real estate property to be leased to gaming operators in triple-net lease arrangements,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and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0"/>
          </w:cols>
          <w:pgMar w:left="300" w:top="638"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2"/>
          <w:szCs w:val="12"/>
          <w:color w:val="auto"/>
        </w:rPr>
        <w:t>This press release includes “forward-looking statements” within the meaning of Section 27A of the Securities Act of 1933, as amended, and Section 21E of the Securities Exchange Act of 1934, as amended, including our expectations regarding our future growth and cash flows in 2026 and beyond, 2026 AFFO guidance, the future issuance of securities and the Company benefiting from recent portfolio additions and completed transactions. Forward-looking statements can be identified by the use of forward-looking terminology such as “expects,” “believes,” “estimates,” “intends,” “may,” “will,” “should” or “anticipates” or the negative or other variation of these or similar words, or by discussions of future events, strategies or risks and uncertainties. Such forward looking statements are inherently subject to risks, uncertainties and assumptions about GLPI and its subsidiaries, including risks related to the following: the ability of GLPI or its partners to successfully complete construction of various casino projects currently under development for which GLPI has agreed to provide construction development funding, including Bally’s Chicago, and the ability and willingness of GLPI’s partners to meet and/or perform their respective obligations under the applicable construction financing and/or development documents; the impact that higher inflation and interest rates and</w:t>
      </w:r>
    </w:p>
    <w:p>
      <w:pPr>
        <w:spacing w:after="0" w:line="3"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2"/>
          <w:szCs w:val="12"/>
          <w:color w:val="auto"/>
        </w:rPr>
        <w:t>uncertainty with respect to the future state of the economy could have on discretionary consumer spending, including the casino operations of our tenants; unforeseen consequences related to U.S. government economic, monetary or trade policies and stimulus packages on inflation rates, interest rates and economic growth; geopolitical events, including recent conflicts in the Middle East, and their potential impact on U.S. Treasury yields and inflation rates; the</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2"/>
          <w:szCs w:val="12"/>
          <w:color w:val="auto"/>
        </w:rPr>
        <w:t>ability of GLPI’s tenants to maintain the financial strength and liquidity necessary to satisfy their respective obligations and liabilities to third parties, including, without limitation, to satisfy obligations under their existing credit facilities and other indebtedness; the availability of and the ability to identify suitable and attractive acquisition and development opportunities and the ability to acquire and lease the respective properties on favorable terms; the degree and nature of GLPI's competition; the ability to receive, or delays in obtaining, the regulatory approvals required to own its properties, or other delays or impediments to completing GLPI's planned acquisitions or projects; the potential of a new pandemic, or similar national health crisis, including its effect on the ability or desire of people to gather in large groups (including in casinos), which could impact GLPI’s financial results, operations, outlooks, plans, goals, growth, cash flows, liquidity, and stock price; GLPI's ability to maintain its status as a REIT, given the highly technical and complex Internal Revenue Code provisions for which only limited judicial and administrative authorities exist, where even a technical or inadvertent violation could jeopardize REIT qualification and where requirements may depend in part on the actions of third parties over which GLPI has no control or only limited influence; GLPI's ability to satisfy certain asset, income, organizational, distribution, shareholder ownership and other requirements on a continuing basis in order for GLPI to maintain its REIT status; the ability and willingness of GLPI’s tenants and other third parties to meet and/or perform their obligations under their respective contractual arrangements with GLPI, including lease and note requirements and in some cases, their obligations to indemnify, defend and hold GLPI harmless from and against various claims, litigation and liabilities; the ability of GLPI’s tenants to comply with laws, rules and regulations in the operation of GLPI’s properties, to deliver high quality services, to attract and retain qualified personnel and to attract customers; GLPI's ability to generate sufficient cash flows to service and comply with financial covenants under GLPI’s outstanding indebtedness; GLPI's ability to access capital through debt and equity markets in amounts and at rates and costs acceptable to GLPI, including for the satisfaction of GLPI's funding commitments to the extent drawn by its partners, acquisitions or refinancings due to maturities; with respect to our tenant funding</w:t>
      </w:r>
    </w:p>
    <w:p>
      <w:pPr>
        <w:spacing w:after="0" w:line="3"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2"/>
          <w:szCs w:val="12"/>
          <w:color w:val="auto"/>
        </w:rPr>
        <w:t>commitments, the amounts drawn and the timing of these draws may be different than what the Company assumed; adverse changes in GLPI’s credit rating; the availability of qualified personnel and GLPI’s ability to retain its key management personnel; changes in the U.S. tax law and other state, federal or local laws, whether or not specific to real estate, REITs or to the gaming, lodging or hospitality industries; changes in accounting standards; the impact of</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2"/>
          <w:szCs w:val="12"/>
          <w:color w:val="auto"/>
        </w:rPr>
        <w:t>weather or climate events or conditions, natural disasters, acts of terrorism and other international hostilities, war (including the current conflict between Russia and Ukraine and conflicts in the Middle East) or political instability; the risk that the historical financial statements included herein do not reflect what the business, financial position or results of operations of GLPI may be in the future; other risks inherent in the real estate business, including potential liability relating to environmental matters and illiquidity of real estate investments; and other factors described in GLPI’s Annual Report on Form 10-K for the year ended December 31, 2025, Quarterly Reports on Form 10-Q and Current Reports on Form 8-K, each as filed with the Securities and Exchange Commission. All subsequent written and oral forward-looking statements attributable to GLPI or persons acting on GLPI’s behalf are expressly qualified in their entirety by the cautionary statements included in this press release. GLPI undertakes no obligation to publicly update or revise any forward-looking statements contained or incorporated by reference herein, whether as a result of new information, future events or otherwise, except as required by law. In light of these risks, uncertainties and assumptions, the forward-looking events discussed in this press release may not occur as presented or at all.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Contact</w:t>
            </w: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Investor Relations</w:t>
            </w:r>
          </w:p>
        </w:tc>
        <w:tc>
          <w:tcPr>
            <w:tcW w:w="0" w:type="dxa"/>
            <w:vAlign w:val="bottom"/>
          </w:tcPr>
          <w:p>
            <w:pPr>
              <w:spacing w:after="0"/>
              <w:rPr>
                <w:sz w:val="1"/>
                <w:szCs w:val="1"/>
                <w:color w:val="auto"/>
              </w:rPr>
            </w:pPr>
          </w:p>
        </w:tc>
      </w:tr>
      <w:tr>
        <w:trPr>
          <w:trHeight w:val="131"/>
        </w:trPr>
        <w:tc>
          <w:tcPr>
            <w:tcW w:w="22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Gaming and Leisure Properties, Inc.</w:t>
            </w: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Carlo Santarelli, SVP Corporate Strategy &amp; Investor Relations</w:t>
            </w:r>
          </w:p>
        </w:tc>
        <w:tc>
          <w:tcPr>
            <w:tcW w:w="120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7"/>
              </w:rPr>
              <w:t>Joseph Jaffoni at JCIR</w:t>
            </w: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610/378-8232</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212/835-8500</w:t>
            </w: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investorinquiries@glpropinc.com</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glpi@jcir.com</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638" w:right="29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49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49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decimal"/>
      <w:start w:val="104"/>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2026-04-24T16:00:18Z</dcterms:created>
  <dcterms:modified xsi:type="dcterms:W3CDTF">2026-04-24T16:00:18Z</dcterms:modified>
</cp:coreProperties>
</file>