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299085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258445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3"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7" w:lineRule="exact"/>
        <w:rPr>
          <w:sz w:val="24"/>
          <w:szCs w:val="24"/>
          <w:color w:val="auto"/>
        </w:rPr>
      </w:pPr>
    </w:p>
    <w:p>
      <w:pPr>
        <w:ind w:left="40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Number: 001-36124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Gaming and Leisure Properties,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231" w:right="339" w:bottom="1440" w:gutter="0" w:footer="0" w:header="0"/>
        </w:sectPr>
      </w:pPr>
    </w:p>
    <w:p>
      <w:pPr>
        <w:spacing w:after="0" w:line="2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3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46-2116489</w:t>
      </w:r>
    </w:p>
    <w:p>
      <w:pPr>
        <w:spacing w:after="0" w:line="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(I.R.S. Employer</w:t>
      </w:r>
    </w:p>
    <w:p>
      <w:pPr>
        <w:spacing w:after="0" w:line="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1" w:lineRule="exact"/>
        <w:rPr>
          <w:sz w:val="24"/>
          <w:szCs w:val="24"/>
          <w:color w:val="auto"/>
        </w:rPr>
      </w:pPr>
    </w:p>
    <w:p>
      <w:pPr>
        <w:sectPr>
          <w:pgSz w:w="11900" w:h="16838" w:orient="portrait"/>
          <w:cols w:equalWidth="0" w:num="2">
            <w:col w:w="7020" w:space="720"/>
            <w:col w:w="3500"/>
          </w:cols>
          <w:pgMar w:left="320" w:top="231"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845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ectPr>
          <w:pgSz w:w="11900" w:h="16838" w:orient="portrait"/>
          <w:cols w:equalWidth="0" w:num="1">
            <w:col w:w="11240"/>
          </w:cols>
          <w:pgMar w:left="320" w:top="231"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610-401-2900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56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85"/>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GLPI</w:t>
            </w:r>
          </w:p>
        </w:tc>
        <w:tc>
          <w:tcPr>
            <w:tcW w:w="40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r>
    </w:tbl>
    <w:p>
      <w:pPr>
        <w:spacing w:after="0" w:line="159" w:lineRule="exact"/>
        <w:rPr>
          <w:sz w:val="24"/>
          <w:szCs w:val="24"/>
          <w:color w:val="auto"/>
        </w:rPr>
      </w:pPr>
    </w:p>
    <w:p>
      <w:pPr>
        <w:jc w:val="both"/>
        <w:ind w:right="300" w:firstLine="3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6" w:lineRule="exact"/>
        <w:rPr>
          <w:sz w:val="24"/>
          <w:szCs w:val="24"/>
          <w:color w:val="auto"/>
        </w:rPr>
      </w:pPr>
    </w:p>
    <w:p>
      <w:pPr>
        <w:ind w:right="2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300" w:firstLine="309"/>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120" w:type="dxa"/>
        <w:tblCellMar>
          <w:top w:w="0" w:type="dxa"/>
          <w:left w:w="0" w:type="dxa"/>
          <w:bottom w:w="0" w:type="dxa"/>
          <w:right w:w="0" w:type="dxa"/>
        </w:tblCellMar>
      </w:tblPr>
      <w:tr>
        <w:trPr>
          <w:trHeight w:val="219"/>
        </w:trPr>
        <w:tc>
          <w:tcPr>
            <w:tcW w:w="2080" w:type="dxa"/>
            <w:vAlign w:val="bottom"/>
          </w:tcPr>
          <w:p>
            <w:pPr>
              <w:jc w:val="center"/>
              <w:ind w:right="454"/>
              <w:spacing w:after="0"/>
              <w:rPr>
                <w:sz w:val="20"/>
                <w:szCs w:val="20"/>
                <w:color w:val="auto"/>
              </w:rPr>
            </w:pPr>
            <w:r>
              <w:rPr>
                <w:rFonts w:ascii="Times New Roman" w:cs="Times New Roman" w:eastAsia="Times New Roman" w:hAnsi="Times New Roman"/>
                <w:sz w:val="17"/>
                <w:szCs w:val="17"/>
                <w:color w:val="auto"/>
              </w:rPr>
              <w:t>Large 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208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Non-accelerated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ind w:right="20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October 22, 2024</w:t>
            </w: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1"/>
        </w:trPr>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Common Stock, par value $.01 per share</w:t>
            </w:r>
          </w:p>
        </w:tc>
        <w:tc>
          <w:tcPr>
            <w:tcW w:w="400" w:type="dxa"/>
            <w:vAlign w:val="bottom"/>
          </w:tcPr>
          <w:p>
            <w:pPr>
              <w:spacing w:after="0"/>
              <w:rPr>
                <w:sz w:val="14"/>
                <w:szCs w:val="14"/>
                <w:color w:val="auto"/>
              </w:rPr>
            </w:pPr>
          </w:p>
        </w:tc>
        <w:tc>
          <w:tcPr>
            <w:tcW w:w="5140" w:type="dxa"/>
            <w:vAlign w:val="bottom"/>
          </w:tcPr>
          <w:p>
            <w:pPr>
              <w:jc w:val="right"/>
              <w:ind w:right="2151"/>
              <w:spacing w:after="0"/>
              <w:rPr>
                <w:sz w:val="20"/>
                <w:szCs w:val="20"/>
                <w:color w:val="auto"/>
              </w:rPr>
            </w:pPr>
            <w:r>
              <w:rPr>
                <w:rFonts w:ascii="Times New Roman" w:cs="Times New Roman" w:eastAsia="Times New Roman" w:hAnsi="Times New Roman"/>
                <w:sz w:val="14"/>
                <w:szCs w:val="14"/>
                <w:color w:val="auto"/>
              </w:rPr>
              <w:t>274,391,553</w:t>
            </w:r>
          </w:p>
        </w:tc>
        <w:tc>
          <w:tcPr>
            <w:tcW w:w="600" w:type="dxa"/>
            <w:vAlign w:val="bottom"/>
          </w:tcPr>
          <w:p>
            <w:pPr>
              <w:spacing w:after="0"/>
              <w:rPr>
                <w:sz w:val="14"/>
                <w:szCs w:val="14"/>
                <w:color w:val="auto"/>
              </w:rPr>
            </w:pPr>
          </w:p>
        </w:tc>
      </w:tr>
      <w:tr>
        <w:trPr>
          <w:trHeight w:val="756"/>
        </w:trPr>
        <w:tc>
          <w:tcPr>
            <w:tcW w:w="5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39" w:lineRule="exact"/>
        <w:rPr>
          <w:sz w:val="20"/>
          <w:szCs w:val="20"/>
          <w:color w:val="auto"/>
        </w:rPr>
      </w:pPr>
    </w:p>
    <w:p>
      <w:pPr>
        <w:jc w:val="both"/>
        <w:ind w:left="620" w:hanging="307"/>
        <w:spacing w:after="0" w:line="241"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successfully consummate the announced transactions with Bally's Corporation ("Bally's"), including the ability of the parties to satisfy the various conditions to funding, including receipt of all required approvals and consents, or other delays or impediments to completing the proposed transactions;</w:t>
      </w:r>
    </w:p>
    <w:p>
      <w:pPr>
        <w:spacing w:after="0" w:line="215" w:lineRule="exact"/>
        <w:rPr>
          <w:rFonts w:ascii="Arial" w:cs="Arial" w:eastAsia="Arial" w:hAnsi="Arial"/>
          <w:sz w:val="21"/>
          <w:szCs w:val="21"/>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that higher inflation and interest rates and uncertainty with respect to the future state of the economy could have on discretionary consumer spending, including the casino operations of our tenants;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consequences related to United States ("U.S.") government monetary policies and stimulus packages on inflation rates and economic growth;</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15" w:lineRule="exact"/>
        <w:rPr>
          <w:rFonts w:ascii="Times New Roman" w:cs="Times New Roman" w:eastAsia="Times New Roman" w:hAnsi="Times New Roman"/>
          <w:sz w:val="17"/>
          <w:szCs w:val="17"/>
          <w:color w:val="auto"/>
        </w:rPr>
      </w:pPr>
    </w:p>
    <w:p>
      <w:pPr>
        <w:ind w:left="620" w:hanging="307"/>
        <w:spacing w:after="0" w:line="235"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16"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nature of our competition;</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elevated interest rates and higher levels of inflation (which have been exacerbated by the armed conflict between Russia and Ukraine and may be further impacted by events in the Middle East);</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a new pandemic, including its effect on the ability or desire of people to gather in large groups (including in casinos), which could impact our financial results, operations, outlooks, plans, goals, growth, cash flows, liquidity, and stock price;</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satisfaction of certain asset, income, organizational, distribution, shareholder ownership and other requirements on a continuing basis in order for the Company to maintain its REIT status;</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comply with laws, rules and regulations in the operation of our properties, to deliver high quality services, to attract and retain qualified personnel and to attract customers;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generate sufficient cash flows to service and comply with financial covenants under our outstanding indebtedness;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capital through debt and equity markets in amounts and at rates and costs acceptable to GLPI, including for acquisitions or refinancings due to maturities;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credit rating;</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qualified personnel and our ability to retain our key management personnel;</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U.S. tax law and other federal, state or local laws, whether or not specific to real estate, REITs or the gaming, lodging or hospitality industries;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weather or climate events or conditions, natural disasters, acts of terrorism and other international hostilities, war (including the current conflict between Russia and Ukraine and conflicts in the Middle East) or political instability;</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historical financial statements included herein do not reflect what the business, financial position or results of operations of GLPI may be in the future;</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inherent in the real estate business, including potential liability relating to environmental matters and illiquidity of real estate investments; and</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factors as discussed in the Company’s Annual Report on Form 10-K for the year ended December 31, 2023 (the "Annual Report"), in our Quarterly Reports on Form 10-Q and Current Reports on Form 8-K as filed with the United States Securities and Exchange Commission.</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You should consider the areas of risk described above, as well as those set forth in the "Risk Factors" section in the Company’s Annual Report and Quarterly Reports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20" w:type="dxa"/>
            <w:vAlign w:val="bottom"/>
            <w:gridSpan w:val="14"/>
          </w:tcPr>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8"/>
          </w:tcPr>
          <w:p>
            <w:pPr>
              <w:jc w:val="center"/>
              <w:ind w:right="3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1220" w:type="dxa"/>
            <w:vAlign w:val="bottom"/>
            <w:gridSpan w:val="5"/>
          </w:tcPr>
          <w:p>
            <w:pPr>
              <w:spacing w:after="0"/>
              <w:rPr>
                <w:sz w:val="24"/>
                <w:szCs w:val="24"/>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4</w:t>
            </w:r>
          </w:p>
        </w:tc>
      </w:tr>
      <w:tr>
        <w:trPr>
          <w:trHeight w:val="20"/>
        </w:trPr>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2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FINANCIAL STATEMENTS</w:t>
            </w:r>
          </w:p>
        </w:tc>
        <w:tc>
          <w:tcPr>
            <w:tcW w:w="6460" w:type="dxa"/>
            <w:vAlign w:val="bottom"/>
            <w:gridSpan w:val="11"/>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40" w:type="dxa"/>
            <w:vAlign w:val="bottom"/>
          </w:tcPr>
          <w:p>
            <w:pPr>
              <w:spacing w:after="0"/>
              <w:rPr>
                <w:sz w:val="24"/>
                <w:szCs w:val="24"/>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Balance Sheets - September 30, 2024 and December 31, 202</w:t>
            </w:r>
            <w:r>
              <w:rPr>
                <w:rFonts w:ascii="Times New Roman" w:cs="Times New Roman" w:eastAsia="Times New Roman" w:hAnsi="Times New Roman"/>
                <w:sz w:val="17"/>
                <w:szCs w:val="17"/>
                <w:color w:val="000000"/>
              </w:rPr>
              <w:t>3</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4</w:t>
            </w: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Statements of Income - Three and Nine Months Ended September 30, 2024 and 2023</w:t>
            </w:r>
          </w:p>
        </w:tc>
        <w:tc>
          <w:tcPr>
            <w:tcW w:w="900" w:type="dxa"/>
            <w:vAlign w:val="bottom"/>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4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 Three and Nine Months Ended September 30, 2024 and 2023</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6</w:t>
            </w: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 Nine Months Ended September 30, 2024 and 2023</w:t>
            </w:r>
          </w:p>
        </w:tc>
        <w:tc>
          <w:tcPr>
            <w:tcW w:w="160" w:type="dxa"/>
            <w:vAlign w:val="bottom"/>
            <w:tcBorders>
              <w:bottom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8</w:t>
            </w:r>
          </w:p>
        </w:tc>
        <w:tc>
          <w:tcPr>
            <w:tcW w:w="40" w:type="dxa"/>
            <w:vAlign w:val="bottom"/>
          </w:tcPr>
          <w:p>
            <w:pPr>
              <w:spacing w:after="0"/>
              <w:rPr>
                <w:sz w:val="17"/>
                <w:szCs w:val="17"/>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Notes to the Condensed Consolidated Financial Statements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9</w:t>
            </w: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8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40</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63</w:t>
            </w:r>
          </w:p>
        </w:tc>
      </w:tr>
      <w:tr>
        <w:trPr>
          <w:trHeight w:val="418"/>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59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60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18"/>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4"/>
              </w:rPr>
              <w:t>PART II.</w:t>
            </w:r>
          </w:p>
        </w:tc>
        <w:tc>
          <w:tcPr>
            <w:tcW w:w="1160" w:type="dxa"/>
            <w:vAlign w:val="bottom"/>
            <w:gridSpan w:val="3"/>
          </w:tcPr>
          <w:p>
            <w:pPr>
              <w:spacing w:after="0"/>
              <w:rPr>
                <w:sz w:val="24"/>
                <w:szCs w:val="24"/>
                <w:color w:val="auto"/>
              </w:rPr>
            </w:pPr>
          </w:p>
        </w:tc>
        <w:tc>
          <w:tcPr>
            <w:tcW w:w="1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672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65</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65</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18"/>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ITEM 1A.</w:t>
            </w:r>
          </w:p>
        </w:tc>
        <w:tc>
          <w:tcPr>
            <w:tcW w:w="1060" w:type="dxa"/>
            <w:vAlign w:val="bottom"/>
            <w:gridSpan w:val="2"/>
          </w:tcPr>
          <w:p>
            <w:pPr>
              <w:spacing w:after="0"/>
              <w:rPr>
                <w:sz w:val="24"/>
                <w:szCs w:val="24"/>
                <w:color w:val="auto"/>
              </w:rPr>
            </w:pPr>
          </w:p>
        </w:tc>
        <w:tc>
          <w:tcPr>
            <w:tcW w:w="1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320" w:type="dxa"/>
            <w:vAlign w:val="bottom"/>
            <w:gridSpan w:val="14"/>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65</w:t>
            </w: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5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72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65</w:t>
            </w: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3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548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65</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65</w:t>
            </w:r>
          </w:p>
        </w:tc>
      </w:tr>
      <w:tr>
        <w:trPr>
          <w:trHeight w:val="418"/>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5.</w:t>
            </w:r>
          </w:p>
        </w:tc>
        <w:tc>
          <w:tcPr>
            <w:tcW w:w="1180" w:type="dxa"/>
            <w:vAlign w:val="bottom"/>
            <w:gridSpan w:val="4"/>
          </w:tcPr>
          <w:p>
            <w:pPr>
              <w:spacing w:after="0"/>
              <w:rPr>
                <w:sz w:val="24"/>
                <w:szCs w:val="24"/>
                <w:color w:val="auto"/>
              </w:rPr>
            </w:pPr>
          </w:p>
        </w:tc>
        <w:tc>
          <w:tcPr>
            <w:tcW w:w="1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2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65</w:t>
            </w: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6.</w:t>
            </w:r>
          </w:p>
        </w:tc>
        <w:tc>
          <w:tcPr>
            <w:tcW w:w="1180" w:type="dxa"/>
            <w:vAlign w:val="bottom"/>
            <w:gridSpan w:val="4"/>
          </w:tcPr>
          <w:p>
            <w:pPr>
              <w:spacing w:after="0"/>
              <w:rPr>
                <w:sz w:val="24"/>
                <w:szCs w:val="24"/>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EXHIBITS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67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18"/>
        </w:trPr>
        <w:tc>
          <w:tcPr>
            <w:tcW w:w="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7"/>
              </w:rPr>
              <w:t>SIGNATURE</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8,014,976</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8,168,792</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2,023,606</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loans,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39,036</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835,524</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683,983</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Held to maturity investment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55,717</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12,680,997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11,806,658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8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7,011</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83,112</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196,853</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54,261</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 of unamortized debt issuance costs, bond premiums and original issuance discounts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7,413,012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6,627,550</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rental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284,893</w:t>
            </w:r>
          </w:p>
        </w:tc>
      </w:tr>
      <w:tr>
        <w:trPr>
          <w:trHeight w:val="21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36,572</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8,056,245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7,297,704</w:t>
            </w:r>
          </w:p>
        </w:tc>
      </w:tr>
      <w:tr>
        <w:trPr>
          <w:trHeight w:val="186"/>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68"/>
        </w:trPr>
        <w:tc>
          <w:tcPr>
            <w:tcW w:w="82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Preferred stock ($.01 par value, 50,000,000 shares authorized, no shares issued or outstanding at September 30, 2024</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and December 31, 2023)</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24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Common stock ($.01 par value, 500,000,000 shares authorized, 274,391,553 and 270,922,719 shares issued and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outstanding at September 30, 2024 and December 31, 2023, respectively)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6,204,578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6,052,109</w:t>
            </w:r>
          </w:p>
        </w:tc>
      </w:tr>
      <w:tr>
        <w:trPr>
          <w:trHeight w:val="21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(1,952,445)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(1,897,913)</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 attributable to Gaming and Leisure Properties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4,156,905</w:t>
            </w:r>
          </w:p>
        </w:tc>
      </w:tr>
      <w:tr>
        <w:trPr>
          <w:trHeight w:val="168"/>
        </w:trPr>
        <w:tc>
          <w:tcPr>
            <w:tcW w:w="824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Noncontrolling interests in GLPI's Operating Partnership (8,087,630 units and 7,653,326 units outstanding at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September 30, 2024 and December 31, 2023, respectively)</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369,875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352,049</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4,624,752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4,508,954</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12,680,997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11,806,658</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54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5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Rental income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333,244</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321,206</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996,641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958,410</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112,931</w:t>
            </w: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sales-type leases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385,341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359,560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1,141,931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1,071,363</w:t>
            </w:r>
          </w:p>
        </w:tc>
      </w:tr>
      <w:tr>
        <w:trPr>
          <w:trHeight w:val="206"/>
        </w:trPr>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36,312</w:t>
            </w: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42,689</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transfer tax recovery</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197,131</w:t>
            </w:r>
          </w:p>
        </w:tc>
      </w:tr>
      <w:tr>
        <w:trPr>
          <w:trHeight w:val="219"/>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Provision for credit losses,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24,012</w:t>
            </w: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113,897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297,935</w:t>
            </w:r>
          </w:p>
        </w:tc>
      </w:tr>
      <w:tr>
        <w:trPr>
          <w:trHeight w:val="21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271,444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268,304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822,479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773,428</w:t>
            </w:r>
          </w:p>
        </w:tc>
      </w:tr>
      <w:tr>
        <w:trPr>
          <w:trHeight w:val="186"/>
        </w:trPr>
        <w:tc>
          <w:tcPr>
            <w:tcW w:w="5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(240,519)</w:t>
            </w: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6,801</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(80,829)</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(78,515)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(236,877)</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(234,274)</w:t>
            </w:r>
          </w:p>
        </w:tc>
      </w:tr>
      <w:tr>
        <w:trPr>
          <w:trHeight w:val="225"/>
        </w:trPr>
        <w:tc>
          <w:tcPr>
            <w:tcW w:w="5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539,154</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190,100</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189,307</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584,038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538,114</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 in the Operating Partnership</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(15,123)</w:t>
            </w: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shareholders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184,694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184,010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522,991</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attributable to common shareholders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attributable to common shareholders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9"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9"/>
        </w:trPr>
        <w:tc>
          <w:tcPr>
            <w:tcW w:w="2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68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Operating</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4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270,922,719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6,052,109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(1,897,913)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352,049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4,508,954</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9,016</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(6,589)</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($0.76 per common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(206,578)</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operating partnership</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179,526</w:t>
            </w: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Balance, March 31, 2024</w:t>
            </w:r>
          </w:p>
        </w:tc>
        <w:tc>
          <w:tcPr>
            <w:tcW w:w="12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271,500,584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4"/>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2,715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6,054,530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(1,930,027)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370,599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4,497,817</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($0.76 per common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(206,583)</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0" w:type="dxa"/>
            <w:vAlign w:val="bottom"/>
          </w:tcPr>
          <w:p>
            <w:pPr>
              <w:spacing w:after="0"/>
              <w:rPr>
                <w:sz w:val="1"/>
                <w:szCs w:val="1"/>
                <w:color w:val="auto"/>
              </w:rPr>
            </w:pPr>
          </w:p>
        </w:tc>
      </w:tr>
      <w:tr>
        <w:trPr>
          <w:trHeight w:val="219"/>
        </w:trPr>
        <w:tc>
          <w:tcPr>
            <w:tcW w:w="2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214,412</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271,500,584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6,059,956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4,504,925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160"/>
              <w:spacing w:after="0" w:line="154"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2,890,166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139,204</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0" w:type="dxa"/>
            <w:vAlign w:val="bottom"/>
          </w:tcPr>
          <w:p>
            <w:pPr>
              <w:spacing w:after="0"/>
              <w:rPr>
                <w:sz w:val="1"/>
                <w:szCs w:val="1"/>
                <w:color w:val="auto"/>
              </w:rPr>
            </w:pPr>
          </w:p>
        </w:tc>
      </w:tr>
      <w:tr>
        <w:trPr>
          <w:trHeight w:val="168"/>
        </w:trPr>
        <w:tc>
          <w:tcPr>
            <w:tcW w:w="268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Dividends paid ($0.76 per common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(208,779)</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(6,145)</w:t>
            </w:r>
          </w:p>
        </w:tc>
        <w:tc>
          <w:tcPr>
            <w:tcW w:w="0" w:type="dxa"/>
            <w:vAlign w:val="bottom"/>
          </w:tcPr>
          <w:p>
            <w:pPr>
              <w:spacing w:after="0"/>
              <w:rPr>
                <w:sz w:val="1"/>
                <w:szCs w:val="1"/>
                <w:color w:val="auto"/>
              </w:rPr>
            </w:pPr>
          </w:p>
        </w:tc>
      </w:tr>
      <w:tr>
        <w:trPr>
          <w:trHeight w:val="219"/>
        </w:trPr>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190,100</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September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274,391,553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6,204,578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(1,952,445)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4,624,752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27"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9"/>
        </w:trPr>
        <w:tc>
          <w:tcPr>
            <w:tcW w:w="2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680" w:type="dxa"/>
            <w:vAlign w:val="bottom"/>
          </w:tcPr>
          <w:p>
            <w:pPr>
              <w:spacing w:after="0"/>
              <w:rPr>
                <w:sz w:val="12"/>
                <w:szCs w:val="12"/>
                <w:color w:val="auto"/>
              </w:rPr>
            </w:pPr>
          </w:p>
        </w:tc>
        <w:tc>
          <w:tcPr>
            <w:tcW w:w="120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Operating</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0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4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260,727,030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5,573,567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(1,798,216)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4,118,096</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1,284,556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64,329</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344,139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($0.97 per common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(254,778)</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operating partnership</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(7,424)</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188,670</w:t>
            </w:r>
          </w:p>
        </w:tc>
        <w:tc>
          <w:tcPr>
            <w:tcW w:w="0" w:type="dxa"/>
            <w:vAlign w:val="bottom"/>
          </w:tcPr>
          <w:p>
            <w:pPr>
              <w:spacing w:after="0"/>
              <w:rPr>
                <w:sz w:val="1"/>
                <w:szCs w:val="1"/>
                <w:color w:val="auto"/>
              </w:rPr>
            </w:pPr>
          </w:p>
        </w:tc>
      </w:tr>
      <w:tr>
        <w:trPr>
          <w:trHeight w:val="252"/>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Balance, March 31,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262,355,725</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5,632,246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(1,869,643)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352,964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4,118,191</w:t>
            </w:r>
          </w:p>
        </w:tc>
        <w:tc>
          <w:tcPr>
            <w:tcW w:w="0" w:type="dxa"/>
            <w:vAlign w:val="bottom"/>
          </w:tcPr>
          <w:p>
            <w:pPr>
              <w:spacing w:after="0"/>
              <w:rPr>
                <w:sz w:val="1"/>
                <w:szCs w:val="1"/>
                <w:color w:val="auto"/>
              </w:rPr>
            </w:pPr>
          </w:p>
        </w:tc>
      </w:tr>
      <w:tr>
        <w:trPr>
          <w:trHeight w:val="133"/>
        </w:trPr>
        <w:tc>
          <w:tcPr>
            <w:tcW w:w="2680" w:type="dxa"/>
            <w:vAlign w:val="bottom"/>
            <w:shd w:val="clear" w:color="auto" w:fill="CCEEFF"/>
          </w:tcPr>
          <w:p>
            <w:pPr>
              <w:ind w:left="160"/>
              <w:spacing w:after="0" w:line="133" w:lineRule="exact"/>
              <w:rPr>
                <w:sz w:val="20"/>
                <w:szCs w:val="20"/>
                <w:color w:val="auto"/>
              </w:rPr>
            </w:pPr>
            <w:r>
              <w:rPr>
                <w:rFonts w:ascii="Times New Roman" w:cs="Times New Roman" w:eastAsia="Times New Roman" w:hAnsi="Times New Roman"/>
                <w:sz w:val="15"/>
                <w:szCs w:val="15"/>
                <w:color w:val="auto"/>
              </w:rPr>
              <w:t>Issuance of common stock, net of</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284,453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14,355</w:t>
            </w:r>
          </w:p>
        </w:tc>
        <w:tc>
          <w:tcPr>
            <w:tcW w:w="0" w:type="dxa"/>
            <w:vAlign w:val="bottom"/>
          </w:tcPr>
          <w:p>
            <w:pPr>
              <w:spacing w:after="0"/>
              <w:rPr>
                <w:sz w:val="1"/>
                <w:szCs w:val="1"/>
                <w:color w:val="auto"/>
              </w:rPr>
            </w:pPr>
          </w:p>
        </w:tc>
      </w:tr>
      <w:tr>
        <w:trPr>
          <w:trHeight w:val="219"/>
        </w:trPr>
        <w:tc>
          <w:tcPr>
            <w:tcW w:w="2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5,013</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($0.72 per common</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(189,313)</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(5,509)</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160,137</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262,640,178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5,651,612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(1,903,326)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351,962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4,102,874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160"/>
              <w:spacing w:after="0" w:line="154"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4,371,624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210,787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($0.73 per common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(192,307)</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(5,587)</w:t>
            </w:r>
          </w:p>
        </w:tc>
        <w:tc>
          <w:tcPr>
            <w:tcW w:w="0" w:type="dxa"/>
            <w:vAlign w:val="bottom"/>
          </w:tcPr>
          <w:p>
            <w:pPr>
              <w:spacing w:after="0"/>
              <w:rPr>
                <w:sz w:val="1"/>
                <w:szCs w:val="1"/>
                <w:color w:val="auto"/>
              </w:rPr>
            </w:pPr>
          </w:p>
        </w:tc>
      </w:tr>
      <w:tr>
        <w:trPr>
          <w:trHeight w:val="219"/>
        </w:trPr>
        <w:tc>
          <w:tcPr>
            <w:tcW w:w="2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189,307</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September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267,015,730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5,867,491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(1,911,623)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4,310,210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27" w:right="7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5"/>
        </w:trPr>
        <w:tc>
          <w:tcPr>
            <w:tcW w:w="8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538,114</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207,409</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debt issuance costs, bond premiums and original issuance discounts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7,312</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(16,806)</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accretion on held to maturity investment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17,959</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Deferred rent and tenant improvement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(26,445)</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24,012</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(2,153)</w:t>
            </w: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19"/>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Accrued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219"/>
        </w:trPr>
        <w:tc>
          <w:tcPr>
            <w:tcW w:w="82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1,861</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746,376</w:t>
            </w: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project and maintenance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(39,534)</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Return of contingent consideration from previous acquisition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(100,202)</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Acquisition of real estate,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(455,556)</w:t>
            </w:r>
          </w:p>
        </w:tc>
      </w:tr>
      <w:tr>
        <w:trPr>
          <w:trHeight w:val="219"/>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Fundings for the Tropicana Las Vegas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Originations of real estate 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r>
      <w:tr>
        <w:trPr>
          <w:trHeight w:val="219"/>
        </w:trPr>
        <w:tc>
          <w:tcPr>
            <w:tcW w:w="8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Acquisition of held to maturity investment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Maturities of held to maturity investment securities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340,975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(1,177,147)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(635,292)</w:t>
            </w: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(636,398)</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Non-controlling interest distributions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(18,520)</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Taxes paid related to shares withheld for tax purposes on restricted stock award vestings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(13,442)</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289,471</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685,000</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Financing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(575,128)</w:t>
            </w:r>
          </w:p>
        </w:tc>
      </w:tr>
      <w:tr>
        <w:trPr>
          <w:trHeight w:val="212"/>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206,942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(269,018)</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(157,934)</w:t>
            </w:r>
          </w:p>
        </w:tc>
      </w:tr>
      <w:tr>
        <w:trPr>
          <w:trHeight w:val="21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683,983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239,083</w:t>
            </w:r>
          </w:p>
        </w:tc>
      </w:tr>
      <w:tr>
        <w:trPr>
          <w:trHeight w:val="237"/>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81,149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and Note 14 for supplemental cash flow information and noncash investing and financing activities.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Operations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the Company,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 w:cs="Times New Roman" w:eastAsia="Times New Roman" w:hAnsi="Times New Roman"/>
          <w:sz w:val="17"/>
          <w:szCs w:val="17"/>
          <w:i w:val="1"/>
          <w:iCs w:val="1"/>
          <w:color w:val="auto"/>
        </w:rPr>
        <w:t>Spinoffs and Reverse Spinoffs ("</w:t>
      </w:r>
      <w:r>
        <w:rPr>
          <w:rFonts w:ascii="Times New Roman" w:cs="Times New Roman" w:eastAsia="Times New Roman" w:hAnsi="Times New Roman"/>
          <w:sz w:val="17"/>
          <w:szCs w:val="17"/>
          <w:color w:val="auto"/>
        </w:rPr>
        <w:t>ASC 505"</w:t>
      </w:r>
      <w:r>
        <w:rPr>
          <w:rFonts w:ascii="Times New Roman" w:cs="Times New Roman" w:eastAsia="Times New Roman" w:hAnsi="Times New Roman"/>
          <w:sz w:val="17"/>
          <w:szCs w:val="17"/>
          <w:i w:val="1"/>
          <w:iCs w:val="1"/>
          <w:color w:val="auto"/>
        </w:rPr>
        <w:t>).</w:t>
      </w:r>
    </w:p>
    <w:p>
      <w:pPr>
        <w:spacing w:after="0" w:line="201"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1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w:t>
      </w:r>
    </w:p>
    <w:p>
      <w:pPr>
        <w:spacing w:after="0" w:line="21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During 2020, the Company and Tropicana LV, LLC, a wholly owned subsidiary of the Company that held the real estate of the former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profits dividend of $0.25 per share in the first quarter of 2023 related to the sale of the building assets to Bally's.</w:t>
      </w:r>
    </w:p>
    <w:p>
      <w:pPr>
        <w:spacing w:after="0" w:line="198"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February 6, 2024, the Company also issued 434,304 OP Units in connection with the acquisition of the real estate assets of Tioga Downs Casino Resort ("Tioga Downs") from American Racing &amp; Entertainment LLC ("American Racing"). There were 8,087,630 OP Units outstanding as of September 30, 2024.</w:t>
      </w:r>
    </w:p>
    <w:p>
      <w:pPr>
        <w:spacing w:after="0" w:line="21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GLPI’s primary business consists of acquiring, financing, and owning real estate property to be leased to gaming operators in triple-net lease arrangements. As of September 30, 2024, GLPI’s portfolio consisted of interests in 66 gaming and related facilities, including the real property associated with 34 gaming and related facilities operated by PENN, the real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associated with 6 gaming and related facilities operated by Caesars Entertainment Inc. (NASDAQ: CZR) ("Caesars"), the real property associated with 4</w:t>
      </w:r>
    </w:p>
    <w:p>
      <w:pPr>
        <w:spacing w:after="0" w:line="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gaming and related facilities operated by Boyd Gaming Corporation (NYSE: BYD) ("Boyd"), the real property associated with 9 gaming and related facilities operated by Bally's, and 1 facility under development for Bally's in Chicago, Illinois, the real property associated with 3 gaming and related facilities operated by Cordish, the real property associated with 4 gaming and related facilities operated by Casino Queen, 1 gaming facility managed by a subsidiary of Hard Rock International ("Hard Rock"), 3 gaming and related facilities operated by Strategic Gaming Management, LLC ("Strategic") and 1 gaming and related facility operated by American Racing. These facilities, including our corporate headquarters building, are geographically diversified across 20 states and contain approximately 29.3 million square feet. As of September 30, 2024, the Company's properties were 100% occupied. GLPI expects to continue growing its portfolio by pursuing opportunities to acquire additional gaming facilities to lease to gaming operators under prudent terms.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extending to October 31, 2048.</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PENN 2023 Master Lease. Pursuant to this agreement, the Original PENN Master Lease was amended (the "Amended PENN Master Lease") to remove PENN's properties in Aurora and Joliet, Illinois; Columbus and Toledo, Ohio; and Henderson, Nevada. The properties removed from the Original PENN Master Lease were added to the PENN 2023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 extending to October 31, 2048.</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GLPI agreed to fund up to $225 million for the relocation of PENN's riverboat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4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for approximately $4.8 billion. The Company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The Belterra Park Lease rent terms are consistent with the Boyd Master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Amended and Restated Caesars Master Lease</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Belle")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The Belle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21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w:t>
      </w:r>
    </w:p>
    <w:p>
      <w:pPr>
        <w:spacing w:after="0" w:line="18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On November 13, 2023, the Company and Caesars amended and restated the Second Amended and Restated Caesars Master Lease (as amended and restated, the "Third Amended and Restated Caesars Master Lease") in connection with Caesars selling its interest in The Belle to Casino Queen with no change in rent obligation to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October 1, 2018, the Company entered into a loan agreement with Caesars in connection with Caesars’s acquisition of Lumière Place Casino, now known as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29, 2020, the transaction closed and the Company entered into a new single property triple net lease with an affiliate of Caesars (the "Horseshoe St. Louis Lease") the initial term of which expires on October 31, 2033, with four separate renewal options of five years each, exercisable at the tenant's option. The Horseshoe St. Louis Lease was amended on December 1, 2021 to adjust the rent terms such that the annual escalator is now fixed at 1.25% for the second through fifth lease years, increasing to 1.75% for the sixth and seventh lease years and thereafter increasing by 2.0% for the remainder of the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 and Bally's Chicago Land Lease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5-year renewal options (exercisable by the tenant) on the same terms and conditions.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completed the acquisitions of the real estate assets of Bally's Black Hawk and Bally's Quad Cities on April 1, 2022 and Bally's Biloxi and Bally's Tiverton on January 3, 2023. The Bally's Master Lease was amended to add these properties with annual rent increases that are subject to the escalation clauses described above.</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connection with GLPI’s commitment to consummate the Bally’s Biloxi and Bally's Tiverton acquisitions, the Company also agreed to pre-fund, at Bally’s election, a deposit of up to $200.0 million, which was funded in September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$735.0 million and additional rent of $58.8 million. The Company has also been granted a call right, subject only to regulatory approval, beginning on October 1, 2026 to ensure that the Company has the opportunity to acquire the property prior to the expiration of the current option period.</w:t>
      </w:r>
    </w:p>
    <w:p>
      <w:pPr>
        <w:spacing w:after="0" w:line="19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On July 12, 2024, the Company announced that it entered into a binding term sheet with Bally’s pursuant to which the Company intends to acquire the real property assets of Bally’s Kansas City Casino (“Bally’s Kansas City”) and Bally’s Shreveport Casino &amp; Hotel (“Bally’s Shreveport”) as well as the land under Bally’s planned permanent Chicago casino site, and fund the construction of certain real property improvements of the Bally’s Chicago Casino Resort (“Bally’s Chicago”) for aggregate consideration of approximately $1.585 billion. The term sheet represents a binding agreement between the Company and Bally's unless or until superseded by long-form definitive documents reflecting mutually agreed transaction terms and conditions in further detail.</w:t>
      </w:r>
    </w:p>
    <w:p>
      <w:pPr>
        <w:spacing w:after="0" w:line="21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Company intends to fund construction hard costs of up to $940.0 million for Bally's Chicago, with the remainder to be funded by Bally’s with the sale leaseback proceeds related to Bally’s Kansas City and Bally’s Shreveport along with other funding sources such as Bally’s Chicago’s planned initial public offering and cash flows from operations. Funding is expected to occur through December 2026. The Company would own all funded improvements, which would be leased to Bally’s with rent commencing as advances are made.</w:t>
      </w:r>
    </w:p>
    <w:p>
      <w:pPr>
        <w:spacing w:after="0" w:line="19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September 11, 2024, the Company assumed the ground lease between the existing third party and Bally's for approximately $250 million. The ground lease was amended such that the Company receives initial annual rent of $20 million (the "Bally's Chicago Land Lease"). The Bally's Chicago Land Lease is cross-defaulted with the construction development funding agreement. The parties anticipate entering into a new Bally's Chicago Land Lease to conform certain lease terms to be consistent with what was agreed upon between the Company and Bally's that were disclosed in the binding term sheet mentioned above. Upon completion of the improvements, the Company expects to own substantially all of the real estate land and improvements related to the Chicago casino and hotel for a total investment of $1.19 billion. Rental income on the land and development funding is being deferred until the project is substantially completed and ready for its intended use.</w:t>
      </w:r>
    </w:p>
    <w:p>
      <w:pPr>
        <w:spacing w:after="0" w:line="205"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The Company intends to purchase the real property assets of both Bally’s Kansas City and Bally’s Shreveport for total consideration of $395 million. The two properties would be in a new Bally’s Master Lease that would be cross-defaulted with the existing Bally’s Master Lease with initial cash rent pursuant to the agreement for the two new properties of $32.2 million. The Company expects to close on the proposed Bally’s Kansas City and Bally’s Shreveport sale leaseback transactions as early as the fourth quarter of 2024, subject to customary regulatory and other approvals.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contemplated transactions are subject to several conditions as well as certain third-party consents and regulatory approvals. Key conditions include but are not limited to: (a) the final structure and pro forma capitalization of Bally’s following the proposed acquisition of Bally's by Standard General, or similar transaction, in the event any agreement is reached with the board of directors of Bally’s; (b) completion of customary due diligence; and (c) receipt of all necessary gaming regulatory and other third party approvals.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Tropicana Las Vegas Lease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closed on its previously announced transaction to acquire the real property associated with the former Tropicana Las Vegas from PENN in exchange for $307.5 million of rent credits which were applied against future rent obligations due under the parties' existing leases during 2020.</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September 26, 2022, Bally’s acquired both the Company’s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spacing w:after="0" w:line="20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May 13, 2023, the Company, Tropicana Las Vegas, Inc., a Nevada corporation and wholly owned subsidiary of Bally’s, and Athletics Holdings LLC (“Athletics”), which owns the Major League Baseball team currently known as the Oakland Athletics (the “Team”), entered into a binding letter of intent (the “LOI”) setting forth the terms for developing a stadium that would serve as the home venue for the Team (the “Stadium”). The Stadium is expected to complement the potential casino resort redevelopment envisioned at our 35-acre property in Clark County, Nevada (the “Tropicana Site”), owned indirectly by GLPI through its indirect subsidiary, Tropicana Land LLC, a Nevada limited liability company and leased by the Company to Bally’s pursuant to the Tropicana Las Vegas Lease. The LOI allows for Athletics to be granted fee ownership by the Company of approximately 9 acres of the Tropicana Site for construction of the Stadium. The LOI provides that following the Stadium site transfer, there will be no reduction in the rent obligations of Bally’s on the remaining portion of the Tropicana Site or other modifications to the Tropicana Las Vegas Lease, and that to the extent the Company has any consent or approval rights under the Tropicana Las Vegas Lease, such rights shall remain enforceable unless expressly modified in writing in the definitive documents. Bally's and the Company agreed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The Company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The Company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The lease is now classified as a sales type lease which resulted in a $3.8 million gain that was recorded in gains from dispositions of property on the Condensed Consolidated Statement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for each of the following three lease years rent increased by 1.5% annually (on a prorated basis for the remainder of the lease year in which the gaming facility opened) and commencing on the fourth anniversary of the opening date and for each anniversary thereafter, (i) if the CPI increase is at least 0.5% for any lease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Amended and Restated Casino Queen Master Lease</w:t>
      </w:r>
    </w:p>
    <w:p>
      <w:pPr>
        <w:spacing w:after="0" w:line="23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Queen Master Lease was subsequently amended and restated on November 13, 2023 to include the real estate assets at The Belle (the "Third Amended and Restated Casino Queen Master Lease").</w:t>
      </w:r>
    </w:p>
    <w:p>
      <w:pPr>
        <w:spacing w:after="0" w:line="200" w:lineRule="exact"/>
        <w:rPr>
          <w:sz w:val="20"/>
          <w:szCs w:val="20"/>
          <w:color w:val="auto"/>
        </w:rPr>
      </w:pPr>
    </w:p>
    <w:p>
      <w:pPr>
        <w:spacing w:after="0" w:line="21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June 3, 2024, the Company announced that it has agreed to fund and oversee a landside move and hotel renovation of The Belle for Casino Queen. GLPI has committed to provide up to approximately $111 million of funding for the project ($15.0 million of which has been funded as of September 30, 2024), which is expected to be completed by September 2025. The casino will continue to operate during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and rent will be deferred until the project is substantially complete and ready for its intended use.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and Pennsylvania Live! Master Lease</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w:t>
      </w:r>
    </w:p>
    <w:p>
      <w:pPr>
        <w:spacing w:after="0" w:line="3" w:lineRule="exact"/>
        <w:rPr>
          <w:sz w:val="20"/>
          <w:szCs w:val="20"/>
          <w:color w:val="auto"/>
        </w:rPr>
      </w:pPr>
    </w:p>
    <w:p>
      <w:pPr>
        <w:jc w:val="both"/>
        <w:ind w:firstLine="3"/>
        <w:spacing w:after="0" w:line="257" w:lineRule="auto"/>
        <w:tabs>
          <w:tab w:leader="none" w:pos="17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The annual rent for both leases has a 1.75% fixed yearly escalator on the entirety of rent commencing on the leases' second anniversary.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 that opened in late August 2024 and is managed by a subsidiary of Hard Rock, from an affiliate of 815 Entertainment, LLC ("815 Entertainment") for $100.0 million. Simultaneously with the land acquisition, an affiliate of GLPI entered into a ground lease with 815 Entertainment for a 99-year term. The initial annual rent for the ground lease is $8.0 million, subject to fixed 2% annual escalation beginning with the lease's first anniversary and for the entirety of its term (the "Rockford Lease").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to the Rockford Lease, the Company has also committed to providing up to $150 million of development funding via a senior secured delayed draw term loan (the "Rockford Loan"). Borrowings under the Rockford Loan are subject to an interest rate of 10%. The Rockford Loan has a maximum outstanding period of up to 6 years (5-year initial term with a 1-year extension). The Rockford Loan is prepayable without penalty following the opening of the Hard Rock Casino in Rockford, IL ("Hard Rock Casino Rockford"), which occurred in late August 2024. As of September 30, 2024, $150 million was advanced and outstanding under the Rockford Loan. Additionally, the Company also received a right of first refusal on the building improvements of the Hard Rock Casino Rockford if there is a future decision to sell them.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Simultaneous with the acquisition, an affiliate of GLPI and American Racing entered into a triple-net lease agreement for an initial 30 year term followed by two renewal options of 10 years each and a third renewal option of approximately 12 years and ten months. The initial annual rent is $14.5 million and is subject to annual fixed escalations of 1.75% beginning with the first anniversary which increases to 2% beginning in year fifteen of the lease through the remainder of its initial term (the "Tioga Downs Lease").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for $105 million, plus an additional $5 million that was funded at closing to reimburse Strategic for capital improvements. Simultaneous with the acquisition, GLPI and affiliates of Strategic entered into two cross-defaulted triple-net lease agreements, each for an initial 25-year term with two ten-year renewal periods. The initial aggregate annual cash rent for the new leases is $9.2 million and is subject to a fixed 2.0% annual escalation beginning in year three of the lease and a CPI-based annual escalation beginning in year 11 of the lease, at the greater of 2% or CPI capped at 2.5% (the "Strategic Gaming Leases").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part of the transaction, the Company also secured a right of first refusal on the real estate related to future acquisitions until Strategic's adjusted EBITDAR related to GLPI's owned assets reaches $40 million annualized.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September 2024, the Company entered into a $110 million delayed draw term loan facility with the Ione Band of Miwok Indians ("Ione") (the "Ione Loan") to provide the tribe funding on a new casino development near Sacramento, California. Ione has an option at the end of the Ione Loan term to satisfy the loan obligation by converting the outstanding principal into a long-term lease with an initial term of twenty-five years and a maximum term of forty-five years. These agreements were entered into subsequent to receiving a declination letter from the National Indian Gaming Commission approving the transaction documents, including the long-term lease. As of September 30, 2024, $13.7 million was advanced and outstanding under the Ione Loan which has a 5-year term and an interest rate of 11%.</w:t>
      </w:r>
    </w:p>
    <w:p>
      <w:pPr>
        <w:spacing w:after="0" w:line="200" w:lineRule="exact"/>
        <w:rPr>
          <w:sz w:val="20"/>
          <w:szCs w:val="20"/>
          <w:color w:val="auto"/>
        </w:rPr>
      </w:pPr>
    </w:p>
    <w:p>
      <w:pPr>
        <w:spacing w:after="0" w:line="2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 Certain prior period amounts have been reclassified to conform to the current period presentation. Specifically, on the Condensed Consolidated Statement of Cash Flows, the prior period amount for costs paid on unsecured note redemption was combined with repayments of long-term debt.</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reflects the third party ownership in this entity as a noncontrolling interest in the Consolidated Balance Sheet. All intercompany accounts and transactions have been eliminated in consolidation.</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Operating results for the three and nine months ended September 30, 2024 are not necessarily indicative of the results that may be expected for the year ending December 31, 2024. The consolidated financial statements contained in our Annual Report on Form 10-K for the year ended December 31, 2023 (the "Annual Report") should be read in conjunction with these condensed consolidated financial statements. The December 31, 2023 financial information has been derived from the Company’s audited consolidated financial statements.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 other that what is described below.</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Held to maturity investment securities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February 2024, the Company purchased zero coupon United States Treasury Bills of approximately $341 million which matured in August 2024 for $350 million. In August 2024, the Company purchased zero coupon United States Treasury Bills which upon maturity in January 2025, will total $563 million. The Company classified these debt securities as held to maturity in accordance with ASC 320, Investments-Debt Securities since these are fixed income investments that the Company has the intent and ability to hold until maturity. The securities are recorded at amortized cost on the Condensed Consolidated Balance Sheet which approximated their fair value.</w:t>
      </w:r>
    </w:p>
    <w:p>
      <w:pPr>
        <w:spacing w:after="0" w:line="200" w:lineRule="exact"/>
        <w:rPr>
          <w:sz w:val="20"/>
          <w:szCs w:val="20"/>
          <w:color w:val="auto"/>
        </w:rPr>
      </w:pPr>
    </w:p>
    <w:p>
      <w:pPr>
        <w:spacing w:after="0" w:line="22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Investment in leases,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of the Company's leases are recorded as an Investment in leases, financing receivables, net, as the sale leaseback transactions were accounted for as failed sale leasebacks due to the leases' significant initial lease terms. Additionally, as described in Note 1, the Company reassessed the Tropicana Las Vegas Lease during the three months ended September 30, 2024 which resulted in the lease being classified as an investment in lease, sales type, net. The following is a summary of the balances of the Company's Investment in leases.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3"/>
                <w:szCs w:val="13"/>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3"/>
                <w:szCs w:val="13"/>
                <w:color w:val="auto"/>
              </w:rPr>
            </w:pPr>
          </w:p>
        </w:tc>
        <w:tc>
          <w:tcPr>
            <w:tcW w:w="19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7"/>
        </w:trPr>
        <w:tc>
          <w:tcPr>
            <w:tcW w:w="5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28"/>
        </w:trPr>
        <w:tc>
          <w:tcPr>
            <w:tcW w:w="5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Investment in leases, sales type</w:t>
            </w:r>
          </w:p>
        </w:tc>
        <w:tc>
          <w:tcPr>
            <w:tcW w:w="120" w:type="dxa"/>
            <w:vAlign w:val="bottom"/>
          </w:tcPr>
          <w:p>
            <w:pPr>
              <w:spacing w:after="0"/>
              <w:rPr>
                <w:sz w:val="11"/>
                <w:szCs w:val="11"/>
                <w:color w:val="auto"/>
              </w:rPr>
            </w:pPr>
          </w:p>
        </w:tc>
        <w:tc>
          <w:tcPr>
            <w:tcW w:w="1940" w:type="dxa"/>
            <w:vAlign w:val="bottom"/>
          </w:tcPr>
          <w:p>
            <w:pPr>
              <w:jc w:val="center"/>
              <w:ind w:right="42"/>
              <w:spacing w:after="0" w:line="128" w:lineRule="exact"/>
              <w:rPr>
                <w:sz w:val="20"/>
                <w:szCs w:val="20"/>
                <w:color w:val="auto"/>
              </w:rPr>
            </w:pPr>
            <w:r>
              <w:rPr>
                <w:rFonts w:ascii="Times New Roman" w:cs="Times New Roman" w:eastAsia="Times New Roman" w:hAnsi="Times New Roman"/>
                <w:sz w:val="14"/>
                <w:szCs w:val="14"/>
                <w:b w:val="1"/>
                <w:bCs w:val="1"/>
                <w:color w:val="auto"/>
                <w:w w:val="97"/>
              </w:rPr>
              <w:t>Investment in leases, financing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jc w:val="center"/>
              <w:ind w:right="41"/>
              <w:spacing w:after="0" w:line="128" w:lineRule="exact"/>
              <w:rPr>
                <w:sz w:val="20"/>
                <w:szCs w:val="20"/>
                <w:color w:val="auto"/>
              </w:rPr>
            </w:pPr>
            <w:r>
              <w:rPr>
                <w:rFonts w:ascii="Times New Roman" w:cs="Times New Roman" w:eastAsia="Times New Roman" w:hAnsi="Times New Roman"/>
                <w:sz w:val="14"/>
                <w:szCs w:val="14"/>
                <w:b w:val="1"/>
                <w:bCs w:val="1"/>
                <w:color w:val="auto"/>
                <w:w w:val="98"/>
              </w:rPr>
              <w:t>Investment in leases, financing</w:t>
            </w:r>
          </w:p>
        </w:tc>
        <w:tc>
          <w:tcPr>
            <w:tcW w:w="0" w:type="dxa"/>
            <w:vAlign w:val="bottom"/>
          </w:tcPr>
          <w:p>
            <w:pPr>
              <w:spacing w:after="0"/>
              <w:rPr>
                <w:sz w:val="1"/>
                <w:szCs w:val="1"/>
                <w:color w:val="auto"/>
              </w:rPr>
            </w:pPr>
          </w:p>
        </w:tc>
      </w:tr>
      <w:tr>
        <w:trPr>
          <w:trHeight w:val="180"/>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receivables</w:t>
            </w:r>
          </w:p>
        </w:tc>
        <w:tc>
          <w:tcPr>
            <w:tcW w:w="120" w:type="dxa"/>
            <w:vAlign w:val="bottom"/>
          </w:tcPr>
          <w:p>
            <w:pPr>
              <w:spacing w:after="0"/>
              <w:rPr>
                <w:sz w:val="15"/>
                <w:szCs w:val="15"/>
                <w:color w:val="auto"/>
              </w:rPr>
            </w:pPr>
          </w:p>
        </w:tc>
        <w:tc>
          <w:tcPr>
            <w:tcW w:w="19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6"/>
              </w:rPr>
              <w:t>receivables</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gridSpan w:val="4"/>
          </w:tcPr>
          <w:p>
            <w:pPr>
              <w:jc w:val="right"/>
              <w:ind w:right="16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Minimum lease payments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712,165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9,847,435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9,088,298</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Estimated residual values of lease property (unguaranteed)</w:t>
            </w: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1,276,675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1,041,087</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990,665</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11,124,110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10,129,385</w:t>
            </w:r>
          </w:p>
        </w:tc>
        <w:tc>
          <w:tcPr>
            <w:tcW w:w="0" w:type="dxa"/>
            <w:vAlign w:val="bottom"/>
          </w:tcPr>
          <w:p>
            <w:pPr>
              <w:spacing w:after="0"/>
              <w:rPr>
                <w:sz w:val="1"/>
                <w:szCs w:val="1"/>
                <w:color w:val="auto"/>
              </w:rPr>
            </w:pPr>
          </w:p>
        </w:tc>
      </w:tr>
      <w:tr>
        <w:trPr>
          <w:trHeight w:val="21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Unearned income</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(712,165)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(8,764,141)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(8,083,808)</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(21,293)</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(21,971)</w:t>
            </w:r>
          </w:p>
        </w:tc>
        <w:tc>
          <w:tcPr>
            <w:tcW w:w="0" w:type="dxa"/>
            <w:vAlign w:val="bottom"/>
          </w:tcPr>
          <w:p>
            <w:pPr>
              <w:spacing w:after="0"/>
              <w:rPr>
                <w:sz w:val="1"/>
                <w:szCs w:val="1"/>
                <w:color w:val="auto"/>
              </w:rPr>
            </w:pPr>
          </w:p>
        </w:tc>
      </w:tr>
      <w:tr>
        <w:trPr>
          <w:trHeight w:val="21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leases -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257,207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2,313,775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2,023,606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present value of the net investment in the lease payment receivable and unguaranteed residual value at September 30, 2024 was $2,284.4 million and $75.6 million compared to $1,991.4 million and $54.2 million at December 31, 2023 for the Company's Investment in leases, financing receivables. The present value of the net investment in lease payment receivable and unguaranteed residual value at September 30, 2024 was $257.0 million and $21.5 million for the Company's Investment in leases, sales type.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At September 30, 2024, minimum lease payments owed to us for each of the five succeeding years under the Company's investment in leases were as follows (in thousands):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Year ending December 31,</w:t>
      </w:r>
    </w:p>
    <w:p>
      <w:pPr>
        <w:spacing w:after="0" w:line="4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2024 (remainder of year)</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2025</w:t>
      </w:r>
    </w:p>
    <w:p>
      <w:pPr>
        <w:spacing w:after="0" w:line="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2026</w:t>
      </w:r>
    </w:p>
    <w:p>
      <w:pPr>
        <w:spacing w:after="0" w:line="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2027</w:t>
      </w:r>
    </w:p>
    <w:p>
      <w:pPr>
        <w:spacing w:after="0" w:line="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2028</w:t>
      </w:r>
    </w:p>
    <w:p>
      <w:pPr>
        <w:spacing w:after="0" w:line="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Thereafter</w:t>
      </w:r>
    </w:p>
    <w:p>
      <w:pPr>
        <w:spacing w:after="0" w:line="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Future Minimum</w:t>
            </w: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Future Minimum Lease</w:t>
            </w:r>
          </w:p>
        </w:tc>
        <w:tc>
          <w:tcPr>
            <w:tcW w:w="80" w:type="dxa"/>
            <w:vAlign w:val="bottom"/>
            <w:gridSpan w:val="2"/>
          </w:tcPr>
          <w:p>
            <w:pPr>
              <w:spacing w:after="0"/>
              <w:rPr>
                <w:sz w:val="13"/>
                <w:szCs w:val="13"/>
                <w:color w:val="auto"/>
              </w:rPr>
            </w:pPr>
          </w:p>
        </w:tc>
      </w:tr>
      <w:tr>
        <w:trPr>
          <w:trHeight w:val="122"/>
        </w:trPr>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6"/>
          </w:tcPr>
          <w:p>
            <w:pPr>
              <w:spacing w:after="0" w:line="122" w:lineRule="exact"/>
              <w:rPr>
                <w:sz w:val="20"/>
                <w:szCs w:val="20"/>
                <w:color w:val="auto"/>
              </w:rPr>
            </w:pPr>
            <w:r>
              <w:rPr>
                <w:rFonts w:ascii="Times New Roman" w:cs="Times New Roman" w:eastAsia="Times New Roman" w:hAnsi="Times New Roman"/>
                <w:sz w:val="14"/>
                <w:szCs w:val="14"/>
                <w:b w:val="1"/>
                <w:bCs w:val="1"/>
                <w:color w:val="auto"/>
                <w:w w:val="97"/>
              </w:rPr>
              <w:t>Lease Payments for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3"/>
              </w:rPr>
              <w:t>Payments for Investment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9"/>
        </w:trPr>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auto"/>
            </w:tcBorders>
            <w:gridSpan w:val="5"/>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Investment in leases,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5"/>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rPr>
              <w:t>in leases, financing</w:t>
            </w:r>
          </w:p>
        </w:tc>
        <w:tc>
          <w:tcPr>
            <w:tcW w:w="40" w:type="dxa"/>
            <w:vAlign w:val="bottom"/>
          </w:tcPr>
          <w:p>
            <w:pPr>
              <w:spacing w:after="0"/>
              <w:rPr>
                <w:sz w:val="9"/>
                <w:szCs w:val="9"/>
                <w:color w:val="auto"/>
              </w:rPr>
            </w:pPr>
          </w:p>
        </w:tc>
      </w:tr>
      <w:tr>
        <w:trPr>
          <w:trHeight w:val="122"/>
        </w:trPr>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5"/>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sales type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Borders>
              <w:top w:val="single" w:sz="8" w:color="auto"/>
            </w:tcBorders>
            <w:gridSpan w:val="3"/>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6"/>
              </w:rPr>
              <w:t>receivables</w:t>
            </w:r>
          </w:p>
        </w:tc>
        <w:tc>
          <w:tcPr>
            <w:tcW w:w="240" w:type="dxa"/>
            <w:vAlign w:val="bottom"/>
            <w:gridSpan w:val="3"/>
          </w:tcPr>
          <w:p>
            <w:pPr>
              <w:spacing w:after="0"/>
              <w:rPr>
                <w:sz w:val="10"/>
                <w:szCs w:val="10"/>
                <w:color w:val="auto"/>
              </w:rPr>
            </w:pPr>
          </w:p>
        </w:tc>
      </w:tr>
      <w:tr>
        <w:trPr>
          <w:trHeight w:val="20"/>
        </w:trPr>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7"/>
        </w:trPr>
        <w:tc>
          <w:tcPr>
            <w:tcW w:w="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21"/>
                <w:szCs w:val="21"/>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3,709</w:t>
            </w:r>
          </w:p>
        </w:tc>
        <w:tc>
          <w:tcPr>
            <w:tcW w:w="40" w:type="dxa"/>
            <w:vAlign w:val="bottom"/>
          </w:tcPr>
          <w:p>
            <w:pPr>
              <w:spacing w:after="0"/>
              <w:rPr>
                <w:sz w:val="21"/>
                <w:szCs w:val="21"/>
                <w:color w:val="auto"/>
              </w:rPr>
            </w:pPr>
          </w:p>
        </w:tc>
        <w:tc>
          <w:tcPr>
            <w:tcW w:w="240" w:type="dxa"/>
            <w:vAlign w:val="bottom"/>
            <w:gridSpan w:val="3"/>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40,436</w:t>
            </w:r>
          </w:p>
        </w:tc>
        <w:tc>
          <w:tcPr>
            <w:tcW w:w="40" w:type="dxa"/>
            <w:vAlign w:val="bottom"/>
          </w:tcPr>
          <w:p>
            <w:pPr>
              <w:spacing w:after="0"/>
              <w:rPr>
                <w:sz w:val="21"/>
                <w:szCs w:val="21"/>
                <w:color w:val="auto"/>
              </w:rPr>
            </w:pPr>
          </w:p>
        </w:tc>
      </w:tr>
      <w:tr>
        <w:trPr>
          <w:trHeight w:val="219"/>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14,837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164,103</w:t>
            </w:r>
          </w:p>
        </w:tc>
        <w:tc>
          <w:tcPr>
            <w:tcW w:w="4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14,837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166,917</w:t>
            </w:r>
          </w:p>
        </w:tc>
        <w:tc>
          <w:tcPr>
            <w:tcW w:w="4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14,837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169,858</w:t>
            </w:r>
          </w:p>
        </w:tc>
        <w:tc>
          <w:tcPr>
            <w:tcW w:w="4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14,837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172,851</w:t>
            </w:r>
          </w:p>
        </w:tc>
        <w:tc>
          <w:tcPr>
            <w:tcW w:w="40" w:type="dxa"/>
            <w:vAlign w:val="bottom"/>
          </w:tcPr>
          <w:p>
            <w:pPr>
              <w:spacing w:after="0"/>
              <w:rPr>
                <w:sz w:val="19"/>
                <w:szCs w:val="19"/>
                <w:color w:val="auto"/>
              </w:rPr>
            </w:pPr>
          </w:p>
        </w:tc>
      </w:tr>
      <w:tr>
        <w:trPr>
          <w:trHeight w:val="223"/>
        </w:trPr>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649,108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9,133,270</w:t>
            </w:r>
          </w:p>
        </w:tc>
        <w:tc>
          <w:tcPr>
            <w:tcW w:w="40" w:type="dxa"/>
            <w:vAlign w:val="bottom"/>
            <w:tcBorders>
              <w:bottom w:val="single" w:sz="8" w:color="auto"/>
            </w:tcBorders>
          </w:tcPr>
          <w:p>
            <w:pPr>
              <w:spacing w:after="0"/>
              <w:rPr>
                <w:sz w:val="19"/>
                <w:szCs w:val="19"/>
                <w:color w:val="auto"/>
              </w:rPr>
            </w:pPr>
          </w:p>
        </w:tc>
      </w:tr>
      <w:tr>
        <w:trPr>
          <w:trHeight w:val="212"/>
        </w:trPr>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712,165</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9,847,435</w:t>
            </w:r>
          </w:p>
        </w:tc>
        <w:tc>
          <w:tcPr>
            <w:tcW w:w="40" w:type="dxa"/>
            <w:vAlign w:val="bottom"/>
            <w:tcBorders>
              <w:bottom w:val="single" w:sz="8" w:color="auto"/>
            </w:tcBorders>
          </w:tcPr>
          <w:p>
            <w:pPr>
              <w:spacing w:after="0"/>
              <w:rPr>
                <w:sz w:val="18"/>
                <w:szCs w:val="18"/>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-1586865</wp:posOffset>
            </wp:positionH>
            <wp:positionV relativeFrom="paragraph">
              <wp:posOffset>-1014730</wp:posOffset>
            </wp:positionV>
            <wp:extent cx="341376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3760" cy="139065"/>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-735965</wp:posOffset>
            </wp:positionV>
            <wp:extent cx="341376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3760" cy="139065"/>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-457835</wp:posOffset>
            </wp:positionV>
            <wp:extent cx="341376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3760" cy="139065"/>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-179705</wp:posOffset>
            </wp:positionV>
            <wp:extent cx="3413760" cy="163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1376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27" w:right="339" w:bottom="1440" w:gutter="0" w:footer="0" w:header="0"/>
          <w:type w:val="continuous"/>
        </w:sectPr>
      </w:pPr>
    </w:p>
    <w:p>
      <w:pPr>
        <w:spacing w:after="0" w:line="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follows ASC 326 “Credit Losses”, which requires that the Company measure and record current expected credit losses (“CECL”), the scope of which includes our Investment in leases, financing receivables, net, Investment in leases, sales-type, net, as well as the Company's Real estate loans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34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investment in leases is illustrated below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1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June</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0" w:type="dxa"/>
            <w:vAlign w:val="bottom"/>
          </w:tcPr>
          <w:p>
            <w:pPr>
              <w:spacing w:after="0"/>
              <w:rPr>
                <w:sz w:val="1"/>
                <w:szCs w:val="1"/>
                <w:color w:val="auto"/>
              </w:rPr>
            </w:pPr>
          </w:p>
        </w:tc>
      </w:tr>
      <w:tr>
        <w:trPr>
          <w:trHeight w:val="168"/>
        </w:trPr>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right="14"/>
              <w:spacing w:after="0" w:line="167"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right="34"/>
              <w:spacing w:after="0" w:line="167"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34"/>
              <w:spacing w:after="0" w:line="167"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2"/>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30, 2024</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19"/>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5,661</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10,884</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11,384</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 Live! Master Lease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28,143</w:t>
            </w:r>
          </w:p>
        </w:tc>
        <w:tc>
          <w:tcPr>
            <w:tcW w:w="0" w:type="dxa"/>
            <w:vAlign w:val="bottom"/>
          </w:tcPr>
          <w:p>
            <w:pPr>
              <w:spacing w:after="0"/>
              <w:rPr>
                <w:sz w:val="1"/>
                <w:szCs w:val="1"/>
                <w:color w:val="auto"/>
              </w:rPr>
            </w:pPr>
          </w:p>
        </w:tc>
      </w:tr>
      <w:tr>
        <w:trPr>
          <w:trHeight w:val="219"/>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Lease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2,602</w:t>
            </w:r>
          </w:p>
        </w:tc>
        <w:tc>
          <w:tcPr>
            <w:tcW w:w="0" w:type="dxa"/>
            <w:vAlign w:val="bottom"/>
          </w:tcPr>
          <w:p>
            <w:pPr>
              <w:spacing w:after="0"/>
              <w:rPr>
                <w:sz w:val="1"/>
                <w:szCs w:val="1"/>
                <w:color w:val="auto"/>
              </w:rPr>
            </w:pPr>
          </w:p>
        </w:tc>
      </w:tr>
      <w:tr>
        <w:trPr>
          <w:trHeight w:val="219"/>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Lease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21,293</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21,293</w:t>
            </w:r>
          </w:p>
        </w:tc>
        <w:tc>
          <w:tcPr>
            <w:tcW w:w="0" w:type="dxa"/>
            <w:vAlign w:val="bottom"/>
          </w:tcPr>
          <w:p>
            <w:pPr>
              <w:spacing w:after="0"/>
              <w:rPr>
                <w:sz w:val="1"/>
                <w:szCs w:val="1"/>
                <w:color w:val="auto"/>
              </w:rPr>
            </w:pPr>
          </w:p>
        </w:tc>
      </w:tr>
      <w:tr>
        <w:trPr>
          <w:trHeight w:val="21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21,971</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40,853</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26,634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67,487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2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10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June</w:t>
            </w: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0" w:type="dxa"/>
            <w:vAlign w:val="bottom"/>
          </w:tcPr>
          <w:p>
            <w:pPr>
              <w:spacing w:after="0"/>
              <w:rPr>
                <w:sz w:val="1"/>
                <w:szCs w:val="1"/>
                <w:color w:val="auto"/>
              </w:rPr>
            </w:pPr>
          </w:p>
        </w:tc>
      </w:tr>
      <w:tr>
        <w:trPr>
          <w:trHeight w:val="168"/>
        </w:trPr>
        <w:tc>
          <w:tcPr>
            <w:tcW w:w="1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54"/>
              <w:spacing w:after="0" w:line="167"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gridSpan w:val="2"/>
            <w:vMerge w:val="continue"/>
            <w:shd w:val="clear" w:color="auto" w:fill="CCEEFF"/>
          </w:tcPr>
          <w:p>
            <w:pPr>
              <w:spacing w:after="0"/>
              <w:rPr>
                <w:sz w:val="14"/>
                <w:szCs w:val="14"/>
                <w:color w:val="auto"/>
              </w:rPr>
            </w:pPr>
          </w:p>
        </w:tc>
        <w:tc>
          <w:tcPr>
            <w:tcW w:w="1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34"/>
              <w:spacing w:after="0" w:line="167"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2"/>
        </w:trPr>
        <w:tc>
          <w:tcPr>
            <w:tcW w:w="16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center"/>
              <w:ind w:left="87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380" w:type="dxa"/>
            <w:vAlign w:val="bottom"/>
            <w:gridSpan w:val="3"/>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30, 2023</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19"/>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13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4,095</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3,214</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8,142</w:t>
            </w:r>
          </w:p>
        </w:tc>
        <w:tc>
          <w:tcPr>
            <w:tcW w:w="80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11,356</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10,567</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PA Live! Master Lease</w:t>
            </w: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15,029</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10,257</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19,910</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30,167</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(3,825)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26,342</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6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3,867</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3,867</w:t>
            </w: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19,124</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13,471</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28,052</w:t>
            </w:r>
          </w:p>
        </w:tc>
        <w:tc>
          <w:tcPr>
            <w:tcW w:w="80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41,523</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40,776</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4780" w:type="dxa"/>
            <w:vAlign w:val="bottom"/>
            <w:tcBorders>
              <w:top w:val="single" w:sz="8" w:color="CCEEFF"/>
              <w:bottom w:val="single" w:sz="8" w:color="auto"/>
            </w:tcBorders>
            <w:gridSpan w:val="10"/>
          </w:tcPr>
          <w:p>
            <w:pPr>
              <w:spacing w:after="0" w:line="20" w:lineRule="exact"/>
              <w:rPr>
                <w:sz w:val="1"/>
                <w:szCs w:val="1"/>
                <w:color w:val="auto"/>
              </w:rPr>
            </w:pPr>
          </w:p>
        </w:tc>
        <w:tc>
          <w:tcPr>
            <w:tcW w:w="1620" w:type="dxa"/>
            <w:vAlign w:val="bottom"/>
            <w:tcBorders>
              <w:top w:val="single" w:sz="8" w:color="CCEEFF"/>
              <w:bottom w:val="single" w:sz="8" w:color="auto"/>
            </w:tcBorders>
            <w:gridSpan w:val="3"/>
          </w:tcPr>
          <w:p>
            <w:pPr>
              <w:spacing w:after="0" w:line="20" w:lineRule="exact"/>
              <w:rPr>
                <w:sz w:val="1"/>
                <w:szCs w:val="1"/>
                <w:color w:val="auto"/>
              </w:rPr>
            </w:pPr>
          </w:p>
        </w:tc>
        <w:tc>
          <w:tcPr>
            <w:tcW w:w="160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11240" w:type="dxa"/>
            <w:vAlign w:val="bottom"/>
            <w:gridSpan w:val="20"/>
          </w:tcPr>
          <w:p>
            <w:pPr>
              <w:ind w:left="620"/>
              <w:spacing w:after="0"/>
              <w:rPr>
                <w:sz w:val="20"/>
                <w:szCs w:val="20"/>
                <w:color w:val="auto"/>
              </w:rPr>
            </w:pPr>
            <w:r>
              <w:rPr>
                <w:rFonts w:ascii="Times New Roman" w:cs="Times New Roman" w:eastAsia="Times New Roman" w:hAnsi="Times New Roman"/>
                <w:sz w:val="17"/>
                <w:szCs w:val="17"/>
                <w:color w:val="auto"/>
              </w:rPr>
              <w:t>The amortized cost basis of the Company's investment in leases, financing receivables by year of origination is shown below as of September 30, 2024 (in</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thousands):</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3"/>
          </w:tcPr>
          <w:p>
            <w:pPr>
              <w:spacing w:after="0"/>
              <w:rPr>
                <w:sz w:val="22"/>
                <w:szCs w:val="22"/>
                <w:color w:val="auto"/>
              </w:rPr>
            </w:pPr>
          </w:p>
        </w:tc>
        <w:tc>
          <w:tcPr>
            <w:tcW w:w="220" w:type="dxa"/>
            <w:vAlign w:val="bottom"/>
            <w:vMerge w:val="restart"/>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2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auto"/>
              </w:rPr>
              <w:t>Allowance as a</w:t>
            </w: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300" w:type="dxa"/>
            <w:vAlign w:val="bottom"/>
            <w:shd w:val="clear" w:color="auto" w:fill="CCEEFF"/>
          </w:tcPr>
          <w:p>
            <w:pPr>
              <w:spacing w:after="0"/>
              <w:rPr>
                <w:sz w:val="14"/>
                <w:szCs w:val="14"/>
                <w:color w:val="auto"/>
              </w:rPr>
            </w:pPr>
          </w:p>
        </w:tc>
        <w:tc>
          <w:tcPr>
            <w:tcW w:w="15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600" w:type="dxa"/>
            <w:vAlign w:val="bottom"/>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at September 30,</w:t>
            </w:r>
          </w:p>
        </w:tc>
        <w:tc>
          <w:tcPr>
            <w:tcW w:w="12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receivables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(3,455)</w:t>
            </w:r>
          </w:p>
        </w:tc>
        <w:tc>
          <w:tcPr>
            <w:tcW w:w="80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291,317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8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711,431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(28,143)</w:t>
            </w: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683,288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132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1,251,400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(11,384)</w:t>
            </w: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1,240,016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2,359,969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(46,194)</w:t>
            </w:r>
          </w:p>
        </w:tc>
        <w:tc>
          <w:tcPr>
            <w:tcW w:w="8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2,313,775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investment in leases, sales type by year of origination is shown below as of September 30, 2024 (in thousands):</w:t>
      </w:r>
    </w:p>
    <w:p>
      <w:pPr>
        <w:spacing w:after="0" w:line="191"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8"/>
        </w:trPr>
        <w:tc>
          <w:tcPr>
            <w:tcW w:w="162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80"/>
        </w:trPr>
        <w:tc>
          <w:tcPr>
            <w:tcW w:w="1620" w:type="dxa"/>
            <w:vAlign w:val="bottom"/>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center"/>
              <w:ind w:right="54"/>
              <w:spacing w:after="0" w:line="181" w:lineRule="exact"/>
              <w:rPr>
                <w:sz w:val="20"/>
                <w:szCs w:val="20"/>
                <w:color w:val="auto"/>
              </w:rPr>
            </w:pPr>
            <w:r>
              <w:rPr>
                <w:rFonts w:ascii="Times New Roman" w:cs="Times New Roman" w:eastAsia="Times New Roman" w:hAnsi="Times New Roman"/>
                <w:sz w:val="17"/>
                <w:szCs w:val="17"/>
                <w:b w:val="1"/>
                <w:bCs w:val="1"/>
                <w:color w:val="auto"/>
              </w:rPr>
              <w:t>at September 30,</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outstanding sales</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sales type lease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type lease</w:t>
            </w:r>
          </w:p>
        </w:tc>
        <w:tc>
          <w:tcPr>
            <w:tcW w:w="0" w:type="dxa"/>
            <w:vAlign w:val="bottom"/>
          </w:tcPr>
          <w:p>
            <w:pPr>
              <w:spacing w:after="0"/>
              <w:rPr>
                <w:sz w:val="1"/>
                <w:szCs w:val="1"/>
                <w:color w:val="auto"/>
              </w:rPr>
            </w:pPr>
          </w:p>
        </w:tc>
      </w:tr>
      <w:tr>
        <w:trPr>
          <w:trHeight w:val="258"/>
        </w:trPr>
        <w:tc>
          <w:tcPr>
            <w:tcW w:w="16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257,207</w:t>
            </w:r>
          </w:p>
        </w:tc>
        <w:tc>
          <w:tcPr>
            <w:tcW w:w="120" w:type="dxa"/>
            <w:vAlign w:val="bottom"/>
          </w:tcPr>
          <w:p>
            <w:pPr>
              <w:spacing w:after="0"/>
              <w:rPr>
                <w:sz w:val="20"/>
                <w:szCs w:val="20"/>
                <w:color w:val="auto"/>
              </w:rPr>
            </w:pPr>
          </w:p>
        </w:tc>
        <w:tc>
          <w:tcPr>
            <w:tcW w:w="162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September 30, 2024, the Company recorded a provision for credit losses, net of $27.7 million and $47.2 million, respectively (inclusive of the reserve for real estate loans and reserves on the unfunded loan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commitment, see Note 5 for details). The provision for the three and nine months ended September 30, 2024 was primarily due to the initial establishment of reserves on the Tropicana Las Vegas Lease which was determined based on the underlying credit quality of the tenant, a decline in the estimated real estate values underlying the Company's Investment in leases, financing receivables and, to a lesser extent, the Company's real estate loans and loan commitments. The real estate values are estimated based on the actual and long term projections of the Commercial Real Estate Price Index which, as of September 30, 2024 have declined relative to December 31, 2023.</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During the three and nine months ended September 30, 2023, the Company recorded a provision for credit losses, net of $1.6 million and $24.0 million, respectively. The provision for credit losses recorded for the three months ended September 30, 2023 was the result of the initial establishment of $6.2 million of reserves on the Rockford Lease and Rockford Loan (See Note 5) which was partially offset by a benefit of $4.6 million on the Maryland Live! Lease and Pennsylvania Live! Master Lease as the result of an improved Commercial Real Estate Price Index forecast compared to the forecast utilized as of June 30, 2023. The provision for the nine months ended September 30, 2023, was primarily due to a decline in the estimated real estate values underlying the Company's Investment in leases, financing receivables. These values are estimated based on long term projections of the Commercial Real Estate Price Index which, as of September 30, 2023, declined relative to December 31, 2022.</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reason for differences in the allowance as a percentage of outstanding financing receivable for leases originated in each calendar year in the table above depends on various factors for the leases such as expected rent coverage ratios and loan to value ratios. 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19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Real Estate Investments, Net</w:t>
      </w:r>
    </w:p>
    <w:p>
      <w:pPr>
        <w:spacing w:after="0" w:line="200" w:lineRule="exact"/>
        <w:rPr>
          <w:sz w:val="20"/>
          <w:szCs w:val="20"/>
          <w:color w:val="auto"/>
        </w:rPr>
      </w:pPr>
    </w:p>
    <w:p>
      <w:pPr>
        <w:spacing w:after="0" w:line="279"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Real estate investments, net, represent investments in rental properties and the corporate headquarters building (excluding our investments in transactions accounted for as real estate loans and investment in leases, financing receivables that are described in Notes 5 and 3, respectively) and is summarized as follows:</w:t>
      </w:r>
    </w:p>
    <w:p>
      <w:pPr>
        <w:spacing w:after="0" w:line="16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3,582,663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3,559,851</w:t>
            </w:r>
          </w:p>
        </w:tc>
      </w:tr>
      <w:tr>
        <w:trPr>
          <w:trHeight w:val="21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6,787,464</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real estate investments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10,387,442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10,347,315</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(2,372,466)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(2,178,523)</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8,014,976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8,168,792</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Land and improvements change from year end represents the acquisition of the land for the Bally's development project in Chicago, Illinois which is partially offset by the reclassification of the Tropicana Las Vegas Lease to a sales type lease from an operating lease due to the reconsideration event from the change in rent terms for the demolition funding provided by GLPI. Construction in progress primarily represents development funding on The Belle along with its related capitalized interest. See Note 1 for details on this project.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Real estate loans, net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discussed in Note 1, the Company entered into the Rockford Loan during 2023 and the entire $150 million commitment was drawn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The Rockford Loan has a 10% interest rate and a maximum outstanding period of up to 6 years (5-year initial term with a 1-year extension).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entered into the Ione Loan for up to $110 million, of which $13.7 million was drawn as of September 30, 2024. The following is a summary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balances of the Company's Real estate loans, net.</w:t>
      </w:r>
    </w:p>
    <w:p>
      <w:pPr>
        <w:spacing w:after="0" w:line="237"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3"/>
                <w:szCs w:val="13"/>
                <w:color w:val="auto"/>
              </w:rPr>
            </w:pPr>
          </w:p>
        </w:tc>
        <w:tc>
          <w:tcPr>
            <w:tcW w:w="15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2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6"/>
                <w:szCs w:val="16"/>
                <w:color w:val="auto"/>
              </w:rPr>
            </w:pP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40,000</w:t>
            </w:r>
          </w:p>
        </w:tc>
      </w:tr>
      <w:tr>
        <w:trPr>
          <w:trHeight w:val="21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 net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158,854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39,036</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Real estate loans is shown below (in thousands):</w:t>
      </w:r>
    </w:p>
    <w:p>
      <w:pPr>
        <w:spacing w:after="0" w:line="285" w:lineRule="exact"/>
        <w:rPr>
          <w:sz w:val="20"/>
          <w:szCs w:val="20"/>
          <w:color w:val="auto"/>
        </w:rPr>
      </w:pPr>
    </w:p>
    <w:tbl>
      <w:tblPr>
        <w:tblLayout w:type="fixed"/>
        <w:tblInd w:w="1860" w:type="dxa"/>
        <w:tblCellMar>
          <w:top w:w="0" w:type="dxa"/>
          <w:left w:w="0" w:type="dxa"/>
          <w:bottom w:w="0" w:type="dxa"/>
          <w:right w:w="0" w:type="dxa"/>
        </w:tblCellMar>
      </w:tblPr>
      <w:tr>
        <w:trPr>
          <w:trHeight w:val="606"/>
        </w:trPr>
        <w:tc>
          <w:tcPr>
            <w:tcW w:w="2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19"/>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r>
      <w:tr>
        <w:trPr>
          <w:trHeight w:val="21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2024</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w:t>
            </w: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r>
      <w:tr>
        <w:trPr>
          <w:trHeight w:val="21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June 30, 2024</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(2,628)</w:t>
            </w: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w:t>
            </w:r>
          </w:p>
        </w:tc>
      </w:tr>
      <w:tr>
        <w:trPr>
          <w:trHeight w:val="21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September 30, 2024</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(4,877)</w:t>
            </w:r>
          </w:p>
        </w:tc>
      </w:tr>
      <w:tr>
        <w:trPr>
          <w:trHeight w:val="20"/>
        </w:trPr>
        <w:tc>
          <w:tcPr>
            <w:tcW w:w="2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right="200" w:firstLine="619"/>
        <w:spacing w:after="0" w:line="263" w:lineRule="auto"/>
        <w:rPr>
          <w:sz w:val="20"/>
          <w:szCs w:val="20"/>
          <w:color w:val="auto"/>
        </w:rPr>
      </w:pPr>
      <w:r>
        <w:rPr>
          <w:rFonts w:ascii="Times New Roman" w:cs="Times New Roman" w:eastAsia="Times New Roman" w:hAnsi="Times New Roman"/>
          <w:sz w:val="17"/>
          <w:szCs w:val="17"/>
          <w:color w:val="auto"/>
        </w:rPr>
        <w:t>Real estate loans are subject to CECL, which is described in Note 3. The Company recorded provision for credit losses of $2.2 million and $3.9 million for the three months and nine months ended September 30, 2024 on real estate loans. Additionally, the Company recorded a benefit of $1.2 million and</w:t>
      </w:r>
    </w:p>
    <w:p>
      <w:pPr>
        <w:spacing w:after="0" w:line="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$2.2 million during the three month and nine months ended September 30, 2024 on unfunded loan commitments. The reserve for the unfunded loan commitment was recorded in other liabilities on the Condensed Consolidated Balance Sheets and totaled $0.4 million and $2.6 million at September 30, 2024 and December 31, 2023, respectively. The Company's borrowers are current on their loan obligations as of September 30, 2024.</w:t>
      </w:r>
    </w:p>
    <w:p>
      <w:pPr>
        <w:spacing w:after="0" w:line="197" w:lineRule="exact"/>
        <w:rPr>
          <w:sz w:val="20"/>
          <w:szCs w:val="20"/>
          <w:color w:val="auto"/>
        </w:rPr>
      </w:pPr>
    </w:p>
    <w:p>
      <w:pPr>
        <w:ind w:right="8460" w:firstLine="3"/>
        <w:spacing w:after="0" w:line="540" w:lineRule="auto"/>
        <w:tabs>
          <w:tab w:leader="none" w:pos="30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Assets and Lease Liabilities Lease Assets</w:t>
      </w:r>
    </w:p>
    <w:p>
      <w:pPr>
        <w:spacing w:after="0" w:line="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Components of the Company's right-of use assets and land rights, net are detailed below (in thousands):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5"/>
                <w:szCs w:val="15"/>
                <w:color w:val="auto"/>
              </w:rPr>
            </w:pP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 operating leases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196,254</w:t>
            </w:r>
          </w:p>
        </w:tc>
      </w:tr>
      <w:tr>
        <w:trPr>
          <w:trHeight w:val="21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629,441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639,270</w:t>
            </w: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825,367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835,524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Land Rights</w:t>
      </w:r>
    </w:p>
    <w:p>
      <w:pPr>
        <w:spacing w:after="0" w:line="247" w:lineRule="exact"/>
        <w:rPr>
          <w:sz w:val="20"/>
          <w:szCs w:val="20"/>
          <w:color w:val="auto"/>
        </w:rPr>
      </w:pPr>
    </w:p>
    <w:p>
      <w:pPr>
        <w:ind w:firstLine="619"/>
        <w:spacing w:after="0" w:line="272" w:lineRule="auto"/>
        <w:rPr>
          <w:sz w:val="20"/>
          <w:szCs w:val="20"/>
          <w:color w:val="auto"/>
        </w:rPr>
      </w:pPr>
      <w:r>
        <w:rPr>
          <w:rFonts w:ascii="Times New Roman" w:cs="Times New Roman" w:eastAsia="Times New Roman" w:hAnsi="Times New Roman"/>
          <w:sz w:val="17"/>
          <w:szCs w:val="17"/>
          <w:color w:val="auto"/>
        </w:rPr>
        <w:t>The land rights are amortized over the individual lease term of the related ground lease, including all renewal options, which ranged from 20 years to 92 years at their respective acquisition dates. Land rights net, consist of the following:</w:t>
      </w:r>
    </w:p>
    <w:tbl>
      <w:tblPr>
        <w:tblLayout w:type="fixed"/>
        <w:tblInd w:w="6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2"/>
                <w:szCs w:val="12"/>
                <w:color w:val="auto"/>
              </w:rPr>
            </w:pPr>
          </w:p>
        </w:tc>
        <w:tc>
          <w:tcPr>
            <w:tcW w:w="124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7"/>
        </w:trPr>
        <w:tc>
          <w:tcPr>
            <w:tcW w:w="7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727,113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727,114</w:t>
            </w:r>
          </w:p>
        </w:tc>
      </w:tr>
      <w:tr>
        <w:trPr>
          <w:trHeight w:val="21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(97,672)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(87,844)</w:t>
            </w: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629,441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639,270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As of September 30, 2024, estimated future amortization expense related to the Company’s land rights by fiscal year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5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(remainder of year)</w:t>
            </w:r>
          </w:p>
        </w:tc>
        <w:tc>
          <w:tcPr>
            <w:tcW w:w="42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13,104</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13,104</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13,104</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13,104</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54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573,750</w:t>
            </w:r>
          </w:p>
        </w:tc>
        <w:tc>
          <w:tcPr>
            <w:tcW w:w="0" w:type="dxa"/>
            <w:vAlign w:val="bottom"/>
          </w:tcPr>
          <w:p>
            <w:pPr>
              <w:spacing w:after="0"/>
              <w:rPr>
                <w:sz w:val="1"/>
                <w:szCs w:val="1"/>
                <w:color w:val="auto"/>
              </w:rPr>
            </w:pPr>
          </w:p>
        </w:tc>
      </w:tr>
      <w:tr>
        <w:trPr>
          <w:trHeight w:val="212"/>
        </w:trPr>
        <w:tc>
          <w:tcPr>
            <w:tcW w:w="1360" w:type="dxa"/>
            <w:vAlign w:val="bottom"/>
            <w:tcBorders>
              <w:right w:val="single" w:sz="8" w:color="CCEEFF"/>
            </w:tcBorders>
          </w:tcPr>
          <w:p>
            <w:pPr>
              <w:spacing w:after="0"/>
              <w:rPr>
                <w:sz w:val="18"/>
                <w:szCs w:val="18"/>
                <w:color w:val="auto"/>
              </w:rPr>
            </w:pPr>
          </w:p>
        </w:tc>
        <w:tc>
          <w:tcPr>
            <w:tcW w:w="5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629,441</w:t>
            </w:r>
          </w:p>
        </w:tc>
        <w:tc>
          <w:tcPr>
            <w:tcW w:w="0" w:type="dxa"/>
            <w:vAlign w:val="bottom"/>
          </w:tcPr>
          <w:p>
            <w:pPr>
              <w:spacing w:after="0"/>
              <w:rPr>
                <w:sz w:val="1"/>
                <w:szCs w:val="1"/>
                <w:color w:val="auto"/>
              </w:rPr>
            </w:pPr>
          </w:p>
        </w:tc>
      </w:tr>
      <w:tr>
        <w:trPr>
          <w:trHeight w:val="20"/>
        </w:trPr>
        <w:tc>
          <w:tcPr>
            <w:tcW w:w="136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660" w:type="dxa"/>
            <w:vAlign w:val="bottom"/>
            <w:gridSpan w:val="9"/>
          </w:tcPr>
          <w:p>
            <w:pPr>
              <w:jc w:val="right"/>
              <w:ind w:right="1174"/>
              <w:spacing w:after="0"/>
              <w:rPr>
                <w:sz w:val="20"/>
                <w:szCs w:val="20"/>
                <w:color w:val="auto"/>
              </w:rPr>
            </w:pPr>
            <w:r>
              <w:rPr>
                <w:rFonts w:ascii="Times New Roman" w:cs="Times New Roman" w:eastAsia="Times New Roman" w:hAnsi="Times New Roman"/>
                <w:sz w:val="17"/>
                <w:szCs w:val="17"/>
                <w:color w:val="auto"/>
              </w:rPr>
              <w:t>At September 30, 2024, payments under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(remainder of year)</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14,671</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14,677</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14,173</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643,380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704,628</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(508,196)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196,432</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Lease Expense</w:t>
      </w:r>
    </w:p>
    <w:p>
      <w:pPr>
        <w:spacing w:after="0" w:line="247"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p>
      <w:pPr>
        <w:spacing w:after="0" w:line="50" w:lineRule="exact"/>
        <w:rPr>
          <w:sz w:val="20"/>
          <w:szCs w:val="20"/>
          <w:color w:val="auto"/>
        </w:rPr>
      </w:pPr>
    </w:p>
    <w:tbl>
      <w:tblPr>
        <w:tblLayout w:type="fixed"/>
        <w:tblInd w:w="620" w:type="dxa"/>
        <w:tblCellMar>
          <w:top w:w="0" w:type="dxa"/>
          <w:left w:w="0" w:type="dxa"/>
          <w:bottom w:w="0" w:type="dxa"/>
          <w:right w:w="0" w:type="dxa"/>
        </w:tblCellMar>
      </w:tblPr>
      <w:tr>
        <w:trPr>
          <w:trHeight w:val="198"/>
        </w:trPr>
        <w:tc>
          <w:tcPr>
            <w:tcW w:w="3480" w:type="dxa"/>
            <w:vAlign w:val="bottom"/>
          </w:tcPr>
          <w:p>
            <w:pPr>
              <w:spacing w:after="0"/>
              <w:rPr>
                <w:sz w:val="17"/>
                <w:szCs w:val="17"/>
                <w:color w:val="auto"/>
              </w:rPr>
            </w:pPr>
          </w:p>
        </w:tc>
        <w:tc>
          <w:tcPr>
            <w:tcW w:w="314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4"/>
          </w:tcPr>
          <w:p>
            <w:pPr>
              <w:jc w:val="center"/>
              <w:ind w:right="98"/>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2"/>
        </w:trPr>
        <w:tc>
          <w:tcPr>
            <w:tcW w:w="3480" w:type="dxa"/>
            <w:vAlign w:val="bottom"/>
          </w:tcPr>
          <w:p>
            <w:pPr>
              <w:spacing w:after="0"/>
              <w:rPr>
                <w:sz w:val="15"/>
                <w:szCs w:val="15"/>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w:t>
            </w: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land right assets</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w:t>
            </w:r>
          </w:p>
        </w:tc>
        <w:tc>
          <w:tcPr>
            <w:tcW w:w="14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w:t>
            </w:r>
          </w:p>
        </w:tc>
      </w:tr>
      <w:tr>
        <w:trPr>
          <w:trHeight w:val="212"/>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1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12,406</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35,446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36,35</w:t>
            </w:r>
          </w:p>
        </w:tc>
      </w:tr>
      <w:tr>
        <w:trPr>
          <w:trHeight w:val="20"/>
        </w:trPr>
        <w:tc>
          <w:tcPr>
            <w:tcW w:w="3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related to the land right intangibles, as well as variable lease costs and the Company's operating lease costs are recorded within land rights and ground lease expense in the condensed consolidated statements of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Disclosures Related to Leases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7"/>
              </w:rPr>
              <w:t>September 30, 2024</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 operating leases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123"/>
              <w:spacing w:after="0"/>
              <w:rPr>
                <w:sz w:val="20"/>
                <w:szCs w:val="20"/>
                <w:color w:val="auto"/>
              </w:rPr>
            </w:pPr>
            <w:r>
              <w:rPr>
                <w:rFonts w:ascii="Times New Roman" w:cs="Times New Roman" w:eastAsia="Times New Roman" w:hAnsi="Times New Roman"/>
                <w:sz w:val="17"/>
                <w:szCs w:val="17"/>
                <w:color w:val="auto"/>
              </w:rPr>
              <w:t>49.98 years</w:t>
            </w:r>
          </w:p>
        </w:tc>
        <w:tc>
          <w:tcPr>
            <w:tcW w:w="3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 - operating leases</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center"/>
              <w:ind w:left="118"/>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2"/>
        </w:trPr>
        <w:tc>
          <w:tcPr>
            <w:tcW w:w="6580" w:type="dxa"/>
            <w:vAlign w:val="bottom"/>
            <w:gridSpan w:val="4"/>
          </w:tcPr>
          <w:p>
            <w:pPr>
              <w:jc w:val="right"/>
              <w:ind w:right="3"/>
              <w:spacing w:after="0"/>
              <w:rPr>
                <w:sz w:val="20"/>
                <w:szCs w:val="20"/>
                <w:color w:val="auto"/>
              </w:rPr>
            </w:pPr>
            <w:r>
              <w:rPr>
                <w:rFonts w:ascii="Times New Roman" w:cs="Times New Roman" w:eastAsia="Times New Roman" w:hAnsi="Times New Roman"/>
                <w:sz w:val="17"/>
                <w:szCs w:val="17"/>
                <w:color w:val="auto"/>
              </w:rPr>
              <w:t>Supplemental cash flow information related to the Company's operating leases was as follows: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w:t>
            </w:r>
          </w:p>
        </w:tc>
        <w:tc>
          <w:tcPr>
            <w:tcW w:w="21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246"/>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85"/>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xml:space="preserve">Operating cash flows from operating leases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415</w:t>
            </w: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1,244</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1,215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100" w:firstLine="622"/>
        <w:spacing w:after="0" w:line="263" w:lineRule="auto"/>
        <w:tabs>
          <w:tab w:leader="none" w:pos="777"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Company's cash paid for operating leases is significantly less than the lease cost for the same period due to the majority of the Company's ground lease rent being paid directly to the ground lessors by the Company's tenants. Although the Company expends no cash related to these leases, they are required to</w:t>
      </w:r>
    </w:p>
    <w:p>
      <w:pPr>
        <w:spacing w:after="0" w:line="190" w:lineRule="auto"/>
        <w:rPr>
          <w:sz w:val="20"/>
          <w:szCs w:val="20"/>
          <w:color w:val="auto"/>
        </w:rPr>
      </w:pPr>
      <w:r>
        <w:rPr>
          <w:rFonts w:ascii="Times New Roman" w:cs="Times New Roman" w:eastAsia="Times New Roman" w:hAnsi="Times New Roman"/>
          <w:sz w:val="16"/>
          <w:szCs w:val="16"/>
          <w:color w:val="auto"/>
        </w:rPr>
        <w:t>be grossed up in the Company's condensed consolidated financial statements under ASC 842.</w:t>
      </w:r>
    </w:p>
    <w:p>
      <w:pPr>
        <w:ind w:left="620"/>
        <w:spacing w:after="0"/>
        <w:rPr>
          <w:sz w:val="20"/>
          <w:szCs w:val="20"/>
          <w:color w:val="auto"/>
        </w:rPr>
      </w:pP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Financing Lease Liabilities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connection with the acquisition of certain real property assets included in the Maryland Live! Lease and the Strategic Gaming Leases, the Company acquired the rights to land subject to long-term ground leases which expire in June 2111 and April 2062, respectively. As these leases were accounted for as Investment in leases, financing receivables, the underlying ground leases were accounted for as Financing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September 30, 2024, payments under the Company's financing lease liabilities were as follows (in thousands):</w:t>
      </w:r>
    </w:p>
    <w:p>
      <w:pPr>
        <w:spacing w:after="0" w:line="200" w:lineRule="exact"/>
        <w:rPr>
          <w:sz w:val="20"/>
          <w:szCs w:val="20"/>
          <w:color w:val="auto"/>
        </w:rPr>
      </w:pPr>
    </w:p>
    <w:p>
      <w:pPr>
        <w:spacing w:after="0" w:line="343" w:lineRule="exact"/>
        <w:rPr>
          <w:sz w:val="20"/>
          <w:szCs w:val="20"/>
          <w:color w:val="auto"/>
        </w:rPr>
      </w:pPr>
    </w:p>
    <w:tbl>
      <w:tblPr>
        <w:tblLayout w:type="fixed"/>
        <w:tblInd w:w="1860" w:type="dxa"/>
        <w:tblCellMar>
          <w:top w:w="0" w:type="dxa"/>
          <w:left w:w="0" w:type="dxa"/>
          <w:bottom w:w="0" w:type="dxa"/>
          <w:right w:w="0" w:type="dxa"/>
        </w:tblCellMar>
      </w:tblP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(remainder of year)</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313,822</w:t>
            </w:r>
          </w:p>
        </w:tc>
      </w:tr>
      <w:tr>
        <w:trPr>
          <w:trHeight w:val="21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325,386</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(264,713)</w:t>
            </w: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finance lease liabilities</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60,673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4" w:name="page25"/>
    <w:bookmarkEnd w:id="24"/>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Long-term Debt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$1,750 million revolver</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Credit Facility due September 2027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$400 million 3.350% senior unsecured notes due September 2024</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$850 million 5.250% senior unsecured notes due June 2025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$975 million 5.375% senior unsecured notes due April 2026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$500 million 5.750% senior unsecured notes due June 2028</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$750 million 5.300% senior unsecured notes due January 2029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3.250% senior unsecured notes due January 2032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$400 million 6.750% senior unsecured notes due December 2033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September 2034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$400 million 6.250% senior unsecured notes due September 2054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7,475,317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6,675,434</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 bond premiums and original issuance discounts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(47,884)</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bond premiums and original issuance discounts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7,413,012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6,627,550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schedule of future minimum repayments of long-term debt as of September 30, 2024 (in thousands):</w:t>
      </w:r>
    </w:p>
    <w:p>
      <w:pPr>
        <w:spacing w:after="0" w:line="285" w:lineRule="exact"/>
        <w:rPr>
          <w:sz w:val="20"/>
          <w:szCs w:val="20"/>
          <w:color w:val="auto"/>
        </w:rPr>
      </w:pPr>
    </w:p>
    <w:tbl>
      <w:tblPr>
        <w:tblLayout w:type="fixed"/>
        <w:tblInd w:w="2140" w:type="dxa"/>
        <w:tblCellMar>
          <w:top w:w="0" w:type="dxa"/>
          <w:left w:w="0" w:type="dxa"/>
          <w:bottom w:w="0" w:type="dxa"/>
          <w:right w:w="0" w:type="dxa"/>
        </w:tblCellMar>
      </w:tblP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2024</w:t>
            </w: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year)</w:t>
            </w: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850,164</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975,114</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19"/>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Over 5 years</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4,550,000</w:t>
            </w:r>
          </w:p>
        </w:tc>
      </w:tr>
      <w:tr>
        <w:trPr>
          <w:trHeight w:val="23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4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7,475,317</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Credit Agreement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Subject to customary conditions, including pro forma compliance with financial covenants, GLP Capital can obtain additional term loan commitments and incur incremental term loans under the Term Loan Credit Agreement, so long as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5" w:name="page26"/>
    <w:bookmarkEnd w:id="25"/>
    <w:p>
      <w:pPr>
        <w:jc w:val="both"/>
        <w:spacing w:after="0" w:line="287" w:lineRule="auto"/>
        <w:rPr>
          <w:sz w:val="20"/>
          <w:szCs w:val="20"/>
          <w:color w:val="auto"/>
        </w:rPr>
      </w:pPr>
      <w:r>
        <w:rPr>
          <w:rFonts w:ascii="Times New Roman" w:cs="Times New Roman" w:eastAsia="Times New Roman" w:hAnsi="Times New Roman"/>
          <w:sz w:val="17"/>
          <w:szCs w:val="17"/>
          <w:color w:val="auto"/>
        </w:rPr>
        <w:t>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and Fees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September 30, 2024 was 6.50%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and Prepayments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terminated on August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Certain Covenants and Events of Default</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September 30, 2024, the Company was in compliance with all required financial covenants under the Term Loan Credit Facility.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Credit Agreement and Amended Credit Agreement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May 13, 2022, GLP Capital entered into a credit agreement (the "Credit Agreement") providing for a $1.75 billion revolving credit facility (the "Initial Revolving Credit Facility") maturing in May 2026, plus two six-month extensions at GLP Capital's option.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is guaranteed by GLPI.</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September 2, 2022, GLP Capital entered into an amendment to the Credit Agreement among GLP Capital, Wells Fargo Bank, National Association, as administrative agent (“Agent”), and the several banks and other financial institutions or entities party thereto (the Credit Agreement,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6" w:name="page27"/>
    <w:bookmarkEnd w:id="26"/>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September 30, 2024, no amounts were outstanding under the Amended Credit Agreement. Additionally, at September 30, 2024, the Company was contingently obligated under letters of credit issued pursuant to the Amended Credit Agreement with face amounts aggregating approximately $0.4 million, resulting in $1,749.6 million of available borrowing capacity under the Amended Credit Agreement as of September 30, 2024.</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w:t>
      </w:r>
    </w:p>
    <w:p>
      <w:pPr>
        <w:spacing w:after="0" w:line="20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September 30, 2024, the Company was in compliance with all required financial covenants under the Amended Credit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At September 30, 2024, the Company had $6,875.0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In August 2024, the Company issued $800 million of 5.625% Senior Notes that will mature on September 15, 2034 at an issue price equal to 99.094% of the principal amount and $400 million of 6.250% Senior Notes that will mature on September 15, 2054 at an issue price equal to 99.183% of the principal amount. The Company plans to use the net proceeds for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7" w:name="page28"/>
    <w:bookmarkEnd w:id="27"/>
    <w:p>
      <w:pPr>
        <w:jc w:val="both"/>
        <w:spacing w:after="0" w:line="271" w:lineRule="auto"/>
        <w:rPr>
          <w:sz w:val="20"/>
          <w:szCs w:val="20"/>
          <w:color w:val="auto"/>
        </w:rPr>
      </w:pPr>
      <w:r>
        <w:rPr>
          <w:rFonts w:ascii="Times New Roman" w:cs="Times New Roman" w:eastAsia="Times New Roman" w:hAnsi="Times New Roman"/>
          <w:sz w:val="17"/>
          <w:szCs w:val="17"/>
          <w:color w:val="auto"/>
        </w:rPr>
        <w:t>working capital and general corporate purposes, which may include the funding of announced transactions, development and improvement of properties, repayment of indebtedness, capital expenditures and other general business purposes.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month period ended September 30, 2024, the Company redeemed its $400 million 3.350% senior unsecured notes due September 2024.</w:t>
      </w:r>
    </w:p>
    <w:p>
      <w:pPr>
        <w:spacing w:after="0" w:line="140"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1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7"/>
          <w:szCs w:val="17"/>
          <w:i w:val="1"/>
          <w:iCs w:val="1"/>
          <w:color w:val="auto"/>
        </w:rPr>
        <w:t>pari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passu </w:t>
      </w:r>
      <w:r>
        <w:rPr>
          <w:rFonts w:ascii="Times New Roman" w:cs="Times New Roman" w:eastAsia="Times New Roman" w:hAnsi="Times New Roman"/>
          <w:sz w:val="17"/>
          <w:szCs w:val="17"/>
          <w:color w:val="auto"/>
        </w:rPr>
        <w:t>in right of payment with all of the Issuers' senior indebtedness, including the Amended Credit Agreement, and senior in right of payment to all of the Issuers'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subordinated indebtedness, without giving effect to collateral arrangements.</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September 30, 2024, the Company was in compliance with all required financial covenants under its Senior Notes.</w:t>
      </w:r>
    </w:p>
    <w:p>
      <w:pPr>
        <w:spacing w:after="0" w:line="23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Fair Value of Financial Assets and Liabilities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establishes a hierarchy that prioritizes fair value measurements based on the types of inputs used for the various valuation techniques (i.e. market approach, income approach, and cost approach). The levels of the hierarchy related to the subjectivity of the valuation inputs are described below:</w:t>
      </w:r>
    </w:p>
    <w:p>
      <w:pPr>
        <w:spacing w:after="0" w:line="200"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 for identical assets or liabilities.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reflect the reporting entity's own assumptions, as there is little, if any, related market activity.</w:t>
      </w:r>
    </w:p>
    <w:p>
      <w:pPr>
        <w:spacing w:after="0" w:line="243" w:lineRule="exact"/>
        <w:rPr>
          <w:sz w:val="20"/>
          <w:szCs w:val="20"/>
          <w:color w:val="auto"/>
        </w:rPr>
      </w:pPr>
    </w:p>
    <w:p>
      <w:pPr>
        <w:ind w:firstLine="194"/>
        <w:spacing w:after="0" w:line="287" w:lineRule="auto"/>
        <w:rPr>
          <w:sz w:val="20"/>
          <w:szCs w:val="20"/>
          <w:color w:val="auto"/>
        </w:rPr>
      </w:pPr>
      <w:r>
        <w:rPr>
          <w:rFonts w:ascii="Times New Roman" w:cs="Times New Roman" w:eastAsia="Times New Roman" w:hAnsi="Times New Roman"/>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methods and assumptions are used to estimate the fair value of each class of financial instruments for which it is practicable to estimate.</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Company’s cash and cash equivalents approximates the carrying value of the Company’s cash and cash equivalents, due to the short maturity of the cash equivalents.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7"/>
          <w:szCs w:val="17"/>
          <w:i w:val="1"/>
          <w:iCs w:val="1"/>
          <w:color w:val="auto"/>
        </w:rPr>
        <w:t>Investment securities held to maturity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discussed in Note 2, in August 2024, the Company purchased U.S. Treasury Bills that will mature in January 2025. The fair value of the investment (which approximated its carrying value) is disclosed below and is based on quoted prices in active markets and as such is a Level 1 measurement as defined in ASC 820.</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financing receivables,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Company's investment in leases, financing receivables, net is based on the estimated value of the underlying real estate property the Company owns related to the applicable leases. The initial fair value was the price paid by the Company to acquire the real estate. This value is then adjusted for changes in the commercial real estate price index and as such is a Level 3 measurement as defined under ASC 820.</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sales type,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Company's investment in leases, sales type, net was based on a third party valuation report which utilized both market based and income based valuation approaches to value the underlying land related to the applicable lease. As such, this was determined to be a Level 3 measurement as defined under ASC 820.</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Deferred compensation plan assets</w:t>
      </w:r>
    </w:p>
    <w:p>
      <w:pPr>
        <w:spacing w:after="0" w:line="24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Real estate loans, net</w:t>
      </w:r>
    </w:p>
    <w:p>
      <w:pPr>
        <w:spacing w:after="0" w:line="234"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The Company's real estate loans bear interest at a fixed rate. The fair value disclosed in the table below is estimated based on the present value of the loans' future cash flows using a discounted cash flow analysis. The fair value of the loans is subject to fluctuations from changes in market interest rates at each reporting period and the fair value measurement is considered a Level 3 measurement as defined in ASC 820.</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the Senior Notes are estimated based on quoted prices in active markets and as such is a Level 1 measurement as defined under ASC</w:t>
      </w:r>
    </w:p>
    <w:p>
      <w:pPr>
        <w:spacing w:after="0" w:line="28" w:lineRule="exact"/>
        <w:rPr>
          <w:sz w:val="20"/>
          <w:szCs w:val="20"/>
          <w:color w:val="auto"/>
        </w:rPr>
      </w:pPr>
    </w:p>
    <w:p>
      <w:pPr>
        <w:ind w:firstLine="3"/>
        <w:spacing w:after="0" w:line="266" w:lineRule="auto"/>
        <w:tabs>
          <w:tab w:leader="none" w:pos="35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the obligations in our Amended Credit Agreement and Term Loan Credit Facility is based on indicative pricing from market information (Level 2 inputs).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fair values of the Company’s financial instruments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22"/>
        </w:trPr>
        <w:tc>
          <w:tcPr>
            <w:tcW w:w="5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458"/>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98"/>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6"/>
                <w:szCs w:val="16"/>
                <w:color w:val="auto"/>
              </w:rPr>
            </w:pPr>
          </w:p>
        </w:tc>
        <w:tc>
          <w:tcPr>
            <w:tcW w:w="9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0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494,135</w:t>
            </w:r>
          </w:p>
        </w:tc>
        <w:tc>
          <w:tcPr>
            <w:tcW w:w="100" w:type="dxa"/>
            <w:vAlign w:val="bottom"/>
          </w:tcPr>
          <w:p>
            <w:pPr>
              <w:spacing w:after="0"/>
              <w:rPr>
                <w:sz w:val="22"/>
                <w:szCs w:val="22"/>
                <w:color w:val="auto"/>
              </w:rPr>
            </w:pP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494,135</w:t>
            </w:r>
          </w:p>
        </w:tc>
        <w:tc>
          <w:tcPr>
            <w:tcW w:w="1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683,983</w:t>
            </w:r>
          </w:p>
        </w:tc>
        <w:tc>
          <w:tcPr>
            <w:tcW w:w="100" w:type="dxa"/>
            <w:vAlign w:val="bottom"/>
          </w:tcPr>
          <w:p>
            <w:pPr>
              <w:spacing w:after="0"/>
              <w:rPr>
                <w:sz w:val="22"/>
                <w:szCs w:val="22"/>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683,983</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securities held to maturity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554,106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2,313,775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2,023,606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1,969,326</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257,207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Real estate loans, net</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158,854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40,299</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32,894</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Amended Credit Agreement and Term Loan Credit Facility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Senior Notes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5,816,919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Nonrecurring Basis</w:t>
      </w:r>
    </w:p>
    <w:p>
      <w:pPr>
        <w:spacing w:after="0" w:line="15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As discussed in Note 1, during the three and nine months ended September 30, 2024, the Company amended the Tropicana Las Vegas Lease due to a change in rent terms resulting from funding certain demolition costs at the site for Bally's. The lease was reassessed from an accounting perspective which resulted in the amended lease being accounted for as a sales type lease whereas previously it had been treated as an operating lease. The sales type lease was recorded at the estimated fair value of the land at the reassessment date based on a third party valuation report. This report utilized a combination of comparable land sales for its market based valuation approach as well as rent multiple capitalization rates for its income valuation approach to determine an estimated fair value which resulted in a $3.8 million gain. There were no other assets or liabilities measured at fair value on a nonrecurring basis during the nine months ended September 30, 2024 and 2023.</w:t>
      </w:r>
    </w:p>
    <w:p>
      <w:pPr>
        <w:spacing w:after="0" w:line="200" w:lineRule="exact"/>
        <w:rPr>
          <w:sz w:val="20"/>
          <w:szCs w:val="20"/>
          <w:color w:val="auto"/>
        </w:rPr>
      </w:pPr>
    </w:p>
    <w:p>
      <w:pPr>
        <w:spacing w:after="0" w:line="272" w:lineRule="exact"/>
        <w:rPr>
          <w:sz w:val="20"/>
          <w:szCs w:val="20"/>
          <w:color w:val="auto"/>
        </w:rPr>
      </w:pPr>
    </w:p>
    <w:p>
      <w:pPr>
        <w:ind w:right="8500" w:firstLine="3"/>
        <w:spacing w:after="0" w:line="524" w:lineRule="auto"/>
        <w:tabs>
          <w:tab w:leader="none" w:pos="30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w:t>
      </w:r>
    </w:p>
    <w:p>
      <w:pPr>
        <w:spacing w:after="0" w:line="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These matters are subject to indemnification and defense obligations by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Funding commitments</w:t>
      </w:r>
    </w:p>
    <w:p>
      <w:pPr>
        <w:spacing w:after="0" w:line="24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 Company has agreed to a funding mechanism to support PENN's pursuit of relocation and development opportunities at several of the properties included in the PENN 2023 Master Lease. The Company agreed to fund up to $225 million for the relocation of PENN's Hollywood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 The funding commitment expires on January 1, 2026.</w:t>
      </w:r>
    </w:p>
    <w:p>
      <w:pPr>
        <w:spacing w:after="0" w:line="198"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See Note 1 for a discussion on the potential future funding commitments the Company may have in connection with the possible future transaction with Bally's and the Athletics at the Tropicana Site. Additionally, the Company has agreed to fund construction hard costs for Bally's Chicago of up to $940.0 million at an 8.5% initial cash yield.</w:t>
      </w:r>
    </w:p>
    <w:p>
      <w:pPr>
        <w:spacing w:after="0" w:line="19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As discussed in Note 1, the Company has also committed to provide up to $110 million (of which $13.7 million was funded as of September 30, 2024) of development funding via the Ione Loan. Any borrowings under the Ione Loan will be subject to an interest rate of 11%.</w:t>
      </w:r>
    </w:p>
    <w:p>
      <w:pPr>
        <w:spacing w:after="0" w:line="17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On June 3, 2024, the Company announced that it has agreed to fund and oversee a landside move and hotel renovation of The Belle for Casino Queen. The Company has committed to provide up to approximately $111 million of funding for the project (of which $15 million has been funded as of September 30, 2024), which is expected to be completed by September 2025. The casino will continue to operate during the construction period except while gaming equipment is being moved to the new facility. The Company will own the new facility and Casino Queen will pay an incremental rental yield of 9% on the development funding beginning a year from the initial disbursement of funds, which occurred on May 30, 2024.</w:t>
      </w:r>
    </w:p>
    <w:p>
      <w:pPr>
        <w:spacing w:after="0" w:line="201"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Finally, the Company has agreed and anticipates funding certain construction costs of a landside development project at Casino Queen Marquette for an amount not to exceed $12.5 million.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0" w:name="page31"/>
    <w:bookmarkEnd w:id="30"/>
    <w:p>
      <w:pPr>
        <w:jc w:val="both"/>
        <w:ind w:right="9260" w:firstLine="3"/>
        <w:spacing w:after="0" w:line="540" w:lineRule="auto"/>
        <w:tabs>
          <w:tab w:leader="none" w:pos="387"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Revenues from Real Estate</w:t>
      </w:r>
    </w:p>
    <w:p>
      <w:pPr>
        <w:spacing w:after="0" w:line="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As of September 30, 2024, 14 of the Company’s real estate investment properties were leased to a subsidiary of PENN under the Amended PENN Master Lease, 7 of the Company's real estate investment properties were leased to a subsidiary under the PENN 2023 Master Lease, 12 of the Company's real estate investment properties were leased to a subsidiary of PENN under the Amended Pinnacle Master Lease, 5 of the Company's real estate investment properties were leased to a subsidiary of Caesars under the Third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Cordish under the Pennsylvania Live! Master Lease, 4 of the Company's real estate properties were leased to a subsidiary of Casino Queen under the Third Amended and Restated Casino Queen Master Lease and 3 of the Company's real estate investment properties were leased to subsidiaries of Strategic under the Strategic Gaming Leases. Additionally, the land under PENN's Hollywood Casino Morgantown is subject to the Morgantown Lease and the land under the Bally's Chicago development project is subject to the Bally's Chicago Land Lease. Finally, the Company has single property triple net leases with Caesars under the Horseshoe St. Louis Lease, Boyd under the Belterra Park Lease, Cordish under the Maryland Live! Lease, Bally's under the Tropicana Las Vegas Lease, American Racing under the Tioga Downs Lease, and 815 Entertainment under the Rockford 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obligations under the Amended PENN Master Lease, the PENN 2023 Master Lease and Amended Pinnacle Master Lease, as well as the Morgantown Lease, are guaranteed by PENN and, with respect to each lease, jointly and severally by PENN's subsidiaries that occupy and operate the facilities covered by such lease. Similarly, the obligations under the Third Amended and Restated Caesars Master Lease, the Horseshoe St. Louis Lease, the Third Amended and Restated Casino Queen Master Lease, the Bally's Master Lease, the Bally's Chicago Land Lease, the Strategic Gaming Leases and the Tioga Downs Lease are each jointly and severally guaranteed by the applicable parent company and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the Pennsylvania Live! Master Lease, the Belterra Park Lease and the Rockford Lease are jointly and severally guaranteed by the subsidiaries that occupy and operate the facilities.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Rent</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five years to an amount equal to 4% of the average net revenues of all facilities under the Amended PENN Master Lease during the preceding five years in excess of a contractual baseline.</w:t>
      </w:r>
    </w:p>
    <w:p>
      <w:pPr>
        <w:spacing w:after="0" w:line="11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Similar to the Amended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On December 18, 2020 and November 13, 2023, amendments became effective to the Amended and Restated Caesars Master Lease and Second Amended and Restated Master Lease, respectively, as described more fully in Note 1. These modifications were each accounted for as a new lease which the Company concluded continued to meet the criteria for operating lease treatment. As a result, the existing deferred revenue at the time of the amendments are being recognized over the Amended and Restated Caesars Master Lease's new initial lease term, which expires in September 2038. The Company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and each lease year thereafter. In addition, the guaranteed fixed escalations in the new initial lease term are recognized on a straight-line basis.</w:t>
      </w:r>
    </w:p>
    <w:p>
      <w:pPr>
        <w:spacing w:after="0" w:line="23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Morgantown Lease became effective on October 1, 2020 whereby the Company is leasing the land under PENN's gaming facility and the initial rent on the opening date and on each anniversary thereafter for each of the following three lease years shall be increased by 1.5% annually (on a prorated basis for the remainder of the lease year in which the gaming facility opens), and commencing on the fourth anniversary of the opening date and for each anniversary thereafter,</w:t>
      </w:r>
    </w:p>
    <w:p>
      <w:pPr>
        <w:jc w:val="both"/>
        <w:ind w:firstLine="3"/>
        <w:spacing w:after="0" w:line="259" w:lineRule="auto"/>
        <w:tabs>
          <w:tab w:leader="none" w:pos="24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Rent under the Third Amended and Restated Casino Queen Master Lease increases annually by 0.5% for lease years two through six. Beginning with the seventh lease year through the remainder of the lease term, if the CPI increases by at least 0.25% for any lease year then annual rent shall be increased by 1.25%, and if the CPI increase is less than 0.25%, rent will remain unchanged for such lease year. Additionally, the Company's landside development project at Casino Queen Baton Rouge was completed in late August 2023 and the rent was adjusted to reflect a yield of 8.25% on GLPI's project costs of $77 million. The Company also acquired the land and certain improvements at Casino Queen Marquette for $32.72 million as of September 6, 2023. The annual rent was increased by $2.7 million for this acquisition. Additionally, the Company anticipates funding certain construction costs for an amount not to exceed $12.5 million, for a landside development project at Casino Queen Marquette.</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Bally's Master Lease became effective on June 3, 2021 and rent is subject to contractual escalations based on the CPI, with a 1% floor and a 2% ceiling, subject to the CPI meeting a 0.5% threshold. The Company completed the acquisitions of the real estate assets of Bally's Biloxi and Bally's Tiverton on January 3, 2023 and Bally's Black Hawk and Bally's Quad Cities on April 1, 2022. The existing Bally's Master Lease was amended to add these properties with annual rent increases subject to the escalation clauses described above.</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previously discussed the Company assumed the ground lease for the Chicago land for approximately $250 million and entered into the Bally's Chicago Land Lease. The lease is cross-defaulted with the construction development funding agreement. Upon completion of the improvements and acquisition of the land, GLPI expects to own substantially all of the real estate land and funded improvements related to the Chicago casino and hotel for a total investment of $1.19 billion. Rental income on the land and development funding is being deferred until the project is substantially complete and ready for its intended use. Income deferred on the project is recorded in construction in progress and totaled $1.1 million for the three and nine months ended September 30, 2024, respectively.</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December 29, 2021, the Maryland Live! Lease with Cordish became effective, with annual rent increasing by 1.75% upon the second anniversary of the lease commencement. The Pennsylvania Live! Master Lease with Cordish became effective March 1, 2022 with annual rent increasing by 1.75% upon the second anniversary of the lease commencement. These leases were accounted for as an Investment in leases, financing receivables. See Note 3 for the further information including the future annual cash payments to be received under these leases.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2" w:name="page33"/>
    <w:bookmarkEnd w:id="32"/>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 As discussed in Note 1, in late August 2024, the Tropicana Las Vegas Lease was reconsidered due to a change in rent terms which resulted in the lease being accounted for as a sales type lease.</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development project in Rockford, IL. Simultaneously with the land acquisition, the Company entered into the Rockford Lease which has a 99-year term and initial annual rent is subject to fixed 2% annual escalation beginning with the lease's first anniversary and for the entirety of its term.</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February 6, 2024, the Company announced it had acquired the real estate assets of Tioga Downs. Simultaneously with the acquisition, The Company entered into the Tioga Downs Lease which has an initial lease term of 30 years and initial annual rent that is subject to annual fixed escalations of 1.75% beginning with the first anniversary which increases to 2% beginning in year fifteen of the lease through the remainder of its initial term.</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DMG, and Baldini's. Simultaneous with the acquisition, the Company and affiliates of Strategic entered into the Strategic Gaming Leases. The rent is subject to a fixed 2.0% annual escalation beginning in year three of the lease and a CPI-based annual escalation beginning in year 11 of the lease, at the greater of 2% or CPI capped at 2.5%.</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Furthermore, certain of the Company's leases with percentage rent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the Amended Pinnacle Master Lease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went into effect at the November 1, 2023 reset.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terms</w:t>
      </w: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ASC 842, the Company is required at lease inception (and if applicable at a lease reassessment date) to determine the term of the lease. This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requires concluding whether it is reasonably assured that our tenants will exercise their renewal options contained within the lease. The initial lease term is a key judgment that is 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Since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formation of the Company on November 1, 2013, the Company has amended or reassessed seven of its current leases. All of these reassessments were the</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result of significant lease amendments and were completed during the initial lease terms and prior to any renewal options. Additionally, Pinnacle sold its operations to PENN for fair value whose underlying real estate for the casino operations were leased from the Company.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and nine months ended September 30, 2024 was as follows (in thousands):</w:t>
      </w:r>
    </w:p>
    <w:p>
      <w:pPr>
        <w:spacing w:after="0" w:line="22"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80" w:type="dxa"/>
            <w:vAlign w:val="bottom"/>
          </w:tcPr>
          <w:p>
            <w:pPr>
              <w:spacing w:after="0"/>
              <w:rPr>
                <w:sz w:val="13"/>
                <w:szCs w:val="13"/>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180" w:type="dxa"/>
            <w:vAlign w:val="bottom"/>
          </w:tcPr>
          <w:p>
            <w:pPr>
              <w:spacing w:after="0"/>
              <w:rPr>
                <w:sz w:val="16"/>
                <w:szCs w:val="16"/>
                <w:color w:val="auto"/>
              </w:rPr>
            </w:pPr>
          </w:p>
        </w:tc>
        <w:tc>
          <w:tcPr>
            <w:tcW w:w="15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base 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857,963</w:t>
            </w: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base rent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131,676</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rent and other rental revenue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52,258</w:t>
            </w:r>
          </w:p>
        </w:tc>
      </w:tr>
      <w:tr>
        <w:trPr>
          <w:trHeight w:val="21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 on real estate loans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6,268</w:t>
            </w:r>
          </w:p>
        </w:tc>
      </w:tr>
      <w:tr>
        <w:trPr>
          <w:trHeight w:val="21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1,048,165</w:t>
            </w: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 adjustments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46,262</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Ground rent in revenue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25,751</w:t>
            </w:r>
          </w:p>
        </w:tc>
      </w:tr>
      <w:tr>
        <w:trPr>
          <w:trHeight w:val="21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21,753</w:t>
            </w: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1,141,931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2024, the future minimum rental income from the Company's rental properties under non-cancelable operating leases, including any reasonably assured renewal periods, was as follows (in thousands):</w:t>
      </w:r>
    </w:p>
    <w:p>
      <w:pPr>
        <w:spacing w:after="0" w:line="9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Future Rental</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Straight-Line Rent</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Future Base Ground</w:t>
            </w:r>
          </w:p>
        </w:tc>
        <w:tc>
          <w:tcPr>
            <w:tcW w:w="100" w:type="dxa"/>
            <w:vAlign w:val="bottom"/>
          </w:tcPr>
          <w:p>
            <w:pPr>
              <w:spacing w:after="0"/>
              <w:rPr>
                <w:sz w:val="13"/>
                <w:szCs w:val="13"/>
                <w:color w:val="auto"/>
              </w:rPr>
            </w:pPr>
          </w:p>
        </w:tc>
        <w:tc>
          <w:tcPr>
            <w:tcW w:w="14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Future Income to be</w:t>
            </w:r>
          </w:p>
        </w:tc>
        <w:tc>
          <w:tcPr>
            <w:tcW w:w="0" w:type="dxa"/>
            <w:vAlign w:val="bottom"/>
          </w:tcPr>
          <w:p>
            <w:pPr>
              <w:spacing w:after="0"/>
              <w:rPr>
                <w:sz w:val="1"/>
                <w:szCs w:val="1"/>
                <w:color w:val="auto"/>
              </w:rPr>
            </w:pPr>
          </w:p>
        </w:tc>
      </w:tr>
      <w:tr>
        <w:trPr>
          <w:trHeight w:val="142"/>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Recognized Related to</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Payments Receivable</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Adjustments (1)</w:t>
            </w:r>
          </w:p>
        </w:tc>
        <w:tc>
          <w:tcPr>
            <w:tcW w:w="10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Rents Receivable</w:t>
            </w:r>
          </w:p>
        </w:tc>
        <w:tc>
          <w:tcPr>
            <w:tcW w:w="100" w:type="dxa"/>
            <w:vAlign w:val="bottom"/>
          </w:tcPr>
          <w:p>
            <w:pPr>
              <w:spacing w:after="0"/>
              <w:rPr>
                <w:sz w:val="12"/>
                <w:szCs w:val="12"/>
                <w:color w:val="auto"/>
              </w:rPr>
            </w:pPr>
          </w:p>
        </w:tc>
        <w:tc>
          <w:tcPr>
            <w:tcW w:w="140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Operating Leases</w:t>
            </w:r>
          </w:p>
        </w:tc>
        <w:tc>
          <w:tcPr>
            <w:tcW w:w="0" w:type="dxa"/>
            <w:vAlign w:val="bottom"/>
          </w:tcPr>
          <w:p>
            <w:pPr>
              <w:spacing w:after="0"/>
              <w:rPr>
                <w:sz w:val="1"/>
                <w:szCs w:val="1"/>
                <w:color w:val="auto"/>
              </w:rPr>
            </w:pPr>
          </w:p>
        </w:tc>
      </w:tr>
      <w:tr>
        <w:trPr>
          <w:trHeight w:val="32"/>
        </w:trPr>
        <w:tc>
          <w:tcPr>
            <w:tcW w:w="15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(remainder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327,256</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1,309,300</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1,210,025</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1,105,535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1,159,804</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1,154,942</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5,439,992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33,145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5,529,264</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10,349,696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10,690,591</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tenant improvement allowance that is being amortized over the life of a tenant lease as well as deferred income on the Bally's Chicago Land Lease.</w:t>
      </w:r>
    </w:p>
    <w:p>
      <w:pPr>
        <w:spacing w:after="0" w:line="12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 above presents the cash rent the Company expects to receive from its tenants, including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financing receivables, net. The table above excludes contractual rent payments under the Bally's Chicago Land Lease since the project is under development.</w:t>
      </w:r>
    </w:p>
    <w:p>
      <w:pPr>
        <w:spacing w:after="0" w:line="9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may periodically loan funds to casino operators for the purchase or development of real estate. Interest income related to real estate loans is recorded as income from real estate within the Company's consolidated statements of income in the period earned. See Note 5 for further details.</w:t>
      </w:r>
    </w:p>
    <w:p>
      <w:pPr>
        <w:spacing w:after="0" w:line="3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Earnings Per Share</w:t>
      </w:r>
    </w:p>
    <w:p>
      <w:pPr>
        <w:spacing w:after="0" w:line="21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 xml:space="preserve">The Company calculates earnings per share ("EPS") in accordance with ASC 260 -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("ASC 260"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agreements as described in Note 12.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4" w:name="page35"/>
    <w:bookmarkEnd w:id="34"/>
    <w:p>
      <w:pPr>
        <w:spacing w:after="0" w:line="287" w:lineRule="auto"/>
        <w:rPr>
          <w:sz w:val="20"/>
          <w:szCs w:val="20"/>
          <w:color w:val="auto"/>
        </w:rPr>
      </w:pPr>
      <w:r>
        <w:rPr>
          <w:rFonts w:ascii="Times New Roman" w:cs="Times New Roman" w:eastAsia="Times New Roman" w:hAnsi="Times New Roman"/>
          <w:sz w:val="17"/>
          <w:szCs w:val="17"/>
          <w:color w:val="auto"/>
        </w:rPr>
        <w:t>Company’s performance at quarter-end in the calculation of diluted EPS. Diluted EPS for the Company's common stock is computed using the more dilutive of the two-class method or the treasury stock method.</w:t>
      </w:r>
    </w:p>
    <w:p>
      <w:pPr>
        <w:spacing w:after="0" w:line="177"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2024 and 2023:</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80" w:type="dxa"/>
            <w:vAlign w:val="bottom"/>
            <w:gridSpan w:val="3"/>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22"/>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14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5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Determination of shares: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272,265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262,512</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restricted stock awards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conversion of performance-based restricted stock awards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Dilution attributable to equity forward contract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274,798</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264,207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272,851</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263,425</w:t>
            </w:r>
          </w:p>
        </w:tc>
      </w:tr>
      <w:tr>
        <w:trPr>
          <w:trHeight w:val="20"/>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calculation of basic and diluted EPS for the Company’s common stock for the three and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and 2023:</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basic EPS: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184,694</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184,010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567,408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522,991</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participating securities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for earnings per share purposes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184,570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183,893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567,108</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522,697</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262,512</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EPS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06"/>
        </w:trPr>
        <w:tc>
          <w:tcPr>
            <w:tcW w:w="5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diluted EPS: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522,991</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263,425</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8"/>
        </w:trPr>
        <w:tc>
          <w:tcPr>
            <w:tcW w:w="51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Antidilutive securities excluded from the computation of diluted</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 w:name="page36"/>
    <w:bookmarkEnd w:id="35"/>
    <w:p>
      <w:pPr>
        <w:ind w:left="380" w:hanging="377"/>
        <w:spacing w:after="0"/>
        <w:tabs>
          <w:tab w:leader="none" w:pos="38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2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stock</w:t>
      </w:r>
    </w:p>
    <w:p>
      <w:pPr>
        <w:spacing w:after="0" w:line="24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w:t>
      </w:r>
    </w:p>
    <w:p>
      <w:pPr>
        <w:spacing w:after="0" w:line="20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connection with the 2022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During the nine months ended September 30, 2024, the Company sold 3.1 million shares of its common stock under the 2022 ATM Program which raised net proceeds of $148.2 million.</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During the third quarter and subsequent to September 30, 2024, the Company entered into forward sale agreements to sell 8,170,387 shares for a net sales price of $409.3 million. No amounts have been or will be recorded on the Company's balance sheet with respect to these forward sale agreements until settlement. Reflecting the impact of these forward sale agreements, the Company has $34.2 million remaining for issuance under the 2022 ATM Program.</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forward sale agreements require the Company to, at its election prior to one year from the commencement of each forward sale agreement, physically settle the transactions by issuing shares of its common stock to the forward counterparty in exchange for net proceeds at the then applicable forward sale price specified by the forward sale agreements. The forward sale price is subject to adjustment on a daily basis based on a floating interest rate factor and will decrease by other specified fixed amounts.</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Until settlement of the forward sale agreements, earnings per share dilution resulting from the forward sale agreements will be determined under the treasury stock method. Share dilution occurs when the average market price of the Company's common stock is higher than the average forward sales price (which is reduced by the maximum specified fixed amounts in the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24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partial consideration for the closing of various real property assets over the past few years, the Company's operating partnership has issued OP Units. The OP Units are exchangeable for common shares of the Company on a one-for-one basis, subject to certain terms and conditions. As partial consideration for the closing of the real property assets under the Tioga Downs Lease that occurred on February 6, 2024, the Company’s operating partnership issued 434,304 newly-issued OP units to an affiliate of Tioga Downs which were valued at $19.6 million. As of September 30, 2024, the Company holds a 97.2%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$6.1 million and $18.4 million in distributions to the non-controlling interest holders concurrently with the dividends paid to the Company's common shareholders, during the three and nine month periods ended September 30, 2024, respectively. The Company paid $5.6 million and $18.5 million in distributions to the non-controlling interest holders concurrently with the dividends paid to the Company's common shareholders, during the three and nine month periods ended September 30,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lists the dividends declared and paid by the Company during the nine months ended September 30, 2024 and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 Record Date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Dividend</w:t>
            </w: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b w:val="1"/>
                <w:bCs w:val="1"/>
                <w:color w:val="auto"/>
              </w:rPr>
              <w:t>Period Covered</w:t>
            </w:r>
          </w:p>
        </w:tc>
        <w:tc>
          <w:tcPr>
            <w:tcW w:w="20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Dividend Amount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w w:val="93"/>
              </w:rPr>
              <w:t>2024</w:t>
            </w: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26, 2024</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15, 2024</w:t>
            </w:r>
          </w:p>
        </w:tc>
        <w:tc>
          <w:tcPr>
            <w:tcW w:w="10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First Quarter 2024</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29, 2024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$206,340</w:t>
            </w:r>
          </w:p>
        </w:tc>
        <w:tc>
          <w:tcPr>
            <w:tcW w:w="0" w:type="dxa"/>
            <w:vAlign w:val="bottom"/>
          </w:tcPr>
          <w:p>
            <w:pPr>
              <w:spacing w:after="0"/>
              <w:rPr>
                <w:sz w:val="1"/>
                <w:szCs w:val="1"/>
                <w:color w:val="auto"/>
              </w:rPr>
            </w:pPr>
          </w:p>
        </w:tc>
      </w:tr>
      <w:tr>
        <w:trPr>
          <w:trHeight w:val="203"/>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9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20, 2024</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7, 2024</w:t>
            </w:r>
          </w:p>
        </w:tc>
        <w:tc>
          <w:tcPr>
            <w:tcW w:w="1040" w:type="dxa"/>
            <w:vAlign w:val="bottom"/>
            <w:gridSpan w:val="2"/>
            <w:shd w:val="clear" w:color="auto" w:fill="CCEEFF"/>
          </w:tcPr>
          <w:p>
            <w:pPr>
              <w:jc w:val="center"/>
              <w:ind w:right="100"/>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shd w:val="clear" w:color="auto" w:fill="CCEEFF"/>
          </w:tcPr>
          <w:p>
            <w:pPr>
              <w:spacing w:after="0"/>
              <w:rPr>
                <w:sz w:val="13"/>
                <w:szCs w:val="13"/>
                <w:color w:val="auto"/>
              </w:rPr>
            </w:pP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 2024</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21, 2024</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$206,340</w:t>
            </w:r>
          </w:p>
        </w:tc>
        <w:tc>
          <w:tcPr>
            <w:tcW w:w="0" w:type="dxa"/>
            <w:vAlign w:val="bottom"/>
          </w:tcPr>
          <w:p>
            <w:pPr>
              <w:spacing w:after="0"/>
              <w:rPr>
                <w:sz w:val="1"/>
                <w:szCs w:val="1"/>
                <w:color w:val="auto"/>
              </w:rPr>
            </w:pPr>
          </w:p>
        </w:tc>
      </w:tr>
      <w:tr>
        <w:trPr>
          <w:trHeight w:val="205"/>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August 28, 2024</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September 13, 2024</w:t>
            </w:r>
          </w:p>
        </w:tc>
        <w:tc>
          <w:tcPr>
            <w:tcW w:w="10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Third Quarter 2024</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September 27, 2024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$208,538</w:t>
            </w:r>
          </w:p>
        </w:tc>
        <w:tc>
          <w:tcPr>
            <w:tcW w:w="0" w:type="dxa"/>
            <w:vAlign w:val="bottom"/>
          </w:tcPr>
          <w:p>
            <w:pPr>
              <w:spacing w:after="0"/>
              <w:rPr>
                <w:sz w:val="1"/>
                <w:szCs w:val="1"/>
                <w:color w:val="auto"/>
              </w:rPr>
            </w:pPr>
          </w:p>
        </w:tc>
      </w:tr>
      <w:tr>
        <w:trPr>
          <w:trHeight w:val="203"/>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w w:val="93"/>
              </w:rPr>
              <w:t>2023</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9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22, 2023</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10, 2023</w:t>
            </w:r>
          </w:p>
        </w:tc>
        <w:tc>
          <w:tcPr>
            <w:tcW w:w="1040" w:type="dxa"/>
            <w:vAlign w:val="bottom"/>
            <w:gridSpan w:val="2"/>
            <w:shd w:val="clear" w:color="auto" w:fill="CCEEFF"/>
          </w:tcPr>
          <w:p>
            <w:pPr>
              <w:jc w:val="center"/>
              <w:ind w:right="100"/>
              <w:spacing w:after="0" w:line="165"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First Quarter 2023</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24, 2023</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$188,896</w:t>
            </w:r>
          </w:p>
        </w:tc>
        <w:tc>
          <w:tcPr>
            <w:tcW w:w="0" w:type="dxa"/>
            <w:vAlign w:val="bottom"/>
          </w:tcPr>
          <w:p>
            <w:pPr>
              <w:spacing w:after="0"/>
              <w:rPr>
                <w:sz w:val="1"/>
                <w:szCs w:val="1"/>
                <w:color w:val="auto"/>
              </w:rPr>
            </w:pPr>
          </w:p>
        </w:tc>
      </w:tr>
      <w:tr>
        <w:trPr>
          <w:trHeight w:val="205"/>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22, 2023</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10, 2023</w:t>
            </w:r>
          </w:p>
        </w:tc>
        <w:tc>
          <w:tcPr>
            <w:tcW w:w="10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First Quarter 2023</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24, 2023</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$65,588</w:t>
            </w:r>
          </w:p>
        </w:tc>
        <w:tc>
          <w:tcPr>
            <w:tcW w:w="0" w:type="dxa"/>
            <w:vAlign w:val="bottom"/>
          </w:tcPr>
          <w:p>
            <w:pPr>
              <w:spacing w:after="0"/>
              <w:rPr>
                <w:sz w:val="1"/>
                <w:szCs w:val="1"/>
                <w:color w:val="auto"/>
              </w:rPr>
            </w:pPr>
          </w:p>
        </w:tc>
      </w:tr>
      <w:tr>
        <w:trPr>
          <w:trHeight w:val="203"/>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9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1, 2023</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16, 2023</w:t>
            </w:r>
          </w:p>
        </w:tc>
        <w:tc>
          <w:tcPr>
            <w:tcW w:w="1040" w:type="dxa"/>
            <w:vAlign w:val="bottom"/>
            <w:gridSpan w:val="2"/>
            <w:shd w:val="clear" w:color="auto" w:fill="CCEEFF"/>
          </w:tcPr>
          <w:p>
            <w:pPr>
              <w:jc w:val="center"/>
              <w:ind w:right="100"/>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shd w:val="clear" w:color="auto" w:fill="CCEEFF"/>
          </w:tcPr>
          <w:p>
            <w:pPr>
              <w:spacing w:after="0"/>
              <w:rPr>
                <w:sz w:val="13"/>
                <w:szCs w:val="13"/>
                <w:color w:val="auto"/>
              </w:rPr>
            </w:pP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 2023</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30, 2023</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$189,095</w:t>
            </w:r>
          </w:p>
        </w:tc>
        <w:tc>
          <w:tcPr>
            <w:tcW w:w="0" w:type="dxa"/>
            <w:vAlign w:val="bottom"/>
          </w:tcPr>
          <w:p>
            <w:pPr>
              <w:spacing w:after="0"/>
              <w:rPr>
                <w:sz w:val="1"/>
                <w:szCs w:val="1"/>
                <w:color w:val="auto"/>
              </w:rPr>
            </w:pPr>
          </w:p>
        </w:tc>
      </w:tr>
      <w:tr>
        <w:trPr>
          <w:trHeight w:val="205"/>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August 30, 2023</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September 15, 2023</w:t>
            </w:r>
          </w:p>
        </w:tc>
        <w:tc>
          <w:tcPr>
            <w:tcW w:w="10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$0.73</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Third Quarter 2023</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September 29, 2023</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$192,085</w:t>
            </w:r>
          </w:p>
        </w:tc>
        <w:tc>
          <w:tcPr>
            <w:tcW w:w="0" w:type="dxa"/>
            <w:vAlign w:val="bottom"/>
          </w:tcPr>
          <w:p>
            <w:pPr>
              <w:spacing w:after="0"/>
              <w:rPr>
                <w:sz w:val="1"/>
                <w:szCs w:val="1"/>
                <w:color w:val="auto"/>
              </w:rPr>
            </w:pPr>
          </w:p>
        </w:tc>
      </w:tr>
      <w:tr>
        <w:trPr>
          <w:trHeight w:val="203"/>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for the three and nine months ended September 30, 2024 dividend payments were made to GLPI restricted stock award holders in the amount of $0.2 million and $0.7 million, respectively. In addition, for the three and nine months ended September 30, 2023, dividend payments were made to GLPI restricted stock award holders in the amount of $0.2 million and $0.7 million, respectively. On February 22, 2023, the Company declared a first quarter dividend of $0.72 per share in addition to a special earnings and profit dividend related to the sale of the Tropicana Las Vegas building of $0.25 per share on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7" w:name="page38"/>
    <w:bookmarkEnd w:id="37"/>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Stock-Based Compensation</w:t>
      </w:r>
    </w:p>
    <w:p>
      <w:pPr>
        <w:spacing w:after="0" w:line="21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The Company accounts for stock compensation under ASC 718 -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 party valuation firm to measure the fair value of performance-based restricted stock awards at grant date using the Monte Carlo model.</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September 30, 2024, there was $5.8 million of total unrecognized compensation cost for restricted stock awards that will be recognized over the grants' remaining weighted average vesting period of 1.71 years. For the three and nine months ended September 30, 2024, the Company recognized $1.5 million and $7.3 million of compensation expense associated with these awards, compared to $1.5 million and $7.2 million for the three and nine months ended September 30, 2023, within general and administrative expenses on the condensed consolidated statements of income.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restricted stock award activity for the nine months ended September 30, 2024:</w:t>
      </w:r>
    </w:p>
    <w:p>
      <w:pPr>
        <w:spacing w:after="0" w:line="22"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Award</w:t>
            </w:r>
          </w:p>
        </w:tc>
      </w:tr>
      <w:tr>
        <w:trPr>
          <w:trHeight w:val="187"/>
        </w:trPr>
        <w:tc>
          <w:tcPr>
            <w:tcW w:w="4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860" w:type="dxa"/>
            <w:vAlign w:val="bottom"/>
            <w:shd w:val="clear" w:color="auto" w:fill="CCEEFF"/>
          </w:tcPr>
          <w:p>
            <w:pPr>
              <w:jc w:val="center"/>
              <w:ind w:left="1060"/>
              <w:spacing w:after="0"/>
              <w:rPr>
                <w:sz w:val="20"/>
                <w:szCs w:val="20"/>
                <w:color w:val="auto"/>
              </w:rPr>
            </w:pPr>
            <w:r>
              <w:rPr>
                <w:rFonts w:ascii="Times New Roman" w:cs="Times New Roman" w:eastAsia="Times New Roman" w:hAnsi="Times New Roman"/>
                <w:sz w:val="17"/>
                <w:szCs w:val="17"/>
                <w:color w:val="auto"/>
              </w:rPr>
              <w:t>269,929</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center"/>
              <w:ind w:left="1060"/>
              <w:spacing w:after="0"/>
              <w:rPr>
                <w:sz w:val="20"/>
                <w:szCs w:val="20"/>
                <w:color w:val="auto"/>
              </w:rPr>
            </w:pPr>
            <w:r>
              <w:rPr>
                <w:rFonts w:ascii="Times New Roman" w:cs="Times New Roman" w:eastAsia="Times New Roman" w:hAnsi="Times New Roman"/>
                <w:sz w:val="17"/>
                <w:szCs w:val="17"/>
                <w:color w:val="auto"/>
              </w:rPr>
              <w:t>263,328</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1860" w:type="dxa"/>
            <w:vAlign w:val="bottom"/>
            <w:tcBorders>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7"/>
                <w:szCs w:val="17"/>
                <w:color w:val="auto"/>
                <w:w w:val="99"/>
              </w:rPr>
              <w:t>(216,818)</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2024</w:t>
            </w:r>
          </w:p>
        </w:tc>
        <w:tc>
          <w:tcPr>
            <w:tcW w:w="186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7"/>
                <w:szCs w:val="17"/>
                <w:color w:val="auto"/>
              </w:rPr>
              <w:t>316,439</w:t>
            </w:r>
          </w:p>
        </w:tc>
      </w:tr>
      <w:tr>
        <w:trPr>
          <w:trHeight w:val="20"/>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September 30, 2024, there was $19.6 million of total unrecognized compensation cost, which will be recognized over the performance-based restricted stock awards' remaining weighted average vesting period of 1.77 years. For the three and nine months ended September 30, 2024, the Company recognized $3.9 million and $11.7 million of compensation expense associated with these awards within general and administrative expenses on the condensed consolidated statements of income compared to $3.7 million and $10.8 million for the corresponding periods in the prior year.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restricted stock award activity for the nine months ended September 30, 2024:</w:t>
      </w:r>
    </w:p>
    <w:p>
      <w:pPr>
        <w:spacing w:after="0" w:line="25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Performance-Based Award</w:t>
            </w:r>
          </w:p>
        </w:tc>
      </w:tr>
      <w:tr>
        <w:trPr>
          <w:trHeight w:val="188"/>
        </w:trPr>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1,492,000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523,000</w:t>
            </w:r>
          </w:p>
        </w:tc>
      </w:tr>
      <w:tr>
        <w:trPr>
          <w:trHeight w:val="21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(478,000)</w:t>
            </w: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September 30, 2024</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1,537,000</w:t>
            </w:r>
          </w:p>
        </w:tc>
      </w:tr>
      <w:tr>
        <w:trPr>
          <w:trHeight w:val="20"/>
        </w:trPr>
        <w:tc>
          <w:tcPr>
            <w:tcW w:w="46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8" w:name="page39"/>
    <w:bookmarkEnd w:id="38"/>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tab/>
        <w:t>Supplemental Disclosures of Cash Flow Information and Noncash Activities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disclosures of cash flow information are as follows: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4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income taxes, net of refunds received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590</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2,989</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79,382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247,008</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235,214</w:t>
            </w:r>
          </w:p>
        </w:tc>
      </w:tr>
    </w:tbl>
    <w:p>
      <w:pPr>
        <w:spacing w:after="0" w:line="2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connection with the rental term changes on the Tropicana Las Vegas Lease during the three months ended September 30, 2024, the Company reclassified this lease from an operating lease to a sales type lease which resulted in a non-cash gain of $3.8 million which represented the fair value of the land at the reassessment date in excess of the carrying value of the land and the additional funding under the lease of $274.7 million.</w:t>
      </w:r>
    </w:p>
    <w:p>
      <w:pPr>
        <w:spacing w:after="0" w:line="20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May 16, 2024, the Company recorded a non-cash increase to Investment in leases, financing receivables and Financing lease liabilities of $6.1 million associated with the acquisition of certain real estate assets of Strategic. See Note 15 for further details.</w:t>
      </w:r>
    </w:p>
    <w:p>
      <w:pPr>
        <w:spacing w:after="0" w:line="17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w:t>
      </w:r>
    </w:p>
    <w:p>
      <w:pPr>
        <w:spacing w:after="0" w:line="185"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On January 3, 2023, as part of the consideration for the land and real estate assets of Bally's Biloxi and Bally's Tiverton, the Company issued 286,643 OP Units to affiliates of Bally's that were valued at $14.9 million for accounting purposes at closing. The Company also recognized a right of use asset and liability of $37.1 million on a ground lease which</w:t>
      </w:r>
    </w:p>
    <w:p>
      <w:pPr>
        <w:ind w:right="2420"/>
        <w:spacing w:after="0" w:line="265" w:lineRule="auto"/>
        <w:rPr>
          <w:sz w:val="20"/>
          <w:szCs w:val="20"/>
          <w:color w:val="auto"/>
        </w:rPr>
      </w:pPr>
      <w:r>
        <w:rPr>
          <w:rFonts w:ascii="Times New Roman" w:cs="Times New Roman" w:eastAsia="Times New Roman" w:hAnsi="Times New Roman"/>
          <w:sz w:val="17"/>
          <w:szCs w:val="17"/>
          <w:color w:val="auto"/>
        </w:rPr>
        <w:t>was subsequently remeasured due to a renegotiation and reduced the right of use asset and lease liability to $18.4 million for the year ended December 31, 2023.</w:t>
      </w:r>
    </w:p>
    <w:p>
      <w:pPr>
        <w:spacing w:after="0" w:line="1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Acquisitions</w:t>
      </w:r>
    </w:p>
    <w:p>
      <w:pPr>
        <w:spacing w:after="0" w:line="2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its acquisitions of real estate assets as asset acquisitions under ASC 805 -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Under asset acquisition accounting, incremental transaction costs incurred to acquire the purchased assets are also included as part of the asset cost.</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Current year acquisitions</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September 11, 2024, the Company completed its previously announced $250 million acquisition of the land on which Bally's permanent casino in Chicago, Illinois will be constructed. The Company will also fund construction costs of up to $940.0 million for certain real property improvements of the casino. Rental income being received on the land is being deferred and will be recognized once the development project is substantially complete and ready for its intended use.</w:t>
      </w:r>
    </w:p>
    <w:p>
      <w:pPr>
        <w:spacing w:after="0" w:line="20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DMG, and Baldini's for $105 million, plus an additional $5 million that was funded at closing to reimburse the tenant for capital improvements. Simultaneous with the acquisition, the Company and affiliates of Strategic entered into two cross-defaulted triple-net lease agreements, each for an initial 25-year term with two ten-year renewal periods. The transaction was accounted for as a failed sale leaseback and the purchase price allocation of these assets and liabilities based on their respective fair values at the acquisition date are summarized below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leases, financing receivables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116,217</w:t>
            </w:r>
          </w:p>
        </w:tc>
        <w:tc>
          <w:tcPr>
            <w:tcW w:w="362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(6,054)</w:t>
            </w:r>
          </w:p>
        </w:tc>
        <w:tc>
          <w:tcPr>
            <w:tcW w:w="362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110,163</w:t>
            </w:r>
          </w:p>
        </w:tc>
        <w:tc>
          <w:tcPr>
            <w:tcW w:w="362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797"/>
        </w:trPr>
        <w:tc>
          <w:tcPr>
            <w:tcW w:w="6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40" w:type="dxa"/>
            <w:vAlign w:val="bottom"/>
          </w:tcPr>
          <w:p>
            <w:pPr>
              <w:jc w:val="right"/>
              <w:ind w:right="1834"/>
              <w:spacing w:after="0"/>
              <w:rPr>
                <w:sz w:val="20"/>
                <w:szCs w:val="20"/>
                <w:color w:val="auto"/>
              </w:rPr>
            </w:pPr>
            <w:r>
              <w:rPr>
                <w:rFonts w:ascii="Times New Roman" w:cs="Times New Roman" w:eastAsia="Times New Roman" w:hAnsi="Times New Roman"/>
                <w:sz w:val="17"/>
                <w:szCs w:val="17"/>
                <w:color w:val="auto"/>
              </w:rPr>
              <w:t>38</w:t>
            </w:r>
          </w:p>
        </w:tc>
        <w:tc>
          <w:tcPr>
            <w:tcW w:w="3620" w:type="dxa"/>
            <w:vAlign w:val="bottom"/>
          </w:tcPr>
          <w:p>
            <w:pPr>
              <w:spacing w:after="0"/>
              <w:rPr>
                <w:sz w:val="24"/>
                <w:szCs w:val="24"/>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9" w:name="page40"/>
    <w:bookmarkEnd w:id="39"/>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which comprised of cash, assumed debt that was repaid after closing, and OP Units. Simultaneously with the acquisition, the Company entered into the Tioga Downs Lease. The transaction was accounted for as a failed sale leaseback and as such the purchase price, along with incremental transaction costs, was allocated to Investment in leases, financing receivables in the amount of $176.4 million.</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Prior year acquisitions</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January 3, 2023, the Company closed its previously announced acquisition from Bally's of the real estate assets of Bally's Biloxi and Bally's Tiverton. The properties were added to the Bally's Master Lease and annual rent was increased by $48.5 million. The purchase price allocation of these assets based on their fair values at the acquisition date are summarized below (in thousands).</w:t>
      </w:r>
    </w:p>
    <w:p>
      <w:pPr>
        <w:spacing w:after="0" w:line="247" w:lineRule="exact"/>
        <w:rPr>
          <w:sz w:val="20"/>
          <w:szCs w:val="20"/>
          <w:color w:val="auto"/>
        </w:rPr>
      </w:pPr>
    </w:p>
    <w:tbl>
      <w:tblPr>
        <w:tblLayout w:type="fixed"/>
        <w:tblInd w:w="2480" w:type="dxa"/>
        <w:tblCellMar>
          <w:top w:w="0" w:type="dxa"/>
          <w:left w:w="0" w:type="dxa"/>
          <w:bottom w:w="0" w:type="dxa"/>
          <w:right w:w="0" w:type="dxa"/>
        </w:tblCellMar>
      </w:tblP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321,155</w:t>
            </w:r>
          </w:p>
        </w:tc>
      </w:tr>
      <w:tr>
        <w:trPr>
          <w:trHeight w:val="21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306,100</w:t>
            </w:r>
          </w:p>
        </w:tc>
      </w:tr>
      <w:tr>
        <w:trPr>
          <w:trHeight w:val="237"/>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627,255</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At closing, the Company was credited its previously funded $200 million deposit that was recorded in other assets at December 31, 2022 as well as a $9.0 million transaction fee that was recorded against the purchase price. The Company continues to have the option, subject to receipt by Bally's of required consents, to acquire the real property assets of Bally's Lincoln prior to December 31, 2026 for a purchase price of $771.0 million (subsequently updated to $735 million as discussed in Note 16) and additional annual rent of $58.8 million.</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development project in Rockford, IL, from an affiliate of 815 Entertainment. Simultaneously with the land acquisition, the Company entered into the Rockford Lease. The transaction was accounted for as a failed sale leaseback and as such the purchase price was allocated to Investment in leases, financing receivables in the amount of $100.2 million.</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September 6, 2023, the Company acquired the land and certain improvements at Casino Queen Marquette for $32.7 million. The property was added to the Casino Queen Master Lease and annual rent was increased by $2.7 million. The purchase price allocation of these assets based on their fair values at the acquisition date are summarized below (in thousands).</w:t>
      </w:r>
    </w:p>
    <w:p>
      <w:pPr>
        <w:spacing w:after="0" w:line="247" w:lineRule="exact"/>
        <w:rPr>
          <w:sz w:val="20"/>
          <w:szCs w:val="20"/>
          <w:color w:val="auto"/>
        </w:rPr>
      </w:pPr>
    </w:p>
    <w:tbl>
      <w:tblPr>
        <w:tblLayout w:type="fixed"/>
        <w:tblInd w:w="2480" w:type="dxa"/>
        <w:tblCellMar>
          <w:top w:w="0" w:type="dxa"/>
          <w:left w:w="0" w:type="dxa"/>
          <w:bottom w:w="0" w:type="dxa"/>
          <w:right w:w="0" w:type="dxa"/>
        </w:tblCellMar>
      </w:tblP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32,032</w:t>
            </w:r>
          </w:p>
        </w:tc>
      </w:tr>
      <w:tr>
        <w:trPr>
          <w:trHeight w:val="21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9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r>
      <w:tr>
        <w:trPr>
          <w:trHeight w:val="237"/>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32,722</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Operations</w:t>
      </w:r>
    </w:p>
    <w:p>
      <w:pPr>
        <w:spacing w:after="0" w:line="15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GLPI is a self-administered and self-managed Pennsylvania REIT. GLPI was incorporated on February 13, 2013, as a wholly-owned subsidiary of PENN Entertainment, Inc., formerly known as Penn National Gaming, Inc. (NASDAQ: PENN) ("PENN"). On November 1, 2013, PENN contributed to the Company,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 w:cs="Times New Roman" w:eastAsia="Times New Roman" w:hAnsi="Times New Roman"/>
          <w:sz w:val="17"/>
          <w:szCs w:val="17"/>
          <w:i w:val="1"/>
          <w:iCs w:val="1"/>
          <w:color w:val="auto"/>
        </w:rPr>
        <w:t>Spinoffs and Reverse Spinoffs ("</w:t>
      </w:r>
      <w:r>
        <w:rPr>
          <w:rFonts w:ascii="Times New Roman" w:cs="Times New Roman" w:eastAsia="Times New Roman" w:hAnsi="Times New Roman"/>
          <w:sz w:val="17"/>
          <w:szCs w:val="17"/>
          <w:color w:val="auto"/>
        </w:rPr>
        <w:t>ASC 505"</w:t>
      </w:r>
      <w:r>
        <w:rPr>
          <w:rFonts w:ascii="Times New Roman" w:cs="Times New Roman" w:eastAsia="Times New Roman" w:hAnsi="Times New Roman"/>
          <w:sz w:val="17"/>
          <w:szCs w:val="17"/>
          <w:i w:val="1"/>
          <w:iCs w:val="1"/>
          <w:color w:val="auto"/>
        </w:rPr>
        <w:t>).</w:t>
      </w:r>
    </w:p>
    <w:p>
      <w:pPr>
        <w:spacing w:after="0" w:line="205"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The Company elected on its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02"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w:t>
      </w:r>
    </w:p>
    <w:p>
      <w:pPr>
        <w:spacing w:after="0" w:line="196"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7"/>
          <w:szCs w:val="17"/>
          <w:color w:val="auto"/>
        </w:rPr>
        <w:t>During 2020, the Company and Tropicana LV, LLC, a wholly owned subsidiary of the Company that held the real estate of the former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profits dividend of $0.25 per share in the first quarter of 2023 related to the sale of the building assets to Bally's.</w:t>
      </w:r>
    </w:p>
    <w:p>
      <w:pPr>
        <w:spacing w:after="0" w:line="19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February 6, 2024, the Company also issued 434,304 OP Units in connection with the acquisition of the real estate assets of Tioga Downs Casino Resort ("Tioga Downs") from American Racing &amp; Entertainment LLC ("American Racing"). There were 8,087,630 OP Units outstanding as of September 30, 2024.</w:t>
      </w:r>
    </w:p>
    <w:p>
      <w:pPr>
        <w:spacing w:after="0" w:line="20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GLPI’s primary business consists of acquiring, financing, and owning real estate property to be leased to gaming operators in triple-net lease arrangements. As of September 30, 2024, GLPI’s portfolio consisted of interests in 66 gaming and related facilities, including the real property associated with 34 gaming and related facilities operated by PENN, the real property associated with 6 gaming and related facilities operated by Caesars Entertainment, Inc. (NASDAQ: CZR) ("Caesars"), the real property associated with 4 gaming and related facilities operated by Boyd Gaming Corporation (NYSE: BYD) ("Boyd"), the real property associated with 9 gaming and related facilities operated by Bally's and 1 facility under development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1" w:name="page42"/>
    <w:bookmarkEnd w:id="41"/>
    <w:p>
      <w:pPr>
        <w:jc w:val="both"/>
        <w:spacing w:after="0" w:line="250" w:lineRule="auto"/>
        <w:rPr>
          <w:sz w:val="20"/>
          <w:szCs w:val="20"/>
          <w:color w:val="auto"/>
        </w:rPr>
      </w:pPr>
      <w:r>
        <w:rPr>
          <w:rFonts w:ascii="Times New Roman" w:cs="Times New Roman" w:eastAsia="Times New Roman" w:hAnsi="Times New Roman"/>
          <w:sz w:val="17"/>
          <w:szCs w:val="17"/>
          <w:color w:val="auto"/>
        </w:rPr>
        <w:t>for Bally's in Chicago, Illinois, the real property associated with 3 gaming and related facilities operated by Cordish, the real property associated with 4 gaming and related facilities operated by Casino Queen, 1 gaming facility managed by a subsidiary of Hard Rock International ("Hard Rock"), 3 gaming and related facilities operated by Strategic Gaming Management, LLC ("Strategic") and 1 gaming and related facility operated by American Racing. These facilities, including our corporate headquarters building, are geographically diversified across 20 states and contain approximately 29.3 million square feet. As of September 30, 2024, the Company's properties were 100% occupied. GLPI expects to continue growing its portfolio by pursuing opportunities to acquire additional gaming facilities to lease to gaming operators under prudent terms.</w:t>
      </w:r>
    </w:p>
    <w:p>
      <w:pPr>
        <w:spacing w:after="0" w:line="10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majority of our earnings are the result of the rental revenues we receive from our triple-net master leases with PENN, Boyd, Bally's, Cordish, Casino Queen and Caesars.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Additionally, in accordance with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result of the Spin-Off, the Company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extending to October 31, 2048.</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PENN 2023 Master Lease. Pursuant to this agreement, the Original PENN Master Lease was amended (the "Amended PENN Master Lease") to remove PENN's properties in Aurora and Joliet, Illinois; Columbus and Toledo, Ohio; and Henderson, Nevada. The properties removed from the Original PENN Master Lease were added to the PENN 2023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 extending to October 31, 2048.</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agreed to fund up to $225 million for the relocation of PENN's riverboat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for approximately $4.8 billion. The Company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7"/>
          <w:szCs w:val="17"/>
          <w:color w:val="auto"/>
        </w:rPr>
        <w:t>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Belterra Park Loan, subject to a long-term lease (the "Belterra Park Lease") with a Boyd affiliate operating the property. The Belterra Park Lease rent terms are</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Amended and Restated Caesars Master Lease</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Belle")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The Belle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21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w:t>
      </w:r>
    </w:p>
    <w:p>
      <w:pPr>
        <w:spacing w:after="0" w:line="18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On November 13, 2023, the Company and Caesars amended and restated the Second Amended and Restated Caesars Master Lease (as amended and restated, the "Third Amended and Restated Caesars Master Lease") in connection with Caesars selling its interest in The Belle to Casino Queen with no change in rent obligation to the Company.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 2018, the Company entered into a loan agreement with Caesars in connection with Caesars acquisition of Lumière Place Casino, now known as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 29, 2020, the transaction closed and the Company entered into a new single property triple net lease with an affiliate of Caesars (the "Horseshoe St. Louis Lease") the initial term of which expires on October 31, 2033, with four separate renewal options of five years each, exercisable at the tenant's option. The Horseshoe St. Louis Lease was amended on December 1, 2021 to adjust the rent terms such that the annual escalator is now fixed at 1.25% for the second through fifth lease years, increasing to 1.75% for the sixth and seventh lease years and thereafter increasing by 2.0% for the remainder of the 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5-year renewal options (exercisable by the tenant) on the same terms and conditions.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completed the acquisitions of the real estate assets of Bally's Black Hawk and Bally's Quad Cities on April 1, 2022 and Bally's Biloxi and Bally's Tiverton on January 3, 2023. The Bally's Master Lease was amended to add these properties with annual rent increases that are subject to the escalation clauses described above.</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connection with GLPI’s commitment to consummate the Bally’s Biloxi and Bally's Tiverton acquisitions, the Company also agreed to pre-fund, at Bally’s election, a deposit of up to $200.0 million, which was funded in September 2022. This amount was credited to the Company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$735.0 million and additional rent of $58.8 million. The Company has also been granted a call right, subject only to regulatory approval, beginning on October 1, 2026 to ensure that the Company has the opportunity to acquire the property prior to the expiration of the current option period.</w:t>
      </w:r>
    </w:p>
    <w:p>
      <w:pPr>
        <w:spacing w:after="0" w:line="19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On July 12, 2024, the Company announced that it entered into a binding term sheet with Bally’s pursuant to which the Company intends to acquire the real property assets of Bally’s Kansas City Casino (“Bally’s Kansas City”) and Bally’s Shreveport Casino &amp; Hotel (“Bally’s Shreveport”) as well as the land under Bally’s planned permanent Chicago casino site, and fund the construction of certain real property improvements of the Bally’s Chicago Casino Resort (“Bally’s Chicago”) for aggregate consideration of approximately $1.585 billion. The term sheet represents a binding agreement between the Company and Bally's unless or until superseded by long-form definitive documents reflecting mutually agreed transaction terms and conditions in further detail.</w:t>
      </w:r>
    </w:p>
    <w:p>
      <w:pPr>
        <w:spacing w:after="0" w:line="21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Company intends to fund construction hard costs of up to $940.0 million for Bally's Chicago, with the remainder to be funded by Bally’s with the sale leaseback proceeds related to Bally’s Kansas City and Bally’s Shreveport along with other funding sources such as Bally’s Chicago’s planned initial public offering and cash flows from operations. Funding is expected to occur through December 2026. The Company would own all funded improvements, which would be leased to Bally’s with rent commencing as advances are made.</w:t>
      </w:r>
    </w:p>
    <w:p>
      <w:pPr>
        <w:spacing w:after="0" w:line="19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On September 11, 2024, the Company assumed the ground lease between the existing third party and Bally's for approximately $250 million. The ground lease was amended such that GLPI receives initial annual rent of $20 million (the "Bally's Chicago Land Lease"). The Bally's Chicago Land Lease is cross-defaulted with the construction development funding agreement. The parties anticipate entering into a new Bally's Chicago Land Lease to conform certain lease terms to be consistent with what was agreed upon between the Company and Bally's that were disclosed in the binding term sheet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44" w:name="page45"/>
    <w:bookmarkEnd w:id="44"/>
    <w:p>
      <w:pPr>
        <w:ind w:right="340"/>
        <w:spacing w:after="0" w:line="270" w:lineRule="auto"/>
        <w:rPr>
          <w:sz w:val="20"/>
          <w:szCs w:val="20"/>
          <w:color w:val="auto"/>
        </w:rPr>
      </w:pPr>
      <w:r>
        <w:rPr>
          <w:rFonts w:ascii="Times New Roman" w:cs="Times New Roman" w:eastAsia="Times New Roman" w:hAnsi="Times New Roman"/>
          <w:sz w:val="17"/>
          <w:szCs w:val="17"/>
          <w:color w:val="auto"/>
        </w:rPr>
        <w:t>mentioned above. Upon completion of the improvements, the Company expects to own substantially all of the real estate land and improvements related to the Chicago casino and hotel for a total investment of $1.19 billion. Rental income on the land and development funding is being deferred until the project is substantially completed and ready for its intended use.</w:t>
      </w:r>
    </w:p>
    <w:p>
      <w:pPr>
        <w:spacing w:after="0" w:line="191"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The Company intends to purchase the real property assets of both Bally’s Kansas City and Bally’s Shreveport for total consideration of $395 million. The two properties would be in a new Bally’s Master Lease that would be cross-defaulted with the existing Bally’s Master Lease with initial cash rent pursuant to the agreement for the two new properties of $32.2 million. The Company expects to close on the proposed Bally’s Kansas City and Bally’s Shreveport sale leaseback transactions as early as the fourth quarter of 2024, subject to customary regulatory and other approvals.</w:t>
      </w:r>
    </w:p>
    <w:p>
      <w:pPr>
        <w:spacing w:after="0" w:line="19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contemplated transactions are subject to several conditions as well as certain third-party consents and regulatory approvals. Key conditions include but are not limited to: (a) the final structure and pro forma capitalization of Bally’s following the proposed acquisition of Bally's by Standard General, or similar transaction, in the event any agreement is reached with the board of directors of Bally’s; (b) completion of customary due diligence; and (c) receipt of all necessary gaming regulatory and other third party approvals.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Tropicana Las Vegas Lease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closed on its previously announced transaction to acquire the real property associated with the former Tropicana Las Vegas from PENN in exchange for $307.5 million of rent credits which were applied against future rent obligations due under the parties' existing leases during 2020.</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September 26, 2022, Bally’s acquired both the Company’s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spacing w:after="0" w:line="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May 13, 2023, the Company, Tropicana Las Vegas, Inc., a Nevada corporation and wholly owned subsidiary of Bally’s, and Athletics Holdings LLC (“Athletics”), which owns the Major League Baseball team currently known as the Oakland Athletics (the “Team”), entered into a binding letter of intent (the “LOI”) setting forth the terms for developing a stadium that would serve as the home venue for the Team (the “Stadium”). The Stadium is expected to complement the potential casino resort redevelopment envisioned at our 35-acre property in Clark County, Nevada (the “Tropicana Site”), owned indirectly by GLPI through its indirect subsidiary, Tropicana Land LLC, a Nevada limited liability company and leased by the Company to Bally’s pursuant to the Tropicana Las Vegas Lease. The LOI allows for Athletics to be granted fee ownership by the Company of approximately 9 acres of the Tropicana Site for construction of the Stadium. The LOI provides that following the Stadium site transfer, there will be no reduction in the rent obligations of Bally’s on the remaining portion of the Tropicana Site or other modifications to the Tropicana Las Vegas Lease, and that to the extent the Company has any consent or approval rights under the Tropicana Las Vegas Lease, such rights shall remain enforceable unless expressly modified in writing in the definitive documents. Bally's and the Company agreed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The Company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The Company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The lease is now classified as a sales type lease which resulted in a $3.8 million gain that was recorded in gains from dispositions of property on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for each of the following three lease years rent increased by 1.5% annually (on a prorated basis for the remainder of the lease year in which the gaming facility opened)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Amended and Restated Casino Queen Master Lease</w:t>
      </w:r>
    </w:p>
    <w:p>
      <w:pPr>
        <w:spacing w:after="0" w:line="23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Queen Master Lease was subsequently amended and restated on November 13, 2023 to include the real estate assets of The Belle (the "Third Amended and Restated Casino Queen Master Lease").</w:t>
      </w:r>
    </w:p>
    <w:p>
      <w:pPr>
        <w:spacing w:after="0" w:line="200" w:lineRule="exact"/>
        <w:rPr>
          <w:sz w:val="20"/>
          <w:szCs w:val="20"/>
          <w:color w:val="auto"/>
        </w:rPr>
      </w:pPr>
    </w:p>
    <w:p>
      <w:pPr>
        <w:spacing w:after="0" w:line="21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June 3, 2024, the Company announced that it has agreed to fund and oversee a landside move and hotel renovation of The Belle for Casino Queen. GLPI has committed to provide up to approximately $111 million of funding for the project (of which $15.0 million has been funded as of September 30, 2024), which is expected to be completed by September 2025. The casino will continue to operate during the construction period except while gaming equipment is being moved to the new facility. GLPI will own the new facility and Casino Queen will pay an incremental rental yield of 9% on the development funding beginning a year from the initial disbursement of funds, which occurred on May 30, 2024 and rent will be deferred until the facility is ready for its intended use.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and Pennsylvania Live! Master Lease</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w:t>
      </w:r>
    </w:p>
    <w:p>
      <w:pPr>
        <w:spacing w:after="0" w:line="3" w:lineRule="exact"/>
        <w:rPr>
          <w:sz w:val="20"/>
          <w:szCs w:val="20"/>
          <w:color w:val="auto"/>
        </w:rPr>
      </w:pPr>
    </w:p>
    <w:p>
      <w:pPr>
        <w:jc w:val="both"/>
        <w:ind w:firstLine="3"/>
        <w:spacing w:after="0" w:line="257" w:lineRule="auto"/>
        <w:tabs>
          <w:tab w:leader="none" w:pos="17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The annual rent for both leases has a 1.75% fixed yearly escalator on the entirety of rent commencing on the leases' second anniversary.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color w:val="auto"/>
        </w:rPr>
        <w:t>Rockford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 that opened in late August 2024 and is managed by a subsidiary of Hard Rock, from an affiliate of 815 Entertainment, LLC ("815 Entertainment") for $100.0 million. Simultaneously with the land acquisition, an affiliate of GLPI entered into a ground lease with 815 Entertainment for a 99 year term. The initial annual rent for the ground lease is $8.0 million, subject to fixed 2% annual escalation beginning with the lease's first anniversary and for the entirety of its term (the "Rockford Lease").</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to the Rockford Lease, the Company has also committed to providing up to $150 million of development funding via a senior secured delayed draw term loan (the "Rockford Loan"). Borrowings under the Rockford Loan are subject to an interest rate of 10%. The Rockford Loan has a maximum outstanding period of up to 6 years (5-year initial term with a 1-year extension). The Rockford Loan is prepayable without penalty following the opening of the Hard Rock Casino in Rockford, IL ("Hard Rock Casino Rockford"), which occurred in late August 2024. As of September 30, 2024, $150 million was advanced and outstanding under the Rockford Loan. Additionally, the Company also received a right of first refusal on the building improvements of the Hard Rock Casino Rockford if there is a future decision to sell them.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Simultaneous with the acquisition, an affiliate of GLPI and American Racing entered into a triple-net lease agreement for an initial 30 year term followed by two renewal options of 10 years each and a third renewal option of approximately 12 years and ten months. The initial annual rent is $14.5 million and is subject to annual fixed escalations of 1.75% beginning with the first anniversary which increases to 2% beginning in year fifteen of the lease through the remainder of its initial term (the "Tioga Downs Lease").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for $105 million, plus an additional $5 million that was funded at closing for reimbursement for capital improvements. Simultaneous with the acquisition, GLPI and affiliates of Strategic entered into two cross-defaulted triple-net lease agreements, each for an initial 25-year term with two ten-year renewal periods. The initial aggregate annual cash rent for the new leases is $9.2 million and is subject to a fixed 2.0% annual escalation beginning in year three of the lease and a CPI-based annual escalation beginning in year 11 of the lease, at the greater of 2% or CPI capped at 2.5% (the "Strategic Gaming Leases").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part of the transaction, the Company also secured a right of first refusal on the real estate related to future acquisitions until Strategic's adjusted EBITDAR related to GLPI's owned assets reaches $40 million annualized.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September 2024, the Company entered into a $110 million delayed draw term loan facility with the Ione Band of Miwok Indians ("Ione") (the "Ione Loan") to provide the tribe funding on a new casino development near Sacramento, California. Ione has an option at the end of the Ione Loan term to satisfy the loan obligation by converting the outstanding principal into a long-term lease with an initial term of twenty five years and a maximum term of forty five years. These agreements were entered into subsequent to receiving a declination letter from the National Indian Gaming Commission approving the transaction documents, including the long-term lease. As of September 30, 2024, $13.7 million was advanced and outstanding under the Ione Loan which has a 5-year term and an interest rate of 11%.</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Highlights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reported total revenues and income from operations of $385.3 million and $271.4 million, respectively, for the three months ended September 30, 2024, compared to $359.6 million and $268.3 million, respectively, for the corresponding period in the prior year. We reported total revenues and income from operations of $1,141.9 million and $822.5 million, respectively, for the nine months ended September 30, 2024, compared to $1,071.4 million and $773.4 million, respectively, for the corresponding period in the prior year.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47" w:name="page48"/>
    <w:bookmarkEnd w:id="47"/>
    <w:p>
      <w:pPr>
        <w:ind w:left="620"/>
        <w:spacing w:after="0"/>
        <w:rPr>
          <w:sz w:val="20"/>
          <w:szCs w:val="20"/>
          <w:color w:val="auto"/>
        </w:rPr>
      </w:pPr>
      <w:r>
        <w:rPr>
          <w:rFonts w:ascii="Times New Roman" w:cs="Times New Roman" w:eastAsia="Times New Roman" w:hAnsi="Times New Roman"/>
          <w:sz w:val="17"/>
          <w:szCs w:val="17"/>
          <w:color w:val="auto"/>
        </w:rPr>
        <w:t>The major factors affecting our results for the three and nine months ended September 30, 2024, as compared to the three and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2023, were as follows:</w:t>
      </w:r>
    </w:p>
    <w:p>
      <w:pPr>
        <w:spacing w:after="0" w:line="200" w:lineRule="exact"/>
        <w:rPr>
          <w:sz w:val="20"/>
          <w:szCs w:val="20"/>
          <w:color w:val="auto"/>
        </w:rPr>
      </w:pPr>
    </w:p>
    <w:p>
      <w:pPr>
        <w:jc w:val="both"/>
        <w:ind w:left="620" w:hanging="307"/>
        <w:spacing w:after="0" w:line="25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$25.8 million to $385.3 million for the three months ended September 30, 2024 compared to $359.6 million for the corresponding period in the prior year. The reason for the increase was primarily due to our recent acquisitions which in the aggregate increased cash rental income by $13.5 million for the three months ended September 30, 2024. Additionally, the three months ended September 30, 2024 benefited by $5.0 million compared to the corresponding period in the prior year from escalations on our leases. The Company also recognized higher accretion of $1.3 million on its Investment in leases, financing receivables and favorable straight-line rent adjustments of $5.7 million compared to the corresponding period in the prior year. Finally, the Company had favorable variable rents of $0.3 million for the three months ended September 30, 2024 compared to the corresponding period in the prior year.</w:t>
      </w:r>
    </w:p>
    <w:p>
      <w:pPr>
        <w:spacing w:after="0" w:line="204" w:lineRule="exact"/>
        <w:rPr>
          <w:rFonts w:ascii="Times New Roman" w:cs="Times New Roman" w:eastAsia="Times New Roman" w:hAnsi="Times New Roman"/>
          <w:sz w:val="17"/>
          <w:szCs w:val="17"/>
          <w:color w:val="auto"/>
        </w:rPr>
      </w:pPr>
    </w:p>
    <w:p>
      <w:pPr>
        <w:jc w:val="both"/>
        <w:ind w:left="620" w:hanging="307"/>
        <w:spacing w:after="0" w:line="255"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$70.6 million to $1,141.9 million for the nine months ended September 30, 2024 compared to the corresponding period in the prior year. The reason for the increase was due to our recent acquisitions which in the aggregate increased cash rental income by $32.3 million for the nine months ended September 30, 2024. Additionally, the nine months ended September 30, 2024 benefited by $14.7 million compared to the corresponding period in the prior year from escalations on our leases. The Company also recognized higher accretion of $4.9 million on its Investments in leases, financing receivables and favorable straight-line rent adjustments of $19.8 million compared to the corresponding period in the prior year. Finally, the Company had unfavorable variable rent of $1.2 million for the nine months ended September 30, 2024 compared to the corresponding period in the prior year primarily related to the trailing 5-year reset on the Amended PENN Master Lease that occurred on November 1, 2023 which was negatively impacted by the casino closures during the COVID-19 pandemic.</w:t>
      </w:r>
    </w:p>
    <w:p>
      <w:pPr>
        <w:spacing w:after="0" w:line="5" w:lineRule="exact"/>
        <w:rPr>
          <w:rFonts w:ascii="Times New Roman" w:cs="Times New Roman" w:eastAsia="Times New Roman" w:hAnsi="Times New Roman"/>
          <w:sz w:val="17"/>
          <w:szCs w:val="17"/>
          <w:color w:val="auto"/>
        </w:rPr>
      </w:pPr>
    </w:p>
    <w:p>
      <w:pPr>
        <w:jc w:val="both"/>
        <w:ind w:left="620" w:hanging="307"/>
        <w:spacing w:after="0" w:line="254" w:lineRule="auto"/>
        <w:tabs>
          <w:tab w:leader="none" w:pos="61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increased by $22.6 million for the three months ended September 30, 2024 as compared to the corresponding period in the prior year. The provision for credit losses, net, increased by $26.1 million during the three months ended September 30, 2024. The provision increased due primarily from the initial establishment of reserves on the Tropicana Las Vegas Lease which is now classified as a sales type lease due to a lease reconsideration event that occurred during the period (See Note 1 for further details). Additionally, land rights and ground lease expense decreased by $0.6 million due primarily due to the purchase of land that was previously subject to a land lease. Additionally, general and administrative expenses decreased by $0.1 million and depreciation expense decreased by $1.1 million for the three months ended September 30, 2024 as compared to the corresponding period in the prior year due to certain assets being fully depreciated. The three months ended September 30, 2024 also had a gain of $3.8 million on the reclassification of the Tropicana Las Vegas Lease to a sales type lease in connection with a lease reconsideration event which occurred during the period (See Note 1 for further details). The three months ended September 30, 2023 had a property transfer tax recovery of $2.2 million related to a successful appeal initiated by our tenant.</w:t>
      </w:r>
    </w:p>
    <w:p>
      <w:pPr>
        <w:spacing w:after="0" w:line="209" w:lineRule="exact"/>
        <w:rPr>
          <w:rFonts w:ascii="Times New Roman" w:cs="Times New Roman" w:eastAsia="Times New Roman" w:hAnsi="Times New Roman"/>
          <w:sz w:val="17"/>
          <w:szCs w:val="17"/>
          <w:b w:val="1"/>
          <w:bCs w:val="1"/>
          <w:color w:val="auto"/>
        </w:rPr>
      </w:pPr>
    </w:p>
    <w:p>
      <w:pPr>
        <w:jc w:val="both"/>
        <w:ind w:left="620" w:hanging="307"/>
        <w:spacing w:after="0" w:line="257" w:lineRule="auto"/>
        <w:tabs>
          <w:tab w:leader="none" w:pos="61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increased by $21.5 million for the nine months ended September 30, 2024 as compared to the corresponding period in the prior year. The provision for credit losses, net, increased by $23.2 million during the nine months ended September 30, 2024. The provision increased due primarily from the initial establishment of reserves for the Tropicana Las Vegas Lease. General and administrative expenses increased by $2.5 million due primarily to higher stock based compensation costs, franchise taxes, and transaction costs. Additionally, land rights and ground lease expense decreased by $0.9 million due primarily to the purchase of land that was previously subject to a land lease. Finally, depreciation expense decreased by $1.7 million for the nine months ended September 30, 2024 as compared to the corresponding period in the prior year due to certain assets being fully depreciated. The nine months ended September 30, 2024 also had a gain of $3.8 million on the reclassification of the Tropicana Las Vegas Lease to a sales type lease in connection with a lease reconsideration event which occurred during the period (See Note 1 for further details). The nine months ended September 30, 2023 had a property transfer tax recovery of $2.2 million related to a successful appeal initiated by our tenant.</w:t>
      </w:r>
    </w:p>
    <w:p>
      <w:pPr>
        <w:spacing w:after="0" w:line="204" w:lineRule="exact"/>
        <w:rPr>
          <w:rFonts w:ascii="Times New Roman" w:cs="Times New Roman" w:eastAsia="Times New Roman" w:hAnsi="Times New Roman"/>
          <w:sz w:val="17"/>
          <w:szCs w:val="17"/>
          <w:b w:val="1"/>
          <w:bCs w:val="1"/>
          <w:color w:val="auto"/>
        </w:rPr>
      </w:pPr>
    </w:p>
    <w:p>
      <w:pPr>
        <w:jc w:val="both"/>
        <w:ind w:left="620" w:hanging="307"/>
        <w:spacing w:after="0" w:line="26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increased by $2.3 million for the three months ended September 30, 2024, primarily due to higher interest expense of $15.9 million associated with the Company's increased borrowings to fund our recent acquisitions. These items were partially offset by higher interest income of $13.6 million as compared to the corresponding period in the prior year because of higher average interest earning balances and higher rates earned on these balances during the current year.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8" w:name="page49"/>
    <w:bookmarkEnd w:id="48"/>
    <w:p>
      <w:pPr>
        <w:jc w:val="both"/>
        <w:ind w:left="620" w:hanging="307"/>
        <w:spacing w:after="0" w:line="264" w:lineRule="auto"/>
        <w:tabs>
          <w:tab w:leader="none" w:pos="616"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expenses increased by $2.6 million for the nine months ended September 30, 2024, primarily due to higher interest expense of $28.5 million associated with the Company's increased borrowings to fund our recent acquisitions. These items were partially offset by higher interest income of $25.4 million as compared to the corresponding period in the prior year because of higher average interest earning balances and higher rates earned on these balances during the current year. The nine months ended September 30, 2023 also included debt extinguishment charges of $0.6 million.</w:t>
      </w:r>
    </w:p>
    <w:p>
      <w:pPr>
        <w:spacing w:after="0" w:line="197" w:lineRule="exact"/>
        <w:rPr>
          <w:rFonts w:ascii="Times New Roman" w:cs="Times New Roman" w:eastAsia="Times New Roman" w:hAnsi="Times New Roman"/>
          <w:sz w:val="17"/>
          <w:szCs w:val="17"/>
          <w:b w:val="1"/>
          <w:bCs w:val="1"/>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increased by $0.8 million and $45.9 million for the three and nine months ended September 30, 2024, as compared to the corresponding periods in the prior year, primarily due to the variances explained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net, allowance for credit losses, income taxes, and real estate investments as critical accounting estimates, as they are the most important to our financial statement presentation and require difficult, subjective and complex judgments.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nine months ended September 30, 2024.</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the most important factors and trends that contribute or may contribute to our operating performance:</w:t>
      </w:r>
    </w:p>
    <w:p>
      <w:pPr>
        <w:spacing w:after="0" w:line="243"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announced or closed numerous transactions in recent years and expect to continue to grow our portfolio by pursuing opportunities to acquire additional gaming facilities to lease to gaming operators under prudent terms.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wholly-owned subsidiaries of PENN lease a substantial number of our properties and account for a significant portion of our revenue.</w:t>
      </w:r>
    </w:p>
    <w:p>
      <w:pPr>
        <w:spacing w:after="0" w:line="24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economic conditions, including stress in the banking sector, high inflation levels (that have been negatively impacted by the armed conflict between Russia and Ukraine as well as conflicts in the Middle East)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19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service or refinance our significant levels of debt at attractive terms and obtain favorable funding in connection with future business opportunities.</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 and its investors.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consolidated results of operations for the three and nine months ended September 30, 2024 and 2023 are summarized below:</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5"/>
                <w:szCs w:val="15"/>
                <w:color w:val="auto"/>
              </w:rPr>
            </w:pPr>
          </w:p>
        </w:tc>
        <w:tc>
          <w:tcPr>
            <w:tcW w:w="24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r>
      <w:tr>
        <w:trPr>
          <w:trHeight w:val="22"/>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4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1,141,931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1,071,363</w:t>
            </w:r>
          </w:p>
        </w:tc>
      </w:tr>
      <w:tr>
        <w:trPr>
          <w:trHeight w:val="21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319,452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297,935</w:t>
            </w:r>
          </w:p>
        </w:tc>
      </w:tr>
      <w:tr>
        <w:trPr>
          <w:trHeight w:val="21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822,479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773,428</w:t>
            </w:r>
          </w:p>
        </w:tc>
      </w:tr>
      <w:tr>
        <w:trPr>
          <w:trHeight w:val="21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(234,274)</w:t>
            </w:r>
          </w:p>
        </w:tc>
      </w:tr>
      <w:tr>
        <w:trPr>
          <w:trHeight w:val="21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585,602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539,154</w:t>
            </w:r>
          </w:p>
        </w:tc>
      </w:tr>
      <w:tr>
        <w:trPr>
          <w:trHeight w:val="21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w:t>
            </w:r>
          </w:p>
        </w:tc>
      </w:tr>
      <w:tr>
        <w:trPr>
          <w:trHeight w:val="21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584,038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538,114</w:t>
            </w:r>
          </w:p>
        </w:tc>
      </w:tr>
      <w:tr>
        <w:trPr>
          <w:trHeight w:val="168"/>
        </w:trPr>
        <w:tc>
          <w:tcPr>
            <w:tcW w:w="43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income attributable to non-controlling interest in the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2"/>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Partnership</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(16,630)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(15,123)</w:t>
            </w: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522,991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FFO, AFFO and Adjusted EBITDA</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property transfer tax</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0" w:name="page51"/>
    <w:bookmarkEnd w:id="50"/>
    <w:p>
      <w:pPr>
        <w:jc w:val="both"/>
        <w:spacing w:after="0" w:line="260" w:lineRule="auto"/>
        <w:rPr>
          <w:sz w:val="20"/>
          <w:szCs w:val="20"/>
          <w:color w:val="auto"/>
        </w:rPr>
      </w:pPr>
      <w:r>
        <w:rPr>
          <w:rFonts w:ascii="Times New Roman" w:cs="Times New Roman" w:eastAsia="Times New Roman" w:hAnsi="Times New Roman"/>
          <w:sz w:val="17"/>
          <w:szCs w:val="17"/>
          <w:color w:val="auto"/>
        </w:rPr>
        <w:t>recoveries and impairment charges; straight-line rent and deferred rent adjustments; losses on debt extinguishment; capitalized interest; and provision (benefit)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and deferred rent adjustments; amortization of land rights; accretion on Investment in leases, financing receivables; non-cash adjustments to financing lease liabilities; property transfer tax recoveries and impairment charges; losses on debt extinguishment; and provision (benefit) for credit losses, net.</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5" w:lineRule="exact"/>
        <w:rPr>
          <w:sz w:val="20"/>
          <w:szCs w:val="20"/>
          <w:color w:val="auto"/>
        </w:rPr>
      </w:pPr>
    </w:p>
    <w:p>
      <w:pPr>
        <w:ind w:right="200" w:firstLine="659"/>
        <w:spacing w:after="0" w:line="272" w:lineRule="auto"/>
        <w:rPr>
          <w:sz w:val="20"/>
          <w:szCs w:val="20"/>
          <w:color w:val="auto"/>
        </w:rPr>
      </w:pPr>
      <w:r>
        <w:rPr>
          <w:rFonts w:ascii="Times New Roman" w:cs="Times New Roman" w:eastAsia="Times New Roman" w:hAnsi="Times New Roman"/>
          <w:sz w:val="17"/>
          <w:szCs w:val="17"/>
          <w:color w:val="auto"/>
        </w:rPr>
        <w:t>The reconciliation of the Company’s net income per GAAP to FFO, AFFO, and Adjusted EBITDA for the three and nine months ended September 30, 2024 and 2023 is as follows:</w:t>
      </w:r>
    </w:p>
    <w:tbl>
      <w:tblPr>
        <w:tblLayout w:type="fixed"/>
        <w:tblInd w:w="0" w:type="dxa"/>
        <w:tblCellMar>
          <w:top w:w="0" w:type="dxa"/>
          <w:left w:w="0" w:type="dxa"/>
          <w:bottom w:w="0" w:type="dxa"/>
          <w:right w:w="0" w:type="dxa"/>
        </w:tblCellMar>
      </w:tblPr>
      <w:tr>
        <w:trPr>
          <w:trHeight w:val="182"/>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218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1"/>
        </w:trPr>
        <w:tc>
          <w:tcPr>
            <w:tcW w:w="5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23"/>
                <w:szCs w:val="23"/>
                <w:color w:val="auto"/>
              </w:rPr>
            </w:pPr>
          </w:p>
        </w:tc>
      </w:tr>
      <w:tr>
        <w:trPr>
          <w:trHeight w:val="22"/>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1"/>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189,307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584,038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538,114</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from dispositions of property, net of tax</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195,494</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w:t>
            </w:r>
          </w:p>
        </w:tc>
        <w:tc>
          <w:tcPr>
            <w:tcW w:w="4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250,599</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254,440</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774,191</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733,586</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Straight-line rent and deferred rent adjustments (1)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(26,445)</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depreciation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24,012</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land rights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10,278</w:t>
            </w:r>
          </w:p>
        </w:tc>
      </w:tr>
      <w:tr>
        <w:trPr>
          <w:trHeight w:val="168"/>
        </w:trPr>
        <w:tc>
          <w:tcPr>
            <w:tcW w:w="52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2"/>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17,959</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Accretion on investment in leases, financing receivables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(16,806)</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transfer tax recovery</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funds from operations</w:t>
            </w:r>
          </w:p>
        </w:tc>
        <w:tc>
          <w:tcPr>
            <w:tcW w:w="4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268,242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251,151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791,232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750,224</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231,707</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68"/>
        </w:trPr>
        <w:tc>
          <w:tcPr>
            <w:tcW w:w="52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2"/>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w:t>
            </w: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346,405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327,079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1,020,277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975,684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622"/>
        <w:spacing w:after="0" w:line="287" w:lineRule="auto"/>
        <w:tabs>
          <w:tab w:leader="none" w:pos="86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year amount includes $0.1 million and $0.2 million for the three months and nine months ended September 30, 2024, respectively, of tenant improvement allowance amortization.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1" w:name="page52"/>
    <w:bookmarkEnd w:id="51"/>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Net income, FFO, AFFO and Adjusted EBITDA were $190.1 million, $250.6 million, $268.2 million, and $346.4 million for the three months ended September 30, 2024, respectively. This compares to net income, FFO, AFFO and Adjusted EBITDA of $189.3 million, $254.4 million, $251.2 million and $327.1 million for the corresponding period in the prior year. The increase in net income of $0.8 million was primarily attributable to an increase in total revenues of $25.8 million, partially offset by increased operating expenses of $22.6 million (which was driven by the increase in provision for credit losses of $26.1 million) and higher other expenses of $2.3 million.</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Net income, FFO, AFFO and Adjusted EBITDA were $584.0 million, $774.2 million, $791.2 million, and $1,020.3 million for the nine months ended September 30, 2024, respectively. This compares to net income, FFO, AFFO and Adjusted EBITDA of $538.1 million, $733.6 million, $750.2 million and $975.7 million for the corresponding period in the prior year. The increase in net income of $45.9 million was primarily attributable to an increase in total revenues of $70.6 million, partially offset by higher operating expenses of $21.5 million (which was a result of an increase in provision for credit losses of $23.2 million) and higher other expenses of $2.6 million.</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increases in FFO for the three months and nine months ended September 30, 2024 were due to the items described above, excluding gains from dispositions of property and real estate depreciation. The increases in AFFO and Adjusted EBITDA were due to the items described above, as well as the adjustments mentioned in the tables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Revenues for the three months and nine months ended September 30, 2024 and 2023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Rental income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19"/>
        </w:trPr>
        <w:tc>
          <w:tcPr>
            <w:tcW w:w="4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9,171</w:t>
            </w:r>
          </w:p>
        </w:tc>
        <w:tc>
          <w:tcPr>
            <w:tcW w:w="40" w:type="dxa"/>
            <w:vAlign w:val="bottom"/>
          </w:tcPr>
          <w:p>
            <w:pPr>
              <w:spacing w:after="0"/>
              <w:rPr>
                <w:sz w:val="19"/>
                <w:szCs w:val="19"/>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23.9 %</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sales-type leases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385,341</w:t>
            </w:r>
          </w:p>
        </w:tc>
        <w:tc>
          <w:tcPr>
            <w:tcW w:w="4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359,560</w:t>
            </w: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25,781</w:t>
            </w:r>
          </w:p>
        </w:tc>
        <w:tc>
          <w:tcPr>
            <w:tcW w:w="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Rental income</w:t>
            </w:r>
          </w:p>
        </w:tc>
        <w:tc>
          <w:tcPr>
            <w:tcW w:w="24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996,641</w:t>
            </w:r>
          </w:p>
        </w:tc>
        <w:tc>
          <w:tcPr>
            <w:tcW w:w="400" w:type="dxa"/>
            <w:vAlign w:val="bottom"/>
            <w:tcBorders>
              <w:top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958,410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38,231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24,851</w:t>
            </w:r>
          </w:p>
        </w:tc>
        <w:tc>
          <w:tcPr>
            <w:tcW w:w="4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sales-type leases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1,141,931</w:t>
            </w:r>
          </w:p>
        </w:tc>
        <w:tc>
          <w:tcPr>
            <w:tcW w:w="40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1,071,363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70,568</w:t>
            </w:r>
          </w:p>
        </w:tc>
        <w:tc>
          <w:tcPr>
            <w:tcW w:w="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p>
      <w:pPr>
        <w:spacing w:after="0" w:line="234" w:lineRule="exact"/>
        <w:rPr>
          <w:sz w:val="20"/>
          <w:szCs w:val="20"/>
          <w:color w:val="auto"/>
        </w:rPr>
      </w:pPr>
    </w:p>
    <w:p>
      <w:pPr>
        <w:jc w:val="both"/>
        <w:ind w:left="620" w:hanging="307"/>
        <w:spacing w:after="0" w:line="257" w:lineRule="auto"/>
        <w:tabs>
          <w:tab w:leader="none" w:pos="609"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$25.8 million to $385.3 million for the three months ended September 30, 2024 compared to $359.6 million for the corresponding period in the prior year. The reason for the increase was primarily due to our recent acquisitions which in the aggregate increased cash rental income by $13.5 million for the three months ended September 30, 2024. Additionally, the three months ended September 30, 2024 benefited by $5.0 million compared to the corresponding period in the prior year from escalations on our leases. The Company also recognized higher accretion of $1.3 million on its Investment in leases, financing receivables, favorable straight-line and deferred rent adjustments of $5.7 million and favorable variable rent of $0.3 million compared to the corresponding period in the prior year.</w:t>
      </w:r>
    </w:p>
    <w:p>
      <w:pPr>
        <w:spacing w:after="0" w:line="214" w:lineRule="exact"/>
        <w:rPr>
          <w:rFonts w:ascii="Times New Roman" w:cs="Times New Roman" w:eastAsia="Times New Roman" w:hAnsi="Times New Roman"/>
          <w:sz w:val="19"/>
          <w:szCs w:val="19"/>
          <w:b w:val="1"/>
          <w:bCs w:val="1"/>
          <w:color w:val="auto"/>
        </w:rPr>
      </w:pPr>
    </w:p>
    <w:p>
      <w:pPr>
        <w:jc w:val="both"/>
        <w:ind w:left="620" w:hanging="307"/>
        <w:spacing w:after="0" w:line="262" w:lineRule="auto"/>
        <w:tabs>
          <w:tab w:leader="none" w:pos="609"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$70.6 million to $1,141.9 million for the nine months ended September 30, 2024 compared to $1,071.4 million for the corresponding period in the prior year. The reason for the increase was primarily due to our recent acquisitions which in the aggregate increased cash rental income by $32.3 million for the nine months ended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2" w:name="page53"/>
    <w:bookmarkEnd w:id="52"/>
    <w:p>
      <w:pPr>
        <w:jc w:val="both"/>
        <w:spacing w:after="0" w:line="260" w:lineRule="auto"/>
        <w:rPr>
          <w:sz w:val="20"/>
          <w:szCs w:val="20"/>
          <w:color w:val="auto"/>
        </w:rPr>
      </w:pPr>
      <w:r>
        <w:rPr>
          <w:rFonts w:ascii="Times New Roman" w:cs="Times New Roman" w:eastAsia="Times New Roman" w:hAnsi="Times New Roman"/>
          <w:sz w:val="17"/>
          <w:szCs w:val="17"/>
          <w:color w:val="auto"/>
        </w:rPr>
        <w:t>September 30, 2024. Additionally, the nine months ended September 30, 2024 benefited by $14.7 million compared to the corresponding period in the prior year from escalations on our leases. The Company also recognized higher accretion of $4.9 million on its Investment in leases, financing receivables and favorable straight-line rent and deferred rent adjustments of $19.8 million compared to the corresponding period in the prior year. Finally, the Company had unfavorable variable rent of $1.2 million for the nine months ended September 30, 2024 compared to the corresponding period in the prior year primarily related to the trailing 5-year reset on the Amended PENN Master Lease that occurred on November 1, 2023 which was negatively impacted by the casino closures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20"/>
          </w:cols>
          <w:pgMar w:left="940" w:top="85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months and nine months ended September 30, 2024 was as follows (in thousands):</w:t>
      </w:r>
    </w:p>
    <w:p>
      <w:pPr>
        <w:sectPr>
          <w:pgSz w:w="11900" w:h="16838" w:orient="portrait"/>
          <w:cols w:equalWidth="0" w:num="1">
            <w:col w:w="11240"/>
          </w:cols>
          <w:pgMar w:left="320" w:top="85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 2024</w:t>
            </w:r>
          </w:p>
        </w:tc>
        <w:tc>
          <w:tcPr>
            <w:tcW w:w="122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w w:val="95"/>
              </w:rPr>
              <w:t>Building base</w:t>
            </w:r>
          </w:p>
        </w:tc>
        <w:tc>
          <w:tcPr>
            <w:tcW w:w="0" w:type="dxa"/>
            <w:vAlign w:val="bottom"/>
          </w:tcPr>
          <w:p>
            <w:pPr>
              <w:spacing w:after="0"/>
              <w:rPr>
                <w:sz w:val="1"/>
                <w:szCs w:val="1"/>
                <w:color w:val="auto"/>
              </w:rPr>
            </w:pPr>
          </w:p>
        </w:tc>
      </w:tr>
      <w:tr>
        <w:trPr>
          <w:trHeight w:val="145"/>
        </w:trPr>
        <w:tc>
          <w:tcPr>
            <w:tcW w:w="2440" w:type="dxa"/>
            <w:vAlign w:val="bottom"/>
            <w:tcBorders>
              <w:bottom w:val="single" w:sz="8" w:color="auto"/>
            </w:tcBorders>
            <w:vMerge w:val="continue"/>
          </w:tcPr>
          <w:p>
            <w:pPr>
              <w:spacing w:after="0"/>
              <w:rPr>
                <w:sz w:val="12"/>
                <w:szCs w:val="12"/>
                <w:color w:val="auto"/>
              </w:rPr>
            </w:pPr>
          </w:p>
        </w:tc>
        <w:tc>
          <w:tcPr>
            <w:tcW w:w="1220" w:type="dxa"/>
            <w:vAlign w:val="bottom"/>
          </w:tcPr>
          <w:p>
            <w:pPr>
              <w:jc w:val="center"/>
              <w:ind w:left="374"/>
              <w:spacing w:after="0" w:line="121" w:lineRule="exact"/>
              <w:rPr>
                <w:sz w:val="20"/>
                <w:szCs w:val="20"/>
                <w:color w:val="auto"/>
              </w:rPr>
            </w:pPr>
            <w:r>
              <w:rPr>
                <w:rFonts w:ascii="Times New Roman" w:cs="Times New Roman" w:eastAsia="Times New Roman" w:hAnsi="Times New Roman"/>
                <w:sz w:val="13"/>
                <w:szCs w:val="13"/>
                <w:b w:val="1"/>
                <w:bCs w:val="1"/>
                <w:color w:val="auto"/>
              </w:rPr>
              <w:t>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9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Accretion on</w:t>
            </w:r>
          </w:p>
        </w:tc>
        <w:tc>
          <w:tcPr>
            <w:tcW w:w="86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18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8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rent and other</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income on real</w:t>
            </w:r>
          </w:p>
        </w:tc>
        <w:tc>
          <w:tcPr>
            <w:tcW w:w="80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980" w:type="dxa"/>
            <w:vAlign w:val="bottom"/>
            <w:vMerge w:val="continue"/>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financing</w:t>
            </w:r>
          </w:p>
        </w:tc>
        <w:tc>
          <w:tcPr>
            <w:tcW w:w="86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w w:val="95"/>
              </w:rPr>
              <w:t>from real</w:t>
            </w:r>
          </w:p>
        </w:tc>
        <w:tc>
          <w:tcPr>
            <w:tcW w:w="0" w:type="dxa"/>
            <w:vAlign w:val="bottom"/>
          </w:tcPr>
          <w:p>
            <w:pPr>
              <w:spacing w:after="0"/>
              <w:rPr>
                <w:sz w:val="1"/>
                <w:szCs w:val="1"/>
                <w:color w:val="auto"/>
              </w:rPr>
            </w:pPr>
          </w:p>
        </w:tc>
      </w:tr>
      <w:tr>
        <w:trPr>
          <w:trHeight w:val="184"/>
        </w:trPr>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Land base rent rental revenue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estate loans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4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adjustments (1)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leases</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9"/>
              </w:rPr>
              <w:t>estate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80" w:space="100"/>
            <w:col w:w="7460"/>
          </w:cols>
          <w:pgMar w:left="320" w:top="85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PENN Master Lease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53,089</w:t>
            </w: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10,758</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6,543</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70,390</w:t>
            </w:r>
          </w:p>
        </w:tc>
        <w:tc>
          <w:tcPr>
            <w:tcW w:w="30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75,841</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58,913</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58,781</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5,621</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64,402</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61,482</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17,814</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8,122</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87,418</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91,321</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16,022</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5,932</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21,954</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24,481</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6,317</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20,469</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26,462</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27,468</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26,410</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26,410</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29,077</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19,078</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19,078</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24,739</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12,718</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12,718</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15,241</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7,912</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4,221</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Gaming Leases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Chicago Lease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288,667</w:t>
            </w:r>
          </w:p>
        </w:tc>
        <w:tc>
          <w:tcPr>
            <w:tcW w:w="2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44,903</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18,080</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355,004</w:t>
            </w:r>
          </w:p>
        </w:tc>
        <w:tc>
          <w:tcPr>
            <w:tcW w:w="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14,682</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7,093</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385,341</w:t>
            </w:r>
          </w:p>
        </w:tc>
      </w:tr>
      <w:tr>
        <w:trPr>
          <w:trHeight w:val="20"/>
        </w:trPr>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5540" w:right="5540" w:hanging="5537"/>
        <w:spacing w:after="0" w:line="624" w:lineRule="auto"/>
        <w:tabs>
          <w:tab w:leader="none" w:pos="24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includes $0.1 million of tenant improvement allowance amortization.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356870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Accretion on</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120" w:type="dxa"/>
            <w:vAlign w:val="bottom"/>
          </w:tcPr>
          <w:p>
            <w:pPr>
              <w:spacing w:after="0"/>
              <w:rPr>
                <w:sz w:val="11"/>
                <w:szCs w:val="11"/>
                <w:color w:val="auto"/>
              </w:rPr>
            </w:pPr>
          </w:p>
        </w:tc>
        <w:tc>
          <w:tcPr>
            <w:tcW w:w="7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Land base</w:t>
            </w:r>
          </w:p>
        </w:tc>
        <w:tc>
          <w:tcPr>
            <w:tcW w:w="120" w:type="dxa"/>
            <w:vAlign w:val="bottom"/>
          </w:tcPr>
          <w:p>
            <w:pPr>
              <w:spacing w:after="0"/>
              <w:rPr>
                <w:sz w:val="11"/>
                <w:szCs w:val="11"/>
                <w:color w:val="auto"/>
              </w:rPr>
            </w:pPr>
          </w:p>
        </w:tc>
        <w:tc>
          <w:tcPr>
            <w:tcW w:w="760" w:type="dxa"/>
            <w:vAlign w:val="bottom"/>
          </w:tcPr>
          <w:p>
            <w:pPr>
              <w:jc w:val="center"/>
              <w:ind w:right="16"/>
              <w:spacing w:after="0" w:line="129"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120" w:type="dxa"/>
            <w:vAlign w:val="bottom"/>
          </w:tcPr>
          <w:p>
            <w:pPr>
              <w:spacing w:after="0"/>
              <w:rPr>
                <w:sz w:val="11"/>
                <w:szCs w:val="11"/>
                <w:color w:val="auto"/>
              </w:rPr>
            </w:pPr>
          </w:p>
        </w:tc>
        <w:tc>
          <w:tcPr>
            <w:tcW w:w="74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income on</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Ground rent</w:t>
            </w:r>
          </w:p>
        </w:tc>
        <w:tc>
          <w:tcPr>
            <w:tcW w:w="900" w:type="dxa"/>
            <w:vAlign w:val="bottom"/>
            <w:gridSpan w:val="2"/>
            <w:vMerge w:val="continue"/>
          </w:tcPr>
          <w:p>
            <w:pPr>
              <w:spacing w:after="0"/>
              <w:rPr>
                <w:sz w:val="11"/>
                <w:szCs w:val="1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income from</w:t>
            </w:r>
          </w:p>
        </w:tc>
        <w:tc>
          <w:tcPr>
            <w:tcW w:w="0" w:type="dxa"/>
            <w:vAlign w:val="bottom"/>
          </w:tcPr>
          <w:p>
            <w:pPr>
              <w:spacing w:after="0"/>
              <w:rPr>
                <w:sz w:val="1"/>
                <w:szCs w:val="1"/>
                <w:color w:val="auto"/>
              </w:rPr>
            </w:pPr>
          </w:p>
        </w:tc>
      </w:tr>
      <w:tr>
        <w:trPr>
          <w:trHeight w:val="142"/>
        </w:trPr>
        <w:tc>
          <w:tcPr>
            <w:tcW w:w="2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other rental</w:t>
            </w:r>
          </w:p>
        </w:tc>
        <w:tc>
          <w:tcPr>
            <w:tcW w:w="120" w:type="dxa"/>
            <w:vAlign w:val="bottom"/>
          </w:tcPr>
          <w:p>
            <w:pPr>
              <w:spacing w:after="0"/>
              <w:rPr>
                <w:sz w:val="12"/>
                <w:szCs w:val="12"/>
                <w:color w:val="auto"/>
              </w:rPr>
            </w:pPr>
          </w:p>
        </w:tc>
        <w:tc>
          <w:tcPr>
            <w:tcW w:w="74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8"/>
              </w:rPr>
              <w:t>real estate</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cash income</w:t>
            </w:r>
          </w:p>
        </w:tc>
        <w:tc>
          <w:tcPr>
            <w:tcW w:w="120" w:type="dxa"/>
            <w:vAlign w:val="bottom"/>
          </w:tcPr>
          <w:p>
            <w:pPr>
              <w:spacing w:after="0"/>
              <w:rPr>
                <w:sz w:val="12"/>
                <w:szCs w:val="12"/>
                <w:color w:val="auto"/>
              </w:rPr>
            </w:pPr>
          </w:p>
        </w:tc>
        <w:tc>
          <w:tcPr>
            <w:tcW w:w="82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8"/>
              </w:rPr>
              <w:t>adjustments</w:t>
            </w: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financing</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35"/>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20" w:type="dxa"/>
            <w:vAlign w:val="bottom"/>
          </w:tcPr>
          <w:p>
            <w:pPr>
              <w:spacing w:after="0"/>
              <w:rPr>
                <w:sz w:val="12"/>
                <w:szCs w:val="12"/>
                <w:color w:val="auto"/>
              </w:rPr>
            </w:pPr>
          </w:p>
        </w:tc>
        <w:tc>
          <w:tcPr>
            <w:tcW w:w="760" w:type="dxa"/>
            <w:vAlign w:val="bottom"/>
          </w:tcPr>
          <w:p>
            <w:pPr>
              <w:jc w:val="right"/>
              <w:ind w:right="216"/>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20" w:type="dxa"/>
            <w:vAlign w:val="bottom"/>
          </w:tcPr>
          <w:p>
            <w:pPr>
              <w:spacing w:after="0"/>
              <w:rPr>
                <w:sz w:val="12"/>
                <w:szCs w:val="12"/>
                <w:color w:val="auto"/>
              </w:rPr>
            </w:pPr>
          </w:p>
        </w:tc>
        <w:tc>
          <w:tcPr>
            <w:tcW w:w="760" w:type="dxa"/>
            <w:vAlign w:val="bottom"/>
          </w:tcPr>
          <w:p>
            <w:pPr>
              <w:jc w:val="center"/>
              <w:ind w:right="16"/>
              <w:spacing w:after="0" w:line="122" w:lineRule="exact"/>
              <w:rPr>
                <w:sz w:val="20"/>
                <w:szCs w:val="20"/>
                <w:color w:val="auto"/>
              </w:rPr>
            </w:pPr>
            <w:r>
              <w:rPr>
                <w:rFonts w:ascii="Times New Roman" w:cs="Times New Roman" w:eastAsia="Times New Roman" w:hAnsi="Times New Roman"/>
                <w:sz w:val="14"/>
                <w:szCs w:val="14"/>
                <w:b w:val="1"/>
                <w:bCs w:val="1"/>
                <w:color w:val="auto"/>
                <w:w w:val="96"/>
              </w:rPr>
              <w:t>revenue</w:t>
            </w:r>
          </w:p>
        </w:tc>
        <w:tc>
          <w:tcPr>
            <w:tcW w:w="120" w:type="dxa"/>
            <w:vAlign w:val="bottom"/>
          </w:tcPr>
          <w:p>
            <w:pPr>
              <w:spacing w:after="0"/>
              <w:rPr>
                <w:sz w:val="12"/>
                <w:szCs w:val="12"/>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6"/>
              </w:rPr>
              <w:t>loans</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6"/>
              <w:spacing w:after="0" w:line="122"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2"/>
                <w:szCs w:val="12"/>
                <w:color w:val="auto"/>
              </w:rPr>
            </w:pPr>
          </w:p>
        </w:tc>
        <w:tc>
          <w:tcPr>
            <w:tcW w:w="740" w:type="dxa"/>
            <w:vAlign w:val="bottom"/>
          </w:tcPr>
          <w:p>
            <w:pPr>
              <w:jc w:val="right"/>
              <w:ind w:right="15"/>
              <w:spacing w:after="0" w:line="122" w:lineRule="exact"/>
              <w:rPr>
                <w:sz w:val="20"/>
                <w:szCs w:val="20"/>
                <w:color w:val="auto"/>
              </w:rPr>
            </w:pPr>
            <w:r>
              <w:rPr>
                <w:rFonts w:ascii="Times New Roman" w:cs="Times New Roman" w:eastAsia="Times New Roman" w:hAnsi="Times New Roman"/>
                <w:sz w:val="14"/>
                <w:szCs w:val="14"/>
                <w:b w:val="1"/>
                <w:bCs w:val="1"/>
                <w:color w:val="auto"/>
                <w:w w:val="98"/>
              </w:rPr>
              <w:t>in revenue</w:t>
            </w:r>
          </w:p>
        </w:tc>
        <w:tc>
          <w:tcPr>
            <w:tcW w:w="180" w:type="dxa"/>
            <w:vAlign w:val="bottom"/>
          </w:tcPr>
          <w:p>
            <w:pPr>
              <w:spacing w:after="0"/>
              <w:rPr>
                <w:sz w:val="12"/>
                <w:szCs w:val="12"/>
                <w:color w:val="auto"/>
              </w:rPr>
            </w:pPr>
          </w:p>
        </w:tc>
        <w:tc>
          <w:tcPr>
            <w:tcW w:w="720" w:type="dxa"/>
            <w:vAlign w:val="bottom"/>
          </w:tcPr>
          <w:p>
            <w:pPr>
              <w:jc w:val="center"/>
              <w:ind w:right="36"/>
              <w:spacing w:after="0" w:line="122" w:lineRule="exact"/>
              <w:rPr>
                <w:sz w:val="20"/>
                <w:szCs w:val="20"/>
                <w:color w:val="auto"/>
              </w:rPr>
            </w:pPr>
            <w:r>
              <w:rPr>
                <w:rFonts w:ascii="Times New Roman" w:cs="Times New Roman" w:eastAsia="Times New Roman" w:hAnsi="Times New Roman"/>
                <w:sz w:val="14"/>
                <w:szCs w:val="14"/>
                <w:b w:val="1"/>
                <w:bCs w:val="1"/>
                <w:color w:val="auto"/>
                <w:w w:val="93"/>
              </w:rPr>
              <w:t>leases</w:t>
            </w:r>
          </w:p>
        </w:tc>
        <w:tc>
          <w:tcPr>
            <w:tcW w:w="220" w:type="dxa"/>
            <w:vAlign w:val="bottom"/>
          </w:tcPr>
          <w:p>
            <w:pPr>
              <w:spacing w:after="0"/>
              <w:rPr>
                <w:sz w:val="12"/>
                <w:szCs w:val="12"/>
                <w:color w:val="auto"/>
              </w:rPr>
            </w:pPr>
          </w:p>
        </w:tc>
        <w:tc>
          <w:tcPr>
            <w:tcW w:w="960" w:type="dxa"/>
            <w:vAlign w:val="bottom"/>
          </w:tcPr>
          <w:p>
            <w:pPr>
              <w:jc w:val="right"/>
              <w:ind w:right="195"/>
              <w:spacing w:after="0" w:line="122"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36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PENN Master Lease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227,643</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176,739</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176,385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193,249</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182,840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53,442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259,370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6,163</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271,107</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48,065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65,861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73,440</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17,753</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18,949</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60,873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78,211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81,230</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5,490</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78,357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78,357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7,998</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86,355</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75,212</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45,611</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23,839</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8,425</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6,013</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7,531</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Tioga Lease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11,223</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Gaming Leases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4,006</w:t>
            </w:r>
          </w:p>
        </w:tc>
        <w:tc>
          <w:tcPr>
            <w:tcW w:w="0" w:type="dxa"/>
            <w:vAlign w:val="bottom"/>
          </w:tcPr>
          <w:p>
            <w:pPr>
              <w:spacing w:after="0"/>
              <w:rPr>
                <w:sz w:val="1"/>
                <w:szCs w:val="1"/>
                <w:color w:val="auto"/>
              </w:rPr>
            </w:pPr>
          </w:p>
        </w:tc>
      </w:tr>
      <w:tr>
        <w:trPr>
          <w:trHeight w:val="219"/>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Chicago Lease</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857,963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131,676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52,258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6,268</w:t>
            </w:r>
          </w:p>
        </w:tc>
        <w:tc>
          <w:tcPr>
            <w:tcW w:w="2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1,048,165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46,262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25,751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21,753</w:t>
            </w:r>
          </w:p>
        </w:tc>
        <w:tc>
          <w:tcPr>
            <w:tcW w:w="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1,141,931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 Amount includes $0.2 million of tenant improvement allowance amortization.</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expenses for the three and nine months ended September 30, 2024 and 2023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0" w:type="dxa"/>
            <w:vAlign w:val="bottom"/>
          </w:tcPr>
          <w:p>
            <w:pPr>
              <w:spacing w:after="0"/>
              <w:rPr>
                <w:sz w:val="1"/>
                <w:szCs w:val="1"/>
                <w:color w:val="auto"/>
              </w:rPr>
            </w:pPr>
          </w:p>
        </w:tc>
      </w:tr>
      <w:tr>
        <w:trPr>
          <w:trHeight w:val="181"/>
        </w:trPr>
        <w:tc>
          <w:tcPr>
            <w:tcW w:w="47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from dispositions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(3,790)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17,127.3 %</w:t>
            </w:r>
          </w:p>
        </w:tc>
        <w:tc>
          <w:tcPr>
            <w:tcW w:w="0" w:type="dxa"/>
            <w:vAlign w:val="bottom"/>
          </w:tcPr>
          <w:p>
            <w:pPr>
              <w:spacing w:after="0"/>
              <w:rPr>
                <w:sz w:val="1"/>
                <w:szCs w:val="1"/>
                <w:color w:val="auto"/>
              </w:rPr>
            </w:pPr>
          </w:p>
        </w:tc>
      </w:tr>
      <w:tr>
        <w:trPr>
          <w:trHeight w:val="21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transfer tax recovery</w:t>
            </w:r>
          </w:p>
        </w:tc>
        <w:tc>
          <w:tcPr>
            <w:tcW w:w="2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4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27,686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26,073</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1,616.4 %</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91,256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0" w:type="dxa"/>
            <w:vAlign w:val="bottom"/>
          </w:tcPr>
          <w:p>
            <w:pPr>
              <w:spacing w:after="0"/>
              <w:rPr>
                <w:sz w:val="1"/>
                <w:szCs w:val="1"/>
                <w:color w:val="auto"/>
              </w:rPr>
            </w:pPr>
          </w:p>
        </w:tc>
      </w:tr>
      <w:tr>
        <w:trPr>
          <w:trHeight w:val="181"/>
        </w:trPr>
        <w:tc>
          <w:tcPr>
            <w:tcW w:w="47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from dispositions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17,127.3 %</w:t>
            </w:r>
          </w:p>
        </w:tc>
        <w:tc>
          <w:tcPr>
            <w:tcW w:w="0" w:type="dxa"/>
            <w:vAlign w:val="bottom"/>
          </w:tcPr>
          <w:p>
            <w:pPr>
              <w:spacing w:after="0"/>
              <w:rPr>
                <w:sz w:val="1"/>
                <w:szCs w:val="1"/>
                <w:color w:val="auto"/>
              </w:rPr>
            </w:pPr>
          </w:p>
        </w:tc>
      </w:tr>
      <w:tr>
        <w:trPr>
          <w:trHeight w:val="21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transfer tax recovery</w:t>
            </w:r>
          </w:p>
        </w:tc>
        <w:tc>
          <w:tcPr>
            <w:tcW w:w="2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23,182</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96.5 %</w:t>
            </w:r>
          </w:p>
        </w:tc>
        <w:tc>
          <w:tcPr>
            <w:tcW w:w="0" w:type="dxa"/>
            <w:vAlign w:val="bottom"/>
          </w:tcPr>
          <w:p>
            <w:pPr>
              <w:spacing w:after="0"/>
              <w:rPr>
                <w:sz w:val="1"/>
                <w:szCs w:val="1"/>
                <w:color w:val="auto"/>
              </w:rPr>
            </w:pPr>
          </w:p>
        </w:tc>
      </w:tr>
      <w:tr>
        <w:trPr>
          <w:trHeight w:val="232"/>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297,935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Land rights and ground lease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Land rights and ground lease expense includes the amortization of land rights and rent expense related to the Company's long-term ground leases. The land rights and ground lease expense declines for the three and nine months ended September 30, 2024, as compared to the corresponding period in the prior year was primarily due to the acquisition of certain land that was previously subject to ground leases.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include items such as compensation costs (including stock-based compensation), professional services and costs associated with development activities. General and administrative expenses decreased by $0.1 million and increased by $2.5 million for the three and nine months ended September 30, 2024 as compared to the corresponding period in the prior year. The reason for the increase for the nine month period ended September 30, 2024 was primarily due to higher stock based compensation costs, franchise taxes and payroll costs.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Gains from dispositions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Gains from dispositions for the three and nine months ended September 30, 2024 of $3.8 million was due to the lease reconsideration event for the Tropicana Las Vegas Lease which resulted in the lease being reclassified from an operating lease to a sales type lease. See Note 1 for further discussion.</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Depreciation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decreased by $1.1 million and $1.7 million for the three and nine months ended September 30, 2024 as compared to the corresponding period in the prior year due to certain assets being fully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6" w:name="page57"/>
    <w:bookmarkEnd w:id="56"/>
    <w:p>
      <w:pPr>
        <w:ind w:left="320"/>
        <w:spacing w:after="0"/>
        <w:rPr>
          <w:sz w:val="20"/>
          <w:szCs w:val="20"/>
          <w:color w:val="auto"/>
        </w:rPr>
      </w:pPr>
      <w:r>
        <w:rPr>
          <w:rFonts w:ascii="Times New Roman" w:cs="Times New Roman" w:eastAsia="Times New Roman" w:hAnsi="Times New Roman"/>
          <w:sz w:val="17"/>
          <w:szCs w:val="17"/>
          <w:b w:val="1"/>
          <w:bCs w:val="1"/>
          <w:color w:val="auto"/>
        </w:rPr>
        <w:t>Property transfer tax recovery</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September 30, 2023, the Company recorded a property transfer tax recovery of $2.2 million related to a successful appeal initiated by our tenant.</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Provision for credit losses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recorded a provision for credit losses of $27.7 million for the three months ended September 30, 2024 compared to a provision for credit losses of $1.6 million for the corresponding period in the prior year. As described in Note 3, the Company follows ASC 326 “Credit Losses”, which requires that the Company measure and record current expected credit losses, the scope of which includes our Investments in leases, - financing receivables, net as well as the Company's real estate loans and related loan commitment.</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reason for the significant provision during the three months ended September 30, 2024 was due primarily to the establishment of the initial reserves associated with the Tropicana Las Vegas Lease. During the nine months ended September 30, 2024, the Company recorded a provision of $47.2 million compared to $24.0 million for the corresponding period in the prior year. The primary reason for these provisions was due to the aforementioned reserves associated with the Tropicana Las Vegas Lease as well as declines in the estimated real estate values underlying the Company's Investment in leases, financing receivables. These values are estimated based on long term projections of the Commercial Real Estate Price Index which, as of September 30, 2024 and September 30, 2023, have declined compared to the year end levels at December 31, 2023 and December 31, 2022, respectively.</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income (expenses) for the three and nine months ended September 30, 2024 and 2023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4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(95,705)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(79,788)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(15,917)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19.9 %</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14,876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13,603</w:t>
            </w: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1,068.6 %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(80,829)</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(78,515)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(2,314)</w:t>
            </w: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(269,050)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(240,519)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(28,531)</w:t>
            </w:r>
          </w:p>
        </w:tc>
        <w:tc>
          <w:tcPr>
            <w:tcW w:w="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25,372</w:t>
            </w:r>
          </w:p>
        </w:tc>
        <w:tc>
          <w:tcPr>
            <w:tcW w:w="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373.1 %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60" w:type="dxa"/>
            <w:vAlign w:val="bottom"/>
            <w:tcBorders>
              <w:top w:val="single" w:sz="8" w:color="auto"/>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Interest expense increased by $15.9 million and $28.5 million for the three and nine months ended September 30, 2024, as compared to the corresponding period in the prior year. The increase was due to increased borrowings that partially funded our recent acquisitions.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income</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Interest income increased by $13.6 million and $25.4 million for the three and nine months ended September 30, 2024 as compared to the corresponding period because of higher average interest earning balances and higher rates earned on these balances during the current year.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7"/>
          <w:szCs w:val="17"/>
          <w:b w:val="1"/>
          <w:bCs w:val="1"/>
          <w:color w:val="auto"/>
        </w:rPr>
        <w:t>Losses on debt extinguishmen</w:t>
      </w:r>
      <w:r>
        <w:rPr>
          <w:rFonts w:ascii="Times New Roman" w:cs="Times New Roman" w:eastAsia="Times New Roman" w:hAnsi="Times New Roman"/>
          <w:sz w:val="17"/>
          <w:szCs w:val="17"/>
          <w:color w:val="auto"/>
        </w:rPr>
        <w:t>t</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redeemed its $500 million, 5.375% Senior Notes that were scheduled to mature in November 2023 during the nine months ended September 30, 2023. In connection with this transaction, the Company wrote-off deferred issuance costs of $0.6 million.</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 in the Operating Partnership</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and capital resources are cash flow from operations, borrowings from banks, and proceeds from the issuance of debt and equity securities.</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was $780.4 million and $746.4 million during the nine months ended September 30, 2024 and 2023, respectively. The increase in net cash provided by operating activities of $34.0 million for the nine months ended September 30, 2024, as compared to the corresponding period in the prior year, was primarily comprised of an increase in cash receipts from customers of $45.9 million and an increase in interest income of $21.3 million. This was partially offset by increases in cash paid for employee compensation of $1.6 million, cash paid for interest of $11.8 million, cash paid for operating expenses of $19.1 million and cash paid for taxes of $1.6 million The increase in cash receipts collected from our customers for the nine months ended September 30, 2024, as compared to the corresponding period in the prior year, was due to increased rental income from the Company's recent acquisitions and lease escalations. The increase in interest income was due to higher average interest earning balances and higher rates earned on these balances in the current year.</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Investing activities used cash of $1,177.1 million and $635.3 million during the nine months ended September 30, 2024 and 2023, respectively. Net cash used in investing activities during the nine months ended September 30, 2024 primarily consisted of $440.7 million for the acquisition of real estate for the Bally's Chicago development project, the Belle landside development project and the real estate assets contained within the Tioga Downs Lease and Strategic Gaming Leases which were accounted for as Investment in leases, financing receivables. The Company had real estate loan originations of $123.7 million, $48.6 million for the demolition funding related to the development project at the Tropicana site, the purchase of zero coupon U.S. Treasury Bills totaling $891.0 million, and capital expenditures of $15.9 million, partially offset by the maturity of zero coupon U.S. Treasury Bills totaling $341.0 million and the proceeds from a tax refund related to a previous acquisition of $1.8 million. The net cash used in investing activities for the nine months ended September 30, 2023 consisted primarily of $455.6 million for the acquisition of the real estate assets, $100.2 million for the acquisition of land for the Rockford development project that was accounted for as an investment in leases, financing receivables and capital expenditures of $39.5 million and loan originations of $40.0 million.</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Financing activities used cash of $206.9 million and $269.0 million during the nine months ended September 30, 2024 and 2023, respectively. Net cash used in financing activities during the nine months ended September 30, 2024 was driven by the repayment of long term debt of $463.6 million, dividend payments of $621.9 million, non-controlling interest distributions of $18.4 million, and taxes paid related to shares withheld for tax purposes on restricted stock award vestings of $14.7 million which were partially offset by proceeds from the issuance of common stock, net of costs, totaling $148.2 million and proceeds from the issuance of long term debt, net of costs of $1,177.4 million. Cash used in financing activities during the nine months ended September 30, 2023 was driven by the repayment of long term debt of $575.1 million, dividend payments of $636.4 million, noncontrolling interest distributions of $18.5 million and taxes paid related to shares withheld for tax purposes on restricted stock award vestings of $13.4 million, partially offset by proceeds from the issuance of long term debt, net of costs of $685.0 million and proceeds from the issuance of common stock, net of costs of $289.5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2024 and 2023, we spent approximately $15.9 million and $39.5 million, respectively, for capital expenditures. The majority of the capital expenditures in 2024 were related to a landside development project at The Belle and in 2023 the expenditures were related to a landside development project at Hollywood Casino Baton Rouge that was completed in August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Credit Agreement</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September 2, 2022, GLP Capital entered into a term loan credit agreement (the “Term Loan Credit Agreement”) with Wells Fargo Bank, National Association, as administrative agent (“Term Loan Agent”), and the other agents and lenders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9" w:name="page60"/>
    <w:bookmarkEnd w:id="59"/>
    <w:p>
      <w:pPr>
        <w:jc w:val="both"/>
        <w:spacing w:after="0" w:line="287" w:lineRule="auto"/>
        <w:rPr>
          <w:sz w:val="20"/>
          <w:szCs w:val="20"/>
          <w:color w:val="auto"/>
        </w:rPr>
      </w:pPr>
      <w:r>
        <w:rPr>
          <w:rFonts w:ascii="Times New Roman" w:cs="Times New Roman" w:eastAsia="Times New Roman" w:hAnsi="Times New Roman"/>
          <w:sz w:val="17"/>
          <w:szCs w:val="17"/>
          <w:color w:val="auto"/>
        </w:rPr>
        <w:t>party thereto from time to time, providing for a $600 million delayed draw credit facility with a maturity date of September 2, 2027 (the “Term Loan Credit Facility”). The Term Loan Credit Facility is guaranteed by GLPI.</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closing of Bally's Biloxi and Bally's Tiverton.</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and Fees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September 30, 2024 was 6.50%.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and Prepayments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Certain Covenants and Events of Default</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September 30, 2024, the Company was in compliance with all required financial covenants under the Term Loan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Senior Unsecured Credit Agreement and Amended Credit Agreement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May 13, 2022, GLP Capital entered into a credit agreement (the "Credit Agreement") providing for a $1.75 billion revolving credit facility (the "Initial Revolving Credit Facility") maturing in May 2026, plus two six-month extensions at GLP Capital's option.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was guaranteed by GLPI.</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September 2, 2022, GLP Capital entered into an amendment No. 1 (the "Amendment") to the Credit Agreement (as amended, the "Amended Credit Agreement") among GLP Capital, Wells Fargo Bank, National Association, as administrative agent (“Agent”), and the several banks and other financial institutions or entities party thereto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September 30, 2024, no amounts were outstanding under the Amended Credit Agreement. Additionally, at September 30, 2024, the Company was contingently obligated under letters of credit issued pursuant to the Amended Credit Agreement with face amounts aggregating approximately $0.4 million, resulting in $1,749.6 million of available borrowing capacity under the Amended Credit Agreement as of September 30, 2024.</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1" w:name="page62"/>
    <w:bookmarkEnd w:id="61"/>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w:t>
      </w:r>
    </w:p>
    <w:p>
      <w:pPr>
        <w:spacing w:after="0" w:line="20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September 30, 2024, the Company was in compliance with all required financial covenants under the Amended Credit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 September 30, 2024, the Company had $6,875.0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9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August 2024, the Company issued $800 million of 5.625% Senior Notes that will mature on September 15, 2034 at an issue price equal to 99.094% of the principal amount and $400 million of 6.250% Senior Notes that will mature on September 15, 2054 at an issue price equal to 99.183% of the principal amount. The Company plans to use the net proceeds for working capital and general corporate purposes, which may include the funding of announced transactions, development and improvement of properties, repayment of indebtedness, capital expenditures and other general business purposes.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month period ended September 30, 2024, the Company redeemed its $400 million 3.350% senior unsecured notes due September 2024.</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9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7"/>
          <w:szCs w:val="17"/>
          <w:i w:val="1"/>
          <w:iCs w:val="1"/>
          <w:color w:val="auto"/>
        </w:rPr>
        <w:t>pari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passu </w:t>
      </w:r>
      <w:r>
        <w:rPr>
          <w:rFonts w:ascii="Times New Roman" w:cs="Times New Roman" w:eastAsia="Times New Roman" w:hAnsi="Times New Roman"/>
          <w:sz w:val="17"/>
          <w:szCs w:val="17"/>
          <w:color w:val="auto"/>
        </w:rPr>
        <w:t>in right of payment with all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2" w:name="page63"/>
    <w:bookmarkEnd w:id="62"/>
    <w:p>
      <w:pPr>
        <w:jc w:val="both"/>
        <w:spacing w:after="0" w:line="287" w:lineRule="auto"/>
        <w:rPr>
          <w:sz w:val="20"/>
          <w:szCs w:val="20"/>
          <w:color w:val="auto"/>
        </w:rPr>
      </w:pPr>
      <w:r>
        <w:rPr>
          <w:rFonts w:ascii="Times New Roman" w:cs="Times New Roman" w:eastAsia="Times New Roman" w:hAnsi="Times New Roman"/>
          <w:sz w:val="17"/>
          <w:szCs w:val="17"/>
          <w:color w:val="auto"/>
        </w:rPr>
        <w:t>the Issuers' senior indebtedness, including the Amended Credit Agreement, and senior in right of payment to all of the Issuers' subordinated indebtedness, without giving effect to collateral arrangements.</w:t>
      </w:r>
    </w:p>
    <w:p>
      <w:pPr>
        <w:spacing w:after="0" w:line="7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GLPI owns all of the assets of GLP Capital and conducts all of its operations through the operating partnership. Pursuant to Rule 3-10 of Regulation S-X, we are not required to provide separate financial statements for the Issuers and GLPI since they are consolidated into GLPI and the GLPI guarantee is "full and unconditional".</w:t>
      </w:r>
    </w:p>
    <w:p>
      <w:pPr>
        <w:spacing w:after="0" w:line="10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September 30, 2024, the Company was in compliance with all required financial covenants under its Senior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 Requirements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Outlook</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Based on our current level of operations and anticipated earnings, we believe that cash generated from operations and cash on hand, together with amounts available under our Revolver and potential sales of common shares, including through the settlement of the Company's forward sale agreements that are discussed in Note 12, will be adequate to meet our anticipated debt service requirements, capital expenditures, working capital needs and dividend requirements.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late December 2022, the Company refreshed its ATM capacity to $1 billion (the "2022 ATM Program"). Reflecting the impact of the Company's forward sale agreements that are discussed in Note 12, the Company has $34.2 million remaining for issuance under the 2022 ATM Program.</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2022 ATM Program),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2023, for a discussion of the risk related to our capital structure.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face market risk exposure in the form of interest rate risk. These market risks arise from our debt obligations. We have no international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foreign currency fluctuations is not significant to our financial condition or results of operations.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GLPI’s primary market risk exposure is interest rate risk with respect to its indebtedness of $7,475.3 million at September 30, 2024. Furthermore, $6,875.0 million of our obligations at September 30, 2024 are the senior unsecured notes that have fixed interest rates with maturity dates ranging from approximately eight months to thirty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 below provides information at September 30, 2024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September 30, 2024.</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10/01/24-</w:t>
            </w:r>
          </w:p>
        </w:tc>
        <w:tc>
          <w:tcPr>
            <w:tcW w:w="220" w:type="dxa"/>
            <w:vAlign w:val="bottom"/>
          </w:tcPr>
          <w:p>
            <w:pPr>
              <w:spacing w:after="0"/>
              <w:rPr>
                <w:sz w:val="13"/>
                <w:szCs w:val="13"/>
                <w:color w:val="auto"/>
              </w:rPr>
            </w:pPr>
          </w:p>
        </w:tc>
        <w:tc>
          <w:tcPr>
            <w:tcW w:w="76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6"/>
              </w:rPr>
              <w:t>1/01/25-</w:t>
            </w:r>
          </w:p>
        </w:tc>
        <w:tc>
          <w:tcPr>
            <w:tcW w:w="220" w:type="dxa"/>
            <w:vAlign w:val="bottom"/>
          </w:tcPr>
          <w:p>
            <w:pPr>
              <w:spacing w:after="0"/>
              <w:rPr>
                <w:sz w:val="13"/>
                <w:szCs w:val="13"/>
                <w:color w:val="auto"/>
              </w:rPr>
            </w:pPr>
          </w:p>
        </w:tc>
        <w:tc>
          <w:tcPr>
            <w:tcW w:w="80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1/01/26-</w:t>
            </w:r>
          </w:p>
        </w:tc>
        <w:tc>
          <w:tcPr>
            <w:tcW w:w="220" w:type="dxa"/>
            <w:vAlign w:val="bottom"/>
          </w:tcPr>
          <w:p>
            <w:pPr>
              <w:spacing w:after="0"/>
              <w:rPr>
                <w:sz w:val="13"/>
                <w:szCs w:val="13"/>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1/01/27-</w:t>
            </w:r>
          </w:p>
        </w:tc>
        <w:tc>
          <w:tcPr>
            <w:tcW w:w="220" w:type="dxa"/>
            <w:vAlign w:val="bottom"/>
          </w:tcPr>
          <w:p>
            <w:pPr>
              <w:spacing w:after="0"/>
              <w:rPr>
                <w:sz w:val="13"/>
                <w:szCs w:val="13"/>
                <w:color w:val="auto"/>
              </w:rPr>
            </w:pPr>
          </w:p>
        </w:tc>
        <w:tc>
          <w:tcPr>
            <w:tcW w:w="78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6"/>
              </w:rPr>
              <w:t>1/01/28-</w:t>
            </w:r>
          </w:p>
        </w:tc>
        <w:tc>
          <w:tcPr>
            <w:tcW w:w="200" w:type="dxa"/>
            <w:vAlign w:val="bottom"/>
          </w:tcPr>
          <w:p>
            <w:pPr>
              <w:spacing w:after="0"/>
              <w:rPr>
                <w:sz w:val="13"/>
                <w:szCs w:val="13"/>
                <w:color w:val="auto"/>
              </w:rPr>
            </w:pPr>
          </w:p>
        </w:tc>
        <w:tc>
          <w:tcPr>
            <w:tcW w:w="8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300" w:type="dxa"/>
            <w:vAlign w:val="bottom"/>
          </w:tcPr>
          <w:p>
            <w:pPr>
              <w:spacing w:after="0"/>
              <w:rPr>
                <w:sz w:val="13"/>
                <w:szCs w:val="13"/>
                <w:color w:val="auto"/>
              </w:rPr>
            </w:pPr>
          </w:p>
        </w:tc>
        <w:tc>
          <w:tcPr>
            <w:tcW w:w="8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12/31/25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6"/>
              </w:rPr>
              <w:t>12/31/26</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6"/>
              </w:rPr>
              <w:t>12/31/27</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12/31/28</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9/30/2024</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Borders>
              <w:right w:val="single" w:sz="8" w:color="CCEEFF"/>
            </w:tcBorders>
          </w:tcPr>
          <w:p>
            <w:pPr>
              <w:spacing w:after="0"/>
              <w:rPr>
                <w:sz w:val="15"/>
                <w:szCs w:val="15"/>
                <w:color w:val="auto"/>
              </w:rPr>
            </w:pPr>
          </w:p>
        </w:tc>
        <w:tc>
          <w:tcPr>
            <w:tcW w:w="98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w w:val="96"/>
              </w:rPr>
              <w:t>Long-term debt:</w:t>
            </w:r>
          </w:p>
        </w:tc>
        <w:tc>
          <w:tcPr>
            <w:tcW w:w="13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850,000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975,000</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4,550,000</w:t>
            </w: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6,875,000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6,827,950</w:t>
            </w:r>
          </w:p>
        </w:tc>
        <w:tc>
          <w:tcPr>
            <w:tcW w:w="0" w:type="dxa"/>
            <w:vAlign w:val="bottom"/>
          </w:tcPr>
          <w:p>
            <w:pPr>
              <w:spacing w:after="0"/>
              <w:rPr>
                <w:sz w:val="1"/>
                <w:szCs w:val="1"/>
                <w:color w:val="auto"/>
              </w:rPr>
            </w:pPr>
          </w:p>
        </w:tc>
      </w:tr>
      <w:tr>
        <w:trPr>
          <w:trHeight w:val="201"/>
        </w:trPr>
        <w:tc>
          <w:tcPr>
            <w:tcW w:w="40" w:type="dxa"/>
            <w:vAlign w:val="bottom"/>
            <w:tcBorders>
              <w:right w:val="single" w:sz="8" w:color="CCEEFF"/>
            </w:tcBorders>
          </w:tcPr>
          <w:p>
            <w:pPr>
              <w:spacing w:after="0"/>
              <w:rPr>
                <w:sz w:val="17"/>
                <w:szCs w:val="17"/>
                <w:color w:val="auto"/>
              </w:rPr>
            </w:pP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3"/>
              </w:rPr>
              <w:t>5.25%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4"/>
                <w:szCs w:val="14"/>
                <w:color w:val="auto"/>
                <w:w w:val="99"/>
              </w:rPr>
              <w:t>5.38%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4"/>
                <w:szCs w:val="14"/>
                <w:color w:val="auto"/>
                <w:w w:val="99"/>
              </w:rPr>
              <w:t>5.75%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4.81%</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9"/>
              </w:rPr>
              <w:t>4.55%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firstLine="3"/>
        <w:spacing w:after="0" w:line="234" w:lineRule="auto"/>
        <w:tabs>
          <w:tab w:leader="none" w:pos="529"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Controls and Procedures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2024,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2024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Information in response to this Item is incorporated by reference to the information set forth in "Note 9: Commitments and Contingencies" in the Notes to the condensed consolidated financial statements in Part I of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repurchase any shares of common stock or sell any unregistered securities during the three months ended September 30,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Insider Trading Arrangements and Policies</w:t>
      </w:r>
    </w:p>
    <w:p>
      <w:pPr>
        <w:spacing w:after="0" w:line="24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September 13, 2024, Matthew Demchyk, the Company's Senior Vice President and Chief Investment Officer, entered into a pre-arranged written stock sale plan in accordance with Rule 10b5-1 (the “Demchyk Rule 10b5-1 Plan”) under the Exchange Act for the sale of shares of the Company’s common stock. The Demchyk Rule 10b5-1 Plan was entered into during an open trading window in accordance with the Company’s policies regarding transactions in the Company’s securities and is intended to satisfy the affirmative defense of Rule 10b5-1(c) under the Exchange Act. The Demchyk Rule 10b5-1 Plan provides for the potential sale of shares of the Company’s common stock, including upon the vesting and settlement of restricted stock awards, between January 1, 2025 and September 30, 2025. The aggregate number of shares of common stock that will be available for sale under the Demchyk Rule 10b5-1 Plan is not yet determinable because the awards will be net of shares sold to satisfy tax withholding obligations that arise in connection with the settlement of such restricted stock awards. As such, for purposes of this disclosure, the aggregate number of shares of common stock available for sale prior to tax withholding on vested shares is 75,000.</w:t>
      </w:r>
    </w:p>
    <w:p>
      <w:pPr>
        <w:spacing w:after="0" w:line="20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The Demchyk Rule 10b5-1 Plan includes a representation from Mr. Demchyk to the broker administering the plan that he was not in possession of any material nonpublic information regarding the Company or the securities subject to the Demchyk Rule 10b5-1 Plan at the time it was entered into. A similar representation was made to the Company in connection with the adoption of the Demchyk Rule 10b5-1 Plan under the Company’s policies regarding transactions in the Company’s securities. Those representations were made as of the date of adoption of the Demchyk Rule 10b5-1 Plan, and speak only as of such date. In making those representations, there is no assurance with respect to any material nonpublic information of which Mr. Demchyk was unaware, or with respect to any material nonpublic information acquired by Mr. Demchyk or the Company after the date of the representation.</w:t>
      </w:r>
    </w:p>
    <w:p>
      <w:pPr>
        <w:spacing w:after="0" w:line="199"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On September 13, 2024, Brandon Moore, the Company's President, Chief Operating Officer, and Secretary, entered into a pre-arranged written stock sale plan in accordance with Rule 10b5-1 (the “Moore Rule 10b5-1 Plan”) under the Exchange Act for the sale of shares of the Company’s common stock. The Moore Rule 10b5-1 Plan was entered into during an open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66" w:name="page67"/>
    <w:bookmarkEnd w:id="66"/>
    <w:p>
      <w:pPr>
        <w:ind w:right="20"/>
        <w:spacing w:after="0" w:line="260" w:lineRule="auto"/>
        <w:rPr>
          <w:sz w:val="20"/>
          <w:szCs w:val="20"/>
          <w:color w:val="auto"/>
        </w:rPr>
      </w:pPr>
      <w:r>
        <w:rPr>
          <w:rFonts w:ascii="Times New Roman" w:cs="Times New Roman" w:eastAsia="Times New Roman" w:hAnsi="Times New Roman"/>
          <w:sz w:val="17"/>
          <w:szCs w:val="17"/>
          <w:color w:val="auto"/>
        </w:rPr>
        <w:t>trading window in accordance with the Company’s policies regarding transactions in the Company’s securities and is intended to satisfy the affirmative defense of Rule 10b5-1(c) under the Exchange Act. The Moore Rule 10b5-1 Plan provides for the potential sale of shares of the Company’s common stock, including upon the vesting and settlement of restricted stock awards, between January 2, 2025 and June 30, 2025. The aggregate number of shares of common stock that will be available for sale under the Moore Rule 10b5-1 Plan is not yet determinable because the awards will be net of shares sold to satisfy tax withholding obligations that arise in connection with the settlement of such restricted stock awards. As such, for purposes of this disclosure, the aggregate number of shares of common stock available for sale prior to tax withholding on vested shares is 101,333.</w:t>
      </w:r>
    </w:p>
    <w:p>
      <w:pPr>
        <w:spacing w:after="0" w:line="19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Moore Rule 10b5-1 Plan includes a representation from Mr. Moore to the broker administering the plan that he was not in possession of any material nonpublic information regarding the Company or the securities subject to the Moore Rule 10b5-1 Plan at the time it was entered into. A similar representation was made to the Company in connection with the adoption of the Moore Rule 10b5-1 Plan under the Company’s policies regarding transactions in the Company’s securities. Those representations were made as of the date of adoption of the Moore Rule 10b5-1 Plan, and speak only as of such date. In making those representations, there is no assurance with respect to any material nonpublic information of which Mr. Moore was unaware, or with respect to any material nonpublic information acquired by Mr. Moore or the Company after the date of the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700" w:type="dxa"/>
            <w:vAlign w:val="bottom"/>
            <w:gridSpan w:val="12"/>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73"/>
        </w:trPr>
        <w:tc>
          <w:tcPr>
            <w:tcW w:w="118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16"/>
          </w:tcPr>
          <w:p>
            <w:pPr>
              <w:spacing w:after="0" w:line="17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Amended and Restated Articles of Incorporation of Gaming and Leisure Properties, Inc. (Incorporated by reference to Exhibit 3.1 to the</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Company's Current Report on Form 8-K filed on June 15, 2018).</w:t>
              </w:r>
            </w:hyperlink>
          </w:p>
        </w:tc>
        <w:tc>
          <w:tcPr>
            <w:tcW w:w="4900" w:type="dxa"/>
            <w:vAlign w:val="bottom"/>
            <w:tcBorders>
              <w:top w:val="single" w:sz="8" w:color="0000FF"/>
            </w:tcBorders>
            <w:gridSpan w:val="4"/>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6"/>
          </w:tcPr>
          <w:p>
            <w:pPr>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Second Amended and Restated Bylaws of Gaming and Leisure Properties, Inc. (Incorporated by reference to Exhibit 3.1 to the Company's</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Current Report on Form 8-K filed on December 13, 2023.)</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6"/>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Thirteenth Supplemental Indenture, dated as of August 6, 2024, among GLP Capital, L.P. and GLP Financing II, Inc. as Issuers, Gaming and</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Leisure Properties, Inc. as Parent Guarantor, and Computershare Trust Company, N.A. as successor to Wells Fargo Bank, National</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bottom w:val="single" w:sz="8" w:color="0000FF"/>
            </w:tcBorders>
            <w:gridSpan w:val="12"/>
          </w:tcPr>
          <w:p>
            <w:pPr>
              <w:spacing w:after="0" w:line="161"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Association, as Trustee (Incorporated by reference to Exhibit 4.3 to the Company's Current Report on Form 8-K filed on August 12, 2024).</w:t>
              </w:r>
            </w:hyperlink>
          </w:p>
        </w:tc>
        <w:tc>
          <w:tcPr>
            <w:tcW w:w="160" w:type="dxa"/>
            <w:vAlign w:val="bottom"/>
            <w:gridSpan w:val="4"/>
          </w:tcPr>
          <w:p>
            <w:pPr>
              <w:spacing w:after="0"/>
              <w:rPr>
                <w:sz w:val="13"/>
                <w:szCs w:val="13"/>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6"/>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Fourteenth Supplemental Indenture, dated as of August 6, 2024, among GLP Capital, L.P. and GLP Financing II, Inc. as Issuers, Gaming and</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Leisure Properties, Inc. as Parent Guarantor, and Computershare Trust Company, N.A. as successor to Wells Fargo Bank, National</w:t>
              </w:r>
            </w:hyperlink>
          </w:p>
        </w:tc>
        <w:tc>
          <w:tcPr>
            <w:tcW w:w="4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60"/>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16"/>
          </w:tcPr>
          <w:p>
            <w:pPr>
              <w:spacing w:after="0" w:line="161"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Association, as Trustee (Incorporated by reference to Exhibit 4.3 to the Company's Current Report on Form 8-K filed on August 12, 2024).</w:t>
              </w:r>
            </w:hyperlink>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Form of 2034 Note (Included in Exhibit 4.1 above)</w:t>
              </w:r>
            </w:hyperlink>
          </w:p>
        </w:tc>
        <w:tc>
          <w:tcPr>
            <w:tcW w:w="6040" w:type="dxa"/>
            <w:vAlign w:val="bottom"/>
            <w:tcBorders>
              <w:top w:val="single" w:sz="8" w:color="0000FF"/>
            </w:tcBorders>
            <w:gridSpan w:val="8"/>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Form of 2054 Note (Included in Exhibit 4.2 above)</w:t>
              </w:r>
            </w:hyperlink>
          </w:p>
        </w:tc>
        <w:tc>
          <w:tcPr>
            <w:tcW w:w="6220" w:type="dxa"/>
            <w:vAlign w:val="bottom"/>
            <w:gridSpan w:val="13"/>
          </w:tcPr>
          <w:p>
            <w:pPr>
              <w:spacing w:after="0"/>
              <w:rPr>
                <w:sz w:val="17"/>
                <w:szCs w:val="17"/>
                <w:color w:val="auto"/>
              </w:rPr>
            </w:pPr>
          </w:p>
        </w:tc>
      </w:tr>
      <w:tr>
        <w:trPr>
          <w:trHeight w:val="186"/>
        </w:trPr>
        <w:tc>
          <w:tcPr>
            <w:tcW w:w="118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16"/>
          </w:tcPr>
          <w:p>
            <w:pPr>
              <w:spacing w:after="0" w:line="186" w:lineRule="exact"/>
              <w:rPr>
                <w:sz w:val="20"/>
                <w:szCs w:val="20"/>
                <w:color w:val="auto"/>
              </w:rPr>
            </w:pPr>
            <w:r>
              <w:rPr>
                <w:rFonts w:ascii="Times New Roman" w:cs="Times New Roman" w:eastAsia="Times New Roman" w:hAnsi="Times New Roman"/>
                <w:sz w:val="17"/>
                <w:szCs w:val="17"/>
                <w:color w:val="auto"/>
              </w:rPr>
              <w:t>Binding Term Sheet, dated July 11, 2024, by and between GLP Capital, L.P. and Bally's Corporation (Incorporated by reference to Exhibit</w:t>
            </w:r>
          </w:p>
        </w:tc>
      </w:tr>
      <w:tr>
        <w:trPr>
          <w:trHeight w:val="223"/>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10.1 to the Company's Current Report on Form 8-K filed on July 12, 2024).</w:t>
            </w:r>
          </w:p>
        </w:tc>
      </w:tr>
      <w:tr>
        <w:trPr>
          <w:trHeight w:val="189"/>
        </w:trPr>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8"/>
              </w:rPr>
              <w:t>22.1 *</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List of Subsidiary Issuers of Guaranteed Securities</w:t>
            </w:r>
          </w:p>
        </w:tc>
        <w:tc>
          <w:tcPr>
            <w:tcW w:w="6240" w:type="dxa"/>
            <w:vAlign w:val="bottom"/>
            <w:gridSpan w:val="14"/>
          </w:tcPr>
          <w:p>
            <w:pPr>
              <w:spacing w:after="0"/>
              <w:rPr>
                <w:sz w:val="16"/>
                <w:szCs w:val="16"/>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Rule 13a-14(a) or 15d-14(a) of the Securities Exchange Act of 1934.</w:t>
            </w:r>
          </w:p>
        </w:tc>
        <w:tc>
          <w:tcPr>
            <w:tcW w:w="1360" w:type="dxa"/>
            <w:vAlign w:val="bottom"/>
            <w:gridSpan w:val="9"/>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Rule 13a-14(a) or 15d-14(a) of the Securities Exchange Act of 1934.</w:t>
            </w:r>
          </w:p>
        </w:tc>
        <w:tc>
          <w:tcPr>
            <w:tcW w:w="1400" w:type="dxa"/>
            <w:vAlign w:val="bottom"/>
            <w:gridSpan w:val="10"/>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2002.</w:t>
            </w:r>
          </w:p>
        </w:tc>
        <w:tc>
          <w:tcPr>
            <w:tcW w:w="9060" w:type="dxa"/>
            <w:vAlign w:val="bottom"/>
            <w:tcBorders>
              <w:top w:val="single" w:sz="8" w:color="0000FF"/>
            </w:tcBorders>
            <w:gridSpan w:val="12"/>
          </w:tcPr>
          <w:p>
            <w:pPr>
              <w:spacing w:after="0"/>
              <w:rPr>
                <w:sz w:val="12"/>
                <w:szCs w:val="12"/>
                <w:color w:val="auto"/>
              </w:rPr>
            </w:pPr>
          </w:p>
        </w:tc>
        <w:tc>
          <w:tcPr>
            <w:tcW w:w="100" w:type="dxa"/>
            <w:vAlign w:val="bottom"/>
            <w:gridSpan w:val="3"/>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2022.</w:t>
            </w:r>
          </w:p>
        </w:tc>
        <w:tc>
          <w:tcPr>
            <w:tcW w:w="9000" w:type="dxa"/>
            <w:vAlign w:val="bottom"/>
            <w:tcBorders>
              <w:top w:val="single" w:sz="8" w:color="0000FF"/>
            </w:tcBorders>
            <w:gridSpan w:val="11"/>
          </w:tcPr>
          <w:p>
            <w:pPr>
              <w:spacing w:after="0"/>
              <w:rPr>
                <w:sz w:val="12"/>
                <w:szCs w:val="12"/>
                <w:color w:val="auto"/>
              </w:rPr>
            </w:pPr>
          </w:p>
        </w:tc>
        <w:tc>
          <w:tcPr>
            <w:tcW w:w="160" w:type="dxa"/>
            <w:vAlign w:val="bottom"/>
            <w:gridSpan w:val="4"/>
          </w:tcPr>
          <w:p>
            <w:pPr>
              <w:spacing w:after="0"/>
              <w:rPr>
                <w:sz w:val="12"/>
                <w:szCs w:val="12"/>
                <w:color w:val="auto"/>
              </w:rPr>
            </w:pPr>
          </w:p>
        </w:tc>
      </w:tr>
    </w:tbl>
    <w:p>
      <w:pPr>
        <w:spacing w:after="0" w:line="35" w:lineRule="exact"/>
        <w:rPr>
          <w:sz w:val="20"/>
          <w:szCs w:val="20"/>
          <w:color w:val="auto"/>
        </w:rPr>
      </w:pPr>
    </w:p>
    <w:p>
      <w:pPr>
        <w:ind w:left="1400" w:right="420" w:hanging="939"/>
        <w:spacing w:after="0" w:line="226" w:lineRule="auto"/>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Quarterly Report on Form 10-Q for the quarter ended September 30, 2024,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bl>
      <w:tblPr>
        <w:tblLayout w:type="fixed"/>
        <w:tblInd w:w="40" w:type="dxa"/>
        <w:tblCellMar>
          <w:top w:w="0" w:type="dxa"/>
          <w:left w:w="0" w:type="dxa"/>
          <w:bottom w:w="0" w:type="dxa"/>
          <w:right w:w="0" w:type="dxa"/>
        </w:tblCellMar>
      </w:tblPr>
      <w:tr>
        <w:trPr>
          <w:trHeight w:val="170"/>
        </w:trPr>
        <w:tc>
          <w:tcPr>
            <w:tcW w:w="1020" w:type="dxa"/>
            <w:vAlign w:val="bottom"/>
          </w:tcPr>
          <w:p>
            <w:pPr>
              <w:jc w:val="right"/>
              <w:ind w:right="254"/>
              <w:spacing w:after="0" w:line="170" w:lineRule="exact"/>
              <w:rPr>
                <w:sz w:val="20"/>
                <w:szCs w:val="20"/>
                <w:color w:val="auto"/>
              </w:rPr>
            </w:pPr>
            <w:r>
              <w:rPr>
                <w:rFonts w:ascii="Times New Roman" w:cs="Times New Roman" w:eastAsia="Times New Roman" w:hAnsi="Times New Roman"/>
                <w:sz w:val="17"/>
                <w:szCs w:val="17"/>
                <w:color w:val="auto"/>
              </w:rPr>
              <w:t>104</w:t>
            </w:r>
          </w:p>
        </w:tc>
        <w:tc>
          <w:tcPr>
            <w:tcW w:w="9960" w:type="dxa"/>
            <w:vAlign w:val="bottom"/>
            <w:gridSpan w:val="2"/>
          </w:tcPr>
          <w:p>
            <w:pPr>
              <w:ind w:left="340"/>
              <w:spacing w:after="0" w:line="170" w:lineRule="exact"/>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September 30, 2024, formatted in Inline XBRL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9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and contained in Exhibit 101.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0" w:hanging="237"/>
        <w:spacing w:after="0"/>
        <w:tabs>
          <w:tab w:leader="none" w:pos="2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68" w:name="page69"/>
    <w:bookmarkEnd w:id="68"/>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5380" w:type="dxa"/>
            <w:vAlign w:val="bottom"/>
            <w:gridSpan w:val="3"/>
          </w:tcPr>
          <w:p>
            <w:pPr>
              <w:ind w:left="2040"/>
              <w:spacing w:after="0"/>
              <w:rPr>
                <w:sz w:val="20"/>
                <w:szCs w:val="20"/>
                <w:color w:val="auto"/>
              </w:rPr>
            </w:pPr>
            <w:r>
              <w:rPr>
                <w:rFonts w:ascii="Times New Roman" w:cs="Times New Roman" w:eastAsia="Times New Roman" w:hAnsi="Times New Roman"/>
                <w:sz w:val="17"/>
                <w:szCs w:val="17"/>
                <w:color w:val="auto"/>
              </w:rPr>
              <w:t>GAMING AND LEISURE PROPERTIES, INC.</w:t>
            </w:r>
          </w:p>
        </w:tc>
      </w:tr>
      <w:tr>
        <w:trPr>
          <w:trHeight w:val="399"/>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October 24, 2024</w:t>
            </w:r>
          </w:p>
        </w:tc>
        <w:tc>
          <w:tcPr>
            <w:tcW w:w="2720" w:type="dxa"/>
            <w:vAlign w:val="bottom"/>
          </w:tcPr>
          <w:p>
            <w:pPr>
              <w:ind w:left="2040"/>
              <w:spacing w:after="0"/>
              <w:rPr>
                <w:sz w:val="20"/>
                <w:szCs w:val="20"/>
                <w:color w:val="auto"/>
              </w:rPr>
            </w:pPr>
            <w:r>
              <w:rPr>
                <w:rFonts w:ascii="Times New Roman" w:cs="Times New Roman" w:eastAsia="Times New Roman" w:hAnsi="Times New Roman"/>
                <w:sz w:val="17"/>
                <w:szCs w:val="17"/>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DESIREE A. BURKE</w:t>
            </w:r>
          </w:p>
        </w:tc>
        <w:tc>
          <w:tcPr>
            <w:tcW w:w="920" w:type="dxa"/>
            <w:vAlign w:val="bottom"/>
          </w:tcPr>
          <w:p>
            <w:pPr>
              <w:spacing w:after="0"/>
              <w:rPr>
                <w:sz w:val="24"/>
                <w:szCs w:val="24"/>
                <w:color w:val="auto"/>
              </w:rPr>
            </w:pPr>
          </w:p>
        </w:tc>
      </w:tr>
      <w:tr>
        <w:trPr>
          <w:trHeight w:val="230"/>
        </w:trPr>
        <w:tc>
          <w:tcPr>
            <w:tcW w:w="3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Desiree A. Burke</w:t>
            </w:r>
          </w:p>
        </w:tc>
      </w:tr>
      <w:tr>
        <w:trPr>
          <w:trHeight w:val="219"/>
        </w:trPr>
        <w:tc>
          <w:tcPr>
            <w:tcW w:w="3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 and Treasurer</w:t>
            </w:r>
          </w:p>
        </w:tc>
      </w:tr>
      <w:tr>
        <w:trPr>
          <w:trHeight w:val="227"/>
        </w:trPr>
        <w:tc>
          <w:tcPr>
            <w:tcW w:w="3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440"/>
          </w:cols>
          <w:pgMar w:left="320" w:top="854" w:right="11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1"/>
          <w:szCs w:val="21"/>
          <w:b w:val="1"/>
          <w:bCs w:val="1"/>
          <w:color w:val="auto"/>
        </w:rPr>
        <w:t>Exhibit 22.1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Subsidiary Issuers of Guaranteed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subsidiaries of Gaming and Leisure Properties, Inc. (the “Company”) were, as of September 30, 2024, issuers of the (i)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$850 million 5.25% senior unsecured notes due June 2025, (ii) $975 million 5.375% senior unsecured notes due April 2026, (iii) $500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million 5.75% senior unsecured notes due June 2028, (iv) $750 million 5.30% senior unsecured notes due January 2029, (v) $700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 4.00% senior unsecured notes due January 2030, (vi) $700 million 4.000% senior unsecured notes due January 2031, (vii) $800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million 3.25% senior unsecured notes due January 2032, (viii) $400 million 6.75% senior unsecured notes due December 2033, (ix)</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$800 million 5.625% senior unsecured notes due September 2024, and (x) $400 million 6.250% senior unsecured notes due September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2054, each guaranteed by the Company:</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Jurisdiction of Incorporation or Formation</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Pennsylvania</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36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M. Carlino, certify that:</w:t>
      </w:r>
    </w:p>
    <w:p>
      <w:pPr>
        <w:spacing w:after="0" w:line="217" w:lineRule="exact"/>
        <w:rPr>
          <w:sz w:val="20"/>
          <w:szCs w:val="20"/>
          <w:color w:val="auto"/>
        </w:rPr>
      </w:pPr>
    </w:p>
    <w:p>
      <w:pPr>
        <w:ind w:left="660" w:hanging="657"/>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October 24, 2024</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Peter M. Carlino</w:t>
            </w:r>
          </w:p>
        </w:tc>
        <w:tc>
          <w:tcPr>
            <w:tcW w:w="230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Peter M. Carlino</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5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Desiree A. Burke, certify that:</w:t>
      </w:r>
    </w:p>
    <w:p>
      <w:pPr>
        <w:spacing w:after="0" w:line="217" w:lineRule="exact"/>
        <w:rPr>
          <w:sz w:val="20"/>
          <w:szCs w:val="20"/>
          <w:color w:val="auto"/>
        </w:rPr>
      </w:pPr>
    </w:p>
    <w:p>
      <w:pPr>
        <w:ind w:left="660" w:hanging="657"/>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October 24, 2024</w:t>
            </w: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Desiree A. Burke</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Desiree A. Burke</w:t>
            </w:r>
          </w:p>
        </w:tc>
      </w:tr>
      <w:tr>
        <w:trPr>
          <w:trHeight w:val="175"/>
        </w:trPr>
        <w:tc>
          <w:tcPr>
            <w:tcW w:w="5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080" w:type="dxa"/>
            <w:vAlign w:val="bottom"/>
            <w:gridSpan w:val="2"/>
          </w:tcPr>
          <w:p>
            <w:pPr>
              <w:spacing w:after="0" w:line="175" w:lineRule="exact"/>
              <w:rPr>
                <w:sz w:val="20"/>
                <w:szCs w:val="20"/>
                <w:color w:val="auto"/>
              </w:rPr>
            </w:pPr>
            <w:r>
              <w:rPr>
                <w:rFonts w:ascii="Times New Roman" w:cs="Times New Roman" w:eastAsia="Times New Roman" w:hAnsi="Times New Roman"/>
                <w:sz w:val="17"/>
                <w:szCs w:val="17"/>
                <w:i w:val="1"/>
                <w:iCs w:val="1"/>
                <w:color w:val="auto"/>
                <w:w w:val="99"/>
              </w:rPr>
              <w:t>Chief Financial Officer and Treasurer (Principal Financial</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Officer)</w:t>
            </w:r>
          </w:p>
        </w:tc>
      </w:tr>
    </w:tbl>
    <w:p>
      <w:pPr>
        <w:sectPr>
          <w:pgSz w:w="11900" w:h="16838" w:orient="portrait"/>
          <w:cols w:equalWidth="0" w:num="1">
            <w:col w:w="11240"/>
          </w:cols>
          <w:pgMar w:left="320" w:top="85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September 30, 2024,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Peter M. Carlino</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Peter M. Carlino</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Principal Executive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October 24, 2024</w:t>
      </w:r>
    </w:p>
    <w:p>
      <w:pPr>
        <w:sectPr>
          <w:pgSz w:w="11900" w:h="16838" w:orient="portrait"/>
          <w:cols w:equalWidth="0" w:num="1">
            <w:col w:w="11240"/>
          </w:cols>
          <w:pgMar w:left="320" w:top="85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September 30, 2024,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Desiree A. Burke</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Desiree A. Burke</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Financial Officer and Principal Financial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October 24, 2024</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amp;"/>
      <w:numFmt w:val="bullet"/>
      <w:start w:val="1"/>
    </w:lvl>
  </w:abstractNum>
  <w:abstractNum w:abstractNumId="5">
    <w:nsid w:val="25E45D32"/>
    <w:multiLevelType w:val="hybridMultilevel"/>
    <w:lvl w:ilvl="0">
      <w:lvlJc w:val="left"/>
      <w:lvlText w:val="%1."/>
      <w:numFmt w:val="decimal"/>
      <w:start w:val="6"/>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820"/>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amp;"/>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0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7" Type="http://schemas.openxmlformats.org/officeDocument/2006/relationships/image" Target="media/image76.png"/><Relationship Id="rId83" Type="http://schemas.openxmlformats.org/officeDocument/2006/relationships/hyperlink" Target="https://www.sec.gov/Archives/edgar/data/1575965/000157596518000016/glpiexhibit31amendedandres.htm" TargetMode="External"/><Relationship Id="rId84" Type="http://schemas.openxmlformats.org/officeDocument/2006/relationships/hyperlink" Target="https://www.sec.gov/Archives/edgar/data/1575965/000157596523000042/secondamendedandrestatedby.htm" TargetMode="External"/><Relationship Id="rId85" Type="http://schemas.openxmlformats.org/officeDocument/2006/relationships/hyperlink" Target="https://www.sec.gov/Archives/edgar/data/1575965/000119312524198412/d862698dex43.htm" TargetMode="External"/><Relationship Id="rId86" Type="http://schemas.openxmlformats.org/officeDocument/2006/relationships/hyperlink" Target="https://www.sec.gov/Archives/edgar/data/1575965/000119312524198412/d862698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2024-10-24T16:16:14Z</dcterms:created>
  <dcterms:modified xsi:type="dcterms:W3CDTF">2024-10-24T16:16:14Z</dcterms:modified>
</cp:coreProperties>
</file>