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394970</wp:posOffset>
            </wp:positionH>
            <wp:positionV relativeFrom="paragraph">
              <wp:posOffset>299085</wp:posOffset>
            </wp:positionV>
            <wp:extent cx="68059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05930" cy="8255"/>
                    </a:xfrm>
                    <a:prstGeom prst="rect">
                      <a:avLst/>
                    </a:prstGeom>
                    <a:noFill/>
                  </pic:spPr>
                </pic:pic>
              </a:graphicData>
            </a:graphic>
          </wp:anchor>
        </w:drawing>
        <w:drawing>
          <wp:anchor simplePos="0" relativeHeight="251657728" behindDoc="1" locked="0" layoutInCell="0" allowOverlap="1">
            <wp:simplePos x="0" y="0"/>
            <wp:positionH relativeFrom="column">
              <wp:posOffset>394970</wp:posOffset>
            </wp:positionH>
            <wp:positionV relativeFrom="paragraph">
              <wp:posOffset>258445</wp:posOffset>
            </wp:positionV>
            <wp:extent cx="6805930" cy="165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05930" cy="165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6"/>
          <w:szCs w:val="26"/>
          <w:b w:val="1"/>
          <w:bCs w:val="1"/>
          <w:color w:val="auto"/>
        </w:rPr>
        <w:t>UNITED STATES</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6"/>
          <w:szCs w:val="26"/>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197"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6"/>
          <w:szCs w:val="26"/>
          <w:b w:val="1"/>
          <w:bCs w:val="1"/>
          <w:color w:val="auto"/>
        </w:rPr>
        <w:t>FORM 10-Q</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(Mark One)</w:t>
      </w:r>
    </w:p>
    <w:p>
      <w:pPr>
        <w:spacing w:after="0" w:line="23" w:lineRule="exact"/>
        <w:rPr>
          <w:sz w:val="24"/>
          <w:szCs w:val="24"/>
          <w:color w:val="auto"/>
        </w:rPr>
      </w:pPr>
    </w:p>
    <w:p>
      <w:pPr>
        <w:ind w:left="400" w:hanging="380"/>
        <w:spacing w:after="0"/>
        <w:tabs>
          <w:tab w:leader="none" w:pos="4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1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 the quarterly period ended March 31, 2026</w:t>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or</w:t>
      </w:r>
    </w:p>
    <w:p>
      <w:pPr>
        <w:spacing w:after="0" w:line="10" w:lineRule="exact"/>
        <w:rPr>
          <w:sz w:val="24"/>
          <w:szCs w:val="24"/>
          <w:color w:val="auto"/>
        </w:rPr>
      </w:pPr>
    </w:p>
    <w:p>
      <w:pPr>
        <w:ind w:left="400" w:hanging="380"/>
        <w:spacing w:after="0"/>
        <w:tabs>
          <w:tab w:leader="none" w:pos="40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07" w:lineRule="exact"/>
        <w:rPr>
          <w:sz w:val="24"/>
          <w:szCs w:val="24"/>
          <w:color w:val="auto"/>
        </w:rPr>
      </w:pPr>
    </w:p>
    <w:p>
      <w:pPr>
        <w:ind w:left="4040"/>
        <w:spacing w:after="0"/>
        <w:tabs>
          <w:tab w:leader="none" w:pos="6660" w:val="left"/>
        </w:tabs>
        <w:rPr>
          <w:sz w:val="20"/>
          <w:szCs w:val="20"/>
          <w:color w:val="auto"/>
        </w:rPr>
      </w:pPr>
      <w:r>
        <w:rPr>
          <w:rFonts w:ascii="Times New Roman" w:cs="Times New Roman" w:eastAsia="Times New Roman" w:hAnsi="Times New Roman"/>
          <w:sz w:val="17"/>
          <w:szCs w:val="17"/>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32"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Commission File Number: 001-36124</w:t>
      </w:r>
    </w:p>
    <w:p>
      <w:pPr>
        <w:spacing w:after="0" w:line="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Gaming and Leisure Properties, Inc.</w:t>
      </w:r>
    </w:p>
    <w:p>
      <w:pPr>
        <w:spacing w:after="0" w:line="4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(Exact name of registrant as specified in its charter)</w:t>
      </w:r>
    </w:p>
    <w:p>
      <w:pPr>
        <w:sectPr>
          <w:pgSz w:w="11900" w:h="16838" w:orient="portrait"/>
          <w:cols w:equalWidth="0" w:num="1">
            <w:col w:w="11240"/>
          </w:cols>
          <w:pgMar w:left="320" w:top="231" w:right="339" w:bottom="1440" w:gutter="0" w:footer="0" w:header="0"/>
        </w:sectPr>
      </w:pPr>
    </w:p>
    <w:p>
      <w:pPr>
        <w:spacing w:after="0" w:line="27" w:lineRule="exact"/>
        <w:rPr>
          <w:sz w:val="24"/>
          <w:szCs w:val="24"/>
          <w:color w:val="auto"/>
        </w:rPr>
      </w:pPr>
    </w:p>
    <w:p>
      <w:pPr>
        <w:ind w:left="2380"/>
        <w:spacing w:after="0"/>
        <w:rPr>
          <w:sz w:val="20"/>
          <w:szCs w:val="20"/>
          <w:color w:val="auto"/>
        </w:rPr>
      </w:pPr>
      <w:r>
        <w:rPr>
          <w:rFonts w:ascii="Times New Roman" w:cs="Times New Roman" w:eastAsia="Times New Roman" w:hAnsi="Times New Roman"/>
          <w:sz w:val="17"/>
          <w:szCs w:val="17"/>
          <w:b w:val="1"/>
          <w:bCs w:val="1"/>
          <w:color w:val="auto"/>
        </w:rPr>
        <w:t>Pennsylvania</w:t>
      </w:r>
    </w:p>
    <w:p>
      <w:pPr>
        <w:spacing w:after="0" w:line="32" w:lineRule="exact"/>
        <w:rPr>
          <w:sz w:val="24"/>
          <w:szCs w:val="24"/>
          <w:color w:val="auto"/>
        </w:rPr>
      </w:pPr>
    </w:p>
    <w:p>
      <w:pPr>
        <w:ind w:left="1860"/>
        <w:spacing w:after="0"/>
        <w:rPr>
          <w:sz w:val="20"/>
          <w:szCs w:val="20"/>
          <w:color w:val="auto"/>
        </w:rPr>
      </w:pPr>
      <w:r>
        <w:rPr>
          <w:rFonts w:ascii="Times New Roman" w:cs="Times New Roman" w:eastAsia="Times New Roman" w:hAnsi="Times New Roman"/>
          <w:sz w:val="17"/>
          <w:szCs w:val="17"/>
          <w:color w:val="auto"/>
        </w:rPr>
        <w:t>(State or other jurisdiction of</w:t>
      </w:r>
    </w:p>
    <w:p>
      <w:pPr>
        <w:spacing w:after="0" w:line="24" w:lineRule="exact"/>
        <w:rPr>
          <w:sz w:val="24"/>
          <w:szCs w:val="24"/>
          <w:color w:val="auto"/>
        </w:rPr>
      </w:pPr>
    </w:p>
    <w:p>
      <w:pPr>
        <w:ind w:left="1840"/>
        <w:spacing w:after="0"/>
        <w:rPr>
          <w:sz w:val="20"/>
          <w:szCs w:val="20"/>
          <w:color w:val="auto"/>
        </w:rPr>
      </w:pPr>
      <w:r>
        <w:rPr>
          <w:rFonts w:ascii="Times New Roman" w:cs="Times New Roman" w:eastAsia="Times New Roman" w:hAnsi="Times New Roman"/>
          <w:sz w:val="17"/>
          <w:szCs w:val="17"/>
          <w:color w:val="auto"/>
        </w:rPr>
        <w:t>incorporation or organization)</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jc w:val="center"/>
        <w:ind w:right="2220"/>
        <w:spacing w:after="0"/>
        <w:rPr>
          <w:sz w:val="20"/>
          <w:szCs w:val="20"/>
          <w:color w:val="auto"/>
        </w:rPr>
      </w:pPr>
      <w:r>
        <w:rPr>
          <w:rFonts w:ascii="Times New Roman" w:cs="Times New Roman" w:eastAsia="Times New Roman" w:hAnsi="Times New Roman"/>
          <w:sz w:val="17"/>
          <w:szCs w:val="17"/>
          <w:b w:val="1"/>
          <w:bCs w:val="1"/>
          <w:color w:val="auto"/>
        </w:rPr>
        <w:t>46-2116489</w:t>
      </w:r>
    </w:p>
    <w:p>
      <w:pPr>
        <w:spacing w:after="0" w:line="32" w:lineRule="exact"/>
        <w:rPr>
          <w:sz w:val="24"/>
          <w:szCs w:val="24"/>
          <w:color w:val="auto"/>
        </w:rPr>
      </w:pPr>
    </w:p>
    <w:p>
      <w:pPr>
        <w:jc w:val="center"/>
        <w:ind w:right="2220"/>
        <w:spacing w:after="0"/>
        <w:rPr>
          <w:sz w:val="20"/>
          <w:szCs w:val="20"/>
          <w:color w:val="auto"/>
        </w:rPr>
      </w:pPr>
      <w:r>
        <w:rPr>
          <w:rFonts w:ascii="Times New Roman" w:cs="Times New Roman" w:eastAsia="Times New Roman" w:hAnsi="Times New Roman"/>
          <w:sz w:val="17"/>
          <w:szCs w:val="17"/>
          <w:color w:val="auto"/>
        </w:rPr>
        <w:t>(I.R.S. Employer</w:t>
      </w:r>
    </w:p>
    <w:p>
      <w:pPr>
        <w:spacing w:after="0" w:line="24" w:lineRule="exact"/>
        <w:rPr>
          <w:sz w:val="24"/>
          <w:szCs w:val="24"/>
          <w:color w:val="auto"/>
        </w:rPr>
      </w:pPr>
    </w:p>
    <w:p>
      <w:pPr>
        <w:jc w:val="center"/>
        <w:ind w:right="222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101" w:lineRule="exact"/>
        <w:rPr>
          <w:sz w:val="24"/>
          <w:szCs w:val="24"/>
          <w:color w:val="auto"/>
        </w:rPr>
      </w:pPr>
    </w:p>
    <w:p>
      <w:pPr>
        <w:sectPr>
          <w:pgSz w:w="11900" w:h="16838" w:orient="portrait"/>
          <w:cols w:equalWidth="0" w:num="2">
            <w:col w:w="7020" w:space="720"/>
            <w:col w:w="3500"/>
          </w:cols>
          <w:pgMar w:left="320" w:top="231" w:right="339" w:bottom="1440" w:gutter="0" w:footer="0" w:header="0"/>
          <w:type w:val="continuous"/>
        </w:sect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845 Berkshire Blvd., Suite 200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Wyomissing, PA 19610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(Address of principal executive offices) (Zip Code)</w:t>
      </w:r>
    </w:p>
    <w:p>
      <w:pPr>
        <w:sectPr>
          <w:pgSz w:w="11900" w:h="16838" w:orient="portrait"/>
          <w:cols w:equalWidth="0" w:num="1">
            <w:col w:w="11240"/>
          </w:cols>
          <w:pgMar w:left="320" w:top="231" w:right="339" w:bottom="1440" w:gutter="0" w:footer="0" w:header="0"/>
          <w:type w:val="continuous"/>
        </w:sectPr>
      </w:pPr>
    </w:p>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610-401-2900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Not Applicable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(Former name, former address, and former fiscal year, if changed since last report)</w:t>
      </w:r>
    </w:p>
    <w:p>
      <w:pPr>
        <w:spacing w:after="0" w:line="107"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37" w:lineRule="exact"/>
        <w:rPr>
          <w:sz w:val="24"/>
          <w:szCs w:val="24"/>
          <w:color w:val="auto"/>
        </w:rPr>
      </w:pPr>
    </w:p>
    <w:tbl>
      <w:tblPr>
        <w:tblLayout w:type="fixed"/>
        <w:tblInd w:w="10" w:type="dxa"/>
        <w:tblCellMar>
          <w:top w:w="0" w:type="dxa"/>
          <w:left w:w="0" w:type="dxa"/>
          <w:bottom w:w="0" w:type="dxa"/>
          <w:right w:w="0" w:type="dxa"/>
        </w:tblCellMar>
      </w:tblPr>
      <w:tr>
        <w:trPr>
          <w:trHeight w:val="201"/>
        </w:trPr>
        <w:tc>
          <w:tcPr>
            <w:tcW w:w="3560" w:type="dxa"/>
            <w:vAlign w:val="bottom"/>
            <w:tcBorders>
              <w:top w:val="single" w:sz="8" w:color="auto"/>
              <w:left w:val="single" w:sz="8" w:color="auto"/>
              <w:bottom w:val="single" w:sz="8" w:color="auto"/>
              <w:right w:val="single" w:sz="8" w:color="auto"/>
            </w:tcBorders>
          </w:tcPr>
          <w:p>
            <w:pPr>
              <w:ind w:left="126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400" w:type="dxa"/>
            <w:vAlign w:val="bottom"/>
            <w:tcBorders>
              <w:right w:val="single" w:sz="8" w:color="auto"/>
            </w:tcBorders>
          </w:tcPr>
          <w:p>
            <w:pPr>
              <w:spacing w:after="0"/>
              <w:rPr>
                <w:sz w:val="17"/>
                <w:szCs w:val="17"/>
                <w:color w:val="auto"/>
              </w:rPr>
            </w:pPr>
          </w:p>
        </w:tc>
        <w:tc>
          <w:tcPr>
            <w:tcW w:w="20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Trading Symbol(s)</w:t>
            </w:r>
          </w:p>
        </w:tc>
        <w:tc>
          <w:tcPr>
            <w:tcW w:w="400" w:type="dxa"/>
            <w:vAlign w:val="bottom"/>
            <w:tcBorders>
              <w:right w:val="single" w:sz="8" w:color="auto"/>
            </w:tcBorders>
          </w:tcPr>
          <w:p>
            <w:pPr>
              <w:spacing w:after="0"/>
              <w:rPr>
                <w:sz w:val="17"/>
                <w:szCs w:val="17"/>
                <w:color w:val="auto"/>
              </w:rPr>
            </w:pPr>
          </w:p>
        </w:tc>
        <w:tc>
          <w:tcPr>
            <w:tcW w:w="42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Name of each exchange on which registered</w:t>
            </w:r>
          </w:p>
        </w:tc>
      </w:tr>
      <w:tr>
        <w:trPr>
          <w:trHeight w:val="185"/>
        </w:trPr>
        <w:tc>
          <w:tcPr>
            <w:tcW w:w="35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Common Stock, par value $.01 per share</w:t>
            </w:r>
          </w:p>
        </w:tc>
        <w:tc>
          <w:tcPr>
            <w:tcW w:w="400" w:type="dxa"/>
            <w:vAlign w:val="bottom"/>
            <w:tcBorders>
              <w:right w:val="single" w:sz="8" w:color="auto"/>
            </w:tcBorders>
          </w:tcPr>
          <w:p>
            <w:pPr>
              <w:spacing w:after="0"/>
              <w:rPr>
                <w:sz w:val="16"/>
                <w:szCs w:val="16"/>
                <w:color w:val="auto"/>
              </w:rPr>
            </w:pPr>
          </w:p>
        </w:tc>
        <w:tc>
          <w:tcPr>
            <w:tcW w:w="2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6"/>
              </w:rPr>
              <w:t>GLPI</w:t>
            </w:r>
          </w:p>
        </w:tc>
        <w:tc>
          <w:tcPr>
            <w:tcW w:w="400" w:type="dxa"/>
            <w:vAlign w:val="bottom"/>
            <w:tcBorders>
              <w:right w:val="single" w:sz="8" w:color="auto"/>
            </w:tcBorders>
          </w:tcPr>
          <w:p>
            <w:pPr>
              <w:spacing w:after="0"/>
              <w:rPr>
                <w:sz w:val="16"/>
                <w:szCs w:val="16"/>
                <w:color w:val="auto"/>
              </w:rPr>
            </w:pPr>
          </w:p>
        </w:tc>
        <w:tc>
          <w:tcPr>
            <w:tcW w:w="4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Nasdaq</w:t>
            </w:r>
          </w:p>
        </w:tc>
      </w:tr>
    </w:tbl>
    <w:p>
      <w:pPr>
        <w:spacing w:after="0" w:line="159" w:lineRule="exact"/>
        <w:rPr>
          <w:sz w:val="24"/>
          <w:szCs w:val="24"/>
          <w:color w:val="auto"/>
        </w:rPr>
      </w:pPr>
    </w:p>
    <w:p>
      <w:pPr>
        <w:jc w:val="both"/>
        <w:ind w:right="300" w:firstLine="309"/>
        <w:spacing w:after="0" w:line="218"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7"/>
          <w:szCs w:val="17"/>
          <w:color w:val="auto"/>
        </w:rPr>
        <w:t>☐</w:t>
      </w:r>
    </w:p>
    <w:p>
      <w:pPr>
        <w:spacing w:after="0" w:line="56" w:lineRule="exact"/>
        <w:rPr>
          <w:sz w:val="24"/>
          <w:szCs w:val="24"/>
          <w:color w:val="auto"/>
        </w:rPr>
      </w:pPr>
    </w:p>
    <w:p>
      <w:pPr>
        <w:ind w:right="20" w:firstLine="309"/>
        <w:spacing w:after="0" w:line="22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7"/>
          <w:szCs w:val="17"/>
          <w:color w:val="auto"/>
        </w:rPr>
        <w:t>☐</w:t>
      </w:r>
    </w:p>
    <w:p>
      <w:pPr>
        <w:spacing w:after="0" w:line="55" w:lineRule="exact"/>
        <w:rPr>
          <w:sz w:val="24"/>
          <w:szCs w:val="24"/>
          <w:color w:val="auto"/>
        </w:rPr>
      </w:pPr>
    </w:p>
    <w:p>
      <w:pPr>
        <w:ind w:right="300" w:firstLine="309"/>
        <w:spacing w:after="0" w:line="278"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0" w:lineRule="exact"/>
        <w:rPr>
          <w:sz w:val="24"/>
          <w:szCs w:val="24"/>
          <w:color w:val="auto"/>
        </w:rPr>
      </w:pPr>
    </w:p>
    <w:tbl>
      <w:tblPr>
        <w:tblLayout w:type="fixed"/>
        <w:tblInd w:w="1120" w:type="dxa"/>
        <w:tblCellMar>
          <w:top w:w="0" w:type="dxa"/>
          <w:left w:w="0" w:type="dxa"/>
          <w:bottom w:w="0" w:type="dxa"/>
          <w:right w:w="0" w:type="dxa"/>
        </w:tblCellMar>
      </w:tblPr>
      <w:tr>
        <w:trPr>
          <w:trHeight w:val="219"/>
        </w:trPr>
        <w:tc>
          <w:tcPr>
            <w:tcW w:w="2080" w:type="dxa"/>
            <w:vAlign w:val="bottom"/>
          </w:tcPr>
          <w:p>
            <w:pPr>
              <w:jc w:val="center"/>
              <w:ind w:right="454"/>
              <w:spacing w:after="0"/>
              <w:rPr>
                <w:sz w:val="20"/>
                <w:szCs w:val="20"/>
                <w:color w:val="auto"/>
              </w:rPr>
            </w:pPr>
            <w:r>
              <w:rPr>
                <w:rFonts w:ascii="Times New Roman" w:cs="Times New Roman" w:eastAsia="Times New Roman" w:hAnsi="Times New Roman"/>
                <w:sz w:val="17"/>
                <w:szCs w:val="17"/>
                <w:color w:val="auto"/>
              </w:rPr>
              <w:t>Large accelerated filer</w:t>
            </w:r>
          </w:p>
        </w:tc>
        <w:tc>
          <w:tcPr>
            <w:tcW w:w="1360" w:type="dxa"/>
            <w:vAlign w:val="bottom"/>
          </w:tcPr>
          <w:p>
            <w:pPr>
              <w:ind w:left="540"/>
              <w:spacing w:after="0" w:line="171" w:lineRule="exact"/>
              <w:rPr>
                <w:sz w:val="20"/>
                <w:szCs w:val="20"/>
                <w:color w:val="auto"/>
              </w:rPr>
            </w:pPr>
            <w:r>
              <w:rPr>
                <w:rFonts w:ascii="MS PGothic" w:cs="MS PGothic" w:eastAsia="MS PGothic" w:hAnsi="MS PGothic"/>
                <w:sz w:val="17"/>
                <w:szCs w:val="17"/>
                <w:color w:val="auto"/>
              </w:rPr>
              <w:t>☒</w:t>
            </w:r>
          </w:p>
        </w:tc>
        <w:tc>
          <w:tcPr>
            <w:tcW w:w="32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Accelerated filer</w:t>
            </w:r>
          </w:p>
        </w:tc>
        <w:tc>
          <w:tcPr>
            <w:tcW w:w="880" w:type="dxa"/>
            <w:vAlign w:val="bottom"/>
          </w:tcPr>
          <w:p>
            <w:pPr>
              <w:ind w:left="72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19"/>
        </w:trPr>
        <w:tc>
          <w:tcPr>
            <w:tcW w:w="2080" w:type="dxa"/>
            <w:vAlign w:val="bottom"/>
          </w:tcPr>
          <w:p>
            <w:pPr>
              <w:jc w:val="center"/>
              <w:ind w:right="414"/>
              <w:spacing w:after="0"/>
              <w:rPr>
                <w:sz w:val="20"/>
                <w:szCs w:val="20"/>
                <w:color w:val="auto"/>
              </w:rPr>
            </w:pPr>
            <w:r>
              <w:rPr>
                <w:rFonts w:ascii="Times New Roman" w:cs="Times New Roman" w:eastAsia="Times New Roman" w:hAnsi="Times New Roman"/>
                <w:sz w:val="17"/>
                <w:szCs w:val="17"/>
                <w:color w:val="auto"/>
              </w:rPr>
              <w:t>Non-accelerated filer</w:t>
            </w:r>
          </w:p>
        </w:tc>
        <w:tc>
          <w:tcPr>
            <w:tcW w:w="1360" w:type="dxa"/>
            <w:vAlign w:val="bottom"/>
          </w:tcPr>
          <w:p>
            <w:pPr>
              <w:ind w:left="540"/>
              <w:spacing w:after="0" w:line="171" w:lineRule="exact"/>
              <w:rPr>
                <w:sz w:val="20"/>
                <w:szCs w:val="20"/>
                <w:color w:val="auto"/>
              </w:rPr>
            </w:pPr>
            <w:r>
              <w:rPr>
                <w:rFonts w:ascii="MS PGothic" w:cs="MS PGothic" w:eastAsia="MS PGothic" w:hAnsi="MS PGothic"/>
                <w:sz w:val="17"/>
                <w:szCs w:val="17"/>
                <w:color w:val="auto"/>
              </w:rPr>
              <w:t>☐</w:t>
            </w:r>
          </w:p>
        </w:tc>
        <w:tc>
          <w:tcPr>
            <w:tcW w:w="32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Smaller reporting company</w:t>
            </w:r>
          </w:p>
        </w:tc>
        <w:tc>
          <w:tcPr>
            <w:tcW w:w="880" w:type="dxa"/>
            <w:vAlign w:val="bottom"/>
          </w:tcPr>
          <w:p>
            <w:pPr>
              <w:ind w:left="72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89"/>
        </w:trPr>
        <w:tc>
          <w:tcPr>
            <w:tcW w:w="20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2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Emerging growth company</w:t>
            </w:r>
          </w:p>
        </w:tc>
        <w:tc>
          <w:tcPr>
            <w:tcW w:w="880" w:type="dxa"/>
            <w:vAlign w:val="bottom"/>
          </w:tcPr>
          <w:p>
            <w:pPr>
              <w:ind w:left="720"/>
              <w:spacing w:after="0" w:line="171" w:lineRule="exact"/>
              <w:rPr>
                <w:sz w:val="20"/>
                <w:szCs w:val="20"/>
                <w:color w:val="auto"/>
              </w:rPr>
            </w:pPr>
            <w:r>
              <w:rPr>
                <w:rFonts w:ascii="MS PGothic" w:cs="MS PGothic" w:eastAsia="MS PGothic" w:hAnsi="MS PGothic"/>
                <w:sz w:val="17"/>
                <w:szCs w:val="17"/>
                <w:color w:val="auto"/>
                <w:w w:val="82"/>
              </w:rPr>
              <w:t>☐</w:t>
            </w:r>
          </w:p>
        </w:tc>
      </w:tr>
    </w:tbl>
    <w:p>
      <w:pPr>
        <w:spacing w:after="0" w:line="158" w:lineRule="exact"/>
        <w:rPr>
          <w:sz w:val="24"/>
          <w:szCs w:val="24"/>
          <w:color w:val="auto"/>
        </w:rPr>
      </w:pPr>
    </w:p>
    <w:p>
      <w:pPr>
        <w:ind w:right="200" w:firstLine="309"/>
        <w:spacing w:after="0" w:line="224"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p>
    <w:p>
      <w:pPr>
        <w:ind w:left="320"/>
        <w:spacing w:after="0" w:line="196"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69"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17"/>
          <w:szCs w:val="17"/>
          <w:color w:val="auto"/>
        </w:rPr>
        <w:t>Indicate the number of shares outstanding of each of the issuer’s classes of common stock, as of the latest practicable date.</w:t>
      </w:r>
    </w:p>
    <w:p>
      <w:pPr>
        <w:spacing w:after="0" w:line="23" w:lineRule="exact"/>
        <w:rPr>
          <w:sz w:val="24"/>
          <w:szCs w:val="24"/>
          <w:color w:val="auto"/>
        </w:rPr>
      </w:pPr>
    </w:p>
    <w:tbl>
      <w:tblPr>
        <w:tblLayout w:type="fixed"/>
        <w:tblInd w:w="0" w:type="dxa"/>
        <w:tblCellMar>
          <w:top w:w="0" w:type="dxa"/>
          <w:left w:w="0" w:type="dxa"/>
          <w:bottom w:w="0" w:type="dxa"/>
          <w:right w:w="0" w:type="dxa"/>
        </w:tblCellMar>
      </w:tblPr>
      <w:tr>
        <w:trPr>
          <w:trHeight w:val="182"/>
        </w:trPr>
        <w:tc>
          <w:tcPr>
            <w:tcW w:w="55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5740" w:type="dxa"/>
            <w:vAlign w:val="bottom"/>
            <w:gridSpan w:val="2"/>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w w:val="97"/>
              </w:rPr>
              <w:t>April 17, 2026</w:t>
            </w:r>
          </w:p>
        </w:tc>
      </w:tr>
      <w:tr>
        <w:trPr>
          <w:trHeight w:val="22"/>
        </w:trPr>
        <w:tc>
          <w:tcPr>
            <w:tcW w:w="51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14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71"/>
        </w:trPr>
        <w:tc>
          <w:tcPr>
            <w:tcW w:w="51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Common Stock, par value $.01 per share</w:t>
            </w:r>
          </w:p>
        </w:tc>
        <w:tc>
          <w:tcPr>
            <w:tcW w:w="400" w:type="dxa"/>
            <w:vAlign w:val="bottom"/>
          </w:tcPr>
          <w:p>
            <w:pPr>
              <w:spacing w:after="0"/>
              <w:rPr>
                <w:sz w:val="14"/>
                <w:szCs w:val="14"/>
                <w:color w:val="auto"/>
              </w:rPr>
            </w:pPr>
          </w:p>
        </w:tc>
        <w:tc>
          <w:tcPr>
            <w:tcW w:w="5140" w:type="dxa"/>
            <w:vAlign w:val="bottom"/>
          </w:tcPr>
          <w:p>
            <w:pPr>
              <w:jc w:val="right"/>
              <w:ind w:right="2151"/>
              <w:spacing w:after="0"/>
              <w:rPr>
                <w:sz w:val="20"/>
                <w:szCs w:val="20"/>
                <w:color w:val="auto"/>
              </w:rPr>
            </w:pPr>
            <w:r>
              <w:rPr>
                <w:rFonts w:ascii="Times New Roman" w:cs="Times New Roman" w:eastAsia="Times New Roman" w:hAnsi="Times New Roman"/>
                <w:sz w:val="14"/>
                <w:szCs w:val="14"/>
                <w:color w:val="auto"/>
              </w:rPr>
              <w:t>283,221,841</w:t>
            </w:r>
          </w:p>
        </w:tc>
        <w:tc>
          <w:tcPr>
            <w:tcW w:w="600" w:type="dxa"/>
            <w:vAlign w:val="bottom"/>
          </w:tcPr>
          <w:p>
            <w:pPr>
              <w:spacing w:after="0"/>
              <w:rPr>
                <w:sz w:val="14"/>
                <w:szCs w:val="14"/>
                <w:color w:val="auto"/>
              </w:rPr>
            </w:pPr>
          </w:p>
        </w:tc>
      </w:tr>
      <w:tr>
        <w:trPr>
          <w:trHeight w:val="756"/>
        </w:trPr>
        <w:tc>
          <w:tcPr>
            <w:tcW w:w="51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51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31"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354"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320" w:type="dxa"/>
            <w:vAlign w:val="bottom"/>
            <w:gridSpan w:val="15"/>
          </w:tcPr>
          <w:p>
            <w:pPr>
              <w:jc w:val="center"/>
              <w:ind w:right="2080"/>
              <w:spacing w:after="0"/>
              <w:rPr>
                <w:sz w:val="20"/>
                <w:szCs w:val="20"/>
                <w:color w:val="auto"/>
              </w:rPr>
            </w:pPr>
            <w:r>
              <w:rPr>
                <w:rFonts w:ascii="Times New Roman" w:cs="Times New Roman" w:eastAsia="Times New Roman" w:hAnsi="Times New Roman"/>
                <w:sz w:val="17"/>
                <w:szCs w:val="17"/>
                <w:b w:val="1"/>
                <w:bCs w:val="1"/>
                <w:color w:val="auto"/>
              </w:rPr>
              <w:t>GAMING AND LEISURE PROPERTIES, INC. AND SUBSIDIARIES</w:t>
            </w: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3"/>
        </w:trPr>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40" w:type="dxa"/>
            <w:vAlign w:val="bottom"/>
            <w:gridSpan w:val="9"/>
          </w:tcPr>
          <w:p>
            <w:pPr>
              <w:jc w:val="center"/>
              <w:ind w:right="3360"/>
              <w:spacing w:after="0"/>
              <w:rPr>
                <w:sz w:val="20"/>
                <w:szCs w:val="20"/>
                <w:color w:val="auto"/>
              </w:rPr>
            </w:pPr>
            <w:r>
              <w:rPr>
                <w:rFonts w:ascii="Times New Roman" w:cs="Times New Roman" w:eastAsia="Times New Roman" w:hAnsi="Times New Roman"/>
                <w:sz w:val="17"/>
                <w:szCs w:val="17"/>
                <w:b w:val="1"/>
                <w:bCs w:val="1"/>
                <w:color w:val="auto"/>
              </w:rPr>
              <w:t>TABLE OF CONTENTS</w:t>
            </w: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560" w:type="dxa"/>
            <w:vAlign w:val="bottom"/>
          </w:tcPr>
          <w:p>
            <w:pPr>
              <w:spacing w:after="0"/>
              <w:rPr>
                <w:sz w:val="20"/>
                <w:szCs w:val="20"/>
                <w:color w:val="auto"/>
              </w:rPr>
            </w:pPr>
            <w:r>
              <w:rPr>
                <w:rFonts w:ascii="Times New Roman" w:cs="Times New Roman" w:eastAsia="Times New Roman" w:hAnsi="Times New Roman"/>
                <w:sz w:val="17"/>
                <w:szCs w:val="17"/>
                <w:color w:val="0000FF"/>
                <w:w w:val="93"/>
              </w:rPr>
              <w:t>PART I.</w:t>
            </w:r>
          </w:p>
        </w:tc>
        <w:tc>
          <w:tcPr>
            <w:tcW w:w="1220" w:type="dxa"/>
            <w:vAlign w:val="bottom"/>
            <w:gridSpan w:val="5"/>
          </w:tcPr>
          <w:p>
            <w:pPr>
              <w:spacing w:after="0"/>
              <w:rPr>
                <w:sz w:val="24"/>
                <w:szCs w:val="24"/>
                <w:color w:val="auto"/>
              </w:rPr>
            </w:pPr>
          </w:p>
        </w:tc>
        <w:tc>
          <w:tcPr>
            <w:tcW w:w="8520" w:type="dxa"/>
            <w:vAlign w:val="bottom"/>
            <w:gridSpan w:val="19"/>
          </w:tcPr>
          <w:p>
            <w:pPr>
              <w:spacing w:after="0"/>
              <w:rPr>
                <w:sz w:val="20"/>
                <w:szCs w:val="20"/>
                <w:color w:val="auto"/>
              </w:rPr>
            </w:pPr>
            <w:r>
              <w:rPr>
                <w:rFonts w:ascii="Times New Roman" w:cs="Times New Roman" w:eastAsia="Times New Roman" w:hAnsi="Times New Roman"/>
                <w:sz w:val="17"/>
                <w:szCs w:val="17"/>
                <w:color w:val="0000FF"/>
              </w:rPr>
              <w:t>FINANCIAL INFORMATION</w:t>
            </w:r>
          </w:p>
        </w:tc>
        <w:tc>
          <w:tcPr>
            <w:tcW w:w="600" w:type="dxa"/>
            <w:vAlign w:val="bottom"/>
            <w:gridSpan w:val="4"/>
          </w:tcPr>
          <w:p>
            <w:pPr>
              <w:jc w:val="center"/>
              <w:ind w:left="334"/>
              <w:spacing w:after="0"/>
              <w:rPr>
                <w:sz w:val="20"/>
                <w:szCs w:val="20"/>
                <w:color w:val="auto"/>
              </w:rPr>
            </w:pPr>
            <w:r>
              <w:rPr>
                <w:rFonts w:ascii="Times New Roman" w:cs="Times New Roman" w:eastAsia="Times New Roman" w:hAnsi="Times New Roman"/>
                <w:sz w:val="17"/>
                <w:szCs w:val="17"/>
                <w:color w:val="0000FF"/>
              </w:rPr>
              <w:t>3</w:t>
            </w:r>
          </w:p>
        </w:tc>
        <w:tc>
          <w:tcPr>
            <w:tcW w:w="0" w:type="dxa"/>
            <w:vAlign w:val="bottom"/>
          </w:tcPr>
          <w:p>
            <w:pPr>
              <w:spacing w:after="0"/>
              <w:rPr>
                <w:sz w:val="1"/>
                <w:szCs w:val="1"/>
                <w:color w:val="auto"/>
              </w:rPr>
            </w:pPr>
          </w:p>
        </w:tc>
      </w:tr>
      <w:tr>
        <w:trPr>
          <w:trHeight w:val="20"/>
        </w:trPr>
        <w:tc>
          <w:tcPr>
            <w:tcW w:w="5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8"/>
        </w:trPr>
        <w:tc>
          <w:tcPr>
            <w:tcW w:w="60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7"/>
                <w:szCs w:val="17"/>
                <w:color w:val="0000FF"/>
                <w:w w:val="98"/>
              </w:rPr>
              <w:t>ITEM 1.</w:t>
            </w:r>
          </w:p>
        </w:tc>
        <w:tc>
          <w:tcPr>
            <w:tcW w:w="1180" w:type="dxa"/>
            <w:vAlign w:val="bottom"/>
            <w:gridSpan w:val="4"/>
          </w:tcPr>
          <w:p>
            <w:pPr>
              <w:spacing w:after="0"/>
              <w:rPr>
                <w:sz w:val="24"/>
                <w:szCs w:val="24"/>
                <w:color w:val="auto"/>
              </w:rPr>
            </w:pPr>
          </w:p>
        </w:tc>
        <w:tc>
          <w:tcPr>
            <w:tcW w:w="206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7"/>
                <w:szCs w:val="17"/>
                <w:color w:val="0000FF"/>
                <w:w w:val="98"/>
              </w:rPr>
              <w:t>FINANCIAL STATEMENTS</w:t>
            </w:r>
          </w:p>
        </w:tc>
        <w:tc>
          <w:tcPr>
            <w:tcW w:w="6460" w:type="dxa"/>
            <w:vAlign w:val="bottom"/>
            <w:gridSpan w:val="12"/>
          </w:tcPr>
          <w:p>
            <w:pPr>
              <w:spacing w:after="0"/>
              <w:rPr>
                <w:sz w:val="24"/>
                <w:szCs w:val="24"/>
                <w:color w:val="auto"/>
              </w:rPr>
            </w:pPr>
          </w:p>
        </w:tc>
        <w:tc>
          <w:tcPr>
            <w:tcW w:w="460" w:type="dxa"/>
            <w:vAlign w:val="bottom"/>
            <w:gridSpan w:val="2"/>
          </w:tcPr>
          <w:p>
            <w:pPr>
              <w:spacing w:after="0"/>
              <w:rPr>
                <w:sz w:val="24"/>
                <w:szCs w:val="24"/>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7"/>
                <w:szCs w:val="17"/>
                <w:color w:val="0000FF"/>
              </w:rPr>
              <w:t>3</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520" w:type="dxa"/>
            <w:vAlign w:val="bottom"/>
            <w:gridSpan w:val="19"/>
          </w:tcPr>
          <w:p>
            <w:pPr>
              <w:spacing w:after="0"/>
              <w:rPr>
                <w:sz w:val="20"/>
                <w:szCs w:val="20"/>
                <w:color w:val="auto"/>
              </w:rPr>
            </w:pPr>
            <w:r>
              <w:rPr>
                <w:rFonts w:ascii="Times New Roman" w:cs="Times New Roman" w:eastAsia="Times New Roman" w:hAnsi="Times New Roman"/>
                <w:sz w:val="17"/>
                <w:szCs w:val="17"/>
                <w:color w:val="0000FF"/>
              </w:rPr>
              <w:t>Condensed Consolidated Balance Sheets - March 31, 2026 and December 31, 2025</w:t>
            </w:r>
          </w:p>
        </w:tc>
        <w:tc>
          <w:tcPr>
            <w:tcW w:w="600" w:type="dxa"/>
            <w:vAlign w:val="bottom"/>
            <w:gridSpan w:val="4"/>
          </w:tcPr>
          <w:p>
            <w:pPr>
              <w:jc w:val="center"/>
              <w:ind w:left="334"/>
              <w:spacing w:after="0"/>
              <w:rPr>
                <w:sz w:val="20"/>
                <w:szCs w:val="20"/>
                <w:color w:val="auto"/>
              </w:rPr>
            </w:pPr>
            <w:r>
              <w:rPr>
                <w:rFonts w:ascii="Times New Roman" w:cs="Times New Roman" w:eastAsia="Times New Roman" w:hAnsi="Times New Roman"/>
                <w:sz w:val="17"/>
                <w:szCs w:val="17"/>
                <w:color w:val="0000FF"/>
              </w:rPr>
              <w:t>3</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520" w:type="dxa"/>
            <w:vAlign w:val="bottom"/>
            <w:gridSpan w:val="19"/>
          </w:tcPr>
          <w:p>
            <w:pPr>
              <w:spacing w:after="0" w:line="179" w:lineRule="exact"/>
              <w:rPr>
                <w:sz w:val="20"/>
                <w:szCs w:val="20"/>
                <w:color w:val="auto"/>
              </w:rPr>
            </w:pPr>
            <w:r>
              <w:rPr>
                <w:rFonts w:ascii="Times New Roman" w:cs="Times New Roman" w:eastAsia="Times New Roman" w:hAnsi="Times New Roman"/>
                <w:sz w:val="17"/>
                <w:szCs w:val="17"/>
                <w:color w:val="0000FF"/>
              </w:rPr>
              <w:t>Condensed Consolidated Statements of Income and Comprehensive Income - Three Months Ended March 31, 2026 and</w:t>
            </w:r>
          </w:p>
        </w:tc>
        <w:tc>
          <w:tcPr>
            <w:tcW w:w="460" w:type="dxa"/>
            <w:vAlign w:val="bottom"/>
            <w:gridSpan w:val="2"/>
            <w:vMerge w:val="restart"/>
          </w:tcPr>
          <w:p>
            <w:pPr>
              <w:spacing w:after="0"/>
              <w:rPr>
                <w:sz w:val="15"/>
                <w:szCs w:val="15"/>
                <w:color w:val="auto"/>
              </w:rPr>
            </w:pPr>
          </w:p>
        </w:tc>
        <w:tc>
          <w:tcPr>
            <w:tcW w:w="1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4</w:t>
            </w:r>
          </w:p>
        </w:tc>
        <w:tc>
          <w:tcPr>
            <w:tcW w:w="4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Borders>
              <w:top w:val="single" w:sz="8" w:color="0000FF"/>
            </w:tcBorders>
            <w:gridSpan w:val="3"/>
          </w:tcPr>
          <w:p>
            <w:pPr>
              <w:ind w:left="160"/>
              <w:spacing w:after="0" w:line="135" w:lineRule="exact"/>
              <w:rPr>
                <w:sz w:val="20"/>
                <w:szCs w:val="20"/>
                <w:color w:val="auto"/>
              </w:rPr>
            </w:pPr>
            <w:r>
              <w:rPr>
                <w:rFonts w:ascii="Times New Roman" w:cs="Times New Roman" w:eastAsia="Times New Roman" w:hAnsi="Times New Roman"/>
                <w:sz w:val="15"/>
                <w:szCs w:val="15"/>
                <w:color w:val="0000FF"/>
              </w:rPr>
              <w:t>202</w:t>
            </w:r>
            <w:r>
              <w:rPr>
                <w:rFonts w:ascii="Times New Roman" w:cs="Times New Roman" w:eastAsia="Times New Roman" w:hAnsi="Times New Roman"/>
                <w:sz w:val="15"/>
                <w:szCs w:val="15"/>
                <w:color w:val="000000"/>
              </w:rPr>
              <w:t>5</w:t>
            </w:r>
          </w:p>
        </w:tc>
        <w:tc>
          <w:tcPr>
            <w:tcW w:w="420" w:type="dxa"/>
            <w:vAlign w:val="bottom"/>
            <w:tcBorders>
              <w:top w:val="single" w:sz="8" w:color="0000FF"/>
            </w:tcBorders>
          </w:tcPr>
          <w:p>
            <w:pPr>
              <w:spacing w:after="0"/>
              <w:rPr>
                <w:sz w:val="13"/>
                <w:szCs w:val="13"/>
                <w:color w:val="auto"/>
              </w:rPr>
            </w:pPr>
          </w:p>
        </w:tc>
        <w:tc>
          <w:tcPr>
            <w:tcW w:w="5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560" w:type="dxa"/>
            <w:vAlign w:val="bottom"/>
            <w:tcBorders>
              <w:top w:val="single" w:sz="8" w:color="0000FF"/>
            </w:tcBorders>
          </w:tcPr>
          <w:p>
            <w:pPr>
              <w:spacing w:after="0"/>
              <w:rPr>
                <w:sz w:val="13"/>
                <w:szCs w:val="13"/>
                <w:color w:val="auto"/>
              </w:rPr>
            </w:pPr>
          </w:p>
        </w:tc>
        <w:tc>
          <w:tcPr>
            <w:tcW w:w="1020" w:type="dxa"/>
            <w:vAlign w:val="bottom"/>
            <w:tcBorders>
              <w:top w:val="single" w:sz="8" w:color="0000FF"/>
            </w:tcBorders>
          </w:tcPr>
          <w:p>
            <w:pPr>
              <w:spacing w:after="0"/>
              <w:rPr>
                <w:sz w:val="13"/>
                <w:szCs w:val="13"/>
                <w:color w:val="auto"/>
              </w:rPr>
            </w:pPr>
          </w:p>
        </w:tc>
        <w:tc>
          <w:tcPr>
            <w:tcW w:w="166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100" w:type="dxa"/>
            <w:vAlign w:val="bottom"/>
            <w:tcBorders>
              <w:top w:val="single" w:sz="8" w:color="0000FF"/>
            </w:tcBorders>
          </w:tcPr>
          <w:p>
            <w:pPr>
              <w:spacing w:after="0"/>
              <w:rPr>
                <w:sz w:val="13"/>
                <w:szCs w:val="13"/>
                <w:color w:val="auto"/>
              </w:rPr>
            </w:pPr>
          </w:p>
        </w:tc>
        <w:tc>
          <w:tcPr>
            <w:tcW w:w="460" w:type="dxa"/>
            <w:vAlign w:val="bottom"/>
            <w:tcBorders>
              <w:top w:val="single" w:sz="8" w:color="0000FF"/>
            </w:tcBorders>
          </w:tcPr>
          <w:p>
            <w:pPr>
              <w:spacing w:after="0"/>
              <w:rPr>
                <w:sz w:val="13"/>
                <w:szCs w:val="13"/>
                <w:color w:val="auto"/>
              </w:rPr>
            </w:pPr>
          </w:p>
        </w:tc>
        <w:tc>
          <w:tcPr>
            <w:tcW w:w="820" w:type="dxa"/>
            <w:vAlign w:val="bottom"/>
            <w:tcBorders>
              <w:top w:val="single" w:sz="8" w:color="0000FF"/>
            </w:tcBorders>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gridSpan w:val="2"/>
            <w:vMerge w:val="continue"/>
          </w:tcPr>
          <w:p>
            <w:pPr>
              <w:spacing w:after="0"/>
              <w:rPr>
                <w:sz w:val="13"/>
                <w:szCs w:val="13"/>
                <w:color w:val="auto"/>
              </w:rPr>
            </w:pPr>
          </w:p>
        </w:tc>
        <w:tc>
          <w:tcPr>
            <w:tcW w:w="100" w:type="dxa"/>
            <w:vAlign w:val="bottom"/>
            <w:tcBorders>
              <w:bottom w:val="single" w:sz="8" w:color="0000FF"/>
            </w:tcBorders>
            <w:vMerge w:val="continue"/>
          </w:tcPr>
          <w:p>
            <w:pPr>
              <w:spacing w:after="0"/>
              <w:rPr>
                <w:sz w:val="13"/>
                <w:szCs w:val="13"/>
                <w:color w:val="auto"/>
              </w:rPr>
            </w:pPr>
          </w:p>
        </w:tc>
        <w:tc>
          <w:tcPr>
            <w:tcW w:w="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52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7"/>
                <w:szCs w:val="17"/>
                <w:color w:val="0000FF"/>
              </w:rPr>
              <w:t>Condensed Consolidated Statements of Changes in Equity - Three Months Ended March 31, 2026 and 2025</w:t>
            </w:r>
          </w:p>
        </w:tc>
        <w:tc>
          <w:tcPr>
            <w:tcW w:w="460" w:type="dxa"/>
            <w:vAlign w:val="bottom"/>
            <w:gridSpan w:val="2"/>
          </w:tcPr>
          <w:p>
            <w:pPr>
              <w:spacing w:after="0"/>
              <w:rPr>
                <w:sz w:val="17"/>
                <w:szCs w:val="17"/>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7"/>
                <w:szCs w:val="17"/>
                <w:color w:val="0000FF"/>
              </w:rPr>
              <w:t>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52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7"/>
                <w:szCs w:val="17"/>
                <w:color w:val="0000FF"/>
              </w:rPr>
              <w:t>Condensed Consolidated Statements of Cash Flows - Three Months Ended March 31, 2026 and 2025</w:t>
            </w:r>
          </w:p>
        </w:tc>
        <w:tc>
          <w:tcPr>
            <w:tcW w:w="460" w:type="dxa"/>
            <w:vAlign w:val="bottom"/>
            <w:gridSpan w:val="2"/>
          </w:tcPr>
          <w:p>
            <w:pPr>
              <w:spacing w:after="0"/>
              <w:rPr>
                <w:sz w:val="17"/>
                <w:szCs w:val="17"/>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7"/>
                <w:szCs w:val="17"/>
                <w:color w:val="0000FF"/>
              </w:rPr>
              <w:t>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520" w:type="dxa"/>
            <w:vAlign w:val="bottom"/>
            <w:gridSpan w:val="19"/>
          </w:tcPr>
          <w:p>
            <w:pPr>
              <w:spacing w:after="0"/>
              <w:rPr>
                <w:sz w:val="20"/>
                <w:szCs w:val="20"/>
                <w:color w:val="auto"/>
              </w:rPr>
            </w:pPr>
            <w:r>
              <w:rPr>
                <w:rFonts w:ascii="Times New Roman" w:cs="Times New Roman" w:eastAsia="Times New Roman" w:hAnsi="Times New Roman"/>
                <w:sz w:val="17"/>
                <w:szCs w:val="17"/>
                <w:color w:val="0000FF"/>
              </w:rPr>
              <w:t>Notes to the Condensed Consolidated Financial Statements</w:t>
            </w:r>
          </w:p>
        </w:tc>
        <w:tc>
          <w:tcPr>
            <w:tcW w:w="600" w:type="dxa"/>
            <w:vAlign w:val="bottom"/>
            <w:gridSpan w:val="4"/>
          </w:tcPr>
          <w:p>
            <w:pPr>
              <w:jc w:val="center"/>
              <w:ind w:left="334"/>
              <w:spacing w:after="0"/>
              <w:rPr>
                <w:sz w:val="20"/>
                <w:szCs w:val="20"/>
                <w:color w:val="auto"/>
              </w:rPr>
            </w:pPr>
            <w:r>
              <w:rPr>
                <w:rFonts w:ascii="Times New Roman" w:cs="Times New Roman" w:eastAsia="Times New Roman" w:hAnsi="Times New Roman"/>
                <w:sz w:val="17"/>
                <w:szCs w:val="17"/>
                <w:color w:val="0000FF"/>
              </w:rPr>
              <w:t>7</w:t>
            </w:r>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6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8"/>
        </w:trPr>
        <w:tc>
          <w:tcPr>
            <w:tcW w:w="60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7"/>
                <w:szCs w:val="17"/>
                <w:color w:val="0000FF"/>
                <w:w w:val="98"/>
              </w:rPr>
              <w:t>ITEM 2.</w:t>
            </w:r>
          </w:p>
        </w:tc>
        <w:tc>
          <w:tcPr>
            <w:tcW w:w="1180" w:type="dxa"/>
            <w:vAlign w:val="bottom"/>
            <w:gridSpan w:val="4"/>
          </w:tcPr>
          <w:p>
            <w:pPr>
              <w:spacing w:after="0"/>
              <w:rPr>
                <w:sz w:val="24"/>
                <w:szCs w:val="24"/>
                <w:color w:val="auto"/>
              </w:rPr>
            </w:pPr>
          </w:p>
        </w:tc>
        <w:tc>
          <w:tcPr>
            <w:tcW w:w="852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7"/>
                <w:szCs w:val="17"/>
                <w:color w:val="0000FF"/>
              </w:rPr>
              <w:t>MANAGEMENT’S DISCUSSION AND ANALYSIS OF FINANCIAL CONDITION AND RESULTS OF OPERATIONS</w:t>
            </w:r>
          </w:p>
        </w:tc>
        <w:tc>
          <w:tcPr>
            <w:tcW w:w="420" w:type="dxa"/>
            <w:vAlign w:val="bottom"/>
          </w:tcPr>
          <w:p>
            <w:pPr>
              <w:spacing w:after="0"/>
              <w:rPr>
                <w:sz w:val="24"/>
                <w:szCs w:val="24"/>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7"/>
                <w:szCs w:val="17"/>
                <w:color w:val="0000FF"/>
              </w:rPr>
              <w:t>32</w:t>
            </w:r>
          </w:p>
        </w:tc>
        <w:tc>
          <w:tcPr>
            <w:tcW w:w="0" w:type="dxa"/>
            <w:vAlign w:val="bottom"/>
          </w:tcPr>
          <w:p>
            <w:pPr>
              <w:spacing w:after="0"/>
              <w:rPr>
                <w:sz w:val="1"/>
                <w:szCs w:val="1"/>
                <w:color w:val="auto"/>
              </w:rPr>
            </w:pPr>
          </w:p>
        </w:tc>
      </w:tr>
      <w:tr>
        <w:trPr>
          <w:trHeight w:val="418"/>
        </w:trPr>
        <w:tc>
          <w:tcPr>
            <w:tcW w:w="6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w w:val="98"/>
              </w:rPr>
              <w:t>ITEM 3.</w:t>
            </w:r>
          </w:p>
        </w:tc>
        <w:tc>
          <w:tcPr>
            <w:tcW w:w="1180" w:type="dxa"/>
            <w:vAlign w:val="bottom"/>
            <w:gridSpan w:val="4"/>
          </w:tcPr>
          <w:p>
            <w:pPr>
              <w:spacing w:after="0"/>
              <w:rPr>
                <w:sz w:val="24"/>
                <w:szCs w:val="24"/>
                <w:color w:val="auto"/>
              </w:rPr>
            </w:pPr>
          </w:p>
        </w:tc>
        <w:tc>
          <w:tcPr>
            <w:tcW w:w="8520" w:type="dxa"/>
            <w:vAlign w:val="bottom"/>
            <w:gridSpan w:val="19"/>
          </w:tcPr>
          <w:p>
            <w:pPr>
              <w:spacing w:after="0"/>
              <w:rPr>
                <w:sz w:val="20"/>
                <w:szCs w:val="20"/>
                <w:color w:val="auto"/>
              </w:rPr>
            </w:pPr>
            <w:r>
              <w:rPr>
                <w:rFonts w:ascii="Times New Roman" w:cs="Times New Roman" w:eastAsia="Times New Roman" w:hAnsi="Times New Roman"/>
                <w:sz w:val="17"/>
                <w:szCs w:val="17"/>
                <w:color w:val="0000FF"/>
              </w:rPr>
              <w:t>QUANTITATIVE AND QUALITATIVE DISCLOSURES ABOUT MARKET RISK</w:t>
            </w:r>
          </w:p>
        </w:tc>
        <w:tc>
          <w:tcPr>
            <w:tcW w:w="600" w:type="dxa"/>
            <w:vAlign w:val="bottom"/>
            <w:gridSpan w:val="4"/>
          </w:tcPr>
          <w:p>
            <w:pPr>
              <w:jc w:val="center"/>
              <w:ind w:left="334"/>
              <w:spacing w:after="0"/>
              <w:rPr>
                <w:sz w:val="20"/>
                <w:szCs w:val="20"/>
                <w:color w:val="auto"/>
              </w:rPr>
            </w:pPr>
            <w:r>
              <w:rPr>
                <w:rFonts w:ascii="Times New Roman" w:cs="Times New Roman" w:eastAsia="Times New Roman" w:hAnsi="Times New Roman"/>
                <w:sz w:val="17"/>
                <w:szCs w:val="17"/>
                <w:color w:val="0000FF"/>
              </w:rPr>
              <w:t>55</w:t>
            </w:r>
          </w:p>
        </w:tc>
        <w:tc>
          <w:tcPr>
            <w:tcW w:w="0" w:type="dxa"/>
            <w:vAlign w:val="bottom"/>
          </w:tcPr>
          <w:p>
            <w:pPr>
              <w:spacing w:after="0"/>
              <w:rPr>
                <w:sz w:val="1"/>
                <w:szCs w:val="1"/>
                <w:color w:val="auto"/>
              </w:rPr>
            </w:pPr>
          </w:p>
        </w:tc>
      </w:tr>
      <w:tr>
        <w:trPr>
          <w:trHeight w:val="418"/>
        </w:trPr>
        <w:tc>
          <w:tcPr>
            <w:tcW w:w="60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7"/>
                <w:szCs w:val="17"/>
                <w:color w:val="0000FF"/>
                <w:w w:val="98"/>
              </w:rPr>
              <w:t>ITEM 4.</w:t>
            </w:r>
          </w:p>
        </w:tc>
        <w:tc>
          <w:tcPr>
            <w:tcW w:w="1180" w:type="dxa"/>
            <w:vAlign w:val="bottom"/>
            <w:gridSpan w:val="4"/>
          </w:tcPr>
          <w:p>
            <w:pPr>
              <w:spacing w:after="0"/>
              <w:rPr>
                <w:sz w:val="24"/>
                <w:szCs w:val="24"/>
                <w:color w:val="auto"/>
              </w:rPr>
            </w:pPr>
          </w:p>
        </w:tc>
        <w:tc>
          <w:tcPr>
            <w:tcW w:w="5860" w:type="dxa"/>
            <w:vAlign w:val="bottom"/>
            <w:tcBorders>
              <w:top w:val="single" w:sz="8" w:color="0000FF"/>
            </w:tcBorders>
            <w:gridSpan w:val="15"/>
          </w:tcPr>
          <w:p>
            <w:pPr>
              <w:spacing w:after="0"/>
              <w:rPr>
                <w:sz w:val="20"/>
                <w:szCs w:val="20"/>
                <w:color w:val="auto"/>
              </w:rPr>
            </w:pPr>
            <w:r>
              <w:rPr>
                <w:rFonts w:ascii="Times New Roman" w:cs="Times New Roman" w:eastAsia="Times New Roman" w:hAnsi="Times New Roman"/>
                <w:sz w:val="17"/>
                <w:szCs w:val="17"/>
                <w:color w:val="0000FF"/>
              </w:rPr>
              <w:t>CONTROLS AND PROCEDURES</w:t>
            </w:r>
          </w:p>
        </w:tc>
        <w:tc>
          <w:tcPr>
            <w:tcW w:w="2660" w:type="dxa"/>
            <w:vAlign w:val="bottom"/>
            <w:gridSpan w:val="4"/>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Borders>
              <w:top w:val="single" w:sz="8" w:color="0000FF"/>
            </w:tcBorders>
            <w:gridSpan w:val="3"/>
          </w:tcPr>
          <w:p>
            <w:pPr>
              <w:jc w:val="center"/>
              <w:spacing w:after="0"/>
              <w:rPr>
                <w:sz w:val="20"/>
                <w:szCs w:val="20"/>
                <w:color w:val="auto"/>
              </w:rPr>
            </w:pPr>
            <w:r>
              <w:rPr>
                <w:rFonts w:ascii="Times New Roman" w:cs="Times New Roman" w:eastAsia="Times New Roman" w:hAnsi="Times New Roman"/>
                <w:sz w:val="17"/>
                <w:szCs w:val="17"/>
                <w:color w:val="0000FF"/>
              </w:rPr>
              <w:t>56</w:t>
            </w: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760" w:type="dxa"/>
            <w:vAlign w:val="bottom"/>
            <w:gridSpan w:val="3"/>
          </w:tcPr>
          <w:p>
            <w:pPr>
              <w:spacing w:after="0" w:line="20" w:lineRule="exact"/>
              <w:rPr>
                <w:sz w:val="1"/>
                <w:szCs w:val="1"/>
                <w:color w:val="auto"/>
              </w:rPr>
            </w:pPr>
          </w:p>
        </w:tc>
        <w:tc>
          <w:tcPr>
            <w:tcW w:w="2720" w:type="dxa"/>
            <w:vAlign w:val="bottom"/>
            <w:gridSpan w:val="5"/>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8"/>
        </w:trPr>
        <w:tc>
          <w:tcPr>
            <w:tcW w:w="62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7"/>
                <w:szCs w:val="17"/>
                <w:color w:val="0000FF"/>
                <w:w w:val="94"/>
              </w:rPr>
              <w:t>PART II.</w:t>
            </w:r>
          </w:p>
        </w:tc>
        <w:tc>
          <w:tcPr>
            <w:tcW w:w="1160" w:type="dxa"/>
            <w:vAlign w:val="bottom"/>
            <w:gridSpan w:val="3"/>
          </w:tcPr>
          <w:p>
            <w:pPr>
              <w:spacing w:after="0"/>
              <w:rPr>
                <w:sz w:val="24"/>
                <w:szCs w:val="24"/>
                <w:color w:val="auto"/>
              </w:rPr>
            </w:pPr>
          </w:p>
        </w:tc>
        <w:tc>
          <w:tcPr>
            <w:tcW w:w="180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7"/>
                <w:szCs w:val="17"/>
                <w:color w:val="0000FF"/>
                <w:w w:val="98"/>
              </w:rPr>
              <w:t>OTHER INFORMATION</w:t>
            </w:r>
          </w:p>
        </w:tc>
        <w:tc>
          <w:tcPr>
            <w:tcW w:w="6720" w:type="dxa"/>
            <w:vAlign w:val="bottom"/>
            <w:gridSpan w:val="13"/>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7"/>
                <w:szCs w:val="17"/>
                <w:color w:val="0000FF"/>
              </w:rPr>
              <w:t>57</w:t>
            </w:r>
          </w:p>
        </w:tc>
        <w:tc>
          <w:tcPr>
            <w:tcW w:w="0" w:type="dxa"/>
            <w:vAlign w:val="bottom"/>
          </w:tcPr>
          <w:p>
            <w:pPr>
              <w:spacing w:after="0"/>
              <w:rPr>
                <w:sz w:val="1"/>
                <w:szCs w:val="1"/>
                <w:color w:val="auto"/>
              </w:rPr>
            </w:pPr>
          </w:p>
        </w:tc>
      </w:tr>
      <w:tr>
        <w:trPr>
          <w:trHeight w:val="418"/>
        </w:trPr>
        <w:tc>
          <w:tcPr>
            <w:tcW w:w="6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w w:val="98"/>
              </w:rPr>
              <w:t>ITEM 1.</w:t>
            </w:r>
          </w:p>
        </w:tc>
        <w:tc>
          <w:tcPr>
            <w:tcW w:w="1180" w:type="dxa"/>
            <w:vAlign w:val="bottom"/>
            <w:gridSpan w:val="4"/>
          </w:tcPr>
          <w:p>
            <w:pPr>
              <w:spacing w:after="0"/>
              <w:rPr>
                <w:sz w:val="24"/>
                <w:szCs w:val="24"/>
                <w:color w:val="auto"/>
              </w:rPr>
            </w:pPr>
          </w:p>
        </w:tc>
        <w:tc>
          <w:tcPr>
            <w:tcW w:w="8520" w:type="dxa"/>
            <w:vAlign w:val="bottom"/>
            <w:gridSpan w:val="19"/>
          </w:tcPr>
          <w:p>
            <w:pPr>
              <w:spacing w:after="0"/>
              <w:rPr>
                <w:sz w:val="20"/>
                <w:szCs w:val="20"/>
                <w:color w:val="auto"/>
              </w:rPr>
            </w:pPr>
            <w:r>
              <w:rPr>
                <w:rFonts w:ascii="Times New Roman" w:cs="Times New Roman" w:eastAsia="Times New Roman" w:hAnsi="Times New Roman"/>
                <w:sz w:val="17"/>
                <w:szCs w:val="17"/>
                <w:color w:val="0000FF"/>
              </w:rPr>
              <w:t>LEGAL PROCEEDINGS</w:t>
            </w:r>
          </w:p>
        </w:tc>
        <w:tc>
          <w:tcPr>
            <w:tcW w:w="600" w:type="dxa"/>
            <w:vAlign w:val="bottom"/>
            <w:gridSpan w:val="4"/>
          </w:tcPr>
          <w:p>
            <w:pPr>
              <w:jc w:val="center"/>
              <w:ind w:left="334"/>
              <w:spacing w:after="0"/>
              <w:rPr>
                <w:sz w:val="20"/>
                <w:szCs w:val="20"/>
                <w:color w:val="auto"/>
              </w:rPr>
            </w:pPr>
            <w:r>
              <w:rPr>
                <w:rFonts w:ascii="Times New Roman" w:cs="Times New Roman" w:eastAsia="Times New Roman" w:hAnsi="Times New Roman"/>
                <w:sz w:val="17"/>
                <w:szCs w:val="17"/>
                <w:color w:val="0000FF"/>
              </w:rPr>
              <w:t>57</w:t>
            </w: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760" w:type="dxa"/>
            <w:vAlign w:val="bottom"/>
            <w:gridSpan w:val="3"/>
          </w:tcPr>
          <w:p>
            <w:pPr>
              <w:spacing w:after="0" w:line="20" w:lineRule="exact"/>
              <w:rPr>
                <w:sz w:val="1"/>
                <w:szCs w:val="1"/>
                <w:color w:val="auto"/>
              </w:rPr>
            </w:pPr>
          </w:p>
        </w:tc>
        <w:tc>
          <w:tcPr>
            <w:tcW w:w="2720" w:type="dxa"/>
            <w:vAlign w:val="bottom"/>
            <w:gridSpan w:val="5"/>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8"/>
        </w:trPr>
        <w:tc>
          <w:tcPr>
            <w:tcW w:w="72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7"/>
                <w:szCs w:val="17"/>
                <w:color w:val="0000FF"/>
                <w:w w:val="98"/>
              </w:rPr>
              <w:t>ITEM 1A.</w:t>
            </w:r>
          </w:p>
        </w:tc>
        <w:tc>
          <w:tcPr>
            <w:tcW w:w="1060" w:type="dxa"/>
            <w:vAlign w:val="bottom"/>
            <w:gridSpan w:val="2"/>
          </w:tcPr>
          <w:p>
            <w:pPr>
              <w:spacing w:after="0"/>
              <w:rPr>
                <w:sz w:val="24"/>
                <w:szCs w:val="24"/>
                <w:color w:val="auto"/>
              </w:rPr>
            </w:pPr>
          </w:p>
        </w:tc>
        <w:tc>
          <w:tcPr>
            <w:tcW w:w="120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7"/>
                <w:szCs w:val="17"/>
                <w:color w:val="0000FF"/>
                <w:w w:val="98"/>
              </w:rPr>
              <w:t>RISK FACTORS</w:t>
            </w:r>
          </w:p>
        </w:tc>
        <w:tc>
          <w:tcPr>
            <w:tcW w:w="7320" w:type="dxa"/>
            <w:vAlign w:val="bottom"/>
            <w:gridSpan w:val="15"/>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7"/>
                <w:szCs w:val="17"/>
                <w:color w:val="0000FF"/>
              </w:rPr>
              <w:t>57</w:t>
            </w:r>
          </w:p>
        </w:tc>
        <w:tc>
          <w:tcPr>
            <w:tcW w:w="0" w:type="dxa"/>
            <w:vAlign w:val="bottom"/>
          </w:tcPr>
          <w:p>
            <w:pPr>
              <w:spacing w:after="0"/>
              <w:rPr>
                <w:sz w:val="1"/>
                <w:szCs w:val="1"/>
                <w:color w:val="auto"/>
              </w:rPr>
            </w:pPr>
          </w:p>
        </w:tc>
      </w:tr>
      <w:tr>
        <w:trPr>
          <w:trHeight w:val="418"/>
        </w:trPr>
        <w:tc>
          <w:tcPr>
            <w:tcW w:w="60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7"/>
                <w:szCs w:val="17"/>
                <w:color w:val="0000FF"/>
                <w:w w:val="98"/>
              </w:rPr>
              <w:t>ITEM 2.</w:t>
            </w:r>
          </w:p>
        </w:tc>
        <w:tc>
          <w:tcPr>
            <w:tcW w:w="1180" w:type="dxa"/>
            <w:vAlign w:val="bottom"/>
            <w:gridSpan w:val="4"/>
          </w:tcPr>
          <w:p>
            <w:pPr>
              <w:spacing w:after="0"/>
              <w:rPr>
                <w:sz w:val="24"/>
                <w:szCs w:val="24"/>
                <w:color w:val="auto"/>
              </w:rPr>
            </w:pPr>
          </w:p>
        </w:tc>
        <w:tc>
          <w:tcPr>
            <w:tcW w:w="580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7"/>
                <w:szCs w:val="17"/>
                <w:color w:val="0000FF"/>
              </w:rPr>
              <w:t>UNREGISTERED SALES OF EQUITY SECURITIES AND USE OF PROCEEDS</w:t>
            </w:r>
          </w:p>
        </w:tc>
        <w:tc>
          <w:tcPr>
            <w:tcW w:w="2720" w:type="dxa"/>
            <w:vAlign w:val="bottom"/>
            <w:gridSpan w:val="5"/>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7"/>
                <w:szCs w:val="17"/>
                <w:color w:val="0000FF"/>
              </w:rPr>
              <w:t>57</w:t>
            </w:r>
          </w:p>
        </w:tc>
        <w:tc>
          <w:tcPr>
            <w:tcW w:w="0" w:type="dxa"/>
            <w:vAlign w:val="bottom"/>
          </w:tcPr>
          <w:p>
            <w:pPr>
              <w:spacing w:after="0"/>
              <w:rPr>
                <w:sz w:val="1"/>
                <w:szCs w:val="1"/>
                <w:color w:val="auto"/>
              </w:rPr>
            </w:pPr>
          </w:p>
        </w:tc>
      </w:tr>
      <w:tr>
        <w:trPr>
          <w:trHeight w:val="418"/>
        </w:trPr>
        <w:tc>
          <w:tcPr>
            <w:tcW w:w="60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7"/>
                <w:szCs w:val="17"/>
                <w:color w:val="0000FF"/>
                <w:w w:val="98"/>
              </w:rPr>
              <w:t>ITEM 3.</w:t>
            </w:r>
          </w:p>
        </w:tc>
        <w:tc>
          <w:tcPr>
            <w:tcW w:w="1180" w:type="dxa"/>
            <w:vAlign w:val="bottom"/>
            <w:gridSpan w:val="4"/>
          </w:tcPr>
          <w:p>
            <w:pPr>
              <w:spacing w:after="0"/>
              <w:rPr>
                <w:sz w:val="24"/>
                <w:szCs w:val="24"/>
                <w:color w:val="auto"/>
              </w:rPr>
            </w:pPr>
          </w:p>
        </w:tc>
        <w:tc>
          <w:tcPr>
            <w:tcW w:w="304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7"/>
                <w:szCs w:val="17"/>
                <w:color w:val="0000FF"/>
                <w:w w:val="99"/>
              </w:rPr>
              <w:t>DEFAULTS UPON SENIOR SECURITIES</w:t>
            </w:r>
          </w:p>
        </w:tc>
        <w:tc>
          <w:tcPr>
            <w:tcW w:w="5480" w:type="dxa"/>
            <w:vAlign w:val="bottom"/>
            <w:gridSpan w:val="8"/>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7"/>
                <w:szCs w:val="17"/>
                <w:color w:val="0000FF"/>
              </w:rPr>
              <w:t>57</w:t>
            </w:r>
          </w:p>
        </w:tc>
        <w:tc>
          <w:tcPr>
            <w:tcW w:w="0" w:type="dxa"/>
            <w:vAlign w:val="bottom"/>
          </w:tcPr>
          <w:p>
            <w:pPr>
              <w:spacing w:after="0"/>
              <w:rPr>
                <w:sz w:val="1"/>
                <w:szCs w:val="1"/>
                <w:color w:val="auto"/>
              </w:rPr>
            </w:pPr>
          </w:p>
        </w:tc>
      </w:tr>
      <w:tr>
        <w:trPr>
          <w:trHeight w:val="418"/>
        </w:trPr>
        <w:tc>
          <w:tcPr>
            <w:tcW w:w="6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w w:val="98"/>
              </w:rPr>
              <w:t>ITEM 4.</w:t>
            </w:r>
          </w:p>
        </w:tc>
        <w:tc>
          <w:tcPr>
            <w:tcW w:w="1180" w:type="dxa"/>
            <w:vAlign w:val="bottom"/>
            <w:gridSpan w:val="4"/>
          </w:tcPr>
          <w:p>
            <w:pPr>
              <w:spacing w:after="0"/>
              <w:rPr>
                <w:sz w:val="24"/>
                <w:szCs w:val="24"/>
                <w:color w:val="auto"/>
              </w:rPr>
            </w:pPr>
          </w:p>
        </w:tc>
        <w:tc>
          <w:tcPr>
            <w:tcW w:w="8520" w:type="dxa"/>
            <w:vAlign w:val="bottom"/>
            <w:gridSpan w:val="19"/>
          </w:tcPr>
          <w:p>
            <w:pPr>
              <w:spacing w:after="0"/>
              <w:rPr>
                <w:sz w:val="20"/>
                <w:szCs w:val="20"/>
                <w:color w:val="auto"/>
              </w:rPr>
            </w:pPr>
            <w:r>
              <w:rPr>
                <w:rFonts w:ascii="Times New Roman" w:cs="Times New Roman" w:eastAsia="Times New Roman" w:hAnsi="Times New Roman"/>
                <w:sz w:val="17"/>
                <w:szCs w:val="17"/>
                <w:color w:val="0000FF"/>
              </w:rPr>
              <w:t>MINE SAFETY DISCLOSURES</w:t>
            </w:r>
          </w:p>
        </w:tc>
        <w:tc>
          <w:tcPr>
            <w:tcW w:w="600" w:type="dxa"/>
            <w:vAlign w:val="bottom"/>
            <w:gridSpan w:val="4"/>
          </w:tcPr>
          <w:p>
            <w:pPr>
              <w:jc w:val="center"/>
              <w:ind w:left="334"/>
              <w:spacing w:after="0"/>
              <w:rPr>
                <w:sz w:val="20"/>
                <w:szCs w:val="20"/>
                <w:color w:val="auto"/>
              </w:rPr>
            </w:pPr>
            <w:r>
              <w:rPr>
                <w:rFonts w:ascii="Times New Roman" w:cs="Times New Roman" w:eastAsia="Times New Roman" w:hAnsi="Times New Roman"/>
                <w:sz w:val="17"/>
                <w:szCs w:val="17"/>
                <w:color w:val="0000FF"/>
              </w:rPr>
              <w:t>57</w:t>
            </w:r>
          </w:p>
        </w:tc>
        <w:tc>
          <w:tcPr>
            <w:tcW w:w="0" w:type="dxa"/>
            <w:vAlign w:val="bottom"/>
          </w:tcPr>
          <w:p>
            <w:pPr>
              <w:spacing w:after="0"/>
              <w:rPr>
                <w:sz w:val="1"/>
                <w:szCs w:val="1"/>
                <w:color w:val="auto"/>
              </w:rPr>
            </w:pPr>
          </w:p>
        </w:tc>
      </w:tr>
      <w:tr>
        <w:trPr>
          <w:trHeight w:val="418"/>
        </w:trPr>
        <w:tc>
          <w:tcPr>
            <w:tcW w:w="60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7"/>
                <w:szCs w:val="17"/>
                <w:color w:val="0000FF"/>
                <w:w w:val="98"/>
              </w:rPr>
              <w:t>ITEM 5.</w:t>
            </w:r>
          </w:p>
        </w:tc>
        <w:tc>
          <w:tcPr>
            <w:tcW w:w="1180" w:type="dxa"/>
            <w:vAlign w:val="bottom"/>
            <w:gridSpan w:val="4"/>
          </w:tcPr>
          <w:p>
            <w:pPr>
              <w:spacing w:after="0"/>
              <w:rPr>
                <w:sz w:val="24"/>
                <w:szCs w:val="24"/>
                <w:color w:val="auto"/>
              </w:rPr>
            </w:pPr>
          </w:p>
        </w:tc>
        <w:tc>
          <w:tcPr>
            <w:tcW w:w="180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7"/>
                <w:szCs w:val="17"/>
                <w:color w:val="0000FF"/>
                <w:w w:val="98"/>
              </w:rPr>
              <w:t>OTHER INFORMATION</w:t>
            </w:r>
          </w:p>
        </w:tc>
        <w:tc>
          <w:tcPr>
            <w:tcW w:w="520" w:type="dxa"/>
            <w:vAlign w:val="bottom"/>
            <w:tcBorders>
              <w:top w:val="single" w:sz="8" w:color="0000FF"/>
            </w:tcBorders>
            <w:gridSpan w:val="3"/>
          </w:tcPr>
          <w:p>
            <w:pPr>
              <w:spacing w:after="0"/>
              <w:rPr>
                <w:sz w:val="24"/>
                <w:szCs w:val="24"/>
                <w:color w:val="auto"/>
              </w:rPr>
            </w:pPr>
          </w:p>
        </w:tc>
        <w:tc>
          <w:tcPr>
            <w:tcW w:w="6200" w:type="dxa"/>
            <w:vAlign w:val="bottom"/>
            <w:gridSpan w:val="10"/>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Borders>
              <w:top w:val="single" w:sz="8" w:color="0000FF"/>
              <w:bottom w:val="single" w:sz="8" w:color="0000FF"/>
            </w:tcBorders>
            <w:gridSpan w:val="3"/>
          </w:tcPr>
          <w:p>
            <w:pPr>
              <w:jc w:val="center"/>
              <w:spacing w:after="0"/>
              <w:rPr>
                <w:sz w:val="20"/>
                <w:szCs w:val="20"/>
                <w:color w:val="auto"/>
              </w:rPr>
            </w:pPr>
            <w:r>
              <w:rPr>
                <w:rFonts w:ascii="Times New Roman" w:cs="Times New Roman" w:eastAsia="Times New Roman" w:hAnsi="Times New Roman"/>
                <w:sz w:val="17"/>
                <w:szCs w:val="17"/>
                <w:color w:val="0000FF"/>
              </w:rPr>
              <w:t>57</w:t>
            </w:r>
          </w:p>
        </w:tc>
        <w:tc>
          <w:tcPr>
            <w:tcW w:w="0" w:type="dxa"/>
            <w:vAlign w:val="bottom"/>
          </w:tcPr>
          <w:p>
            <w:pPr>
              <w:spacing w:after="0"/>
              <w:rPr>
                <w:sz w:val="1"/>
                <w:szCs w:val="1"/>
                <w:color w:val="auto"/>
              </w:rPr>
            </w:pPr>
          </w:p>
        </w:tc>
      </w:tr>
      <w:tr>
        <w:trPr>
          <w:trHeight w:val="418"/>
        </w:trPr>
        <w:tc>
          <w:tcPr>
            <w:tcW w:w="6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w w:val="98"/>
              </w:rPr>
              <w:t>ITEM 6.</w:t>
            </w:r>
          </w:p>
        </w:tc>
        <w:tc>
          <w:tcPr>
            <w:tcW w:w="1180" w:type="dxa"/>
            <w:vAlign w:val="bottom"/>
            <w:gridSpan w:val="4"/>
          </w:tcPr>
          <w:p>
            <w:pPr>
              <w:spacing w:after="0"/>
              <w:rPr>
                <w:sz w:val="24"/>
                <w:szCs w:val="24"/>
                <w:color w:val="auto"/>
              </w:rPr>
            </w:pPr>
          </w:p>
        </w:tc>
        <w:tc>
          <w:tcPr>
            <w:tcW w:w="8520" w:type="dxa"/>
            <w:vAlign w:val="bottom"/>
            <w:gridSpan w:val="19"/>
          </w:tcPr>
          <w:p>
            <w:pPr>
              <w:spacing w:after="0"/>
              <w:rPr>
                <w:sz w:val="20"/>
                <w:szCs w:val="20"/>
                <w:color w:val="auto"/>
              </w:rPr>
            </w:pPr>
            <w:r>
              <w:rPr>
                <w:rFonts w:ascii="Times New Roman" w:cs="Times New Roman" w:eastAsia="Times New Roman" w:hAnsi="Times New Roman"/>
                <w:sz w:val="17"/>
                <w:szCs w:val="17"/>
                <w:color w:val="0000FF"/>
              </w:rPr>
              <w:t>EXHIBITS</w:t>
            </w:r>
          </w:p>
        </w:tc>
        <w:tc>
          <w:tcPr>
            <w:tcW w:w="600" w:type="dxa"/>
            <w:vAlign w:val="bottom"/>
            <w:gridSpan w:val="4"/>
          </w:tcPr>
          <w:p>
            <w:pPr>
              <w:jc w:val="center"/>
              <w:ind w:left="334"/>
              <w:spacing w:after="0"/>
              <w:rPr>
                <w:sz w:val="20"/>
                <w:szCs w:val="20"/>
                <w:color w:val="auto"/>
              </w:rPr>
            </w:pPr>
            <w:r>
              <w:rPr>
                <w:rFonts w:ascii="Times New Roman" w:cs="Times New Roman" w:eastAsia="Times New Roman" w:hAnsi="Times New Roman"/>
                <w:sz w:val="17"/>
                <w:szCs w:val="17"/>
                <w:color w:val="0000FF"/>
              </w:rPr>
              <w:t>59</w:t>
            </w: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FF"/>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8"/>
        </w:trPr>
        <w:tc>
          <w:tcPr>
            <w:tcW w:w="96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7"/>
                <w:szCs w:val="17"/>
                <w:color w:val="0000FF"/>
                <w:w w:val="97"/>
              </w:rPr>
              <w:t>SIGNATURE</w:t>
            </w: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7"/>
                <w:szCs w:val="17"/>
                <w:color w:val="0000FF"/>
              </w:rPr>
              <w:t>60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920"/>
          </w:cols>
          <w:pgMar w:left="320" w:top="127" w:right="6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PART I. FINANCIAL INFORMATION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 FINANCIAL STATEMENTS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Gaming and Leisure Properties,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Balance Sheets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share data)</w:t>
      </w:r>
    </w:p>
    <w:p>
      <w:pPr>
        <w:spacing w:after="0" w:line="21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7"/>
              </w:rPr>
              <w:t>March 31,</w:t>
            </w:r>
          </w:p>
        </w:tc>
        <w:tc>
          <w:tcPr>
            <w:tcW w:w="220" w:type="dxa"/>
            <w:vAlign w:val="bottom"/>
          </w:tcPr>
          <w:p>
            <w:pPr>
              <w:spacing w:after="0"/>
              <w:rPr>
                <w:sz w:val="13"/>
                <w:szCs w:val="13"/>
                <w:color w:val="auto"/>
              </w:rPr>
            </w:pPr>
          </w:p>
        </w:tc>
        <w:tc>
          <w:tcPr>
            <w:tcW w:w="122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8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56"/>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86"/>
        </w:trPr>
        <w:tc>
          <w:tcPr>
            <w:tcW w:w="8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center"/>
              <w:ind w:right="156"/>
              <w:spacing w:after="0"/>
              <w:rPr>
                <w:sz w:val="20"/>
                <w:szCs w:val="20"/>
                <w:color w:val="auto"/>
              </w:rPr>
            </w:pPr>
            <w:r>
              <w:rPr>
                <w:rFonts w:ascii="Times New Roman" w:cs="Times New Roman" w:eastAsia="Times New Roman" w:hAnsi="Times New Roman"/>
                <w:sz w:val="14"/>
                <w:szCs w:val="14"/>
                <w:b w:val="1"/>
                <w:bCs w:val="1"/>
                <w:color w:val="auto"/>
                <w:w w:val="97"/>
              </w:rPr>
              <w:t>(unaudited)</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25"/>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19"/>
        </w:trPr>
        <w:tc>
          <w:tcPr>
            <w:tcW w:w="82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Real estate investments, net</w:t>
            </w: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9,224,584</w:t>
            </w:r>
          </w:p>
        </w:tc>
        <w:tc>
          <w:tcPr>
            <w:tcW w:w="100" w:type="dxa"/>
            <w:vAlign w:val="bottom"/>
          </w:tcPr>
          <w:p>
            <w:pPr>
              <w:spacing w:after="0"/>
              <w:rPr>
                <w:sz w:val="19"/>
                <w:szCs w:val="19"/>
                <w:color w:val="auto"/>
              </w:rPr>
            </w:pP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8,474,261</w:t>
            </w:r>
          </w:p>
        </w:tc>
      </w:tr>
      <w:tr>
        <w:trPr>
          <w:trHeight w:val="219"/>
        </w:trPr>
        <w:tc>
          <w:tcPr>
            <w:tcW w:w="8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Investment in leases, financing receivables, net</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2,562,869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2,557,504</w:t>
            </w:r>
          </w:p>
        </w:tc>
      </w:tr>
      <w:tr>
        <w:trPr>
          <w:trHeight w:val="219"/>
        </w:trPr>
        <w:tc>
          <w:tcPr>
            <w:tcW w:w="82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Investment in leases, sales-type, net</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250,512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248,421</w:t>
            </w:r>
          </w:p>
        </w:tc>
      </w:tr>
      <w:tr>
        <w:trPr>
          <w:trHeight w:val="219"/>
        </w:trPr>
        <w:tc>
          <w:tcPr>
            <w:tcW w:w="8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Real estate loans, net</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299,709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247,999</w:t>
            </w:r>
          </w:p>
        </w:tc>
      </w:tr>
      <w:tr>
        <w:trPr>
          <w:trHeight w:val="219"/>
        </w:trPr>
        <w:tc>
          <w:tcPr>
            <w:tcW w:w="82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Right-of-use assets and land rights, net</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1,067,185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1,072,163</w:t>
            </w:r>
          </w:p>
        </w:tc>
      </w:tr>
      <w:tr>
        <w:trPr>
          <w:trHeight w:val="219"/>
        </w:trPr>
        <w:tc>
          <w:tcPr>
            <w:tcW w:w="8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274,513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224,314</w:t>
            </w:r>
          </w:p>
        </w:tc>
      </w:tr>
      <w:tr>
        <w:trPr>
          <w:trHeight w:val="219"/>
        </w:trPr>
        <w:tc>
          <w:tcPr>
            <w:tcW w:w="82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Other assets</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86,034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84,947</w:t>
            </w:r>
          </w:p>
        </w:tc>
      </w:tr>
      <w:tr>
        <w:trPr>
          <w:trHeight w:val="237"/>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 assets</w:t>
            </w: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13,765,406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12,909,609</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152"/>
        </w:trPr>
        <w:tc>
          <w:tcPr>
            <w:tcW w:w="8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tcPr>
          <w:p>
            <w:pPr>
              <w:spacing w:after="0"/>
              <w:rPr>
                <w:sz w:val="13"/>
                <w:szCs w:val="13"/>
                <w:color w:val="auto"/>
              </w:rPr>
            </w:pPr>
          </w:p>
        </w:tc>
      </w:tr>
      <w:tr>
        <w:trPr>
          <w:trHeight w:val="21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Liabilities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19"/>
        </w:trPr>
        <w:tc>
          <w:tcPr>
            <w:tcW w:w="82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Accounts payable and accrued expenses</w:t>
            </w: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6,853</w:t>
            </w:r>
          </w:p>
        </w:tc>
        <w:tc>
          <w:tcPr>
            <w:tcW w:w="100" w:type="dxa"/>
            <w:vAlign w:val="bottom"/>
          </w:tcPr>
          <w:p>
            <w:pPr>
              <w:spacing w:after="0"/>
              <w:rPr>
                <w:sz w:val="19"/>
                <w:szCs w:val="19"/>
                <w:color w:val="auto"/>
              </w:rPr>
            </w:pP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6,641</w:t>
            </w:r>
          </w:p>
        </w:tc>
      </w:tr>
      <w:tr>
        <w:trPr>
          <w:trHeight w:val="219"/>
        </w:trPr>
        <w:tc>
          <w:tcPr>
            <w:tcW w:w="8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Accrued interest</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81,403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106,253</w:t>
            </w:r>
          </w:p>
        </w:tc>
      </w:tr>
      <w:tr>
        <w:trPr>
          <w:trHeight w:val="219"/>
        </w:trPr>
        <w:tc>
          <w:tcPr>
            <w:tcW w:w="82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Accrued salaries and wages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2,981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10,209</w:t>
            </w:r>
          </w:p>
        </w:tc>
      </w:tr>
      <w:tr>
        <w:trPr>
          <w:trHeight w:val="219"/>
        </w:trPr>
        <w:tc>
          <w:tcPr>
            <w:tcW w:w="8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Operating lease liabilities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241,765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242,481</w:t>
            </w:r>
          </w:p>
        </w:tc>
      </w:tr>
      <w:tr>
        <w:trPr>
          <w:trHeight w:val="219"/>
        </w:trPr>
        <w:tc>
          <w:tcPr>
            <w:tcW w:w="82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Financing lease liabilities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61,317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61,219</w:t>
            </w:r>
          </w:p>
        </w:tc>
      </w:tr>
      <w:tr>
        <w:trPr>
          <w:trHeight w:val="219"/>
        </w:trPr>
        <w:tc>
          <w:tcPr>
            <w:tcW w:w="8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Long-term debt, net of unamortized debt issuance costs, bond premiums and original issuance discounts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8,075,014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7,203,731</w:t>
            </w:r>
          </w:p>
        </w:tc>
      </w:tr>
      <w:tr>
        <w:trPr>
          <w:trHeight w:val="219"/>
        </w:trPr>
        <w:tc>
          <w:tcPr>
            <w:tcW w:w="82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Deferred rental revenue</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206,201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205,786</w:t>
            </w:r>
          </w:p>
        </w:tc>
      </w:tr>
      <w:tr>
        <w:trPr>
          <w:trHeight w:val="219"/>
        </w:trPr>
        <w:tc>
          <w:tcPr>
            <w:tcW w:w="8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Other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53,043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65,029</w:t>
            </w:r>
          </w:p>
        </w:tc>
      </w:tr>
      <w:tr>
        <w:trPr>
          <w:trHeight w:val="212"/>
        </w:trPr>
        <w:tc>
          <w:tcPr>
            <w:tcW w:w="824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7"/>
                <w:szCs w:val="17"/>
                <w:color w:val="auto"/>
              </w:rPr>
              <w:t>Total liabilities</w:t>
            </w: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8,728,577</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7,901,349</w:t>
            </w:r>
          </w:p>
        </w:tc>
      </w:tr>
      <w:tr>
        <w:trPr>
          <w:trHeight w:val="186"/>
        </w:trPr>
        <w:tc>
          <w:tcPr>
            <w:tcW w:w="8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r>
      <w:tr>
        <w:trPr>
          <w:trHeight w:val="219"/>
        </w:trPr>
        <w:tc>
          <w:tcPr>
            <w:tcW w:w="82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Commitments and Contingencies (Note 9)</w:t>
            </w: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06"/>
        </w:trPr>
        <w:tc>
          <w:tcPr>
            <w:tcW w:w="8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19"/>
        </w:trPr>
        <w:tc>
          <w:tcPr>
            <w:tcW w:w="82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Equity</w:t>
            </w: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06"/>
        </w:trPr>
        <w:tc>
          <w:tcPr>
            <w:tcW w:w="8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168"/>
        </w:trPr>
        <w:tc>
          <w:tcPr>
            <w:tcW w:w="8240" w:type="dxa"/>
            <w:vAlign w:val="bottom"/>
          </w:tcPr>
          <w:p>
            <w:pPr>
              <w:ind w:left="120"/>
              <w:spacing w:after="0" w:line="167" w:lineRule="exact"/>
              <w:rPr>
                <w:sz w:val="20"/>
                <w:szCs w:val="20"/>
                <w:color w:val="auto"/>
              </w:rPr>
            </w:pPr>
            <w:r>
              <w:rPr>
                <w:rFonts w:ascii="Times New Roman" w:cs="Times New Roman" w:eastAsia="Times New Roman" w:hAnsi="Times New Roman"/>
                <w:sz w:val="17"/>
                <w:szCs w:val="17"/>
                <w:color w:val="auto"/>
              </w:rPr>
              <w:t>Preferred stock ($.01 par value, 50,000,000 shares authorized, no shares issued or outstanding at March 31, 2026 and</w:t>
            </w:r>
          </w:p>
        </w:tc>
        <w:tc>
          <w:tcPr>
            <w:tcW w:w="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232"/>
        </w:trPr>
        <w:tc>
          <w:tcPr>
            <w:tcW w:w="82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December 31, 2025)</w:t>
            </w:r>
          </w:p>
        </w:tc>
        <w:tc>
          <w:tcPr>
            <w:tcW w:w="24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168"/>
        </w:trPr>
        <w:tc>
          <w:tcPr>
            <w:tcW w:w="8240" w:type="dxa"/>
            <w:vAlign w:val="bottom"/>
            <w:shd w:val="clear" w:color="auto" w:fill="CCEEFF"/>
          </w:tcPr>
          <w:p>
            <w:pPr>
              <w:ind w:left="120"/>
              <w:spacing w:after="0" w:line="167" w:lineRule="exact"/>
              <w:rPr>
                <w:sz w:val="20"/>
                <w:szCs w:val="20"/>
                <w:color w:val="auto"/>
              </w:rPr>
            </w:pPr>
            <w:r>
              <w:rPr>
                <w:rFonts w:ascii="Times New Roman" w:cs="Times New Roman" w:eastAsia="Times New Roman" w:hAnsi="Times New Roman"/>
                <w:sz w:val="17"/>
                <w:szCs w:val="17"/>
                <w:color w:val="auto"/>
              </w:rPr>
              <w:t>Common stock ($.01 par value, 500,000,000 shares authorized, 283,221,841 and 283,037,310 shares issued and</w:t>
            </w:r>
          </w:p>
        </w:tc>
        <w:tc>
          <w:tcPr>
            <w:tcW w:w="2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r>
      <w:tr>
        <w:trPr>
          <w:trHeight w:val="232"/>
        </w:trPr>
        <w:tc>
          <w:tcPr>
            <w:tcW w:w="8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outstanding at March 31, 2026 and December 31, 2025, respectively)</w:t>
            </w:r>
          </w:p>
        </w:tc>
        <w:tc>
          <w:tcPr>
            <w:tcW w:w="24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2,832</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2,830</w:t>
            </w:r>
          </w:p>
        </w:tc>
      </w:tr>
      <w:tr>
        <w:trPr>
          <w:trHeight w:val="219"/>
        </w:trPr>
        <w:tc>
          <w:tcPr>
            <w:tcW w:w="82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6,611,159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6,613,488</w:t>
            </w:r>
          </w:p>
        </w:tc>
      </w:tr>
      <w:tr>
        <w:trPr>
          <w:trHeight w:val="219"/>
        </w:trPr>
        <w:tc>
          <w:tcPr>
            <w:tcW w:w="8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Accumulated deficit</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(1,980,009)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(1,990,770)</w:t>
            </w:r>
          </w:p>
        </w:tc>
      </w:tr>
      <w:tr>
        <w:trPr>
          <w:trHeight w:val="219"/>
        </w:trPr>
        <w:tc>
          <w:tcPr>
            <w:tcW w:w="82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Accumulated other comprehensive income</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881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904</w:t>
            </w:r>
          </w:p>
        </w:tc>
      </w:tr>
      <w:tr>
        <w:trPr>
          <w:trHeight w:val="212"/>
        </w:trPr>
        <w:tc>
          <w:tcPr>
            <w:tcW w:w="82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 equity attributable to Gaming and Leisure Properties</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4,634,863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4,626,452</w:t>
            </w:r>
          </w:p>
        </w:tc>
      </w:tr>
      <w:tr>
        <w:trPr>
          <w:trHeight w:val="168"/>
        </w:trPr>
        <w:tc>
          <w:tcPr>
            <w:tcW w:w="8240" w:type="dxa"/>
            <w:vAlign w:val="bottom"/>
          </w:tcPr>
          <w:p>
            <w:pPr>
              <w:ind w:left="100"/>
              <w:spacing w:after="0" w:line="167" w:lineRule="exact"/>
              <w:rPr>
                <w:sz w:val="20"/>
                <w:szCs w:val="20"/>
                <w:color w:val="auto"/>
              </w:rPr>
            </w:pPr>
            <w:r>
              <w:rPr>
                <w:rFonts w:ascii="Times New Roman" w:cs="Times New Roman" w:eastAsia="Times New Roman" w:hAnsi="Times New Roman"/>
                <w:sz w:val="17"/>
                <w:szCs w:val="17"/>
                <w:color w:val="auto"/>
              </w:rPr>
              <w:t>Noncontrolling interests in GLPI's Operating Partnership (8,581,163 and 8,224,939 units outstanding at March 31,</w:t>
            </w:r>
          </w:p>
        </w:tc>
        <w:tc>
          <w:tcPr>
            <w:tcW w:w="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232"/>
        </w:trPr>
        <w:tc>
          <w:tcPr>
            <w:tcW w:w="82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7"/>
                <w:szCs w:val="17"/>
                <w:color w:val="auto"/>
              </w:rPr>
              <w:t>2026 and December 31, 2025, respectively)</w:t>
            </w:r>
          </w:p>
        </w:tc>
        <w:tc>
          <w:tcPr>
            <w:tcW w:w="2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401,966</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381,808</w:t>
            </w:r>
          </w:p>
        </w:tc>
      </w:tr>
      <w:tr>
        <w:trPr>
          <w:trHeight w:val="212"/>
        </w:trPr>
        <w:tc>
          <w:tcPr>
            <w:tcW w:w="82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 equity</w:t>
            </w:r>
          </w:p>
        </w:tc>
        <w:tc>
          <w:tcPr>
            <w:tcW w:w="2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5,036,829</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5,008,260</w:t>
            </w:r>
          </w:p>
        </w:tc>
      </w:tr>
      <w:tr>
        <w:trPr>
          <w:trHeight w:val="212"/>
        </w:trPr>
        <w:tc>
          <w:tcPr>
            <w:tcW w:w="82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Total liabilities and equity</w:t>
            </w:r>
          </w:p>
        </w:tc>
        <w:tc>
          <w:tcPr>
            <w:tcW w:w="2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13,765,406</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12,909,609</w:t>
            </w:r>
          </w:p>
        </w:tc>
      </w:tr>
      <w:tr>
        <w:trPr>
          <w:trHeight w:val="20"/>
        </w:trPr>
        <w:tc>
          <w:tcPr>
            <w:tcW w:w="8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See accompanying notes to the condensed consolidated financial statements.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354"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Gaming and Leisure Properties, Inc. and Subsidiaries</w:t>
      </w:r>
    </w:p>
    <w:p>
      <w:pPr>
        <w:spacing w:after="0" w:line="32"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Income and Comprehensive Income</w:t>
      </w:r>
    </w:p>
    <w:p>
      <w:pPr>
        <w:spacing w:after="0" w:line="1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(in thousands, except per share data)</w:t>
      </w:r>
    </w:p>
    <w:p>
      <w:pPr>
        <w:spacing w:after="0" w:line="1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31" w:lineRule="exact"/>
        <w:rPr>
          <w:sz w:val="20"/>
          <w:szCs w:val="20"/>
          <w:color w:val="auto"/>
        </w:rPr>
      </w:pPr>
    </w:p>
    <w:tbl>
      <w:tblPr>
        <w:tblLayout w:type="fixed"/>
        <w:tblInd w:w="1180" w:type="dxa"/>
        <w:tblCellMar>
          <w:top w:w="0" w:type="dxa"/>
          <w:left w:w="0" w:type="dxa"/>
          <w:bottom w:w="0" w:type="dxa"/>
          <w:right w:w="0" w:type="dxa"/>
        </w:tblCellMar>
      </w:tblPr>
      <w:tr>
        <w:trPr>
          <w:trHeight w:val="182"/>
        </w:trPr>
        <w:tc>
          <w:tcPr>
            <w:tcW w:w="5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76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2"/>
        </w:trPr>
        <w:tc>
          <w:tcPr>
            <w:tcW w:w="58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1"/>
        </w:trPr>
        <w:tc>
          <w:tcPr>
            <w:tcW w:w="58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5"/>
                <w:szCs w:val="15"/>
                <w:color w:val="auto"/>
              </w:rPr>
            </w:pPr>
          </w:p>
        </w:tc>
      </w:tr>
      <w:tr>
        <w:trPr>
          <w:trHeight w:val="205"/>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Revenues</w:t>
            </w: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9"/>
        </w:trPr>
        <w:tc>
          <w:tcPr>
            <w:tcW w:w="58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Rental income</w:t>
            </w: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356,522</w:t>
            </w:r>
          </w:p>
        </w:tc>
        <w:tc>
          <w:tcPr>
            <w:tcW w:w="120" w:type="dxa"/>
            <w:vAlign w:val="bottom"/>
          </w:tcPr>
          <w:p>
            <w:pPr>
              <w:spacing w:after="0"/>
              <w:rPr>
                <w:sz w:val="19"/>
                <w:szCs w:val="19"/>
                <w:color w:val="auto"/>
              </w:rPr>
            </w:pP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340,252</w:t>
            </w:r>
          </w:p>
        </w:tc>
        <w:tc>
          <w:tcPr>
            <w:tcW w:w="120" w:type="dxa"/>
            <w:vAlign w:val="bottom"/>
          </w:tcPr>
          <w:p>
            <w:pPr>
              <w:spacing w:after="0"/>
              <w:rPr>
                <w:sz w:val="19"/>
                <w:szCs w:val="19"/>
                <w:color w:val="auto"/>
              </w:rPr>
            </w:pPr>
          </w:p>
        </w:tc>
      </w:tr>
      <w:tr>
        <w:trPr>
          <w:trHeight w:val="219"/>
        </w:trPr>
        <w:tc>
          <w:tcPr>
            <w:tcW w:w="5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Income from investment in leases, financing receivables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52,702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47,764</w:t>
            </w:r>
          </w:p>
        </w:tc>
        <w:tc>
          <w:tcPr>
            <w:tcW w:w="120" w:type="dxa"/>
            <w:vAlign w:val="bottom"/>
            <w:shd w:val="clear" w:color="auto" w:fill="CCEEFF"/>
          </w:tcPr>
          <w:p>
            <w:pPr>
              <w:spacing w:after="0"/>
              <w:rPr>
                <w:sz w:val="19"/>
                <w:szCs w:val="19"/>
                <w:color w:val="auto"/>
              </w:rPr>
            </w:pPr>
          </w:p>
        </w:tc>
      </w:tr>
      <w:tr>
        <w:trPr>
          <w:trHeight w:val="219"/>
        </w:trPr>
        <w:tc>
          <w:tcPr>
            <w:tcW w:w="58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Income from sales-type lease</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3,838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3,760</w:t>
            </w:r>
          </w:p>
        </w:tc>
        <w:tc>
          <w:tcPr>
            <w:tcW w:w="120" w:type="dxa"/>
            <w:vAlign w:val="bottom"/>
          </w:tcPr>
          <w:p>
            <w:pPr>
              <w:spacing w:after="0"/>
              <w:rPr>
                <w:sz w:val="19"/>
                <w:szCs w:val="19"/>
                <w:color w:val="auto"/>
              </w:rPr>
            </w:pPr>
          </w:p>
        </w:tc>
      </w:tr>
      <w:tr>
        <w:trPr>
          <w:trHeight w:val="219"/>
        </w:trPr>
        <w:tc>
          <w:tcPr>
            <w:tcW w:w="5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Interest income from real estate loans</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6,923</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3,459</w:t>
            </w:r>
          </w:p>
        </w:tc>
        <w:tc>
          <w:tcPr>
            <w:tcW w:w="120" w:type="dxa"/>
            <w:vAlign w:val="bottom"/>
            <w:shd w:val="clear" w:color="auto" w:fill="CCEEFF"/>
          </w:tcPr>
          <w:p>
            <w:pPr>
              <w:spacing w:after="0"/>
              <w:rPr>
                <w:sz w:val="19"/>
                <w:szCs w:val="19"/>
                <w:color w:val="auto"/>
              </w:rPr>
            </w:pPr>
          </w:p>
        </w:tc>
      </w:tr>
      <w:tr>
        <w:trPr>
          <w:trHeight w:val="212"/>
        </w:trPr>
        <w:tc>
          <w:tcPr>
            <w:tcW w:w="5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income from real estate</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419,985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395,235</w:t>
            </w:r>
          </w:p>
        </w:tc>
        <w:tc>
          <w:tcPr>
            <w:tcW w:w="120" w:type="dxa"/>
            <w:vAlign w:val="bottom"/>
          </w:tcPr>
          <w:p>
            <w:pPr>
              <w:spacing w:after="0"/>
              <w:rPr>
                <w:sz w:val="18"/>
                <w:szCs w:val="18"/>
                <w:color w:val="auto"/>
              </w:rPr>
            </w:pPr>
          </w:p>
        </w:tc>
      </w:tr>
      <w:tr>
        <w:trPr>
          <w:trHeight w:val="206"/>
        </w:trPr>
        <w:tc>
          <w:tcPr>
            <w:tcW w:w="58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9"/>
        </w:trPr>
        <w:tc>
          <w:tcPr>
            <w:tcW w:w="58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Operating expenses</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9"/>
        </w:trPr>
        <w:tc>
          <w:tcPr>
            <w:tcW w:w="5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Land rights and ground lease expense</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13,798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13,555</w:t>
            </w:r>
          </w:p>
        </w:tc>
        <w:tc>
          <w:tcPr>
            <w:tcW w:w="120" w:type="dxa"/>
            <w:vAlign w:val="bottom"/>
            <w:shd w:val="clear" w:color="auto" w:fill="CCEEFF"/>
          </w:tcPr>
          <w:p>
            <w:pPr>
              <w:spacing w:after="0"/>
              <w:rPr>
                <w:sz w:val="19"/>
                <w:szCs w:val="19"/>
                <w:color w:val="auto"/>
              </w:rPr>
            </w:pPr>
          </w:p>
        </w:tc>
      </w:tr>
      <w:tr>
        <w:trPr>
          <w:trHeight w:val="219"/>
        </w:trPr>
        <w:tc>
          <w:tcPr>
            <w:tcW w:w="58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17,938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18,713</w:t>
            </w:r>
          </w:p>
        </w:tc>
        <w:tc>
          <w:tcPr>
            <w:tcW w:w="120" w:type="dxa"/>
            <w:vAlign w:val="bottom"/>
          </w:tcPr>
          <w:p>
            <w:pPr>
              <w:spacing w:after="0"/>
              <w:rPr>
                <w:sz w:val="19"/>
                <w:szCs w:val="19"/>
                <w:color w:val="auto"/>
              </w:rPr>
            </w:pPr>
          </w:p>
        </w:tc>
      </w:tr>
      <w:tr>
        <w:trPr>
          <w:trHeight w:val="219"/>
        </w:trPr>
        <w:tc>
          <w:tcPr>
            <w:tcW w:w="5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Gains from dispositions of property</w:t>
            </w:r>
          </w:p>
        </w:tc>
        <w:tc>
          <w:tcPr>
            <w:tcW w:w="3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w:t>
            </w:r>
          </w:p>
        </w:tc>
        <w:tc>
          <w:tcPr>
            <w:tcW w:w="120" w:type="dxa"/>
            <w:vAlign w:val="bottom"/>
            <w:shd w:val="clear" w:color="auto" w:fill="CCEEFF"/>
          </w:tcPr>
          <w:p>
            <w:pPr>
              <w:spacing w:after="0"/>
              <w:rPr>
                <w:sz w:val="19"/>
                <w:szCs w:val="19"/>
                <w:color w:val="auto"/>
              </w:rPr>
            </w:pPr>
          </w:p>
        </w:tc>
      </w:tr>
      <w:tr>
        <w:trPr>
          <w:trHeight w:val="219"/>
        </w:trPr>
        <w:tc>
          <w:tcPr>
            <w:tcW w:w="58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Depreciation</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65,037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65,012</w:t>
            </w:r>
          </w:p>
        </w:tc>
        <w:tc>
          <w:tcPr>
            <w:tcW w:w="120" w:type="dxa"/>
            <w:vAlign w:val="bottom"/>
          </w:tcPr>
          <w:p>
            <w:pPr>
              <w:spacing w:after="0"/>
              <w:rPr>
                <w:sz w:val="19"/>
                <w:szCs w:val="19"/>
                <w:color w:val="auto"/>
              </w:rPr>
            </w:pPr>
          </w:p>
        </w:tc>
      </w:tr>
      <w:tr>
        <w:trPr>
          <w:trHeight w:val="219"/>
        </w:trPr>
        <w:tc>
          <w:tcPr>
            <w:tcW w:w="5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Provision (benefit) for credit losses, net</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(10,137)</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39,246</w:t>
            </w:r>
          </w:p>
        </w:tc>
        <w:tc>
          <w:tcPr>
            <w:tcW w:w="120" w:type="dxa"/>
            <w:vAlign w:val="bottom"/>
            <w:shd w:val="clear" w:color="auto" w:fill="CCEEFF"/>
          </w:tcPr>
          <w:p>
            <w:pPr>
              <w:spacing w:after="0"/>
              <w:rPr>
                <w:sz w:val="19"/>
                <w:szCs w:val="19"/>
                <w:color w:val="auto"/>
              </w:rPr>
            </w:pPr>
          </w:p>
        </w:tc>
      </w:tr>
      <w:tr>
        <w:trPr>
          <w:trHeight w:val="212"/>
        </w:trPr>
        <w:tc>
          <w:tcPr>
            <w:tcW w:w="5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Total operating expenses</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86,636</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136,401</w:t>
            </w:r>
          </w:p>
        </w:tc>
        <w:tc>
          <w:tcPr>
            <w:tcW w:w="120" w:type="dxa"/>
            <w:vAlign w:val="bottom"/>
            <w:tcBorders>
              <w:bottom w:val="single" w:sz="8" w:color="CCEEFF"/>
            </w:tcBorders>
          </w:tcPr>
          <w:p>
            <w:pPr>
              <w:spacing w:after="0"/>
              <w:rPr>
                <w:sz w:val="18"/>
                <w:szCs w:val="18"/>
                <w:color w:val="auto"/>
              </w:rPr>
            </w:pPr>
          </w:p>
        </w:tc>
      </w:tr>
      <w:tr>
        <w:trPr>
          <w:trHeight w:val="212"/>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from operations</w:t>
            </w: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333,349</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258,834</w:t>
            </w:r>
          </w:p>
        </w:tc>
        <w:tc>
          <w:tcPr>
            <w:tcW w:w="120" w:type="dxa"/>
            <w:vAlign w:val="bottom"/>
            <w:shd w:val="clear" w:color="auto" w:fill="CCEEFF"/>
          </w:tcPr>
          <w:p>
            <w:pPr>
              <w:spacing w:after="0"/>
              <w:rPr>
                <w:sz w:val="18"/>
                <w:szCs w:val="18"/>
                <w:color w:val="auto"/>
              </w:rPr>
            </w:pPr>
          </w:p>
        </w:tc>
      </w:tr>
      <w:tr>
        <w:trPr>
          <w:trHeight w:val="186"/>
        </w:trPr>
        <w:tc>
          <w:tcPr>
            <w:tcW w:w="5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9"/>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Other income (expenses)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r>
      <w:tr>
        <w:trPr>
          <w:trHeight w:val="219"/>
        </w:trPr>
        <w:tc>
          <w:tcPr>
            <w:tcW w:w="58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Interest expense</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(95,856)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(97,272)</w:t>
            </w:r>
          </w:p>
        </w:tc>
        <w:tc>
          <w:tcPr>
            <w:tcW w:w="120" w:type="dxa"/>
            <w:vAlign w:val="bottom"/>
          </w:tcPr>
          <w:p>
            <w:pPr>
              <w:spacing w:after="0"/>
              <w:rPr>
                <w:sz w:val="19"/>
                <w:szCs w:val="19"/>
                <w:color w:val="auto"/>
              </w:rPr>
            </w:pPr>
          </w:p>
        </w:tc>
      </w:tr>
      <w:tr>
        <w:trPr>
          <w:trHeight w:val="219"/>
        </w:trPr>
        <w:tc>
          <w:tcPr>
            <w:tcW w:w="5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Interest income</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2,737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9,356</w:t>
            </w:r>
          </w:p>
        </w:tc>
        <w:tc>
          <w:tcPr>
            <w:tcW w:w="120" w:type="dxa"/>
            <w:vAlign w:val="bottom"/>
            <w:shd w:val="clear" w:color="auto" w:fill="CCEEFF"/>
          </w:tcPr>
          <w:p>
            <w:pPr>
              <w:spacing w:after="0"/>
              <w:rPr>
                <w:sz w:val="19"/>
                <w:szCs w:val="19"/>
                <w:color w:val="auto"/>
              </w:rPr>
            </w:pPr>
          </w:p>
        </w:tc>
      </w:tr>
      <w:tr>
        <w:trPr>
          <w:trHeight w:val="219"/>
        </w:trPr>
        <w:tc>
          <w:tcPr>
            <w:tcW w:w="58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Losses on debt extinguishment and other financing costs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r>
      <w:tr>
        <w:trPr>
          <w:trHeight w:val="212"/>
        </w:trPr>
        <w:tc>
          <w:tcPr>
            <w:tcW w:w="5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other expenses</w:t>
            </w: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(93,387)</w:t>
            </w: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(87,916)</w:t>
            </w:r>
          </w:p>
        </w:tc>
        <w:tc>
          <w:tcPr>
            <w:tcW w:w="120" w:type="dxa"/>
            <w:vAlign w:val="bottom"/>
            <w:tcBorders>
              <w:top w:val="single" w:sz="8" w:color="CCEEFF"/>
            </w:tcBorders>
            <w:shd w:val="clear" w:color="auto" w:fill="CCEEFF"/>
          </w:tcPr>
          <w:p>
            <w:pPr>
              <w:spacing w:after="0"/>
              <w:rPr>
                <w:sz w:val="18"/>
                <w:szCs w:val="18"/>
                <w:color w:val="auto"/>
              </w:rPr>
            </w:pPr>
          </w:p>
        </w:tc>
      </w:tr>
      <w:tr>
        <w:trPr>
          <w:trHeight w:val="225"/>
        </w:trPr>
        <w:tc>
          <w:tcPr>
            <w:tcW w:w="5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9"/>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Income before income taxes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239,962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170,918</w:t>
            </w:r>
          </w:p>
        </w:tc>
        <w:tc>
          <w:tcPr>
            <w:tcW w:w="120" w:type="dxa"/>
            <w:vAlign w:val="bottom"/>
            <w:shd w:val="clear" w:color="auto" w:fill="CCEEFF"/>
          </w:tcPr>
          <w:p>
            <w:pPr>
              <w:spacing w:after="0"/>
              <w:rPr>
                <w:sz w:val="19"/>
                <w:szCs w:val="19"/>
                <w:color w:val="auto"/>
              </w:rPr>
            </w:pPr>
          </w:p>
        </w:tc>
      </w:tr>
      <w:tr>
        <w:trPr>
          <w:trHeight w:val="219"/>
        </w:trPr>
        <w:tc>
          <w:tcPr>
            <w:tcW w:w="5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Income tax expense</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560</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564</w:t>
            </w:r>
          </w:p>
        </w:tc>
        <w:tc>
          <w:tcPr>
            <w:tcW w:w="120" w:type="dxa"/>
            <w:vAlign w:val="bottom"/>
            <w:tcBorders>
              <w:bottom w:val="single" w:sz="8" w:color="CCEEFF"/>
            </w:tcBorders>
          </w:tcPr>
          <w:p>
            <w:pPr>
              <w:spacing w:after="0"/>
              <w:rPr>
                <w:sz w:val="19"/>
                <w:szCs w:val="19"/>
                <w:color w:val="auto"/>
              </w:rPr>
            </w:pPr>
          </w:p>
        </w:tc>
      </w:tr>
      <w:tr>
        <w:trPr>
          <w:trHeight w:val="212"/>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income</w:t>
            </w: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239,402</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170,354</w:t>
            </w:r>
          </w:p>
        </w:tc>
        <w:tc>
          <w:tcPr>
            <w:tcW w:w="120" w:type="dxa"/>
            <w:vAlign w:val="bottom"/>
            <w:shd w:val="clear" w:color="auto" w:fill="CCEEFF"/>
          </w:tcPr>
          <w:p>
            <w:pPr>
              <w:spacing w:after="0"/>
              <w:rPr>
                <w:sz w:val="18"/>
                <w:szCs w:val="18"/>
                <w:color w:val="auto"/>
              </w:rPr>
            </w:pPr>
          </w:p>
        </w:tc>
      </w:tr>
      <w:tr>
        <w:trPr>
          <w:trHeight w:val="219"/>
        </w:trPr>
        <w:tc>
          <w:tcPr>
            <w:tcW w:w="5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Net income attributable to non-controlling interest in the Operating Partnership</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(7,573)</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(5,170)</w:t>
            </w:r>
          </w:p>
        </w:tc>
        <w:tc>
          <w:tcPr>
            <w:tcW w:w="120" w:type="dxa"/>
            <w:vAlign w:val="bottom"/>
            <w:tcBorders>
              <w:bottom w:val="single" w:sz="8" w:color="CCEEFF"/>
            </w:tcBorders>
          </w:tcPr>
          <w:p>
            <w:pPr>
              <w:spacing w:after="0"/>
              <w:rPr>
                <w:sz w:val="19"/>
                <w:szCs w:val="19"/>
                <w:color w:val="auto"/>
              </w:rPr>
            </w:pPr>
          </w:p>
        </w:tc>
      </w:tr>
      <w:tr>
        <w:trPr>
          <w:trHeight w:val="237"/>
        </w:trPr>
        <w:tc>
          <w:tcPr>
            <w:tcW w:w="5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income attributable to common shareholders</w:t>
            </w: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231,829</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165,184</w:t>
            </w:r>
          </w:p>
        </w:tc>
        <w:tc>
          <w:tcPr>
            <w:tcW w:w="120" w:type="dxa"/>
            <w:vAlign w:val="bottom"/>
            <w:tcBorders>
              <w:bottom w:val="single" w:sz="8" w:color="CCEEFF"/>
            </w:tcBorders>
            <w:shd w:val="clear" w:color="auto" w:fill="CCEEFF"/>
          </w:tcPr>
          <w:p>
            <w:pPr>
              <w:spacing w:after="0"/>
              <w:rPr>
                <w:sz w:val="20"/>
                <w:szCs w:val="20"/>
                <w:color w:val="auto"/>
              </w:rPr>
            </w:pP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r>
      <w:tr>
        <w:trPr>
          <w:trHeight w:val="191"/>
        </w:trPr>
        <w:tc>
          <w:tcPr>
            <w:tcW w:w="5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9"/>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Other comprehensive income</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r>
      <w:tr>
        <w:trPr>
          <w:trHeight w:val="219"/>
        </w:trPr>
        <w:tc>
          <w:tcPr>
            <w:tcW w:w="5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239,402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170,354</w:t>
            </w:r>
          </w:p>
        </w:tc>
        <w:tc>
          <w:tcPr>
            <w:tcW w:w="120" w:type="dxa"/>
            <w:vAlign w:val="bottom"/>
          </w:tcPr>
          <w:p>
            <w:pPr>
              <w:spacing w:after="0"/>
              <w:rPr>
                <w:sz w:val="19"/>
                <w:szCs w:val="19"/>
                <w:color w:val="auto"/>
              </w:rPr>
            </w:pPr>
          </w:p>
        </w:tc>
      </w:tr>
      <w:tr>
        <w:trPr>
          <w:trHeight w:val="219"/>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Reclassification of derivative gain to interest expense</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58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Comprehensive income</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239,378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170,354</w:t>
            </w:r>
          </w:p>
        </w:tc>
        <w:tc>
          <w:tcPr>
            <w:tcW w:w="120" w:type="dxa"/>
            <w:vAlign w:val="bottom"/>
          </w:tcPr>
          <w:p>
            <w:pPr>
              <w:spacing w:after="0"/>
              <w:rPr>
                <w:sz w:val="19"/>
                <w:szCs w:val="19"/>
                <w:color w:val="auto"/>
              </w:rPr>
            </w:pPr>
          </w:p>
        </w:tc>
      </w:tr>
      <w:tr>
        <w:trPr>
          <w:trHeight w:val="168"/>
        </w:trPr>
        <w:tc>
          <w:tcPr>
            <w:tcW w:w="5820" w:type="dxa"/>
            <w:vAlign w:val="bottom"/>
            <w:shd w:val="clear" w:color="auto" w:fill="CCEEFF"/>
          </w:tcPr>
          <w:p>
            <w:pPr>
              <w:ind w:left="20"/>
              <w:spacing w:after="0" w:line="167" w:lineRule="exact"/>
              <w:rPr>
                <w:sz w:val="20"/>
                <w:szCs w:val="20"/>
                <w:color w:val="auto"/>
              </w:rPr>
            </w:pPr>
            <w:r>
              <w:rPr>
                <w:rFonts w:ascii="Times New Roman" w:cs="Times New Roman" w:eastAsia="Times New Roman" w:hAnsi="Times New Roman"/>
                <w:sz w:val="17"/>
                <w:szCs w:val="17"/>
                <w:color w:val="auto"/>
              </w:rPr>
              <w:t>Comprehensive income attributable to non-controlling interest in the Operating</w:t>
            </w: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232"/>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Partnership</w:t>
            </w:r>
          </w:p>
        </w:tc>
        <w:tc>
          <w:tcPr>
            <w:tcW w:w="3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(7,572)</w:t>
            </w:r>
          </w:p>
        </w:tc>
        <w:tc>
          <w:tcPr>
            <w:tcW w:w="12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(5,170)</w:t>
            </w:r>
          </w:p>
        </w:tc>
        <w:tc>
          <w:tcPr>
            <w:tcW w:w="120" w:type="dxa"/>
            <w:vAlign w:val="bottom"/>
            <w:shd w:val="clear" w:color="auto" w:fill="CCEEFF"/>
          </w:tcPr>
          <w:p>
            <w:pPr>
              <w:spacing w:after="0"/>
              <w:rPr>
                <w:sz w:val="20"/>
                <w:szCs w:val="20"/>
                <w:color w:val="auto"/>
              </w:rPr>
            </w:pPr>
          </w:p>
        </w:tc>
      </w:tr>
      <w:tr>
        <w:trPr>
          <w:trHeight w:val="212"/>
        </w:trPr>
        <w:tc>
          <w:tcPr>
            <w:tcW w:w="58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Comprehensive income attributable to common shareholders</w:t>
            </w: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231,806</w:t>
            </w:r>
          </w:p>
        </w:tc>
        <w:tc>
          <w:tcPr>
            <w:tcW w:w="120" w:type="dxa"/>
            <w:vAlign w:val="bottom"/>
          </w:tcPr>
          <w:p>
            <w:pPr>
              <w:spacing w:after="0"/>
              <w:rPr>
                <w:sz w:val="18"/>
                <w:szCs w:val="18"/>
                <w:color w:val="auto"/>
              </w:rPr>
            </w:pPr>
          </w:p>
        </w:tc>
        <w:tc>
          <w:tcPr>
            <w:tcW w:w="3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165,184</w:t>
            </w:r>
          </w:p>
        </w:tc>
        <w:tc>
          <w:tcPr>
            <w:tcW w:w="120" w:type="dxa"/>
            <w:vAlign w:val="bottom"/>
          </w:tcPr>
          <w:p>
            <w:pPr>
              <w:spacing w:after="0"/>
              <w:rPr>
                <w:sz w:val="18"/>
                <w:szCs w:val="18"/>
                <w:color w:val="auto"/>
              </w:rPr>
            </w:pPr>
          </w:p>
        </w:tc>
      </w:tr>
      <w:tr>
        <w:trPr>
          <w:trHeight w:val="20"/>
        </w:trPr>
        <w:tc>
          <w:tcPr>
            <w:tcW w:w="58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r>
      <w:tr>
        <w:trPr>
          <w:trHeight w:val="172"/>
        </w:trPr>
        <w:tc>
          <w:tcPr>
            <w:tcW w:w="58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219"/>
        </w:trPr>
        <w:tc>
          <w:tcPr>
            <w:tcW w:w="58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Earnings per common share:</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9"/>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Basic earnings attributable to common shareholders</w:t>
            </w: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0.82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0.60</w:t>
            </w:r>
          </w:p>
        </w:tc>
        <w:tc>
          <w:tcPr>
            <w:tcW w:w="120" w:type="dxa"/>
            <w:vAlign w:val="bottom"/>
            <w:shd w:val="clear" w:color="auto" w:fill="CCEEFF"/>
          </w:tcPr>
          <w:p>
            <w:pPr>
              <w:spacing w:after="0"/>
              <w:rPr>
                <w:sz w:val="19"/>
                <w:szCs w:val="19"/>
                <w:color w:val="auto"/>
              </w:rPr>
            </w:pPr>
          </w:p>
        </w:tc>
      </w:tr>
      <w:tr>
        <w:trPr>
          <w:trHeight w:val="223"/>
        </w:trPr>
        <w:tc>
          <w:tcPr>
            <w:tcW w:w="5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Diluted earnings attributable to common shareholders</w:t>
            </w: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0.82</w:t>
            </w:r>
          </w:p>
        </w:tc>
        <w:tc>
          <w:tcPr>
            <w:tcW w:w="120" w:type="dxa"/>
            <w:vAlign w:val="bottom"/>
          </w:tcPr>
          <w:p>
            <w:pPr>
              <w:spacing w:after="0"/>
              <w:rPr>
                <w:sz w:val="19"/>
                <w:szCs w:val="19"/>
                <w:color w:val="auto"/>
              </w:rPr>
            </w:pP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0.60</w:t>
            </w:r>
          </w:p>
        </w:tc>
        <w:tc>
          <w:tcPr>
            <w:tcW w:w="120" w:type="dxa"/>
            <w:vAlign w:val="bottom"/>
          </w:tcPr>
          <w:p>
            <w:pPr>
              <w:spacing w:after="0"/>
              <w:rPr>
                <w:sz w:val="19"/>
                <w:szCs w:val="19"/>
                <w:color w:val="auto"/>
              </w:rPr>
            </w:pPr>
          </w:p>
        </w:tc>
      </w:tr>
    </w:tbl>
    <w:p>
      <w:pPr>
        <w:spacing w:after="0" w:line="276"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7"/>
          <w:szCs w:val="17"/>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139"/>
          </w:cols>
          <w:pgMar w:left="320" w:top="127" w:right="1440"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color w:val="auto"/>
        </w:rPr>
        <w:t>Balance, December 31, 2025</w:t>
      </w:r>
    </w:p>
    <w:p>
      <w:pPr>
        <w:spacing w:after="0" w:line="28" w:lineRule="exact"/>
        <w:rPr>
          <w:sz w:val="20"/>
          <w:szCs w:val="20"/>
          <w:color w:val="auto"/>
        </w:rPr>
      </w:pPr>
    </w:p>
    <w:p>
      <w:pPr>
        <w:ind w:left="200" w:firstLine="155"/>
        <w:spacing w:after="0" w:line="237" w:lineRule="auto"/>
        <w:rPr>
          <w:sz w:val="20"/>
          <w:szCs w:val="20"/>
          <w:color w:val="auto"/>
        </w:rPr>
      </w:pPr>
      <w:r>
        <w:rPr>
          <w:rFonts w:ascii="Times New Roman" w:cs="Times New Roman" w:eastAsia="Times New Roman" w:hAnsi="Times New Roman"/>
          <w:sz w:val="17"/>
          <w:szCs w:val="17"/>
          <w:color w:val="auto"/>
        </w:rPr>
        <w:t>Issuance of common stock, net of costs</w:t>
      </w:r>
    </w:p>
    <w:p>
      <w:pPr>
        <w:spacing w:after="0" w:line="10" w:lineRule="exact"/>
        <w:rPr>
          <w:sz w:val="20"/>
          <w:szCs w:val="20"/>
          <w:color w:val="auto"/>
        </w:rPr>
      </w:pPr>
    </w:p>
    <w:p>
      <w:pPr>
        <w:ind w:left="200" w:right="80" w:firstLine="155"/>
        <w:spacing w:after="0" w:line="239" w:lineRule="auto"/>
        <w:rPr>
          <w:sz w:val="20"/>
          <w:szCs w:val="20"/>
          <w:color w:val="auto"/>
        </w:rPr>
      </w:pPr>
      <w:r>
        <w:rPr>
          <w:rFonts w:ascii="Times New Roman" w:cs="Times New Roman" w:eastAsia="Times New Roman" w:hAnsi="Times New Roman"/>
          <w:sz w:val="17"/>
          <w:szCs w:val="17"/>
          <w:color w:val="auto"/>
        </w:rPr>
        <w:t>Restricted stock and LTIP unit activity</w:t>
      </w:r>
    </w:p>
    <w:p>
      <w:pPr>
        <w:spacing w:after="0" w:line="10" w:lineRule="exact"/>
        <w:rPr>
          <w:sz w:val="20"/>
          <w:szCs w:val="20"/>
          <w:color w:val="auto"/>
        </w:rPr>
      </w:pPr>
    </w:p>
    <w:p>
      <w:pPr>
        <w:ind w:left="200" w:right="60" w:firstLine="155"/>
        <w:spacing w:after="0" w:line="239" w:lineRule="auto"/>
        <w:rPr>
          <w:sz w:val="20"/>
          <w:szCs w:val="20"/>
          <w:color w:val="auto"/>
        </w:rPr>
      </w:pPr>
      <w:r>
        <w:rPr>
          <w:rFonts w:ascii="Times New Roman" w:cs="Times New Roman" w:eastAsia="Times New Roman" w:hAnsi="Times New Roman"/>
          <w:sz w:val="17"/>
          <w:szCs w:val="17"/>
          <w:color w:val="auto"/>
        </w:rPr>
        <w:t>Dividends paid ($0.78 per common share)</w:t>
      </w:r>
    </w:p>
    <w:p>
      <w:pPr>
        <w:spacing w:after="0" w:line="10" w:lineRule="exact"/>
        <w:rPr>
          <w:sz w:val="20"/>
          <w:szCs w:val="20"/>
          <w:color w:val="auto"/>
        </w:rPr>
      </w:pPr>
    </w:p>
    <w:p>
      <w:pPr>
        <w:ind w:left="200" w:right="400" w:firstLine="155"/>
        <w:spacing w:after="0" w:line="239" w:lineRule="auto"/>
        <w:rPr>
          <w:sz w:val="20"/>
          <w:szCs w:val="20"/>
          <w:color w:val="auto"/>
        </w:rPr>
      </w:pPr>
      <w:r>
        <w:rPr>
          <w:rFonts w:ascii="Times New Roman" w:cs="Times New Roman" w:eastAsia="Times New Roman" w:hAnsi="Times New Roman"/>
          <w:sz w:val="17"/>
          <w:szCs w:val="17"/>
          <w:color w:val="auto"/>
        </w:rPr>
        <w:t>Issuance of operating partnership units</w:t>
      </w:r>
    </w:p>
    <w:p>
      <w:pPr>
        <w:spacing w:after="0" w:line="10" w:lineRule="exact"/>
        <w:rPr>
          <w:sz w:val="20"/>
          <w:szCs w:val="20"/>
          <w:color w:val="auto"/>
        </w:rPr>
      </w:pPr>
    </w:p>
    <w:p>
      <w:pPr>
        <w:ind w:left="200"/>
        <w:spacing w:after="0" w:line="224" w:lineRule="auto"/>
        <w:rPr>
          <w:sz w:val="20"/>
          <w:szCs w:val="20"/>
          <w:color w:val="auto"/>
        </w:rPr>
      </w:pPr>
      <w:r>
        <w:rPr>
          <w:rFonts w:ascii="Times New Roman" w:cs="Times New Roman" w:eastAsia="Times New Roman" w:hAnsi="Times New Roman"/>
          <w:sz w:val="17"/>
          <w:szCs w:val="17"/>
          <w:color w:val="auto"/>
        </w:rPr>
        <w:t>Reclassification of derivative gain on cash flow hedges to</w:t>
      </w:r>
    </w:p>
    <w:p>
      <w:pPr>
        <w:spacing w:after="0" w:line="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color w:val="auto"/>
        </w:rPr>
        <w:t>interest expense</w:t>
      </w:r>
    </w:p>
    <w:p>
      <w:pPr>
        <w:spacing w:after="0" w:line="10" w:lineRule="exact"/>
        <w:rPr>
          <w:sz w:val="20"/>
          <w:szCs w:val="20"/>
          <w:color w:val="auto"/>
        </w:rPr>
      </w:pPr>
    </w:p>
    <w:p>
      <w:pPr>
        <w:ind w:left="200" w:right="440" w:firstLine="155"/>
        <w:spacing w:after="0" w:line="237" w:lineRule="auto"/>
        <w:rPr>
          <w:sz w:val="20"/>
          <w:szCs w:val="20"/>
          <w:color w:val="auto"/>
        </w:rPr>
      </w:pPr>
      <w:r>
        <w:rPr>
          <w:rFonts w:ascii="Times New Roman" w:cs="Times New Roman" w:eastAsia="Times New Roman" w:hAnsi="Times New Roman"/>
          <w:sz w:val="17"/>
          <w:szCs w:val="17"/>
          <w:color w:val="auto"/>
        </w:rPr>
        <w:t>Distributions to non-controlling interest</w:t>
      </w:r>
    </w:p>
    <w:p>
      <w:pPr>
        <w:spacing w:after="0" w:line="1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Net income</w:t>
      </w:r>
    </w:p>
    <w:p>
      <w:pPr>
        <w:spacing w:after="0" w:line="6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color w:val="auto"/>
        </w:rPr>
        <w:t>Balance, March 31, 2026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2200"/>
        <w:spacing w:after="0"/>
        <w:rPr>
          <w:sz w:val="20"/>
          <w:szCs w:val="20"/>
          <w:color w:val="auto"/>
        </w:rPr>
      </w:pPr>
      <w:r>
        <w:rPr>
          <w:rFonts w:ascii="Times New Roman" w:cs="Times New Roman" w:eastAsia="Times New Roman" w:hAnsi="Times New Roman"/>
          <w:sz w:val="17"/>
          <w:szCs w:val="17"/>
          <w:b w:val="1"/>
          <w:bCs w:val="1"/>
          <w:color w:val="auto"/>
        </w:rPr>
        <w:t>Gaming and Leisure Properties, Inc. and Subsidiaries</w:t>
      </w:r>
    </w:p>
    <w:p>
      <w:pPr>
        <w:spacing w:after="0" w:line="32" w:lineRule="exact"/>
        <w:rPr>
          <w:sz w:val="20"/>
          <w:szCs w:val="20"/>
          <w:color w:val="auto"/>
        </w:rPr>
      </w:pPr>
    </w:p>
    <w:p>
      <w:pPr>
        <w:jc w:val="center"/>
        <w:ind w:right="2200"/>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Changes in Equity</w:t>
      </w:r>
    </w:p>
    <w:p>
      <w:pPr>
        <w:spacing w:after="0" w:line="11" w:lineRule="exact"/>
        <w:rPr>
          <w:sz w:val="20"/>
          <w:szCs w:val="20"/>
          <w:color w:val="auto"/>
        </w:rPr>
      </w:pPr>
    </w:p>
    <w:p>
      <w:pPr>
        <w:jc w:val="center"/>
        <w:ind w:right="2200"/>
        <w:spacing w:after="0"/>
        <w:rPr>
          <w:sz w:val="20"/>
          <w:szCs w:val="20"/>
          <w:color w:val="auto"/>
        </w:rPr>
      </w:pPr>
      <w:r>
        <w:rPr>
          <w:rFonts w:ascii="Times New Roman" w:cs="Times New Roman" w:eastAsia="Times New Roman" w:hAnsi="Times New Roman"/>
          <w:sz w:val="17"/>
          <w:szCs w:val="17"/>
          <w:b w:val="1"/>
          <w:bCs w:val="1"/>
          <w:color w:val="auto"/>
        </w:rPr>
        <w:t>(in thousands, except share data)</w:t>
      </w:r>
    </w:p>
    <w:p>
      <w:pPr>
        <w:spacing w:after="0" w:line="11" w:lineRule="exact"/>
        <w:rPr>
          <w:sz w:val="20"/>
          <w:szCs w:val="20"/>
          <w:color w:val="auto"/>
        </w:rPr>
      </w:pPr>
    </w:p>
    <w:p>
      <w:pPr>
        <w:jc w:val="center"/>
        <w:ind w:right="2200"/>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580" w:type="dxa"/>
            <w:vAlign w:val="bottom"/>
            <w:gridSpan w:val="5"/>
          </w:tcPr>
          <w:p>
            <w:pPr>
              <w:ind w:left="8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0" w:type="dxa"/>
            <w:vAlign w:val="bottom"/>
          </w:tcPr>
          <w:p>
            <w:pPr>
              <w:spacing w:after="0"/>
              <w:rPr>
                <w:sz w:val="15"/>
                <w:szCs w:val="15"/>
                <w:color w:val="auto"/>
              </w:rPr>
            </w:pPr>
          </w:p>
        </w:tc>
        <w:tc>
          <w:tcPr>
            <w:tcW w:w="10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Accumulated other</w:t>
            </w:r>
          </w:p>
        </w:tc>
        <w:tc>
          <w:tcPr>
            <w:tcW w:w="120" w:type="dxa"/>
            <w:vAlign w:val="bottom"/>
          </w:tcPr>
          <w:p>
            <w:pPr>
              <w:spacing w:after="0"/>
              <w:rPr>
                <w:sz w:val="15"/>
                <w:szCs w:val="15"/>
                <w:color w:val="auto"/>
              </w:rPr>
            </w:pPr>
          </w:p>
        </w:tc>
        <w:tc>
          <w:tcPr>
            <w:tcW w:w="11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7"/>
              </w:rPr>
              <w:t>Noncontrolling</w:t>
            </w: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gridSpan w:val="2"/>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vMerge w:val="restart"/>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gridSpan w:val="2"/>
            <w:vMerge w:val="continu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vMerge w:val="restart"/>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59"/>
        </w:trPr>
        <w:tc>
          <w:tcPr>
            <w:tcW w:w="1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9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8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130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Pr>
          <w:p>
            <w:pPr>
              <w:spacing w:after="0"/>
              <w:rPr>
                <w:sz w:val="12"/>
                <w:szCs w:val="12"/>
                <w:color w:val="auto"/>
              </w:rPr>
            </w:pPr>
          </w:p>
        </w:tc>
        <w:tc>
          <w:tcPr>
            <w:tcW w:w="10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2"/>
                <w:szCs w:val="12"/>
                <w:color w:val="auto"/>
              </w:rPr>
            </w:pPr>
          </w:p>
        </w:tc>
        <w:tc>
          <w:tcPr>
            <w:tcW w:w="1080" w:type="dxa"/>
            <w:vAlign w:val="bottom"/>
            <w:gridSpan w:val="2"/>
          </w:tcPr>
          <w:p>
            <w:pPr>
              <w:jc w:val="center"/>
              <w:ind w:right="280"/>
              <w:spacing w:after="0" w:line="141" w:lineRule="exact"/>
              <w:rPr>
                <w:sz w:val="20"/>
                <w:szCs w:val="20"/>
                <w:color w:val="auto"/>
              </w:rPr>
            </w:pPr>
            <w:r>
              <w:rPr>
                <w:rFonts w:ascii="Times New Roman" w:cs="Times New Roman" w:eastAsia="Times New Roman" w:hAnsi="Times New Roman"/>
                <w:sz w:val="14"/>
                <w:szCs w:val="14"/>
                <w:b w:val="1"/>
                <w:bCs w:val="1"/>
                <w:color w:val="auto"/>
                <w:w w:val="97"/>
              </w:rPr>
              <w:t>Paid-In</w:t>
            </w:r>
          </w:p>
        </w:tc>
        <w:tc>
          <w:tcPr>
            <w:tcW w:w="16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center"/>
              <w:ind w:right="38"/>
              <w:spacing w:after="0" w:line="141" w:lineRule="exact"/>
              <w:rPr>
                <w:sz w:val="20"/>
                <w:szCs w:val="20"/>
                <w:color w:val="auto"/>
              </w:rPr>
            </w:pPr>
            <w:r>
              <w:rPr>
                <w:rFonts w:ascii="Times New Roman" w:cs="Times New Roman" w:eastAsia="Times New Roman" w:hAnsi="Times New Roman"/>
                <w:sz w:val="14"/>
                <w:szCs w:val="14"/>
                <w:b w:val="1"/>
                <w:bCs w:val="1"/>
                <w:color w:val="auto"/>
                <w:w w:val="98"/>
              </w:rPr>
              <w:t>Comprehensive</w:t>
            </w:r>
          </w:p>
        </w:tc>
        <w:tc>
          <w:tcPr>
            <w:tcW w:w="1280" w:type="dxa"/>
            <w:vAlign w:val="bottom"/>
            <w:gridSpan w:val="3"/>
          </w:tcPr>
          <w:p>
            <w:pPr>
              <w:jc w:val="center"/>
              <w:ind w:right="80"/>
              <w:spacing w:after="0" w:line="141" w:lineRule="exact"/>
              <w:rPr>
                <w:sz w:val="20"/>
                <w:szCs w:val="20"/>
                <w:color w:val="auto"/>
              </w:rPr>
            </w:pPr>
            <w:r>
              <w:rPr>
                <w:rFonts w:ascii="Times New Roman" w:cs="Times New Roman" w:eastAsia="Times New Roman" w:hAnsi="Times New Roman"/>
                <w:sz w:val="14"/>
                <w:szCs w:val="14"/>
                <w:b w:val="1"/>
                <w:bCs w:val="1"/>
                <w:color w:val="auto"/>
                <w:w w:val="96"/>
              </w:rPr>
              <w:t>Interest Operating</w:t>
            </w:r>
          </w:p>
        </w:tc>
        <w:tc>
          <w:tcPr>
            <w:tcW w:w="26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30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60" w:type="dxa"/>
            <w:vAlign w:val="bottom"/>
          </w:tcPr>
          <w:p>
            <w:pPr>
              <w:spacing w:after="0"/>
              <w:rPr>
                <w:sz w:val="16"/>
                <w:szCs w:val="16"/>
                <w:color w:val="auto"/>
              </w:rPr>
            </w:pPr>
          </w:p>
        </w:tc>
        <w:tc>
          <w:tcPr>
            <w:tcW w:w="1060" w:type="dxa"/>
            <w:vAlign w:val="bottom"/>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tcPr>
          <w:p>
            <w:pPr>
              <w:spacing w:after="0"/>
              <w:rPr>
                <w:sz w:val="16"/>
                <w:szCs w:val="16"/>
                <w:color w:val="auto"/>
              </w:rPr>
            </w:pPr>
          </w:p>
        </w:tc>
        <w:tc>
          <w:tcPr>
            <w:tcW w:w="108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w w:val="99"/>
              </w:rPr>
              <w:t>Income</w:t>
            </w:r>
          </w:p>
        </w:tc>
        <w:tc>
          <w:tcPr>
            <w:tcW w:w="120" w:type="dxa"/>
            <w:vAlign w:val="bottom"/>
          </w:tcPr>
          <w:p>
            <w:pPr>
              <w:spacing w:after="0"/>
              <w:rPr>
                <w:sz w:val="16"/>
                <w:szCs w:val="16"/>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Partnership</w:t>
            </w:r>
          </w:p>
        </w:tc>
        <w:tc>
          <w:tcPr>
            <w:tcW w:w="260" w:type="dxa"/>
            <w:vAlign w:val="bottom"/>
          </w:tcPr>
          <w:p>
            <w:pPr>
              <w:spacing w:after="0"/>
              <w:rPr>
                <w:sz w:val="16"/>
                <w:szCs w:val="16"/>
                <w:color w:val="auto"/>
              </w:rPr>
            </w:pPr>
          </w:p>
        </w:tc>
        <w:tc>
          <w:tcPr>
            <w:tcW w:w="940" w:type="dxa"/>
            <w:vAlign w:val="bottom"/>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21"/>
        </w:trPr>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283,037,310</w:t>
            </w:r>
          </w:p>
        </w:tc>
        <w:tc>
          <w:tcPr>
            <w:tcW w:w="100" w:type="dxa"/>
            <w:vAlign w:val="bottom"/>
          </w:tcPr>
          <w:p>
            <w:pPr>
              <w:spacing w:after="0"/>
              <w:rPr>
                <w:sz w:val="19"/>
                <w:szCs w:val="19"/>
                <w:color w:val="auto"/>
              </w:rPr>
            </w:pPr>
          </w:p>
        </w:tc>
        <w:tc>
          <w:tcPr>
            <w:tcW w:w="240" w:type="dxa"/>
            <w:vAlign w:val="bottom"/>
            <w:tcBorders>
              <w:top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2,830</w:t>
            </w:r>
          </w:p>
        </w:tc>
        <w:tc>
          <w:tcPr>
            <w:tcW w:w="80" w:type="dxa"/>
            <w:vAlign w:val="bottom"/>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6,613,488</w:t>
            </w:r>
          </w:p>
        </w:tc>
        <w:tc>
          <w:tcPr>
            <w:tcW w:w="8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(1,990,770)</w:t>
            </w:r>
          </w:p>
        </w:tc>
        <w:tc>
          <w:tcPr>
            <w:tcW w:w="1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904</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381,808</w:t>
            </w:r>
          </w:p>
        </w:tc>
        <w:tc>
          <w:tcPr>
            <w:tcW w:w="80" w:type="dxa"/>
            <w:vAlign w:val="bottom"/>
          </w:tcPr>
          <w:p>
            <w:pPr>
              <w:spacing w:after="0"/>
              <w:rPr>
                <w:sz w:val="19"/>
                <w:szCs w:val="19"/>
                <w:color w:val="auto"/>
              </w:rPr>
            </w:pPr>
          </w:p>
        </w:tc>
        <w:tc>
          <w:tcPr>
            <w:tcW w:w="260" w:type="dxa"/>
            <w:vAlign w:val="bottom"/>
            <w:tcBorders>
              <w:top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5,008,260</w:t>
            </w:r>
          </w:p>
        </w:tc>
        <w:tc>
          <w:tcPr>
            <w:tcW w:w="0" w:type="dxa"/>
            <w:vAlign w:val="bottom"/>
          </w:tcPr>
          <w:p>
            <w:pPr>
              <w:spacing w:after="0"/>
              <w:rPr>
                <w:sz w:val="1"/>
                <w:szCs w:val="1"/>
                <w:color w:val="auto"/>
              </w:rPr>
            </w:pPr>
          </w:p>
        </w:tc>
      </w:tr>
      <w:tr>
        <w:trPr>
          <w:trHeight w:val="396"/>
        </w:trPr>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4"/>
                <w:szCs w:val="24"/>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4"/>
                <w:szCs w:val="24"/>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w:t>
            </w:r>
          </w:p>
        </w:tc>
        <w:tc>
          <w:tcPr>
            <w:tcW w:w="0" w:type="dxa"/>
            <w:vAlign w:val="bottom"/>
          </w:tcPr>
          <w:p>
            <w:pPr>
              <w:spacing w:after="0"/>
              <w:rPr>
                <w:sz w:val="1"/>
                <w:szCs w:val="1"/>
                <w:color w:val="auto"/>
              </w:rPr>
            </w:pPr>
          </w:p>
        </w:tc>
      </w:tr>
      <w:tr>
        <w:trPr>
          <w:trHeight w:val="400"/>
        </w:trPr>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184,531</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(2,209)</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4,049</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1,842</w:t>
            </w:r>
          </w:p>
        </w:tc>
        <w:tc>
          <w:tcPr>
            <w:tcW w:w="0" w:type="dxa"/>
            <w:vAlign w:val="bottom"/>
          </w:tcPr>
          <w:p>
            <w:pPr>
              <w:spacing w:after="0"/>
              <w:rPr>
                <w:sz w:val="1"/>
                <w:szCs w:val="1"/>
                <w:color w:val="auto"/>
              </w:rPr>
            </w:pPr>
          </w:p>
        </w:tc>
      </w:tr>
      <w:tr>
        <w:trPr>
          <w:trHeight w:val="400"/>
        </w:trPr>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4"/>
                <w:szCs w:val="24"/>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4"/>
                <w:szCs w:val="24"/>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(221,068)</w:t>
            </w:r>
          </w:p>
        </w:tc>
        <w:tc>
          <w:tcPr>
            <w:tcW w:w="1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4"/>
                <w:szCs w:val="24"/>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(221,068)</w:t>
            </w:r>
          </w:p>
        </w:tc>
        <w:tc>
          <w:tcPr>
            <w:tcW w:w="0" w:type="dxa"/>
            <w:vAlign w:val="bottom"/>
          </w:tcPr>
          <w:p>
            <w:pPr>
              <w:spacing w:after="0"/>
              <w:rPr>
                <w:sz w:val="1"/>
                <w:szCs w:val="1"/>
                <w:color w:val="auto"/>
              </w:rPr>
            </w:pPr>
          </w:p>
        </w:tc>
      </w:tr>
      <w:tr>
        <w:trPr>
          <w:trHeight w:val="400"/>
        </w:trPr>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4"/>
                <w:szCs w:val="24"/>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4"/>
                <w:szCs w:val="24"/>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15,393</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15,393</w:t>
            </w:r>
          </w:p>
        </w:tc>
        <w:tc>
          <w:tcPr>
            <w:tcW w:w="0" w:type="dxa"/>
            <w:vAlign w:val="bottom"/>
          </w:tcPr>
          <w:p>
            <w:pPr>
              <w:spacing w:after="0"/>
              <w:rPr>
                <w:sz w:val="1"/>
                <w:szCs w:val="1"/>
                <w:color w:val="auto"/>
              </w:rPr>
            </w:pPr>
          </w:p>
        </w:tc>
      </w:tr>
      <w:tr>
        <w:trPr>
          <w:trHeight w:val="567"/>
        </w:trPr>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4"/>
                <w:szCs w:val="24"/>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4"/>
                <w:szCs w:val="24"/>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1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0" w:type="dxa"/>
            <w:vAlign w:val="bottom"/>
          </w:tcPr>
          <w:p>
            <w:pPr>
              <w:spacing w:after="0"/>
              <w:rPr>
                <w:sz w:val="1"/>
                <w:szCs w:val="1"/>
                <w:color w:val="auto"/>
              </w:rPr>
            </w:pPr>
          </w:p>
        </w:tc>
      </w:tr>
      <w:tr>
        <w:trPr>
          <w:trHeight w:val="396"/>
        </w:trPr>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4"/>
                <w:szCs w:val="24"/>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4"/>
                <w:szCs w:val="24"/>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(6,856)</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(6,856)</w:t>
            </w:r>
          </w:p>
        </w:tc>
        <w:tc>
          <w:tcPr>
            <w:tcW w:w="0" w:type="dxa"/>
            <w:vAlign w:val="bottom"/>
          </w:tcPr>
          <w:p>
            <w:pPr>
              <w:spacing w:after="0"/>
              <w:rPr>
                <w:sz w:val="1"/>
                <w:szCs w:val="1"/>
                <w:color w:val="auto"/>
              </w:rPr>
            </w:pPr>
          </w:p>
        </w:tc>
      </w:tr>
      <w:tr>
        <w:trPr>
          <w:trHeight w:val="223"/>
        </w:trPr>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231,829</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7,573</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239,402</w:t>
            </w:r>
          </w:p>
        </w:tc>
        <w:tc>
          <w:tcPr>
            <w:tcW w:w="0" w:type="dxa"/>
            <w:vAlign w:val="bottom"/>
          </w:tcPr>
          <w:p>
            <w:pPr>
              <w:spacing w:after="0"/>
              <w:rPr>
                <w:sz w:val="1"/>
                <w:szCs w:val="1"/>
                <w:color w:val="auto"/>
              </w:rPr>
            </w:pPr>
          </w:p>
        </w:tc>
      </w:tr>
      <w:tr>
        <w:trPr>
          <w:trHeight w:val="212"/>
        </w:trPr>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283,221,841</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2,832</w:t>
            </w: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6,611,159</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(1,980,009)</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881</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401,966</w:t>
            </w:r>
          </w:p>
        </w:tc>
        <w:tc>
          <w:tcPr>
            <w:tcW w:w="8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5,036,829</w:t>
            </w:r>
          </w:p>
        </w:tc>
        <w:tc>
          <w:tcPr>
            <w:tcW w:w="0" w:type="dxa"/>
            <w:vAlign w:val="bottom"/>
          </w:tcPr>
          <w:p>
            <w:pPr>
              <w:spacing w:after="0"/>
              <w:rPr>
                <w:sz w:val="1"/>
                <w:szCs w:val="1"/>
                <w:color w:val="auto"/>
              </w:rPr>
            </w:pPr>
          </w:p>
        </w:tc>
      </w:tr>
      <w:tr>
        <w:trPr>
          <w:trHeight w:val="20"/>
        </w:trPr>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-1368425</wp:posOffset>
            </wp:positionH>
            <wp:positionV relativeFrom="paragraph">
              <wp:posOffset>-2094865</wp:posOffset>
            </wp:positionV>
            <wp:extent cx="6933565" cy="1473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33565" cy="147320"/>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-1694180</wp:posOffset>
            </wp:positionV>
            <wp:extent cx="6933565" cy="2540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33565" cy="254000"/>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-1186180</wp:posOffset>
            </wp:positionV>
            <wp:extent cx="6933565" cy="2540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33565" cy="254000"/>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-572135</wp:posOffset>
            </wp:positionV>
            <wp:extent cx="6933565" cy="2540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33565" cy="254000"/>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-179705</wp:posOffset>
            </wp:positionV>
            <wp:extent cx="6933565" cy="1638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33565" cy="163830"/>
                    </a:xfrm>
                    <a:prstGeom prst="rect">
                      <a:avLst/>
                    </a:prstGeom>
                    <a:noFill/>
                  </pic:spPr>
                </pic:pic>
              </a:graphicData>
            </a:graphic>
          </wp:anchor>
        </w:drawing>
      </w:r>
    </w:p>
    <w:p>
      <w:pPr>
        <w:spacing w:after="0" w:line="200" w:lineRule="exact"/>
        <w:rPr>
          <w:sz w:val="20"/>
          <w:szCs w:val="20"/>
          <w:color w:val="auto"/>
        </w:rPr>
      </w:pPr>
    </w:p>
    <w:p>
      <w:pPr>
        <w:spacing w:after="0" w:line="400" w:lineRule="exact"/>
        <w:rPr>
          <w:sz w:val="20"/>
          <w:szCs w:val="20"/>
          <w:color w:val="auto"/>
        </w:rPr>
      </w:pPr>
    </w:p>
    <w:tbl>
      <w:tblPr>
        <w:tblLayout w:type="fixed"/>
        <w:tblInd w:w="520" w:type="dxa"/>
        <w:tblCellMar>
          <w:top w:w="0" w:type="dxa"/>
          <w:left w:w="0" w:type="dxa"/>
          <w:bottom w:w="0" w:type="dxa"/>
          <w:right w:w="0" w:type="dxa"/>
        </w:tblCellMar>
      </w:tblPr>
      <w:tr>
        <w:trPr>
          <w:trHeight w:val="182"/>
        </w:trPr>
        <w:tc>
          <w:tcPr>
            <w:tcW w:w="2460" w:type="dxa"/>
            <w:vAlign w:val="bottom"/>
            <w:gridSpan w:val="2"/>
          </w:tcPr>
          <w:p>
            <w:pPr>
              <w:ind w:left="7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300" w:type="dxa"/>
            <w:vAlign w:val="bottom"/>
            <w:vMerge w:val="restart"/>
          </w:tcPr>
          <w:p>
            <w:pPr>
              <w:jc w:val="center"/>
              <w:ind w:left="11"/>
              <w:spacing w:after="0"/>
              <w:rPr>
                <w:sz w:val="20"/>
                <w:szCs w:val="20"/>
                <w:color w:val="auto"/>
              </w:rPr>
            </w:pPr>
            <w:r>
              <w:rPr>
                <w:rFonts w:ascii="Times New Roman" w:cs="Times New Roman" w:eastAsia="Times New Roman" w:hAnsi="Times New Roman"/>
                <w:sz w:val="14"/>
                <w:szCs w:val="14"/>
                <w:b w:val="1"/>
                <w:bCs w:val="1"/>
                <w:color w:val="auto"/>
                <w:w w:val="97"/>
              </w:rPr>
              <w:t>Additional</w:t>
            </w:r>
          </w:p>
        </w:tc>
        <w:tc>
          <w:tcPr>
            <w:tcW w:w="1260" w:type="dxa"/>
            <w:vAlign w:val="bottom"/>
          </w:tcPr>
          <w:p>
            <w:pPr>
              <w:spacing w:after="0"/>
              <w:rPr>
                <w:sz w:val="15"/>
                <w:szCs w:val="15"/>
                <w:color w:val="auto"/>
              </w:rPr>
            </w:pPr>
          </w:p>
        </w:tc>
        <w:tc>
          <w:tcPr>
            <w:tcW w:w="1560" w:type="dxa"/>
            <w:vAlign w:val="bottom"/>
            <w:vMerge w:val="restart"/>
          </w:tcPr>
          <w:p>
            <w:pPr>
              <w:jc w:val="center"/>
              <w:ind w:right="11"/>
              <w:spacing w:after="0"/>
              <w:rPr>
                <w:sz w:val="20"/>
                <w:szCs w:val="20"/>
                <w:color w:val="auto"/>
              </w:rPr>
            </w:pPr>
            <w:r>
              <w:rPr>
                <w:rFonts w:ascii="Times New Roman" w:cs="Times New Roman" w:eastAsia="Times New Roman" w:hAnsi="Times New Roman"/>
                <w:sz w:val="14"/>
                <w:szCs w:val="14"/>
                <w:b w:val="1"/>
                <w:bCs w:val="1"/>
                <w:color w:val="auto"/>
                <w:w w:val="97"/>
              </w:rPr>
              <w:t>Noncontrolling</w:t>
            </w: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1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300" w:type="dxa"/>
            <w:vAlign w:val="bottom"/>
            <w:vMerge w:val="continue"/>
          </w:tcPr>
          <w:p>
            <w:pPr>
              <w:spacing w:after="0" w:line="20" w:lineRule="exact"/>
              <w:rPr>
                <w:sz w:val="1"/>
                <w:szCs w:val="1"/>
                <w:color w:val="auto"/>
              </w:rPr>
            </w:pPr>
          </w:p>
        </w:tc>
        <w:tc>
          <w:tcPr>
            <w:tcW w:w="1260" w:type="dxa"/>
            <w:vAlign w:val="bottom"/>
            <w:vMerge w:val="restart"/>
          </w:tcPr>
          <w:p>
            <w:pPr>
              <w:jc w:val="center"/>
              <w:ind w:left="51"/>
              <w:spacing w:after="0"/>
              <w:rPr>
                <w:sz w:val="20"/>
                <w:szCs w:val="20"/>
                <w:color w:val="auto"/>
              </w:rPr>
            </w:pPr>
            <w:r>
              <w:rPr>
                <w:rFonts w:ascii="Times New Roman" w:cs="Times New Roman" w:eastAsia="Times New Roman" w:hAnsi="Times New Roman"/>
                <w:sz w:val="14"/>
                <w:szCs w:val="14"/>
                <w:b w:val="1"/>
                <w:bCs w:val="1"/>
                <w:color w:val="auto"/>
                <w:w w:val="98"/>
              </w:rPr>
              <w:t>Accumulated</w:t>
            </w:r>
          </w:p>
        </w:tc>
        <w:tc>
          <w:tcPr>
            <w:tcW w:w="1560" w:type="dxa"/>
            <w:vAlign w:val="bottom"/>
            <w:vMerge w:val="continue"/>
          </w:tcPr>
          <w:p>
            <w:pPr>
              <w:spacing w:after="0" w:line="20" w:lineRule="exact"/>
              <w:rPr>
                <w:sz w:val="1"/>
                <w:szCs w:val="1"/>
                <w:color w:val="auto"/>
              </w:rPr>
            </w:pPr>
          </w:p>
        </w:tc>
        <w:tc>
          <w:tcPr>
            <w:tcW w:w="680" w:type="dxa"/>
            <w:vAlign w:val="bottom"/>
            <w:vMerge w:val="restart"/>
          </w:tcPr>
          <w:p>
            <w:pPr>
              <w:jc w:val="center"/>
              <w:ind w:left="231"/>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57"/>
        </w:trPr>
        <w:tc>
          <w:tcPr>
            <w:tcW w:w="12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300" w:type="dxa"/>
            <w:vAlign w:val="bottom"/>
            <w:vMerge w:val="continue"/>
          </w:tcPr>
          <w:p>
            <w:pPr>
              <w:spacing w:after="0"/>
              <w:rPr>
                <w:sz w:val="4"/>
                <w:szCs w:val="4"/>
                <w:color w:val="auto"/>
              </w:rPr>
            </w:pPr>
          </w:p>
        </w:tc>
        <w:tc>
          <w:tcPr>
            <w:tcW w:w="1260" w:type="dxa"/>
            <w:vAlign w:val="bottom"/>
            <w:vMerge w:val="continue"/>
          </w:tcPr>
          <w:p>
            <w:pPr>
              <w:spacing w:after="0"/>
              <w:rPr>
                <w:sz w:val="4"/>
                <w:szCs w:val="4"/>
                <w:color w:val="auto"/>
              </w:rPr>
            </w:pPr>
          </w:p>
        </w:tc>
        <w:tc>
          <w:tcPr>
            <w:tcW w:w="1560" w:type="dxa"/>
            <w:vAlign w:val="bottom"/>
            <w:vMerge w:val="continue"/>
          </w:tcPr>
          <w:p>
            <w:pPr>
              <w:spacing w:after="0"/>
              <w:rPr>
                <w:sz w:val="4"/>
                <w:szCs w:val="4"/>
                <w:color w:val="auto"/>
              </w:rPr>
            </w:pPr>
          </w:p>
        </w:tc>
        <w:tc>
          <w:tcPr>
            <w:tcW w:w="6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1200" w:type="dxa"/>
            <w:vAlign w:val="bottom"/>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60" w:type="dxa"/>
            <w:vAlign w:val="bottom"/>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300" w:type="dxa"/>
            <w:vAlign w:val="bottom"/>
          </w:tcPr>
          <w:p>
            <w:pPr>
              <w:jc w:val="center"/>
              <w:ind w:left="11"/>
              <w:spacing w:after="0" w:line="142" w:lineRule="exact"/>
              <w:rPr>
                <w:sz w:val="20"/>
                <w:szCs w:val="20"/>
                <w:color w:val="auto"/>
              </w:rPr>
            </w:pPr>
            <w:r>
              <w:rPr>
                <w:rFonts w:ascii="Times New Roman" w:cs="Times New Roman" w:eastAsia="Times New Roman" w:hAnsi="Times New Roman"/>
                <w:sz w:val="14"/>
                <w:szCs w:val="14"/>
                <w:b w:val="1"/>
                <w:bCs w:val="1"/>
                <w:color w:val="auto"/>
              </w:rPr>
              <w:t>Paid-In</w:t>
            </w:r>
          </w:p>
        </w:tc>
        <w:tc>
          <w:tcPr>
            <w:tcW w:w="1260" w:type="dxa"/>
            <w:vAlign w:val="bottom"/>
            <w:vMerge w:val="continue"/>
          </w:tcPr>
          <w:p>
            <w:pPr>
              <w:spacing w:after="0"/>
              <w:rPr>
                <w:sz w:val="12"/>
                <w:szCs w:val="12"/>
                <w:color w:val="auto"/>
              </w:rPr>
            </w:pPr>
          </w:p>
        </w:tc>
        <w:tc>
          <w:tcPr>
            <w:tcW w:w="1560" w:type="dxa"/>
            <w:vAlign w:val="bottom"/>
          </w:tcPr>
          <w:p>
            <w:pPr>
              <w:jc w:val="center"/>
              <w:ind w:right="11"/>
              <w:spacing w:after="0" w:line="142" w:lineRule="exact"/>
              <w:rPr>
                <w:sz w:val="20"/>
                <w:szCs w:val="20"/>
                <w:color w:val="auto"/>
              </w:rPr>
            </w:pPr>
            <w:r>
              <w:rPr>
                <w:rFonts w:ascii="Times New Roman" w:cs="Times New Roman" w:eastAsia="Times New Roman" w:hAnsi="Times New Roman"/>
                <w:sz w:val="14"/>
                <w:szCs w:val="14"/>
                <w:b w:val="1"/>
                <w:bCs w:val="1"/>
                <w:color w:val="auto"/>
                <w:w w:val="96"/>
              </w:rPr>
              <w:t>Interest Operating</w:t>
            </w:r>
          </w:p>
        </w:tc>
        <w:tc>
          <w:tcPr>
            <w:tcW w:w="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200" w:type="dxa"/>
            <w:vAlign w:val="bottom"/>
            <w:vMerge w:val="continue"/>
          </w:tcPr>
          <w:p>
            <w:pPr>
              <w:spacing w:after="0"/>
              <w:rPr>
                <w:sz w:val="15"/>
                <w:szCs w:val="15"/>
                <w:color w:val="auto"/>
              </w:rPr>
            </w:pPr>
          </w:p>
        </w:tc>
        <w:tc>
          <w:tcPr>
            <w:tcW w:w="1260" w:type="dxa"/>
            <w:vAlign w:val="bottom"/>
            <w:vMerge w:val="continue"/>
          </w:tcPr>
          <w:p>
            <w:pPr>
              <w:spacing w:after="0"/>
              <w:rPr>
                <w:sz w:val="15"/>
                <w:szCs w:val="15"/>
                <w:color w:val="auto"/>
              </w:rPr>
            </w:pPr>
          </w:p>
        </w:tc>
        <w:tc>
          <w:tcPr>
            <w:tcW w:w="1300" w:type="dxa"/>
            <w:vAlign w:val="bottom"/>
          </w:tcPr>
          <w:p>
            <w:pPr>
              <w:jc w:val="center"/>
              <w:ind w:left="11"/>
              <w:spacing w:after="0"/>
              <w:rPr>
                <w:sz w:val="20"/>
                <w:szCs w:val="20"/>
                <w:color w:val="auto"/>
              </w:rPr>
            </w:pPr>
            <w:r>
              <w:rPr>
                <w:rFonts w:ascii="Times New Roman" w:cs="Times New Roman" w:eastAsia="Times New Roman" w:hAnsi="Times New Roman"/>
                <w:sz w:val="14"/>
                <w:szCs w:val="14"/>
                <w:b w:val="1"/>
                <w:bCs w:val="1"/>
                <w:color w:val="auto"/>
                <w:w w:val="94"/>
              </w:rPr>
              <w:t>Capital</w:t>
            </w:r>
          </w:p>
        </w:tc>
        <w:tc>
          <w:tcPr>
            <w:tcW w:w="1260" w:type="dxa"/>
            <w:vAlign w:val="bottom"/>
          </w:tcPr>
          <w:p>
            <w:pPr>
              <w:jc w:val="center"/>
              <w:ind w:left="51"/>
              <w:spacing w:after="0"/>
              <w:rPr>
                <w:sz w:val="20"/>
                <w:szCs w:val="20"/>
                <w:color w:val="auto"/>
              </w:rPr>
            </w:pPr>
            <w:r>
              <w:rPr>
                <w:rFonts w:ascii="Times New Roman" w:cs="Times New Roman" w:eastAsia="Times New Roman" w:hAnsi="Times New Roman"/>
                <w:sz w:val="14"/>
                <w:szCs w:val="14"/>
                <w:b w:val="1"/>
                <w:bCs w:val="1"/>
                <w:color w:val="auto"/>
                <w:w w:val="95"/>
              </w:rPr>
              <w:t>Deficit</w:t>
            </w: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Partnership</w:t>
            </w:r>
          </w:p>
        </w:tc>
        <w:tc>
          <w:tcPr>
            <w:tcW w:w="680" w:type="dxa"/>
            <w:vAlign w:val="bottom"/>
          </w:tcPr>
          <w:p>
            <w:pPr>
              <w:jc w:val="center"/>
              <w:ind w:left="211"/>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2220" w:space="120"/>
            <w:col w:w="8760"/>
          </w:cols>
          <w:pgMar w:left="320" w:top="127" w:right="479" w:bottom="1440" w:gutter="0" w:footer="0" w:header="0"/>
        </w:sectPr>
      </w:pPr>
    </w:p>
    <w:tbl>
      <w:tblPr>
        <w:tblLayout w:type="fixed"/>
        <w:tblInd w:w="720" w:type="dxa"/>
        <w:tblCellMar>
          <w:top w:w="0" w:type="dxa"/>
          <w:left w:w="0" w:type="dxa"/>
          <w:bottom w:w="0" w:type="dxa"/>
          <w:right w:w="0" w:type="dxa"/>
        </w:tblCellMar>
      </w:tblPr>
      <w:tr>
        <w:trPr>
          <w:trHeight w:val="223"/>
        </w:trPr>
        <w:tc>
          <w:tcPr>
            <w:tcW w:w="2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December 31, 2024</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274,422,549</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2,744</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6,209,827</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(1,944,009)</w:t>
            </w:r>
          </w:p>
        </w:tc>
        <w:tc>
          <w:tcPr>
            <w:tcW w:w="400" w:type="dxa"/>
            <w:vAlign w:val="bottom"/>
            <w:tcBorders>
              <w:top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376,962</w:t>
            </w:r>
          </w:p>
        </w:tc>
        <w:tc>
          <w:tcPr>
            <w:tcW w:w="340" w:type="dxa"/>
            <w:vAlign w:val="bottom"/>
            <w:tcBorders>
              <w:top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4,645,524</w:t>
            </w:r>
          </w:p>
        </w:tc>
      </w:tr>
      <w:tr>
        <w:trPr>
          <w:trHeight w:val="168"/>
        </w:trPr>
        <w:tc>
          <w:tcPr>
            <w:tcW w:w="2140" w:type="dxa"/>
            <w:vAlign w:val="bottom"/>
          </w:tcPr>
          <w:p>
            <w:pPr>
              <w:ind w:left="180"/>
              <w:spacing w:after="0" w:line="167" w:lineRule="exact"/>
              <w:rPr>
                <w:sz w:val="20"/>
                <w:szCs w:val="20"/>
                <w:color w:val="auto"/>
              </w:rPr>
            </w:pPr>
            <w:r>
              <w:rPr>
                <w:rFonts w:ascii="Times New Roman" w:cs="Times New Roman" w:eastAsia="Times New Roman" w:hAnsi="Times New Roman"/>
                <w:sz w:val="17"/>
                <w:szCs w:val="17"/>
                <w:color w:val="auto"/>
              </w:rPr>
              <w:t>Restricted stock and LTIP</w:t>
            </w: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232"/>
        </w:trPr>
        <w:tc>
          <w:tcPr>
            <w:tcW w:w="2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unit activity</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410,450</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(9,478)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spacing w:after="0"/>
              <w:rPr>
                <w:sz w:val="20"/>
                <w:szCs w:val="20"/>
                <w:color w:val="auto"/>
              </w:rPr>
            </w:pPr>
          </w:p>
        </w:tc>
        <w:tc>
          <w:tcPr>
            <w:tcW w:w="9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3,526</w:t>
            </w:r>
          </w:p>
        </w:tc>
        <w:tc>
          <w:tcPr>
            <w:tcW w:w="3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(5,948)</w:t>
            </w:r>
          </w:p>
        </w:tc>
      </w:tr>
      <w:tr>
        <w:trPr>
          <w:trHeight w:val="168"/>
        </w:trPr>
        <w:tc>
          <w:tcPr>
            <w:tcW w:w="2140" w:type="dxa"/>
            <w:vAlign w:val="bottom"/>
            <w:shd w:val="clear" w:color="auto" w:fill="CCEEFF"/>
          </w:tcPr>
          <w:p>
            <w:pPr>
              <w:ind w:left="180"/>
              <w:spacing w:after="0" w:line="167" w:lineRule="exact"/>
              <w:rPr>
                <w:sz w:val="20"/>
                <w:szCs w:val="20"/>
                <w:color w:val="auto"/>
              </w:rPr>
            </w:pPr>
            <w:r>
              <w:rPr>
                <w:rFonts w:ascii="Times New Roman" w:cs="Times New Roman" w:eastAsia="Times New Roman" w:hAnsi="Times New Roman"/>
                <w:sz w:val="17"/>
                <w:szCs w:val="17"/>
                <w:color w:val="auto"/>
              </w:rPr>
              <w:t>Dividends paid ($0.76 per</w:t>
            </w: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r>
        <w:trPr>
          <w:trHeight w:val="232"/>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common share)</w:t>
            </w: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(209,061)</w:t>
            </w:r>
          </w:p>
        </w:tc>
        <w:tc>
          <w:tcPr>
            <w:tcW w:w="40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(209,061)</w:t>
            </w:r>
          </w:p>
        </w:tc>
      </w:tr>
      <w:tr>
        <w:trPr>
          <w:trHeight w:val="168"/>
        </w:trPr>
        <w:tc>
          <w:tcPr>
            <w:tcW w:w="2140" w:type="dxa"/>
            <w:vAlign w:val="bottom"/>
          </w:tcPr>
          <w:p>
            <w:pPr>
              <w:ind w:left="180"/>
              <w:spacing w:after="0" w:line="167" w:lineRule="exact"/>
              <w:rPr>
                <w:sz w:val="20"/>
                <w:szCs w:val="20"/>
                <w:color w:val="auto"/>
              </w:rPr>
            </w:pPr>
            <w:r>
              <w:rPr>
                <w:rFonts w:ascii="Times New Roman" w:cs="Times New Roman" w:eastAsia="Times New Roman" w:hAnsi="Times New Roman"/>
                <w:sz w:val="17"/>
                <w:szCs w:val="17"/>
                <w:color w:val="auto"/>
              </w:rPr>
              <w:t>Issuance of operating</w:t>
            </w: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232"/>
        </w:trPr>
        <w:tc>
          <w:tcPr>
            <w:tcW w:w="2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partnership units</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Pr>
          <w:p>
            <w:pPr>
              <w:spacing w:after="0"/>
              <w:rPr>
                <w:sz w:val="20"/>
                <w:szCs w:val="20"/>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20"/>
                <w:szCs w:val="20"/>
                <w:color w:val="auto"/>
              </w:rPr>
            </w:pPr>
          </w:p>
        </w:tc>
        <w:tc>
          <w:tcPr>
            <w:tcW w:w="10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spacing w:after="0"/>
              <w:rPr>
                <w:sz w:val="20"/>
                <w:szCs w:val="20"/>
                <w:color w:val="auto"/>
              </w:rPr>
            </w:pPr>
          </w:p>
        </w:tc>
        <w:tc>
          <w:tcPr>
            <w:tcW w:w="9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168"/>
        </w:trPr>
        <w:tc>
          <w:tcPr>
            <w:tcW w:w="2140" w:type="dxa"/>
            <w:vAlign w:val="bottom"/>
            <w:shd w:val="clear" w:color="auto" w:fill="CCEEFF"/>
          </w:tcPr>
          <w:p>
            <w:pPr>
              <w:ind w:left="180"/>
              <w:spacing w:after="0" w:line="167" w:lineRule="exact"/>
              <w:rPr>
                <w:sz w:val="20"/>
                <w:szCs w:val="20"/>
                <w:color w:val="auto"/>
              </w:rPr>
            </w:pPr>
            <w:r>
              <w:rPr>
                <w:rFonts w:ascii="Times New Roman" w:cs="Times New Roman" w:eastAsia="Times New Roman" w:hAnsi="Times New Roman"/>
                <w:sz w:val="17"/>
                <w:szCs w:val="17"/>
                <w:color w:val="auto"/>
              </w:rPr>
              <w:t>Distributions to non-</w:t>
            </w: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r>
        <w:trPr>
          <w:trHeight w:val="232"/>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controlling interest</w:t>
            </w: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(6,341)</w:t>
            </w:r>
          </w:p>
        </w:tc>
        <w:tc>
          <w:tcPr>
            <w:tcW w:w="3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(6,341)</w:t>
            </w:r>
          </w:p>
        </w:tc>
      </w:tr>
      <w:tr>
        <w:trPr>
          <w:trHeight w:val="219"/>
        </w:trPr>
        <w:tc>
          <w:tcPr>
            <w:tcW w:w="2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10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165,184</w:t>
            </w:r>
          </w:p>
        </w:tc>
        <w:tc>
          <w:tcPr>
            <w:tcW w:w="400" w:type="dxa"/>
            <w:vAlign w:val="bottom"/>
          </w:tcPr>
          <w:p>
            <w:pPr>
              <w:spacing w:after="0"/>
              <w:rPr>
                <w:sz w:val="19"/>
                <w:szCs w:val="19"/>
                <w:color w:val="auto"/>
              </w:rPr>
            </w:pPr>
          </w:p>
        </w:tc>
        <w:tc>
          <w:tcPr>
            <w:tcW w:w="9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5,170</w:t>
            </w: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170,354</w:t>
            </w:r>
          </w:p>
        </w:tc>
      </w:tr>
      <w:tr>
        <w:trPr>
          <w:trHeight w:val="237"/>
        </w:trPr>
        <w:tc>
          <w:tcPr>
            <w:tcW w:w="2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March 31, 2025</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274,832,999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20" w:type="dxa"/>
            <w:vAlign w:val="bottom"/>
            <w:tcBorders>
              <w:top w:val="single" w:sz="8" w:color="auto"/>
              <w:bottom w:val="single" w:sz="8" w:color="auto"/>
            </w:tcBorders>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2,748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6,200,349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(1,987,886)</w:t>
            </w:r>
          </w:p>
        </w:tc>
        <w:tc>
          <w:tcPr>
            <w:tcW w:w="400" w:type="dxa"/>
            <w:vAlign w:val="bottom"/>
            <w:tcBorders>
              <w:top w:val="single" w:sz="8" w:color="auto"/>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379,317</w:t>
            </w:r>
          </w:p>
        </w:tc>
        <w:tc>
          <w:tcPr>
            <w:tcW w:w="340" w:type="dxa"/>
            <w:vAlign w:val="bottom"/>
            <w:tcBorders>
              <w:top w:val="single" w:sz="8" w:color="auto"/>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4,594,528</w:t>
            </w:r>
          </w:p>
        </w:tc>
      </w:tr>
      <w:tr>
        <w:trPr>
          <w:trHeight w:val="20"/>
        </w:trPr>
        <w:tc>
          <w:tcPr>
            <w:tcW w:w="21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00"/>
          </w:cols>
          <w:pgMar w:left="320" w:top="127" w:right="47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Gaming and Leisure Properties,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Cash Flows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unaudited)</w:t>
      </w:r>
    </w:p>
    <w:p>
      <w:pPr>
        <w:spacing w:after="0" w:line="25" w:lineRule="exact"/>
        <w:rPr>
          <w:sz w:val="20"/>
          <w:szCs w:val="20"/>
          <w:color w:val="auto"/>
        </w:rPr>
      </w:pPr>
    </w:p>
    <w:tbl>
      <w:tblPr>
        <w:tblLayout w:type="fixed"/>
        <w:tblInd w:w="20" w:type="dxa"/>
        <w:tblCellMar>
          <w:top w:w="0" w:type="dxa"/>
          <w:left w:w="0" w:type="dxa"/>
          <w:bottom w:w="0" w:type="dxa"/>
          <w:right w:w="0" w:type="dxa"/>
        </w:tblCellMar>
      </w:tblPr>
      <w:tr>
        <w:trPr>
          <w:trHeight w:val="182"/>
        </w:trPr>
        <w:tc>
          <w:tcPr>
            <w:tcW w:w="82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340" w:type="dxa"/>
            <w:vAlign w:val="bottom"/>
          </w:tcPr>
          <w:p>
            <w:pPr>
              <w:spacing w:after="0"/>
              <w:rPr>
                <w:sz w:val="15"/>
                <w:szCs w:val="15"/>
                <w:color w:val="auto"/>
              </w:rPr>
            </w:pPr>
          </w:p>
        </w:tc>
        <w:tc>
          <w:tcPr>
            <w:tcW w:w="110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
        </w:trPr>
        <w:tc>
          <w:tcPr>
            <w:tcW w:w="8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35"/>
        </w:trPr>
        <w:tc>
          <w:tcPr>
            <w:tcW w:w="8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r>
      <w:tr>
        <w:trPr>
          <w:trHeight w:val="219"/>
        </w:trPr>
        <w:tc>
          <w:tcPr>
            <w:tcW w:w="824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Operating activities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19"/>
        </w:trPr>
        <w:tc>
          <w:tcPr>
            <w:tcW w:w="8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Net income</w:t>
            </w: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239,402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170,354</w:t>
            </w:r>
          </w:p>
        </w:tc>
      </w:tr>
      <w:tr>
        <w:trPr>
          <w:trHeight w:val="219"/>
        </w:trPr>
        <w:tc>
          <w:tcPr>
            <w:tcW w:w="824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Adjustments to reconcile net income to net cash provided by operating activities: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19"/>
        </w:trPr>
        <w:tc>
          <w:tcPr>
            <w:tcW w:w="82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69,307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69,282</w:t>
            </w:r>
          </w:p>
        </w:tc>
      </w:tr>
      <w:tr>
        <w:trPr>
          <w:trHeight w:val="219"/>
        </w:trPr>
        <w:tc>
          <w:tcPr>
            <w:tcW w:w="824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Amortization of items charged to interest expense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3,468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3,232</w:t>
            </w:r>
          </w:p>
        </w:tc>
      </w:tr>
      <w:tr>
        <w:trPr>
          <w:trHeight w:val="219"/>
        </w:trPr>
        <w:tc>
          <w:tcPr>
            <w:tcW w:w="82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Amortization of gain on cash flow hedges and loan discounts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824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Accretion on investment in leases and adjustments to lease liabilities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(7,412)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(6,896)</w:t>
            </w:r>
          </w:p>
        </w:tc>
      </w:tr>
      <w:tr>
        <w:trPr>
          <w:trHeight w:val="219"/>
        </w:trPr>
        <w:tc>
          <w:tcPr>
            <w:tcW w:w="82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Accretion on held to maturity investment securities</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10,837</w:t>
            </w:r>
          </w:p>
        </w:tc>
      </w:tr>
      <w:tr>
        <w:trPr>
          <w:trHeight w:val="219"/>
        </w:trPr>
        <w:tc>
          <w:tcPr>
            <w:tcW w:w="824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Non-cash adjustment to financing lease liabilities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w:t>
            </w:r>
          </w:p>
        </w:tc>
      </w:tr>
      <w:tr>
        <w:trPr>
          <w:trHeight w:val="219"/>
        </w:trPr>
        <w:tc>
          <w:tcPr>
            <w:tcW w:w="82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Gains from dispositions of property</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w:t>
            </w:r>
          </w:p>
        </w:tc>
      </w:tr>
      <w:tr>
        <w:trPr>
          <w:trHeight w:val="219"/>
        </w:trPr>
        <w:tc>
          <w:tcPr>
            <w:tcW w:w="824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Stock-based compensation</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8,104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8,858</w:t>
            </w:r>
          </w:p>
        </w:tc>
      </w:tr>
      <w:tr>
        <w:trPr>
          <w:trHeight w:val="219"/>
        </w:trPr>
        <w:tc>
          <w:tcPr>
            <w:tcW w:w="82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Straight-line rent and deferred rent adjustments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(8,412)</w:t>
            </w:r>
          </w:p>
        </w:tc>
      </w:tr>
      <w:tr>
        <w:trPr>
          <w:trHeight w:val="219"/>
        </w:trPr>
        <w:tc>
          <w:tcPr>
            <w:tcW w:w="824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Provision (benefit) for credit losses, net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(10,137)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39,246</w:t>
            </w:r>
          </w:p>
        </w:tc>
      </w:tr>
      <w:tr>
        <w:trPr>
          <w:trHeight w:val="219"/>
        </w:trPr>
        <w:tc>
          <w:tcPr>
            <w:tcW w:w="82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Change in operating assets and liabilities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19"/>
        </w:trPr>
        <w:tc>
          <w:tcPr>
            <w:tcW w:w="8240" w:type="dxa"/>
            <w:vAlign w:val="bottom"/>
            <w:gridSpan w:val="2"/>
          </w:tcPr>
          <w:p>
            <w:pPr>
              <w:ind w:left="520"/>
              <w:spacing w:after="0"/>
              <w:rPr>
                <w:sz w:val="20"/>
                <w:szCs w:val="20"/>
                <w:color w:val="auto"/>
              </w:rPr>
            </w:pPr>
            <w:r>
              <w:rPr>
                <w:rFonts w:ascii="Times New Roman" w:cs="Times New Roman" w:eastAsia="Times New Roman" w:hAnsi="Times New Roman"/>
                <w:sz w:val="17"/>
                <w:szCs w:val="17"/>
                <w:color w:val="auto"/>
              </w:rPr>
              <w:t>Other assets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(2,049)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1,269</w:t>
            </w:r>
          </w:p>
        </w:tc>
      </w:tr>
      <w:tr>
        <w:trPr>
          <w:trHeight w:val="219"/>
        </w:trPr>
        <w:tc>
          <w:tcPr>
            <w:tcW w:w="82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7"/>
                <w:szCs w:val="17"/>
                <w:color w:val="auto"/>
              </w:rPr>
              <w:t>Accounts payable and accrued expenses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344</w:t>
            </w:r>
          </w:p>
        </w:tc>
      </w:tr>
      <w:tr>
        <w:trPr>
          <w:trHeight w:val="219"/>
        </w:trPr>
        <w:tc>
          <w:tcPr>
            <w:tcW w:w="8240" w:type="dxa"/>
            <w:vAlign w:val="bottom"/>
            <w:gridSpan w:val="2"/>
          </w:tcPr>
          <w:p>
            <w:pPr>
              <w:ind w:left="520"/>
              <w:spacing w:after="0"/>
              <w:rPr>
                <w:sz w:val="20"/>
                <w:szCs w:val="20"/>
                <w:color w:val="auto"/>
              </w:rPr>
            </w:pPr>
            <w:r>
              <w:rPr>
                <w:rFonts w:ascii="Times New Roman" w:cs="Times New Roman" w:eastAsia="Times New Roman" w:hAnsi="Times New Roman"/>
                <w:sz w:val="17"/>
                <w:szCs w:val="17"/>
                <w:color w:val="auto"/>
              </w:rPr>
              <w:t>Accrued interest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(24,850)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(32,599)</w:t>
            </w:r>
          </w:p>
        </w:tc>
      </w:tr>
      <w:tr>
        <w:trPr>
          <w:trHeight w:val="219"/>
        </w:trPr>
        <w:tc>
          <w:tcPr>
            <w:tcW w:w="82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7"/>
                <w:szCs w:val="17"/>
                <w:color w:val="auto"/>
              </w:rPr>
              <w:t>Accrued salaries and wages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(7,228)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(4,925)</w:t>
            </w:r>
          </w:p>
        </w:tc>
      </w:tr>
      <w:tr>
        <w:trPr>
          <w:trHeight w:val="219"/>
        </w:trPr>
        <w:tc>
          <w:tcPr>
            <w:tcW w:w="8240" w:type="dxa"/>
            <w:vAlign w:val="bottom"/>
            <w:tcBorders>
              <w:bottom w:val="single" w:sz="8" w:color="CCEEFF"/>
            </w:tcBorders>
            <w:gridSpan w:val="2"/>
          </w:tcPr>
          <w:p>
            <w:pPr>
              <w:ind w:left="520"/>
              <w:spacing w:after="0"/>
              <w:rPr>
                <w:sz w:val="20"/>
                <w:szCs w:val="20"/>
                <w:color w:val="auto"/>
              </w:rPr>
            </w:pPr>
            <w:r>
              <w:rPr>
                <w:rFonts w:ascii="Times New Roman" w:cs="Times New Roman" w:eastAsia="Times New Roman" w:hAnsi="Times New Roman"/>
                <w:sz w:val="17"/>
                <w:szCs w:val="17"/>
                <w:color w:val="auto"/>
              </w:rPr>
              <w:t>Other liabilities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1,929</w:t>
            </w:r>
          </w:p>
        </w:tc>
      </w:tr>
      <w:tr>
        <w:trPr>
          <w:trHeight w:val="212"/>
        </w:trPr>
        <w:tc>
          <w:tcPr>
            <w:tcW w:w="8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270,229</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252,492</w:t>
            </w:r>
          </w:p>
        </w:tc>
      </w:tr>
      <w:tr>
        <w:trPr>
          <w:trHeight w:val="199"/>
        </w:trPr>
        <w:tc>
          <w:tcPr>
            <w:tcW w:w="824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Investing activities</w:t>
            </w: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19"/>
        </w:trPr>
        <w:tc>
          <w:tcPr>
            <w:tcW w:w="8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Capital project and maintenance expenditures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(111,478)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(12,907)</w:t>
            </w:r>
          </w:p>
        </w:tc>
      </w:tr>
      <w:tr>
        <w:trPr>
          <w:trHeight w:val="219"/>
        </w:trPr>
        <w:tc>
          <w:tcPr>
            <w:tcW w:w="824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Proceeds from sales of property, net of costs</w:t>
            </w: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w:t>
            </w:r>
          </w:p>
        </w:tc>
      </w:tr>
      <w:tr>
        <w:trPr>
          <w:trHeight w:val="219"/>
        </w:trPr>
        <w:tc>
          <w:tcPr>
            <w:tcW w:w="8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Acquisition of real estate, net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(688,004)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824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Originations of real estate loans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(54,057)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(3,209)</w:t>
            </w:r>
          </w:p>
        </w:tc>
      </w:tr>
      <w:tr>
        <w:trPr>
          <w:trHeight w:val="219"/>
        </w:trPr>
        <w:tc>
          <w:tcPr>
            <w:tcW w:w="8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Maturities of held to maturity investment securities</w:t>
            </w: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549,995</w:t>
            </w:r>
          </w:p>
        </w:tc>
      </w:tr>
      <w:tr>
        <w:trPr>
          <w:trHeight w:val="212"/>
        </w:trPr>
        <w:tc>
          <w:tcPr>
            <w:tcW w:w="82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Net cash (used in) provided by investing activities</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(853,539)</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534,004</w:t>
            </w:r>
          </w:p>
        </w:tc>
      </w:tr>
      <w:tr>
        <w:trPr>
          <w:trHeight w:val="199"/>
        </w:trPr>
        <w:tc>
          <w:tcPr>
            <w:tcW w:w="8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Financing activities</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9"/>
        </w:trPr>
        <w:tc>
          <w:tcPr>
            <w:tcW w:w="824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Dividends paid</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(221,068)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(209,061)</w:t>
            </w:r>
          </w:p>
        </w:tc>
      </w:tr>
      <w:tr>
        <w:trPr>
          <w:trHeight w:val="219"/>
        </w:trPr>
        <w:tc>
          <w:tcPr>
            <w:tcW w:w="8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Non-controlling interest distributions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(6,856)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(6,341)</w:t>
            </w:r>
          </w:p>
        </w:tc>
      </w:tr>
      <w:tr>
        <w:trPr>
          <w:trHeight w:val="219"/>
        </w:trPr>
        <w:tc>
          <w:tcPr>
            <w:tcW w:w="824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Taxes paid related to shares withheld for tax purposes on restricted stock award vestings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(6,262)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(14,805)</w:t>
            </w:r>
          </w:p>
        </w:tc>
      </w:tr>
      <w:tr>
        <w:trPr>
          <w:trHeight w:val="219"/>
        </w:trPr>
        <w:tc>
          <w:tcPr>
            <w:tcW w:w="8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Proceeds from issuance of common stock, net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824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Proceeds from issuance of long-term debt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2,156,856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8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Financing costs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(9,141)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r>
      <w:tr>
        <w:trPr>
          <w:trHeight w:val="219"/>
        </w:trPr>
        <w:tc>
          <w:tcPr>
            <w:tcW w:w="824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7"/>
                <w:szCs w:val="17"/>
                <w:color w:val="auto"/>
              </w:rPr>
              <w:t>Repayments of long-term debt</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(1,279,900)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(850,054)</w:t>
            </w:r>
          </w:p>
        </w:tc>
      </w:tr>
      <w:tr>
        <w:trPr>
          <w:trHeight w:val="212"/>
        </w:trPr>
        <w:tc>
          <w:tcPr>
            <w:tcW w:w="8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provided by (used in) financing activities</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633,509</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(1,080,253)</w:t>
            </w:r>
          </w:p>
        </w:tc>
      </w:tr>
      <w:tr>
        <w:trPr>
          <w:trHeight w:val="212"/>
        </w:trPr>
        <w:tc>
          <w:tcPr>
            <w:tcW w:w="824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Net decrease in cash and cash equivalents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50,199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(293,757)</w:t>
            </w:r>
          </w:p>
        </w:tc>
      </w:tr>
      <w:tr>
        <w:trPr>
          <w:trHeight w:val="219"/>
        </w:trPr>
        <w:tc>
          <w:tcPr>
            <w:tcW w:w="8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and cash equivalents at beginning of period</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224,314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462,632</w:t>
            </w:r>
          </w:p>
        </w:tc>
      </w:tr>
      <w:tr>
        <w:trPr>
          <w:trHeight w:val="212"/>
        </w:trPr>
        <w:tc>
          <w:tcPr>
            <w:tcW w:w="8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Cash and cash equivalents at end of period</w:t>
            </w:r>
          </w:p>
        </w:tc>
        <w:tc>
          <w:tcPr>
            <w:tcW w:w="3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274,513</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168,875</w:t>
            </w:r>
          </w:p>
        </w:tc>
      </w:tr>
      <w:tr>
        <w:trPr>
          <w:trHeight w:val="20"/>
        </w:trPr>
        <w:tc>
          <w:tcPr>
            <w:tcW w:w="8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right="520"/>
        <w:spacing w:after="0" w:line="287" w:lineRule="auto"/>
        <w:rPr>
          <w:sz w:val="20"/>
          <w:szCs w:val="20"/>
          <w:color w:val="auto"/>
        </w:rPr>
      </w:pPr>
      <w:r>
        <w:rPr>
          <w:rFonts w:ascii="Times New Roman" w:cs="Times New Roman" w:eastAsia="Times New Roman" w:hAnsi="Times New Roman"/>
          <w:sz w:val="17"/>
          <w:szCs w:val="17"/>
          <w:color w:val="auto"/>
        </w:rPr>
        <w:t>See accompanying notes to the condensed consolidated financial statements and Note 14 for supplemental cash flow information and noncash investing and financing activities.</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Gaming and Leisure Properties,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Condensed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22"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7"/>
          <w:szCs w:val="17"/>
          <w:b w:val="1"/>
          <w:bCs w:val="1"/>
          <w:color w:val="auto"/>
        </w:rPr>
        <w:t>1.</w:t>
        <w:tab/>
        <w:t>Business and Operations</w:t>
      </w:r>
    </w:p>
    <w:p>
      <w:pPr>
        <w:spacing w:after="0" w:line="221"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Gaming and Leisure Properties, Inc. ("GLPI") is a self-administered and self-managed Pennsylvania real estate investment trust ("REIT"). GLPI (together with its subsidiaries, the "Company") was incorporated as a wholly-owned subsidiary of PENN Entertainment, Inc., formerly known as Penn National Gaming, Inc. (NASDAQ: PENN) ("PENN"). On November 1, 2013, PENN contributed to GLPI, through a series of internal corporate restructurings, substantially all of the assets and liabilities associated with PENN’s real property interests and real estate development business, as well as the assets and liabilities of Hollywood Casino Baton Rouge and Hollywood Casino Perryville and then spun-off GLPI to holders of PENN's common and preferred stock in a tax-free distribution (the "Spin-Off").</w:t>
      </w:r>
    </w:p>
    <w:p>
      <w:pPr>
        <w:spacing w:after="0" w:line="200" w:lineRule="exact"/>
        <w:rPr>
          <w:sz w:val="20"/>
          <w:szCs w:val="20"/>
          <w:color w:val="auto"/>
        </w:rPr>
      </w:pPr>
    </w:p>
    <w:p>
      <w:pPr>
        <w:spacing w:after="0" w:line="211" w:lineRule="exact"/>
        <w:rPr>
          <w:sz w:val="20"/>
          <w:szCs w:val="20"/>
          <w:color w:val="auto"/>
        </w:rPr>
      </w:pPr>
    </w:p>
    <w:p>
      <w:pPr>
        <w:jc w:val="both"/>
        <w:ind w:firstLine="619"/>
        <w:spacing w:after="0" w:line="248" w:lineRule="auto"/>
        <w:rPr>
          <w:sz w:val="20"/>
          <w:szCs w:val="20"/>
          <w:color w:val="auto"/>
        </w:rPr>
      </w:pPr>
      <w:r>
        <w:rPr>
          <w:rFonts w:ascii="Times New Roman" w:cs="Times New Roman" w:eastAsia="Times New Roman" w:hAnsi="Times New Roman"/>
          <w:sz w:val="17"/>
          <w:szCs w:val="17"/>
          <w:color w:val="auto"/>
        </w:rPr>
        <w:t>Since 2021, the Company has been structured as an umbrella partnership REIT under which substantially all of its business is conducted through GLP Capital, L.P. ("GLP Capital"), the day-to-day management of which is exclusively controlled by GLPI. GLPI has no material assets other than its investment in GLP Capital. GLPI issues equity from time to time and is obligated to contribute the net proceeds from those offerings to GLP Capital. As of March 31, 2026, GLPI owned approximately 96.8% of the outstanding units of GLP Capital with the remaining 3.2% owned by third party limited partners who (directly or through affiliates) contributed properties to GLP Capital in exchange for consideration that was partially funded through the issuance of operating partnership units ("OP Units") and holders of long term incentive plan units ("LTIP Units"). The OP Units and LTIP Units once vested are exchangeable on a one for one basis for common shares of the Company. The Company's common stock is listed on the NASDAQ under the ticker symbol GLPI.</w:t>
      </w:r>
    </w:p>
    <w:p>
      <w:pPr>
        <w:spacing w:after="0" w:line="19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All debt of the Company, including revolving credit facilities, term loans and senior unsecured notes, is incurred by GLP Capital and its subsidiaries.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GLPI has fully and unconditionally guaranteed all of our outstanding senior unsecured notes.</w:t>
      </w:r>
    </w:p>
    <w:p>
      <w:pPr>
        <w:spacing w:after="0" w:line="213" w:lineRule="exact"/>
        <w:rPr>
          <w:sz w:val="20"/>
          <w:szCs w:val="20"/>
          <w:color w:val="auto"/>
        </w:rPr>
      </w:pPr>
    </w:p>
    <w:p>
      <w:pPr>
        <w:jc w:val="both"/>
        <w:ind w:firstLine="619"/>
        <w:spacing w:after="0" w:line="248" w:lineRule="auto"/>
        <w:rPr>
          <w:sz w:val="20"/>
          <w:szCs w:val="20"/>
          <w:color w:val="auto"/>
        </w:rPr>
      </w:pPr>
      <w:r>
        <w:rPr>
          <w:rFonts w:ascii="Times New Roman" w:cs="Times New Roman" w:eastAsia="Times New Roman" w:hAnsi="Times New Roman"/>
          <w:sz w:val="17"/>
          <w:szCs w:val="17"/>
          <w:color w:val="auto"/>
        </w:rPr>
        <w:t>The Company seeks to provide an opportunity to invest in the growth opportunities afforded by the gaming industry, with the stability and cash flow opportunities of a REIT. GLPI’s primary business consists of acquiring, financing, and owning real estate property to be leased to gaming operators in triple-net lease arrangements. Under these arrangements, in addition to rent, the tenants are required to pay the following executory costs: (1) all facility maintenance, (2) all insurance required in connection with the leased properties and the business conducted on the leased properties, including coverage of the landlord's interests, (3) taxes levied on or with respect to the leased properties (other than taxes on the income of the lessor) and (4) all utilities and other services necessary or appropriate for the leased properties and the business conducted on the leased properties. The Company also extends loans that produce fixed or variable returns which may convert into leased rent upon project completion or stabilization.</w:t>
      </w:r>
    </w:p>
    <w:p>
      <w:pPr>
        <w:spacing w:after="0" w:line="197" w:lineRule="exact"/>
        <w:rPr>
          <w:sz w:val="20"/>
          <w:szCs w:val="20"/>
          <w:color w:val="auto"/>
        </w:rPr>
      </w:pPr>
    </w:p>
    <w:p>
      <w:pPr>
        <w:jc w:val="both"/>
        <w:ind w:firstLine="619"/>
        <w:spacing w:after="0" w:line="249" w:lineRule="auto"/>
        <w:rPr>
          <w:sz w:val="20"/>
          <w:szCs w:val="20"/>
          <w:color w:val="auto"/>
        </w:rPr>
      </w:pPr>
      <w:r>
        <w:rPr>
          <w:rFonts w:ascii="Times New Roman" w:cs="Times New Roman" w:eastAsia="Times New Roman" w:hAnsi="Times New Roman"/>
          <w:sz w:val="17"/>
          <w:szCs w:val="17"/>
          <w:color w:val="auto"/>
        </w:rPr>
        <w:t>As of March 31, 2026, GLPI’s portfolio consisted of interests in 71 gaming and related facilities, the real property associated with 34 gaming and related facilities operated by PENN, the real property associated with 6 gaming and related facilities operated by Caesars Entertainment Corporation (NASDAQ: CZR) ("Caesars"), the real property associated with 4 gaming and related facilities operated by Boyd Gaming Corporation (NYSE: BYD) ("Boyd"), the real property associated with 16 gaming and related facilities operated by Bally's Corporation (NYSE: BALY) ("Bally's") and 2 facilities under development, namely for Bally's in Chicago, Illinois and for The Cordish Companies ("Cordish") and Bruce Smith Enterprise in Petersburg, Virginia, the real property associated with 3 gaming and related facilities operated by Cordish, 1 gaming facility managed by a subsidiary of Hard Rock International ("Hard Rock"), 4 gaming and related facilities operated by Strategic Gaming Management, LLC ("Strategic") and 1 gaming and related facility operated by American Racing &amp; Entertainment ("American Racing").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PENN 2023 Master Lease and Amended PENN Master Lease</w:t>
      </w:r>
    </w:p>
    <w:p>
      <w:pPr>
        <w:spacing w:after="0" w:line="247"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On January 1, 2023, the Company amended its original master lease with PENN (the "Amended PENN Master Lease") to remove 5 properties from it and created a new master lease (the "PENN 2023 Master Lease"). In addition, the existing leases for the Hollywood Casino at The Meadows in Pennsylvania and the Hollywood Casino Perryville in Maryland were terminated and these properties were transferred into the PENN 2023 Master Lease. Both the Amended PENN Master Lease and the PENN 2023 Master Lease are triple-net operating leases, the terms of which expire on October 31, 2033, with no purchase options, followed by three remaining 5-year renewal options (exercisable by the tenant) on the same terms and conditions.</w:t>
      </w:r>
    </w:p>
    <w:p>
      <w:pPr>
        <w:spacing w:after="0" w:line="200"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Rent under the PENN 2023 Master Lease is fixed with annual escalations on the entirety of rent increasing by 1.5% annually on November 1. In addition to the fixed escalations, a one time annualized increase of $1.4 million is scheduled to occur on November 1, 2027. The rent structure under the Amended PENN Master Lease includes a fixed component, a portion of which is subject to an annual 2% escalator if certain rent coverage ratio thresholds are met, and a component that is based on the revenues of the facilities, which is prospectively adjusted, subject to certain floors (namely the Hollywood Casino at Penn National Race Course property due to PENN's opening of a competing facility) every 5 years to an amount equal to 4% of the average net revenues of all facilities under the Amended PENN Master Lease during the preceding five years in excess of a contractual baseline.</w:t>
      </w:r>
    </w:p>
    <w:p>
      <w:pPr>
        <w:spacing w:after="0" w:line="109"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GLPI also agreed to fund certain potential development projects in the PENN 2023 Master Lease. On August 1, 2025, GLPI funded $130 million for the relocation of Hollywood Casino Joliet, which opened on August 11, 2025, and is subject to a 7.75% capitalization rate. The Company also previously funded $5 million to reimburse PENN for land site development costs for the Joliet project. On November 3, 2025, GLPI funded $150 million for PENN's M Resort new hotel tower and conference center expansion, which opened to the public on December 1, 2025, at a capitalization rate of 7.79%. PENN anticipates completing the relocation of its riverboat casino in Aurora, Illinois on June 24, 2026, pending customary regulatory approvals. The Company anticipates funding $225 million at a 7.75% capitalization rate for this project on or about June 24, 2026. Rent for each project begins accruing as the related funding is advanced.</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Amended Pinnacle Master Lease, Boyd Master Lease and Belterra Park Lease</w:t>
      </w:r>
    </w:p>
    <w:p>
      <w:pPr>
        <w:spacing w:after="0" w:line="247"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In April 2016, the Company acquired substantially all of the real estate assets of Pinnacle Entertainment, Inc. ("Pinnacle") and leased these assets back to Pinnacle, under a unitary triple-net lease, the term of which expires April 30, 2031, with no purchase option, followed by four remaining 5-year renewal options (exercisable by the tenant) on the same terms and conditions (the "Pinnacle Master Lease"). The Pinnacle Master Lease includes a fixed component, a portion of which is subject to an annual escalator of up to 2% if certain rent coverage ratio thresholds are met and a component that is based on the performance of the facilities, which is prospectively adjusted subject to certain floors (namely the Bossier City Boomtown property due to PENN's acquisition of a competing facility), every two years to an amount equal to 4% of the average net revenues of all facilities under the Pinnacle Master Lease during the preceding two years in excess of a contractual baseline.</w:t>
      </w:r>
    </w:p>
    <w:p>
      <w:pPr>
        <w:spacing w:after="0" w:line="205"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17"/>
          <w:szCs w:val="17"/>
          <w:color w:val="auto"/>
        </w:rPr>
        <w:t>On October 15, 2018, the Company completed transactions with PENN, Pinnacle and Boyd to accommodate PENN's acquisition of the majority of Pinnacle's operations, pursuant to a definitive agreement and plan of merger between PENN and Pinnacle, dated December 17, 2017 (the "PENN-Pinnacle Merger"). Concurrent with the PENN-Pinnacle Merger, the Company amended the Pinnacle Master Lease to allow for the sale of the operating assets of Ameristar Casino Hotel Kansas City, Ameristar Casino Resort Spa St. Charles and Belterra Casino Resort from Pinnacle to Boyd (the "Amended Pinnacle Master Lease") and entered into a new unitary triple-net master lease agreement with Boyd (the "Boyd Master Lease") for these properties on terms similar to the Company’s Amended Pinnacle Master Lease. The Boyd Master Lease expires April 30, 2031, with no purchase option, followed by four 5-year renewal options (exercisable by the tenant) on the same terms and conditions. The Boyd Master Lease includes a fixed component, a portion of which is subject to an annual 2% escalator if certain rent coverage ratio thresholds are met and a component that is based on the performance of the facilities, which is prospectively adjusted every two years to an amount equal to 4% of the average net revenues of all facilities under the Boyd Master Lease during the preceding two years in excess of a contractual baseline.</w:t>
      </w:r>
    </w:p>
    <w:p>
      <w:pPr>
        <w:spacing w:after="0" w:line="205"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The Company also purchased the real estate assets of Plainridge Park Casino ("Plainridge Park") from PENN and added this property to the Amended Pinnacle Master Lease. The Amended Pinnacle Master Lease was assumed by PENN at the consummation of the PENN-Pinnacle Merger.</w:t>
      </w:r>
    </w:p>
    <w:p>
      <w:pPr>
        <w:spacing w:after="0" w:line="177" w:lineRule="exact"/>
        <w:rPr>
          <w:sz w:val="20"/>
          <w:szCs w:val="20"/>
          <w:color w:val="auto"/>
        </w:rPr>
      </w:pPr>
    </w:p>
    <w:p>
      <w:pPr>
        <w:jc w:val="both"/>
        <w:ind w:firstLine="619"/>
        <w:spacing w:after="0" w:line="276" w:lineRule="auto"/>
        <w:rPr>
          <w:sz w:val="20"/>
          <w:szCs w:val="20"/>
          <w:color w:val="auto"/>
        </w:rPr>
      </w:pPr>
      <w:r>
        <w:rPr>
          <w:rFonts w:ascii="Times New Roman" w:cs="Times New Roman" w:eastAsia="Times New Roman" w:hAnsi="Times New Roman"/>
          <w:sz w:val="17"/>
          <w:szCs w:val="17"/>
          <w:color w:val="auto"/>
        </w:rPr>
        <w:t>The Company also entered into a mortgage loan agreement with Boyd in connection with Boyd's acquisition of Belterra Park Gaming &amp; Entertainment Center ("Belterra Park"), whereby the Company loaned Boyd $57.7 million (the "Belterra Park Loan"). In May 2020, the Company acquired the real estate of</w:t>
      </w:r>
    </w:p>
    <w:p>
      <w:pPr>
        <w:spacing w:after="0" w:line="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Belterra Park in satisfaction of the Belterra Park Loan, subject to a long-term lease (the "Belterra Park Lease") with a Boyd affiliate operating the property. The Belterra Park</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35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Lease rent terms are consistent with the Boyd Master Lease. The Belterra Park Lease rent terms are consistent with the Boyd Master Lease and expires on April 30, 2031, with no purchase option, followed by four, 5-year renewal options (exercisable by the tenant) on the same terms and conditions.</w:t>
      </w:r>
    </w:p>
    <w:p>
      <w:pPr>
        <w:spacing w:after="0" w:line="177"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In April 2025, PENN announced its intention to relocate its Ameristar Council Bluffs riverboat casino, for which GLPI has committed up to $150 million or the hard costs associated with the project, whichever is greater, at a 7.10% cap rate, which can be structured, at the discretion of PENN, as rent, or a 5-year term loan.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Amended and Restated Caesars Master Lease</w:t>
      </w:r>
    </w:p>
    <w:p>
      <w:pPr>
        <w:spacing w:after="0" w:line="247"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On October 1, 2018, the Company entered into a master lease with Caesars, which expires on September 30, 2038, with no purchase option, with four separate renewal options of 5 years each, exercisable at the tenant's option, on the same terms and conditions (as amended, the "Amended and Restated Caesars Master Lease"). The annual rent increases by 1.75% in the seventh and eighth lease years and 2% in the ninth lease year and each lease year thereafter.</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Horseshoe St. Louis Lease</w:t>
      </w:r>
    </w:p>
    <w:p>
      <w:pPr>
        <w:spacing w:after="0" w:line="247"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The Company has a single property lease with Caesars for the real estate assets of Horseshoe St. Louis (the "Horseshoe St. Louis Lease") which became effective on September 29, 2020, with no purchase option, whose initial term expires on October 31, 2033, with four separate renewal options of five years each, exercisable at the tenant's option. The Horseshoe St. Louis Lease annual rent increases by 1.25% for the second through fifth lease years, increasing to 1.75% for the sixth and seventh lease years and thereafter increasing by 2.0% for the remainder of the lease.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Bally's Master Lease, Bally's Chicago Lease, Bally's Master Lease II, the Casino Queen Master Lease and the Tropicana Las Vegas Lease</w:t>
      </w:r>
    </w:p>
    <w:p>
      <w:pPr>
        <w:spacing w:after="0" w:line="247"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The Company has several leases and development agreements with Bally's. The Bally's Master Lease was entered into on June 3, 2021 and subsequent to this date several additional real estate assets of Bally's were added to it (the "Bally's Master Lease"). The annual rent on the Bally's Master Lease is subject to contractual escalations based on the Consumer Price Index ("CPI") with a 1% floor and a 2% ceiling, subject to the CPI meeting a 0.5% threshold. The Bally's Master Lease has an initial term of 15 years, with no purchase option, followed by four 5 year renewal options (exercisable by the tenant) on the same terms and conditions.</w:t>
      </w:r>
    </w:p>
    <w:p>
      <w:pPr>
        <w:spacing w:after="0" w:line="200"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17"/>
          <w:szCs w:val="17"/>
          <w:color w:val="auto"/>
        </w:rPr>
        <w:t>On September 11, 2024, the Company assumed the ground lease for the real estate of the Bally's Chicago Casino Resort ("Bally's Chicago") site between the existing third party and Bally's for approximately $250 million. The ground lease was amended such that the Company receives initial annual rent of $20 million. In July 2025, the Company entered into a development agreement for Bally's Chicago and amended the existing land lease to include the building (the "Bally's Chicago Lease"). The Bally's Chicago Lease has an initial term of 15 years, followed by four 5-year renewals, exercisable at the tenant's option. The Bally's Chicago Lease's annual rent increases if the CPI increase is at least 0.5% for any lease year, then the rent shall increase by the greater of 1% of the rent as of the immediately preceding lease year and the CPI increase capped at 2%. If the CPI is less than 0.5% for such lease year, then the rent shall not increase for such lease year. Rental income on the land and development funding is being deferred until the project is substantially completed and ready for its intended use. This amount is recorded in deferred rental revenue on the Company's Condensed Consolidated Balance Sheet and totaled $39.2 million and $28.7 million at March 31, 2026 and December 31, 2025, respectively.</w:t>
      </w:r>
    </w:p>
    <w:p>
      <w:pPr>
        <w:spacing w:after="0" w:line="205"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The Company intends to fund real estate construction costs of up to $940.0 million for the planned Bally's Chicago. This development funding is expected to extend into 2027. The Company would own all funded improvements, which would be leased to Bally’s with rent commencing as advances are made at an initial annual yield of 8.5%. As of March 31, 2026, $299.6 million of real estate construction costs have been funded by the Company.</w:t>
      </w:r>
    </w:p>
    <w:p>
      <w:pPr>
        <w:spacing w:after="0" w:line="191"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On December 16, 2024, the Company completed the purchase of the real property assets of both Bally’s Kansas City Casino and Bally’s Shreveport Casino &amp; Hotel. The two properties are in a new master lease that is cross-defaulted with the existing Bally’s Master Lease (the "Bally's Master Lease II"). The annual rent is subject to contractual escalations based on CPI with a 1% floor and a 2% ceiling, subject to CPI meeting a 0.5% threshold. Bally's Master Lease II has an initial term of 15 years, with no purchase option, followed by four 5 year renewal options (exercisable by the tenant) on the same terms and conditions. Effective July 1, 2025, the DraftKings at Casino Queen and The Queen Baton Rouge properties in the Casino Queen Master Lease were transferred to Bally's Master Lease II. Additionally, annual rental income of $28.9 million was reallocated from the Casino Queen Master Lease to Bally's Master Lease II. Finally, on February 11, 2026, the Company exercised its call</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35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right for Bally's Twin River Casino Resort ("Bally's Lincoln"), acquiring the real estate assets for a purchase price of $700 million and additional annual rent of $56 million and adding the property to Bally's Master Lease II.</w:t>
      </w:r>
    </w:p>
    <w:p>
      <w:pPr>
        <w:spacing w:after="0" w:line="164" w:lineRule="exact"/>
        <w:rPr>
          <w:sz w:val="20"/>
          <w:szCs w:val="20"/>
          <w:color w:val="auto"/>
        </w:rPr>
      </w:pPr>
    </w:p>
    <w:p>
      <w:pPr>
        <w:jc w:val="both"/>
        <w:ind w:firstLine="619"/>
        <w:spacing w:after="0" w:line="271" w:lineRule="auto"/>
        <w:rPr>
          <w:sz w:val="20"/>
          <w:szCs w:val="20"/>
          <w:color w:val="auto"/>
        </w:rPr>
      </w:pPr>
      <w:r>
        <w:rPr>
          <w:rFonts w:ascii="Times New Roman" w:cs="Times New Roman" w:eastAsia="Times New Roman" w:hAnsi="Times New Roman"/>
          <w:sz w:val="17"/>
          <w:szCs w:val="17"/>
          <w:color w:val="auto"/>
        </w:rPr>
        <w:t>On February 7, 2025, Bally's completed its merger transactions with Standard General and its affiliates, and pursuant to the terms of the merger agreement, The Queen Casino and Entertainment, Inc. ("Casino Queen") is now a subsidiary of Bally's.</w:t>
      </w:r>
    </w:p>
    <w:p>
      <w:pPr>
        <w:spacing w:after="0" w:line="190"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The Company has a master lease with Casino Queen which became effective December 17, 2021 (as amended, the "Casino Queen Master Lease"). The lease has an initial term of 15 years, with no purchase option, with four separate five year renewal options exercisable by the tenant on the same terms and conditions. Annual rent increases by 0.5% for the first six years. Beginning with the seventh lease year through the remainder of the lease term, if the CPI increases by at least 0.25% for any lease year then annual rent shall be increased by 1.25%, and if the CPI is less than 0.25% then rent will remain unchanged for such lease year. Effective July 1, 2025, the DraftKings at Casino Queen and The Queen Baton Rouge properties in the Casino Queen Master Lease were transferred to Bally's Master Lease II as previously discussed.</w:t>
      </w:r>
    </w:p>
    <w:p>
      <w:pPr>
        <w:spacing w:after="0" w:line="199"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On June 3, 2024, the Company announced that it agreed to fund and oversee a landside development project and hotel renovation of The Belle of Baton Rouge for Casino Queen. GLPI funded approximately $111 million for the project. The landside development project was completed and opened to the public in December 2025 and has been rebranded as Bally's Baton Rouge. The renovated hotel was opened to the public on March 31, 2025. Casino Queen began paying an incremental rental yield of 9% on the development funding effective May 30, 2025. Rent was deferred on the landside development project until it was ready for its intended use. As of March 31, 2026, the Company has funded $16.5 million of certain construction costs for the landside development project at Casino Queen Marquette at a 8.25% capitalization rate. The landside development project opened to the public in March 2026 and has been rebranded as Bally's Marquette.</w:t>
      </w:r>
    </w:p>
    <w:p>
      <w:pPr>
        <w:spacing w:after="0" w:line="199"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On April 16, 2020, the Company and certain of its subsidiaries acquired the real property associated with the Tropicana Las Vegas from PENN in exchange for $307.5 million of rent credits which were applied against future rent obligations due under the parties' leases in effect during 2020.</w:t>
      </w:r>
    </w:p>
    <w:p>
      <w:pPr>
        <w:spacing w:after="0" w:line="177"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On September 26, 2022, Bally’s acquired both GLPI’s building assets and PENN's outstanding equity interests in Tropicana Las Vegas for an aggregate cash acquisition price, net of fees and expenses, of approximately $145 million. GLPI retained ownership of the land and concurrently entered into a ground lease for an initial term of 50 years (with a maximum term of 99 years inclusive of tenant renewal options) (as amended, the "Tropicana Las Vegas Lease"). All rent is subject to contractual escalations based on the CPI, with a 1% floor and 2% ceiling, subject to the CPI meeting a 0.5% threshold. The Tropicana Las Vegas Lease is supported by a Bally’s corporate guarantee.</w:t>
      </w:r>
    </w:p>
    <w:p>
      <w:pPr>
        <w:spacing w:after="0" w:line="200" w:lineRule="exact"/>
        <w:rPr>
          <w:sz w:val="20"/>
          <w:szCs w:val="20"/>
          <w:color w:val="auto"/>
        </w:rPr>
      </w:pPr>
    </w:p>
    <w:p>
      <w:pPr>
        <w:jc w:val="both"/>
        <w:ind w:firstLine="619"/>
        <w:spacing w:after="0" w:line="255" w:lineRule="auto"/>
        <w:rPr>
          <w:sz w:val="20"/>
          <w:szCs w:val="20"/>
          <w:color w:val="auto"/>
        </w:rPr>
      </w:pPr>
      <w:r>
        <w:rPr>
          <w:rFonts w:ascii="Times New Roman" w:cs="Times New Roman" w:eastAsia="Times New Roman" w:hAnsi="Times New Roman"/>
          <w:sz w:val="17"/>
          <w:szCs w:val="17"/>
          <w:color w:val="auto"/>
        </w:rPr>
        <w:t>On May 13, 2023, the Company, Tropicana Las Vegas, Inc., a Nevada corporation and wholly owned subsidiary of Bally’s, and Athletics Holdings LLC (“Athletics”), which owns the Major League Baseball team currently known as the Athletics (the “Team”), entered into a binding letter of intent (the “LOI”) setting forth the terms for developing a stadium that would serve as the home venue for the Team (the “Stadium”). The Stadium is expected to complement the potential resort redevelopment envisioned at our 35-acre property in Clark County, Nevada (the “Tropicana Site”), owned indirectly by GLPI through its indirect subsidiary, Tropicana Land LLC, a Nevada limited liability company and leased by GLPI to Bally’s pursuant to the Tropicana Las Vegas Lease. The LOI allows for Athletics to be granted fee ownership by GLPI of approximately 9 acres of the Tropicana Site for construction of the Stadium. The LOI provides that following the Stadium site transfer, there will be no reduction in the rent obligations of Bally’s on the remaining portion of the Tropicana Site or other modifications to the ground lease, and that to the extent GLPI has any consent or approval rights under the Tropicana Las Vegas Lease, such rights shall remain enforceable unless expressly modified in writing in the definitive documents. Bally's and GLPI are agreeing to provide the Stadium site transfer in exchange for the benefits that the Stadium is expected to bring to the Tropicana Site. The LOI provides that Athletics shall pay all the costs associated with the design, development, and construction of the Stadium and Bally’s shall pay all costs for the redevelopment of the casino and hotel resort amenities. GLPI is expected to commit to up to $175.0 million of funding for hard construction costs, such as demolition and site preparation and build out of minimum public spaces needed for utilization of the Stadium. The LOI provides that during the development period, rent will be due at 8.5% of what has been funded, provided that the first $15.0 million advanced for the costs of construction of the food, beverage and retail entrance plaza shall not be subject to increased rent. GLPI may have the opportunity to fund additional amounts of the construction under certain circumstances. In addition, the LOI provides that the transaction will be subject to customary approvals and other conditions, including, without limitation, approval of a master plan for the site, and certain approvals by the Nevada Gaming Control Board and Nevada Gaming Commission.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358"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In late August 2024, the Company funded $48.5 million to Bally's that was used to pay for the demolition costs of the Tropicana Las Vegas as part of the development plans for the Stadium and annual rent was increased by $4.1 million as a result. The change in rent terms resulted in a lease reconsideration event that resulted in the lease being classified as a sales type lease, whereas previously it was accounted for as an operating lease.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Morgantown Lease</w:t>
      </w:r>
    </w:p>
    <w:p>
      <w:pPr>
        <w:spacing w:after="0" w:line="247"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On October 1, 2020, the Company acquired the land under PENN's gaming facility under construction in Morgantown, Pennsylvania. The Company is leasing the land back to an affiliate of PENN for an initial term of 20 years with no purchase option, followed by six 5-year renewal options exercisable by the tenant (the "Morgantown Lease"). If the CPI increase is at least 0.5% for any lease year, the rent for such lease year shall increase by 1.25% of rent as of the immediately preceding lease year, and if the CPI increase is less than 0.5% for such lease year, then rent shall not increase for such lease year.</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Maryland Live! Lease, Pennsylvania Live! Master Lease and Virginia Live!</w:t>
      </w:r>
    </w:p>
    <w:p>
      <w:pPr>
        <w:spacing w:after="0" w:line="247"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On December 29, 2021, the Company completed its acquisition of the real property assets of Live! Casino &amp; Hotel Maryland and entered into a single asset lease for Live! Casino &amp; Hotel Maryland (the "Maryland Live! Lease"). On March 1, 2022, the Company completed its acquisition of the real estate assets of Live! Casino &amp; Hotel Philadelphia and Live! Casino Pittsburgh and leased back the real estate to Cordish pursuant to a new triple net master lease with Cordish (as amended from time to time, the "Pennsylvania Live! Master Lease"). The Pennsylvania Live! Master Lease and the Maryland Live! Lease each have initial lease terms of 39 years, with a maximum term of 60 years inclusive of tenant renewal options. Annual rent increases by 1.75% upon the second anniversary of both leases commencement through their remaining terms.</w:t>
      </w:r>
    </w:p>
    <w:p>
      <w:pPr>
        <w:spacing w:after="0" w:line="186" w:lineRule="exact"/>
        <w:rPr>
          <w:sz w:val="20"/>
          <w:szCs w:val="20"/>
          <w:color w:val="auto"/>
        </w:rPr>
      </w:pPr>
    </w:p>
    <w:p>
      <w:pPr>
        <w:jc w:val="both"/>
        <w:ind w:firstLine="619"/>
        <w:spacing w:after="0" w:line="239" w:lineRule="auto"/>
        <w:rPr>
          <w:sz w:val="20"/>
          <w:szCs w:val="20"/>
          <w:color w:val="auto"/>
        </w:rPr>
      </w:pPr>
      <w:r>
        <w:rPr>
          <w:rFonts w:ascii="Times New Roman" w:cs="Times New Roman" w:eastAsia="Times New Roman" w:hAnsi="Times New Roman"/>
          <w:sz w:val="17"/>
          <w:szCs w:val="17"/>
          <w:color w:val="auto"/>
        </w:rPr>
        <w:t>On October 27, 2025, the Company announced that it intends to acquire the real estate of the future site for Live! Virginia Casino &amp; Hotel, a Cordish Company / Bruce Smith Enterprise casino and hotel development in Petersburg, Virginia ("Virginia Live!"). In addition, GLPI has committed to fund the hard costs associated with the development of the project. The cap rate on both the land acquisition of $27 million and the hard cost development funding of $440 million will be at 8.0%. The transaction also includes a 1.75% rent escalator, which will commence after the first anniversary of the permanent casino opening, which is anticipated in late 2027. Through the construction of this large-scale development, GLPI will be compensated for the funding on an as drawn basis. The Company has concluded that the lessee has control of the underlying asset being constructed while the project is under construction. This is because the tenant is leasing the land that property improvements will be constructed upon, the term of which, together with lessee renewal options, is for substantially all of the economic life of the property improvements. Therefore, the Company will account for any funds extended prior to the asset being ready for its intended use as loans. Additionally, the Company concluded that this was a loan commitment and was therefore subject to ASC 326 "Credit Losses: ("ASC 326"). Once construction is complete and the facility is ready for its intended use, the Company will apply the sale and leaseback guidance to determine the appropriate lease classification. On January 15, 2026, the Company funded approximately $27 million to acquire the land site for the project which was recorded in real estate loans, net and the annual payment of $2.16 million for the land funding is being recorded in interest income from real estate loans.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Rockford Lease and Rockford Loan</w:t>
      </w:r>
    </w:p>
    <w:p>
      <w:pPr>
        <w:spacing w:after="0" w:line="247"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On August 29, 2023, the Company acquired the land associated with a casino development project in Rockford, IL, that opened in late August 2024 and is managed by a subsidiary of Hard Rock, from an affiliate of 815 Entertainment, LLC ("815 Entertainment"). Simultaneously with the land acquisition, GLPI entered into a ground lease with 815 Entertainment for a 99 year term (the "Rockford Lease"). The initial annual rent is subject to 2% annual escalations for the entirety of its term.</w:t>
      </w:r>
    </w:p>
    <w:p>
      <w:pPr>
        <w:spacing w:after="0" w:line="197"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In addition to the Rockford Lease, the Company committed to provide development funding via a senior secured delayed draw term loan (the "Rockford Loan"). Borrowings under the Rockford Loan were subject to an interest rate of 10% with a 5-year initial term. On January 1, 2025, the Company amended the terms of the Rockford Loan to reduce the interest rate to 8% with a maturity date of June 30, 2026, subject to a 6-month extension. As of March 31, 2026, $150 million was advanced and outstanding under the Rockford Loan. Additionally, the Company also received a right of first refusal on the building improvements of the Hard Rock Casino in Rockford, IL if there is a future decision to sell them once completed.</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Tioga Downs Lease</w:t>
      </w:r>
    </w:p>
    <w:p>
      <w:pPr>
        <w:spacing w:after="0" w:line="247"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On February 6, 2024, the Company acquired the real estate assets of Tioga Downs Casino Resort ("Tioga Downs") in Nichols, NY from American Racing. Simultaneous with the acquisition, GLPI and American Racing entered into a triple-net lease agreement for an initial 30-year term, with no purchase option, followed by two renewal options of 10 years each and a third renewal option of approximately 12 years and ten months (the "Tioga Downs Lease"). The initial annual rent is subject to</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1.75% annual escalations beginning with the first anniversary which increases to 2% beginning in year fifteen of the lease through the remainder of its initial term.</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Strategic Gaming Leases</w:t>
      </w:r>
    </w:p>
    <w:p>
      <w:pPr>
        <w:spacing w:after="0" w:line="247"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On May 16, 2024, the Company acquired the real estate assets of Silverado Franklin Hotel &amp; Gaming Complex ("Silverado"), the Deadwood Mountain Grand ("DMG") casino, and Baldini's Casino ("Baldini's") from Strategic. Simultaneous with the acquisition, GLP Capital and affiliates of Strategic entered into two cross-defaulted triple-net lease agreements, each for an initial 25-year term with no purchase option and two ten-year renewal periods (exercisable by the tenant) (the "Strategic Gaming Leases"). The initial annual rent is subject to a 2% annual escalation beginning in year three of the lease and a CPI-based annual escalation beginning in year eleven of the lease, at the greater of 2% or CPI capped at 2.5%.</w:t>
      </w:r>
    </w:p>
    <w:p>
      <w:pPr>
        <w:spacing w:after="0" w:line="200" w:lineRule="exact"/>
        <w:rPr>
          <w:sz w:val="20"/>
          <w:szCs w:val="20"/>
          <w:color w:val="auto"/>
        </w:rPr>
      </w:pPr>
    </w:p>
    <w:p>
      <w:pPr>
        <w:jc w:val="both"/>
        <w:ind w:firstLine="619"/>
        <w:spacing w:after="0" w:line="271" w:lineRule="auto"/>
        <w:rPr>
          <w:sz w:val="20"/>
          <w:szCs w:val="20"/>
          <w:color w:val="auto"/>
        </w:rPr>
      </w:pPr>
      <w:r>
        <w:rPr>
          <w:rFonts w:ascii="Times New Roman" w:cs="Times New Roman" w:eastAsia="Times New Roman" w:hAnsi="Times New Roman"/>
          <w:sz w:val="17"/>
          <w:szCs w:val="17"/>
          <w:color w:val="auto"/>
        </w:rPr>
        <w:t>On October 15, 2025, the Company acquired the real estate assets of Sunland Park in Sunland Park, New Mexico for $183.75 million. The property was added to the Strategic Gaming Leases and annual rent was increased by $15.0 million.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Ione Loan</w:t>
      </w:r>
    </w:p>
    <w:p>
      <w:pPr>
        <w:spacing w:after="0" w:line="247"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In September 2024, the Company entered into a $110 million delayed draw term loan facility with the Ione Band of Miwok Indians (the "Ione Loan") to provide the tribe funding on a new casino development near Sacramento, California. Ione has an option at the end of the Ione Loan term to satisfy the loan obligation by converting the outstanding principal into a long-term triple net lease with an initial term of twenty-five years and a maximum term of forty-five years. These agreements were entered into subsequent to receiving a declination letter from the National Indian Gaming Commission covering the transaction documents, including the long-term lease. As of March 31, 2026, $83.6 million was advanced and outstanding under the Ione Loan which has a 5-year term and an interest rate of 11%.</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Dry Creek Rancheria Loan</w:t>
      </w:r>
    </w:p>
    <w:p>
      <w:pPr>
        <w:spacing w:after="0" w:line="234" w:lineRule="exact"/>
        <w:rPr>
          <w:sz w:val="20"/>
          <w:szCs w:val="20"/>
          <w:color w:val="auto"/>
        </w:rPr>
      </w:pPr>
    </w:p>
    <w:p>
      <w:pPr>
        <w:jc w:val="both"/>
        <w:ind w:firstLine="619"/>
        <w:spacing w:after="0" w:line="241" w:lineRule="auto"/>
        <w:rPr>
          <w:sz w:val="20"/>
          <w:szCs w:val="20"/>
          <w:color w:val="auto"/>
        </w:rPr>
      </w:pPr>
      <w:r>
        <w:rPr>
          <w:rFonts w:ascii="Times New Roman" w:cs="Times New Roman" w:eastAsia="Times New Roman" w:hAnsi="Times New Roman"/>
          <w:sz w:val="17"/>
          <w:szCs w:val="17"/>
          <w:color w:val="auto"/>
        </w:rPr>
        <w:t>On September 2, 2025, the Company announced, a $225.3 million commitment, subject to receipt of all required permits and approvals, to serve as the lead real estate financing partner for Caesars Republic Sonoma County, a new integrated resort to be developed on the site of the current River Rock Casino. Pursuant to its agreements with the Dry Creek, GLPI will initially act as a lender to the project through (i) a $180 million delayed draw term loan bearing interest at a fixed rate of 12.50% and (ii) a $45.3 million term loan B issued at an original issue discount of 3% and bearing interest at a Secured Overnight Financing Rate ("SOFR") plus 900 basis points, subject to a SOFR floor of 1%. Each term loan has a maturity of 6 years.</w:t>
      </w:r>
    </w:p>
    <w:p>
      <w:pPr>
        <w:spacing w:after="0" w:line="205" w:lineRule="exact"/>
        <w:rPr>
          <w:sz w:val="20"/>
          <w:szCs w:val="20"/>
          <w:color w:val="auto"/>
        </w:rPr>
      </w:pPr>
    </w:p>
    <w:p>
      <w:pPr>
        <w:jc w:val="both"/>
        <w:ind w:firstLine="619"/>
        <w:spacing w:after="0" w:line="254" w:lineRule="auto"/>
        <w:rPr>
          <w:sz w:val="20"/>
          <w:szCs w:val="20"/>
          <w:color w:val="auto"/>
        </w:rPr>
      </w:pPr>
      <w:r>
        <w:rPr>
          <w:rFonts w:ascii="Times New Roman" w:cs="Times New Roman" w:eastAsia="Times New Roman" w:hAnsi="Times New Roman"/>
          <w:sz w:val="17"/>
          <w:szCs w:val="17"/>
          <w:color w:val="auto"/>
        </w:rPr>
        <w:t>Upon or prior to maturity of the 6-year loans, Dry Creek will lease back the property to an affiliate of GLPI, and GLPI will sublease the property back to an affiliate of Dry Creek for no less than $112.5 million for 45 years. Annual rent on the sublease will be based on a 9.75% capitalization rate. As of March 31, 2026, the Company has funded the $45.3 million term loan B while the delayed draw term loan remained undrawn.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Guarantees</w:t>
      </w:r>
    </w:p>
    <w:p>
      <w:pPr>
        <w:spacing w:after="0" w:line="131" w:lineRule="exact"/>
        <w:rPr>
          <w:sz w:val="20"/>
          <w:szCs w:val="20"/>
          <w:color w:val="auto"/>
        </w:rPr>
      </w:pPr>
    </w:p>
    <w:p>
      <w:pPr>
        <w:jc w:val="both"/>
        <w:ind w:firstLine="619"/>
        <w:spacing w:after="0" w:line="243" w:lineRule="auto"/>
        <w:rPr>
          <w:sz w:val="20"/>
          <w:szCs w:val="20"/>
          <w:color w:val="auto"/>
        </w:rPr>
      </w:pPr>
      <w:r>
        <w:rPr>
          <w:rFonts w:ascii="Times New Roman" w:cs="Times New Roman" w:eastAsia="Times New Roman" w:hAnsi="Times New Roman"/>
          <w:sz w:val="17"/>
          <w:szCs w:val="17"/>
          <w:color w:val="auto"/>
        </w:rPr>
        <w:t>The obligations under the Amended PENN Master Lease, PENN 2023 Master Lease, Amended Pinnacle Master Lease and Morgantown Lease, are guaranteed by PENN and, with respect to each lease, jointly and severally by PENN's subsidiaries that occupy and operate the facilities covered by such lease. Similarly, the obligations under the Amended and Restated Caesars Master Lease, the Horseshoe St. Louis Lease, the Casino Queen Master Lease, the Bally's Master Lease, the Bally's Master Lease II, the Strategic Gaming Leases and the Tioga Downs Lease are each jointly and severally guaranteed by the applicable parent company and by the parent's subsidiaries that occupy and operate the leased facilities. The obligations under the Tropicana Las Vegas Lease are guaranteed by Bally's. The obligations under the Boyd Master Lease, the Belterra Park Lease, the Maryland Live! Lease, the Pennsylvania Live! Lease and the Rockford Lease are jointly and severally guaranteed by the subsidiaries that occupy and operate the facilities.</w:t>
      </w:r>
    </w:p>
    <w:p>
      <w:pPr>
        <w:spacing w:after="0" w:line="338"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7"/>
          <w:szCs w:val="17"/>
          <w:b w:val="1"/>
          <w:bCs w:val="1"/>
          <w:color w:val="auto"/>
        </w:rPr>
        <w:t>2.</w:t>
        <w:tab/>
        <w:t>Basis of Presentation</w:t>
      </w:r>
    </w:p>
    <w:p>
      <w:pPr>
        <w:spacing w:after="0" w:line="247"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The accompanying unaudited condensed consolidated financial statements of the Company have been prepared in accordance with U.S. generally accepted accounting principles ("GAAP") for interim financial information and with the instructions for Form 10-Q and Article 10 of Regulation S-X. Accordingly, they do not include all of the information and</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35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footnotes required by GAAP for complete consolidated financial statements. In the opinion of management, all normal recurring adjustments considered necessary for a fair presentation have been included.</w:t>
      </w:r>
    </w:p>
    <w:p>
      <w:pPr>
        <w:spacing w:after="0" w:line="177"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17"/>
          <w:szCs w:val="17"/>
          <w:color w:val="auto"/>
        </w:rPr>
        <w:t>The condensed consolidated financial statements include the accounts of GLPI and its subsidiaries as well as the Company's operating partnership, which is a variable interest entity ("VIE") in which the Company is the primary beneficiary. The operating partnership is a VIE in which the Company is the primary beneficiary because it has the power to direct the activities of the VIE that most significantly impact the partnership's economic performance and has the obligation to absorb losses of the VIE that could be potentially significant to the VIE and the right to receive benefits from the VIE that could potentially be significant to the VIE. Therefore, the Company consolidates the accounts of the operating partnership, and reflects the third party ownership in this entity as a noncontrolling interest in the Condensed Consolidated Balance Sheet as a separate component of equity, separate from GLPI's stockholders' equity. All intercompany accounts and transactions have been eliminated in consolidation. The Company’s net income or loss is allocated to noncontrolling interests based on the respective ownership or voting percentage in the Operating Partnership associated with such noncontrolling interests and is removed from consolidated income or loss on the Condensed Consolidated Statements of Operations in order to derive net income or loss attributable to common stockholders. The noncontrolling ownership percentage is calculated by dividing the aggregate number of LTIP Units and OP Units by the total number of units and shares outstanding.</w:t>
      </w:r>
    </w:p>
    <w:p>
      <w:pPr>
        <w:spacing w:after="0" w:line="201"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 and expenses for the reporting periods. Actual results could differ from those estimates.</w:t>
      </w:r>
    </w:p>
    <w:p>
      <w:pPr>
        <w:spacing w:after="0" w:line="191"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Operating results for the three months ended March 31, 2026 are not necessarily indicative of the results that may be expected for the year ending December 31, 2026. The consolidated financial statements contained in our Annual Report on Form 10-K for the year ended December 31, 2025 (our "Annual Report") should be read in conjunction with these condensed consolidated financial statements. The December 31, 2025 financial information has been derived from the Company’s audited consolidated financial statements.</w:t>
      </w:r>
    </w:p>
    <w:p>
      <w:pPr>
        <w:spacing w:after="0" w:line="197"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The Company’s significant accounting policies are described in Note 2 of the Notes to the Consolidated Financial Statements included in the Company’s Annual Report and since the date of those financial statements, the Company has not had any significant changes to these accounting policies that have had a material impact on the Company's financial statements.</w:t>
      </w:r>
    </w:p>
    <w:p>
      <w:pPr>
        <w:spacing w:after="0" w:line="187"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7"/>
          <w:szCs w:val="17"/>
          <w:b w:val="1"/>
          <w:bCs w:val="1"/>
          <w:color w:val="auto"/>
        </w:rPr>
        <w:t>3.</w:t>
        <w:tab/>
        <w:t>Investment in Leases, Net</w:t>
      </w:r>
    </w:p>
    <w:p>
      <w:pPr>
        <w:spacing w:after="0" w:line="247"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Certain of the Company's leases are recorded as an Investment in leases, financing receivables, net, as the sale lease back transactions were accounted for as failed sale leasebacks as control of the real estate did not transfer to the Company. Additionally, as described in Note 1, the Company reassessed the Tropicana Las Vegas Lease in 2024 which resulted in the lease being classified as a sales type lease. The following is a summary of the balances of the Company's Investment in leases, financing receivables and investment in leases, sales type (in thousands).</w:t>
      </w:r>
    </w:p>
    <w:p>
      <w:pPr>
        <w:spacing w:after="0" w:line="200" w:lineRule="exact"/>
        <w:rPr>
          <w:sz w:val="20"/>
          <w:szCs w:val="20"/>
          <w:color w:val="auto"/>
        </w:rPr>
      </w:pPr>
    </w:p>
    <w:p>
      <w:pPr>
        <w:spacing w:after="0" w:line="241" w:lineRule="exact"/>
        <w:rPr>
          <w:sz w:val="20"/>
          <w:szCs w:val="20"/>
          <w:color w:val="auto"/>
        </w:rPr>
      </w:pPr>
    </w:p>
    <w:tbl>
      <w:tblPr>
        <w:tblLayout w:type="fixed"/>
        <w:tblInd w:w="1240" w:type="dxa"/>
        <w:tblCellMar>
          <w:top w:w="0" w:type="dxa"/>
          <w:left w:w="0" w:type="dxa"/>
          <w:bottom w:w="0" w:type="dxa"/>
          <w:right w:w="0" w:type="dxa"/>
        </w:tblCellMar>
      </w:tblPr>
      <w:tr>
        <w:trPr>
          <w:trHeight w:val="161"/>
        </w:trPr>
        <w:tc>
          <w:tcPr>
            <w:tcW w:w="2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40" w:type="dxa"/>
            <w:vAlign w:val="bottom"/>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March 31,</w:t>
            </w:r>
          </w:p>
        </w:tc>
        <w:tc>
          <w:tcPr>
            <w:tcW w:w="200" w:type="dxa"/>
            <w:vAlign w:val="bottom"/>
          </w:tcPr>
          <w:p>
            <w:pPr>
              <w:spacing w:after="0"/>
              <w:rPr>
                <w:sz w:val="13"/>
                <w:szCs w:val="13"/>
                <w:color w:val="auto"/>
              </w:rPr>
            </w:pPr>
          </w:p>
        </w:tc>
        <w:tc>
          <w:tcPr>
            <w:tcW w:w="1580" w:type="dxa"/>
            <w:vAlign w:val="bottom"/>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w w:val="97"/>
              </w:rPr>
              <w:t>March 31,</w:t>
            </w:r>
          </w:p>
        </w:tc>
        <w:tc>
          <w:tcPr>
            <w:tcW w:w="100" w:type="dxa"/>
            <w:vAlign w:val="bottom"/>
          </w:tcPr>
          <w:p>
            <w:pPr>
              <w:spacing w:after="0"/>
              <w:rPr>
                <w:sz w:val="13"/>
                <w:szCs w:val="13"/>
                <w:color w:val="auto"/>
              </w:rPr>
            </w:pPr>
          </w:p>
        </w:tc>
        <w:tc>
          <w:tcPr>
            <w:tcW w:w="1620" w:type="dxa"/>
            <w:vAlign w:val="bottom"/>
          </w:tcPr>
          <w:p>
            <w:pPr>
              <w:jc w:val="center"/>
              <w:ind w:right="21"/>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180" w:type="dxa"/>
            <w:vAlign w:val="bottom"/>
          </w:tcPr>
          <w:p>
            <w:pPr>
              <w:spacing w:after="0"/>
              <w:rPr>
                <w:sz w:val="13"/>
                <w:szCs w:val="13"/>
                <w:color w:val="auto"/>
              </w:rPr>
            </w:pPr>
          </w:p>
        </w:tc>
        <w:tc>
          <w:tcPr>
            <w:tcW w:w="152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0" w:type="dxa"/>
            <w:vAlign w:val="bottom"/>
          </w:tcPr>
          <w:p>
            <w:pPr>
              <w:spacing w:after="0"/>
              <w:rPr>
                <w:sz w:val="1"/>
                <w:szCs w:val="1"/>
                <w:color w:val="auto"/>
              </w:rPr>
            </w:pPr>
          </w:p>
        </w:tc>
      </w:tr>
      <w:tr>
        <w:trPr>
          <w:trHeight w:val="187"/>
        </w:trPr>
        <w:tc>
          <w:tcPr>
            <w:tcW w:w="22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2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1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center"/>
              <w:ind w:right="21"/>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0" w:type="dxa"/>
            <w:vAlign w:val="bottom"/>
          </w:tcPr>
          <w:p>
            <w:pPr>
              <w:spacing w:after="0"/>
              <w:rPr>
                <w:sz w:val="1"/>
                <w:szCs w:val="1"/>
                <w:color w:val="auto"/>
              </w:rPr>
            </w:pPr>
          </w:p>
        </w:tc>
      </w:tr>
      <w:tr>
        <w:trPr>
          <w:trHeight w:val="128"/>
        </w:trPr>
        <w:tc>
          <w:tcPr>
            <w:tcW w:w="2260" w:type="dxa"/>
            <w:vAlign w:val="bottom"/>
            <w:shd w:val="clear" w:color="auto" w:fill="CCEEFF"/>
          </w:tcPr>
          <w:p>
            <w:pPr>
              <w:spacing w:after="0"/>
              <w:rPr>
                <w:sz w:val="11"/>
                <w:szCs w:val="11"/>
                <w:color w:val="auto"/>
              </w:rPr>
            </w:pPr>
          </w:p>
        </w:tc>
        <w:tc>
          <w:tcPr>
            <w:tcW w:w="1660" w:type="dxa"/>
            <w:vAlign w:val="bottom"/>
            <w:gridSpan w:val="2"/>
            <w:shd w:val="clear" w:color="auto" w:fill="CCEEFF"/>
          </w:tcPr>
          <w:p>
            <w:pPr>
              <w:jc w:val="right"/>
              <w:spacing w:after="0" w:line="128" w:lineRule="exact"/>
              <w:rPr>
                <w:sz w:val="20"/>
                <w:szCs w:val="20"/>
                <w:color w:val="auto"/>
              </w:rPr>
            </w:pPr>
            <w:r>
              <w:rPr>
                <w:rFonts w:ascii="Times New Roman" w:cs="Times New Roman" w:eastAsia="Times New Roman" w:hAnsi="Times New Roman"/>
                <w:sz w:val="14"/>
                <w:szCs w:val="14"/>
                <w:b w:val="1"/>
                <w:bCs w:val="1"/>
                <w:color w:val="auto"/>
              </w:rPr>
              <w:t>Investment in leases, sales</w:t>
            </w:r>
          </w:p>
        </w:tc>
        <w:tc>
          <w:tcPr>
            <w:tcW w:w="200" w:type="dxa"/>
            <w:vAlign w:val="bottom"/>
            <w:shd w:val="clear" w:color="auto" w:fill="CCEEFF"/>
          </w:tcPr>
          <w:p>
            <w:pPr>
              <w:spacing w:after="0"/>
              <w:rPr>
                <w:sz w:val="11"/>
                <w:szCs w:val="11"/>
                <w:color w:val="auto"/>
              </w:rPr>
            </w:pPr>
          </w:p>
        </w:tc>
        <w:tc>
          <w:tcPr>
            <w:tcW w:w="1580" w:type="dxa"/>
            <w:vAlign w:val="bottom"/>
            <w:shd w:val="clear" w:color="auto" w:fill="CCEEFF"/>
          </w:tcPr>
          <w:p>
            <w:pPr>
              <w:jc w:val="center"/>
              <w:ind w:right="101"/>
              <w:spacing w:after="0" w:line="128" w:lineRule="exact"/>
              <w:rPr>
                <w:sz w:val="20"/>
                <w:szCs w:val="20"/>
                <w:color w:val="auto"/>
              </w:rPr>
            </w:pPr>
            <w:r>
              <w:rPr>
                <w:rFonts w:ascii="Times New Roman" w:cs="Times New Roman" w:eastAsia="Times New Roman" w:hAnsi="Times New Roman"/>
                <w:sz w:val="14"/>
                <w:szCs w:val="14"/>
                <w:b w:val="1"/>
                <w:bCs w:val="1"/>
                <w:color w:val="auto"/>
                <w:w w:val="97"/>
              </w:rPr>
              <w:t>Investment in leases,</w:t>
            </w:r>
          </w:p>
        </w:tc>
        <w:tc>
          <w:tcPr>
            <w:tcW w:w="100" w:type="dxa"/>
            <w:vAlign w:val="bottom"/>
            <w:shd w:val="clear" w:color="auto" w:fill="CCEEFF"/>
          </w:tcPr>
          <w:p>
            <w:pPr>
              <w:spacing w:after="0"/>
              <w:rPr>
                <w:sz w:val="11"/>
                <w:szCs w:val="11"/>
                <w:color w:val="auto"/>
              </w:rPr>
            </w:pPr>
          </w:p>
        </w:tc>
        <w:tc>
          <w:tcPr>
            <w:tcW w:w="1620" w:type="dxa"/>
            <w:vAlign w:val="bottom"/>
            <w:shd w:val="clear" w:color="auto" w:fill="CCEEFF"/>
          </w:tcPr>
          <w:p>
            <w:pPr>
              <w:jc w:val="center"/>
              <w:ind w:right="21"/>
              <w:spacing w:after="0" w:line="128" w:lineRule="exact"/>
              <w:rPr>
                <w:sz w:val="20"/>
                <w:szCs w:val="20"/>
                <w:color w:val="auto"/>
              </w:rPr>
            </w:pPr>
            <w:r>
              <w:rPr>
                <w:rFonts w:ascii="Times New Roman" w:cs="Times New Roman" w:eastAsia="Times New Roman" w:hAnsi="Times New Roman"/>
                <w:sz w:val="14"/>
                <w:szCs w:val="14"/>
                <w:b w:val="1"/>
                <w:bCs w:val="1"/>
                <w:color w:val="auto"/>
                <w:w w:val="98"/>
              </w:rPr>
              <w:t>Investment in leases, sales</w:t>
            </w:r>
          </w:p>
        </w:tc>
        <w:tc>
          <w:tcPr>
            <w:tcW w:w="180" w:type="dxa"/>
            <w:vAlign w:val="bottom"/>
            <w:shd w:val="clear" w:color="auto" w:fill="CCEEFF"/>
          </w:tcPr>
          <w:p>
            <w:pPr>
              <w:spacing w:after="0"/>
              <w:rPr>
                <w:sz w:val="11"/>
                <w:szCs w:val="11"/>
                <w:color w:val="auto"/>
              </w:rPr>
            </w:pPr>
          </w:p>
        </w:tc>
        <w:tc>
          <w:tcPr>
            <w:tcW w:w="1520" w:type="dxa"/>
            <w:vAlign w:val="bottom"/>
            <w:shd w:val="clear" w:color="auto" w:fill="CCEEFF"/>
          </w:tcPr>
          <w:p>
            <w:pPr>
              <w:jc w:val="center"/>
              <w:ind w:right="81"/>
              <w:spacing w:after="0" w:line="128" w:lineRule="exact"/>
              <w:rPr>
                <w:sz w:val="20"/>
                <w:szCs w:val="20"/>
                <w:color w:val="auto"/>
              </w:rPr>
            </w:pPr>
            <w:r>
              <w:rPr>
                <w:rFonts w:ascii="Times New Roman" w:cs="Times New Roman" w:eastAsia="Times New Roman" w:hAnsi="Times New Roman"/>
                <w:sz w:val="14"/>
                <w:szCs w:val="14"/>
                <w:b w:val="1"/>
                <w:bCs w:val="1"/>
                <w:color w:val="auto"/>
                <w:w w:val="97"/>
              </w:rPr>
              <w:t>Investment in leases,</w:t>
            </w:r>
          </w:p>
        </w:tc>
        <w:tc>
          <w:tcPr>
            <w:tcW w:w="0" w:type="dxa"/>
            <w:vAlign w:val="bottom"/>
          </w:tcPr>
          <w:p>
            <w:pPr>
              <w:spacing w:after="0"/>
              <w:rPr>
                <w:sz w:val="1"/>
                <w:szCs w:val="1"/>
                <w:color w:val="auto"/>
              </w:rPr>
            </w:pPr>
          </w:p>
        </w:tc>
      </w:tr>
      <w:tr>
        <w:trPr>
          <w:trHeight w:val="192"/>
        </w:trPr>
        <w:tc>
          <w:tcPr>
            <w:tcW w:w="22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340" w:type="dxa"/>
            <w:vAlign w:val="bottom"/>
            <w:shd w:val="clear" w:color="auto" w:fill="CCEEFF"/>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3"/>
              </w:rPr>
              <w:t>type</w:t>
            </w:r>
          </w:p>
        </w:tc>
        <w:tc>
          <w:tcPr>
            <w:tcW w:w="200" w:type="dxa"/>
            <w:vAlign w:val="bottom"/>
            <w:shd w:val="clear" w:color="auto" w:fill="CCEEFF"/>
          </w:tcPr>
          <w:p>
            <w:pPr>
              <w:spacing w:after="0"/>
              <w:rPr>
                <w:sz w:val="16"/>
                <w:szCs w:val="16"/>
                <w:color w:val="auto"/>
              </w:rPr>
            </w:pPr>
          </w:p>
        </w:tc>
        <w:tc>
          <w:tcPr>
            <w:tcW w:w="1580" w:type="dxa"/>
            <w:vAlign w:val="bottom"/>
            <w:shd w:val="clear" w:color="auto" w:fill="CCEEFF"/>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w w:val="98"/>
              </w:rPr>
              <w:t>financing receivables</w:t>
            </w:r>
          </w:p>
        </w:tc>
        <w:tc>
          <w:tcPr>
            <w:tcW w:w="100" w:type="dxa"/>
            <w:vAlign w:val="bottom"/>
            <w:shd w:val="clear" w:color="auto" w:fill="CCEEFF"/>
          </w:tcPr>
          <w:p>
            <w:pPr>
              <w:spacing w:after="0"/>
              <w:rPr>
                <w:sz w:val="16"/>
                <w:szCs w:val="16"/>
                <w:color w:val="auto"/>
              </w:rPr>
            </w:pPr>
          </w:p>
        </w:tc>
        <w:tc>
          <w:tcPr>
            <w:tcW w:w="1620" w:type="dxa"/>
            <w:vAlign w:val="bottom"/>
            <w:shd w:val="clear" w:color="auto" w:fill="CCEEFF"/>
          </w:tcPr>
          <w:p>
            <w:pPr>
              <w:jc w:val="center"/>
              <w:ind w:right="21"/>
              <w:spacing w:after="0"/>
              <w:rPr>
                <w:sz w:val="20"/>
                <w:szCs w:val="20"/>
                <w:color w:val="auto"/>
              </w:rPr>
            </w:pPr>
            <w:r>
              <w:rPr>
                <w:rFonts w:ascii="Times New Roman" w:cs="Times New Roman" w:eastAsia="Times New Roman" w:hAnsi="Times New Roman"/>
                <w:sz w:val="14"/>
                <w:szCs w:val="14"/>
                <w:b w:val="1"/>
                <w:bCs w:val="1"/>
                <w:color w:val="auto"/>
                <w:w w:val="93"/>
              </w:rPr>
              <w:t>type</w:t>
            </w:r>
          </w:p>
        </w:tc>
        <w:tc>
          <w:tcPr>
            <w:tcW w:w="180" w:type="dxa"/>
            <w:vAlign w:val="bottom"/>
            <w:shd w:val="clear" w:color="auto" w:fill="CCEEFF"/>
          </w:tcPr>
          <w:p>
            <w:pPr>
              <w:spacing w:after="0"/>
              <w:rPr>
                <w:sz w:val="16"/>
                <w:szCs w:val="16"/>
                <w:color w:val="auto"/>
              </w:rPr>
            </w:pPr>
          </w:p>
        </w:tc>
        <w:tc>
          <w:tcPr>
            <w:tcW w:w="1520" w:type="dxa"/>
            <w:vAlign w:val="bottom"/>
            <w:shd w:val="clear" w:color="auto" w:fill="CCEEFF"/>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w w:val="98"/>
              </w:rPr>
              <w:t>financing receivables</w:t>
            </w:r>
          </w:p>
        </w:tc>
        <w:tc>
          <w:tcPr>
            <w:tcW w:w="0" w:type="dxa"/>
            <w:vAlign w:val="bottom"/>
          </w:tcPr>
          <w:p>
            <w:pPr>
              <w:spacing w:after="0"/>
              <w:rPr>
                <w:sz w:val="1"/>
                <w:szCs w:val="1"/>
                <w:color w:val="auto"/>
              </w:rPr>
            </w:pPr>
          </w:p>
        </w:tc>
      </w:tr>
      <w:tr>
        <w:trPr>
          <w:trHeight w:val="168"/>
        </w:trPr>
        <w:tc>
          <w:tcPr>
            <w:tcW w:w="2260" w:type="dxa"/>
            <w:vAlign w:val="bottom"/>
          </w:tcPr>
          <w:p>
            <w:pPr>
              <w:ind w:left="20"/>
              <w:spacing w:after="0" w:line="167" w:lineRule="exact"/>
              <w:rPr>
                <w:sz w:val="20"/>
                <w:szCs w:val="20"/>
                <w:color w:val="auto"/>
              </w:rPr>
            </w:pPr>
            <w:r>
              <w:rPr>
                <w:rFonts w:ascii="Times New Roman" w:cs="Times New Roman" w:eastAsia="Times New Roman" w:hAnsi="Times New Roman"/>
                <w:sz w:val="17"/>
                <w:szCs w:val="17"/>
                <w:color w:val="auto"/>
              </w:rPr>
              <w:t>Minimum lease payments</w:t>
            </w:r>
          </w:p>
        </w:tc>
        <w:tc>
          <w:tcPr>
            <w:tcW w:w="3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2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receivable</w:t>
            </w:r>
          </w:p>
        </w:tc>
        <w:tc>
          <w:tcPr>
            <w:tcW w:w="320" w:type="dxa"/>
            <w:vAlign w:val="bottom"/>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689,910</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10,045,184</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693,619</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10,090,473</w:t>
            </w:r>
          </w:p>
        </w:tc>
        <w:tc>
          <w:tcPr>
            <w:tcW w:w="0" w:type="dxa"/>
            <w:vAlign w:val="bottom"/>
          </w:tcPr>
          <w:p>
            <w:pPr>
              <w:spacing w:after="0"/>
              <w:rPr>
                <w:sz w:val="1"/>
                <w:szCs w:val="1"/>
                <w:color w:val="auto"/>
              </w:rPr>
            </w:pPr>
          </w:p>
        </w:tc>
      </w:tr>
      <w:tr>
        <w:trPr>
          <w:trHeight w:val="168"/>
        </w:trPr>
        <w:tc>
          <w:tcPr>
            <w:tcW w:w="2260" w:type="dxa"/>
            <w:vAlign w:val="bottom"/>
            <w:shd w:val="clear" w:color="auto" w:fill="CCEEFF"/>
          </w:tcPr>
          <w:p>
            <w:pPr>
              <w:ind w:left="20"/>
              <w:spacing w:after="0" w:line="167" w:lineRule="exact"/>
              <w:rPr>
                <w:sz w:val="20"/>
                <w:szCs w:val="20"/>
                <w:color w:val="auto"/>
              </w:rPr>
            </w:pPr>
            <w:r>
              <w:rPr>
                <w:rFonts w:ascii="Times New Roman" w:cs="Times New Roman" w:eastAsia="Times New Roman" w:hAnsi="Times New Roman"/>
                <w:sz w:val="17"/>
                <w:szCs w:val="17"/>
                <w:color w:val="auto"/>
              </w:rPr>
              <w:t>Estimated residual values of</w:t>
            </w:r>
          </w:p>
        </w:tc>
        <w:tc>
          <w:tcPr>
            <w:tcW w:w="32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2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lease property (unguaranteed)</w:t>
            </w:r>
          </w:p>
        </w:tc>
        <w:tc>
          <w:tcPr>
            <w:tcW w:w="32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278,500</w:t>
            </w:r>
          </w:p>
        </w:tc>
        <w:tc>
          <w:tcPr>
            <w:tcW w:w="200" w:type="dxa"/>
            <w:vAlign w:val="bottom"/>
            <w:tcBorders>
              <w:bottom w:val="single" w:sz="8" w:color="auto"/>
            </w:tcBorders>
            <w:shd w:val="clear" w:color="auto" w:fill="CCEEFF"/>
          </w:tcPr>
          <w:p>
            <w:pPr>
              <w:spacing w:after="0"/>
              <w:rPr>
                <w:sz w:val="20"/>
                <w:szCs w:val="20"/>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1,444,690</w:t>
            </w:r>
          </w:p>
        </w:tc>
        <w:tc>
          <w:tcPr>
            <w:tcW w:w="100" w:type="dxa"/>
            <w:vAlign w:val="bottom"/>
            <w:tcBorders>
              <w:bottom w:val="single" w:sz="8" w:color="auto"/>
            </w:tcBorders>
            <w:shd w:val="clear" w:color="auto" w:fill="CCEEFF"/>
          </w:tcPr>
          <w:p>
            <w:pPr>
              <w:spacing w:after="0"/>
              <w:rPr>
                <w:sz w:val="20"/>
                <w:szCs w:val="20"/>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278,500</w:t>
            </w:r>
          </w:p>
        </w:tc>
        <w:tc>
          <w:tcPr>
            <w:tcW w:w="180" w:type="dxa"/>
            <w:vAlign w:val="bottom"/>
            <w:tcBorders>
              <w:bottom w:val="single" w:sz="8" w:color="auto"/>
            </w:tcBorders>
            <w:shd w:val="clear" w:color="auto" w:fill="CCEEFF"/>
          </w:tcPr>
          <w:p>
            <w:pPr>
              <w:spacing w:after="0"/>
              <w:rPr>
                <w:sz w:val="20"/>
                <w:szCs w:val="20"/>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1,444,690</w:t>
            </w:r>
          </w:p>
        </w:tc>
        <w:tc>
          <w:tcPr>
            <w:tcW w:w="0" w:type="dxa"/>
            <w:vAlign w:val="bottom"/>
          </w:tcPr>
          <w:p>
            <w:pPr>
              <w:spacing w:after="0"/>
              <w:rPr>
                <w:sz w:val="1"/>
                <w:szCs w:val="1"/>
                <w:color w:val="auto"/>
              </w:rPr>
            </w:pPr>
          </w:p>
        </w:tc>
      </w:tr>
      <w:tr>
        <w:trPr>
          <w:trHeight w:val="212"/>
        </w:trPr>
        <w:tc>
          <w:tcPr>
            <w:tcW w:w="2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3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968,410</w:t>
            </w:r>
          </w:p>
        </w:tc>
        <w:tc>
          <w:tcPr>
            <w:tcW w:w="2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11,489,874</w:t>
            </w:r>
          </w:p>
        </w:tc>
        <w:tc>
          <w:tcPr>
            <w:tcW w:w="1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972,119</w:t>
            </w: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11,535,163</w:t>
            </w:r>
          </w:p>
        </w:tc>
        <w:tc>
          <w:tcPr>
            <w:tcW w:w="0" w:type="dxa"/>
            <w:vAlign w:val="bottom"/>
          </w:tcPr>
          <w:p>
            <w:pPr>
              <w:spacing w:after="0"/>
              <w:rPr>
                <w:sz w:val="1"/>
                <w:szCs w:val="1"/>
                <w:color w:val="auto"/>
              </w:rPr>
            </w:pPr>
          </w:p>
        </w:tc>
      </w:tr>
      <w:tr>
        <w:trPr>
          <w:trHeight w:val="219"/>
        </w:trPr>
        <w:tc>
          <w:tcPr>
            <w:tcW w:w="2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Less: Unearned income</w:t>
            </w: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(689,913)</w:t>
            </w: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(8,902,826)</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(693,622)</w:t>
            </w: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(8,955,526)</w:t>
            </w:r>
          </w:p>
        </w:tc>
        <w:tc>
          <w:tcPr>
            <w:tcW w:w="0" w:type="dxa"/>
            <w:vAlign w:val="bottom"/>
          </w:tcPr>
          <w:p>
            <w:pPr>
              <w:spacing w:after="0"/>
              <w:rPr>
                <w:sz w:val="1"/>
                <w:szCs w:val="1"/>
                <w:color w:val="auto"/>
              </w:rPr>
            </w:pPr>
          </w:p>
        </w:tc>
      </w:tr>
      <w:tr>
        <w:trPr>
          <w:trHeight w:val="168"/>
        </w:trPr>
        <w:tc>
          <w:tcPr>
            <w:tcW w:w="2260" w:type="dxa"/>
            <w:vAlign w:val="bottom"/>
          </w:tcPr>
          <w:p>
            <w:pPr>
              <w:ind w:left="20"/>
              <w:spacing w:after="0" w:line="167" w:lineRule="exact"/>
              <w:rPr>
                <w:sz w:val="20"/>
                <w:szCs w:val="20"/>
                <w:color w:val="auto"/>
              </w:rPr>
            </w:pPr>
            <w:r>
              <w:rPr>
                <w:rFonts w:ascii="Times New Roman" w:cs="Times New Roman" w:eastAsia="Times New Roman" w:hAnsi="Times New Roman"/>
                <w:sz w:val="17"/>
                <w:szCs w:val="17"/>
                <w:color w:val="auto"/>
              </w:rPr>
              <w:t>Less: Allowance for credit</w:t>
            </w:r>
          </w:p>
        </w:tc>
        <w:tc>
          <w:tcPr>
            <w:tcW w:w="3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2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losses</w:t>
            </w:r>
          </w:p>
        </w:tc>
        <w:tc>
          <w:tcPr>
            <w:tcW w:w="3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(27,985)</w:t>
            </w:r>
          </w:p>
        </w:tc>
        <w:tc>
          <w:tcPr>
            <w:tcW w:w="2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(24,179)</w:t>
            </w:r>
          </w:p>
        </w:tc>
        <w:tc>
          <w:tcPr>
            <w:tcW w:w="10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(30,076)</w:t>
            </w:r>
          </w:p>
        </w:tc>
        <w:tc>
          <w:tcPr>
            <w:tcW w:w="1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(22,133)</w:t>
            </w:r>
          </w:p>
        </w:tc>
        <w:tc>
          <w:tcPr>
            <w:tcW w:w="0" w:type="dxa"/>
            <w:vAlign w:val="bottom"/>
          </w:tcPr>
          <w:p>
            <w:pPr>
              <w:spacing w:after="0"/>
              <w:rPr>
                <w:sz w:val="1"/>
                <w:szCs w:val="1"/>
                <w:color w:val="auto"/>
              </w:rPr>
            </w:pPr>
          </w:p>
        </w:tc>
      </w:tr>
      <w:tr>
        <w:trPr>
          <w:trHeight w:val="148"/>
        </w:trPr>
        <w:tc>
          <w:tcPr>
            <w:tcW w:w="2260" w:type="dxa"/>
            <w:vAlign w:val="bottom"/>
            <w:shd w:val="clear" w:color="auto" w:fill="CCEEFF"/>
          </w:tcPr>
          <w:p>
            <w:pPr>
              <w:ind w:left="20"/>
              <w:spacing w:after="0" w:line="148" w:lineRule="exact"/>
              <w:rPr>
                <w:sz w:val="20"/>
                <w:szCs w:val="20"/>
                <w:color w:val="auto"/>
              </w:rPr>
            </w:pPr>
            <w:r>
              <w:rPr>
                <w:rFonts w:ascii="Times New Roman" w:cs="Times New Roman" w:eastAsia="Times New Roman" w:hAnsi="Times New Roman"/>
                <w:sz w:val="17"/>
                <w:szCs w:val="17"/>
                <w:color w:val="auto"/>
              </w:rPr>
              <w:t>Investment in leases - financing</w:t>
            </w:r>
          </w:p>
        </w:tc>
        <w:tc>
          <w:tcPr>
            <w:tcW w:w="320" w:type="dxa"/>
            <w:vAlign w:val="bottom"/>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250,512</w:t>
            </w: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2,562,869</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248,421</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2,557,504</w:t>
            </w:r>
          </w:p>
        </w:tc>
        <w:tc>
          <w:tcPr>
            <w:tcW w:w="0" w:type="dxa"/>
            <w:vAlign w:val="bottom"/>
          </w:tcPr>
          <w:p>
            <w:pPr>
              <w:spacing w:after="0"/>
              <w:rPr>
                <w:sz w:val="1"/>
                <w:szCs w:val="1"/>
                <w:color w:val="auto"/>
              </w:rPr>
            </w:pPr>
          </w:p>
        </w:tc>
      </w:tr>
      <w:tr>
        <w:trPr>
          <w:trHeight w:val="226"/>
        </w:trPr>
        <w:tc>
          <w:tcPr>
            <w:tcW w:w="2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receivables, net</w:t>
            </w:r>
          </w:p>
        </w:tc>
        <w:tc>
          <w:tcPr>
            <w:tcW w:w="320" w:type="dxa"/>
            <w:vAlign w:val="bottom"/>
            <w:tcBorders>
              <w:bottom w:val="single" w:sz="8" w:color="auto"/>
            </w:tcBorders>
            <w:vMerge w:val="continue"/>
            <w:shd w:val="clear" w:color="auto" w:fill="CCEEFF"/>
          </w:tcPr>
          <w:p>
            <w:pPr>
              <w:spacing w:after="0"/>
              <w:rPr>
                <w:sz w:val="19"/>
                <w:szCs w:val="19"/>
                <w:color w:val="auto"/>
              </w:rPr>
            </w:pPr>
          </w:p>
        </w:tc>
        <w:tc>
          <w:tcPr>
            <w:tcW w:w="1340" w:type="dxa"/>
            <w:vAlign w:val="bottom"/>
            <w:tcBorders>
              <w:bottom w:val="single" w:sz="8" w:color="auto"/>
            </w:tcBorders>
            <w:vMerge w:val="continue"/>
            <w:shd w:val="clear" w:color="auto" w:fill="CCEEFF"/>
          </w:tcPr>
          <w:p>
            <w:pPr>
              <w:spacing w:after="0"/>
              <w:rPr>
                <w:sz w:val="19"/>
                <w:szCs w:val="19"/>
                <w:color w:val="auto"/>
              </w:rPr>
            </w:pPr>
          </w:p>
        </w:tc>
        <w:tc>
          <w:tcPr>
            <w:tcW w:w="200" w:type="dxa"/>
            <w:vAlign w:val="bottom"/>
            <w:tcBorders>
              <w:bottom w:val="single" w:sz="8" w:color="auto"/>
            </w:tcBorders>
            <w:vMerge w:val="continue"/>
            <w:shd w:val="clear" w:color="auto" w:fill="CCEEFF"/>
          </w:tcPr>
          <w:p>
            <w:pPr>
              <w:spacing w:after="0"/>
              <w:rPr>
                <w:sz w:val="19"/>
                <w:szCs w:val="19"/>
                <w:color w:val="auto"/>
              </w:rPr>
            </w:pPr>
          </w:p>
        </w:tc>
        <w:tc>
          <w:tcPr>
            <w:tcW w:w="15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auto"/>
            </w:tcBorders>
            <w:vMerge w:val="continue"/>
            <w:shd w:val="clear" w:color="auto" w:fill="CCEEFF"/>
          </w:tcPr>
          <w:p>
            <w:pPr>
              <w:spacing w:after="0"/>
              <w:rPr>
                <w:sz w:val="19"/>
                <w:szCs w:val="19"/>
                <w:color w:val="auto"/>
              </w:rPr>
            </w:pPr>
          </w:p>
        </w:tc>
        <w:tc>
          <w:tcPr>
            <w:tcW w:w="1620" w:type="dxa"/>
            <w:vAlign w:val="bottom"/>
            <w:tcBorders>
              <w:bottom w:val="single" w:sz="8" w:color="auto"/>
            </w:tcBorders>
            <w:vMerge w:val="continue"/>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5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358"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The present value of the net investment in the lease payment receivable and unguaranteed residual value at March 31, 2026 for the Company's Investment in leases, financing receivables was $2,482.3 million and $104.7 million compared to $2,477.1 million and $102.6 million at December 31, 2025. The present value of the net investment in the lease payment receivable and unguaranteed residual value at March 31, 2026 for the Company's Investment in leases, sales type was $255.0 million and $23.5 million compared to $255.3 million and $23.2 million at December 31, 2025.</w:t>
      </w:r>
    </w:p>
    <w:p>
      <w:pPr>
        <w:spacing w:after="0" w:line="200" w:lineRule="exact"/>
        <w:rPr>
          <w:sz w:val="20"/>
          <w:szCs w:val="20"/>
          <w:color w:val="auto"/>
        </w:rPr>
      </w:pPr>
    </w:p>
    <w:p>
      <w:pPr>
        <w:spacing w:after="0" w:line="268" w:lineRule="exact"/>
        <w:rPr>
          <w:sz w:val="20"/>
          <w:szCs w:val="20"/>
          <w:color w:val="auto"/>
        </w:rPr>
      </w:pPr>
    </w:p>
    <w:p>
      <w:pPr>
        <w:ind w:right="80" w:firstLine="619"/>
        <w:spacing w:after="0" w:line="287" w:lineRule="auto"/>
        <w:rPr>
          <w:sz w:val="20"/>
          <w:szCs w:val="20"/>
          <w:color w:val="auto"/>
        </w:rPr>
      </w:pPr>
      <w:r>
        <w:rPr>
          <w:rFonts w:ascii="Times New Roman" w:cs="Times New Roman" w:eastAsia="Times New Roman" w:hAnsi="Times New Roman"/>
          <w:sz w:val="17"/>
          <w:szCs w:val="17"/>
          <w:color w:val="auto"/>
        </w:rPr>
        <w:t>At March 31, 2026, minimum lease payments owed to us for each of the five succeeding years under the Company's investment in leases were as follows (in thousands):</w:t>
      </w:r>
    </w:p>
    <w:p>
      <w:pPr>
        <w:sectPr>
          <w:pgSz w:w="11900" w:h="16838" w:orient="portrait"/>
          <w:cols w:equalWidth="0" w:num="1">
            <w:col w:w="11240"/>
          </w:cols>
          <w:pgMar w:left="320" w:top="12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4"/>
          <w:szCs w:val="14"/>
          <w:b w:val="1"/>
          <w:bCs w:val="1"/>
          <w:u w:val="single" w:color="auto"/>
          <w:color w:val="auto"/>
        </w:rPr>
        <w:t>Year ending December 31,</w:t>
      </w:r>
    </w:p>
    <w:p>
      <w:pPr>
        <w:spacing w:after="0" w:line="40"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7"/>
          <w:szCs w:val="17"/>
          <w:color w:val="auto"/>
        </w:rPr>
        <w:t>2026 (remainder of year)</w:t>
      </w:r>
    </w:p>
    <w:p>
      <w:pPr>
        <w:spacing w:after="0" w:line="28"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7"/>
          <w:szCs w:val="17"/>
          <w:color w:val="auto"/>
        </w:rPr>
        <w:t>2027</w:t>
      </w:r>
    </w:p>
    <w:p>
      <w:pPr>
        <w:spacing w:after="0" w:line="24"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7"/>
          <w:szCs w:val="17"/>
          <w:color w:val="auto"/>
        </w:rPr>
        <w:t>2028</w:t>
      </w:r>
    </w:p>
    <w:p>
      <w:pPr>
        <w:spacing w:after="0" w:line="24"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7"/>
          <w:szCs w:val="17"/>
          <w:color w:val="auto"/>
        </w:rPr>
        <w:t>2029</w:t>
      </w:r>
    </w:p>
    <w:p>
      <w:pPr>
        <w:spacing w:after="0" w:line="24"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7"/>
          <w:szCs w:val="17"/>
          <w:color w:val="auto"/>
        </w:rPr>
        <w:t>2030</w:t>
      </w:r>
    </w:p>
    <w:p>
      <w:pPr>
        <w:spacing w:after="0" w:line="24"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7"/>
          <w:szCs w:val="17"/>
          <w:color w:val="auto"/>
        </w:rPr>
        <w:t>Thereafter</w:t>
      </w:r>
    </w:p>
    <w:p>
      <w:pPr>
        <w:spacing w:after="0" w:line="58"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7"/>
          <w:szCs w:val="17"/>
          <w:color w:val="auto"/>
        </w:rPr>
        <w:t>Total</w:t>
      </w:r>
    </w:p>
    <w:p>
      <w:pPr>
        <w:spacing w:after="0" w:line="20" w:lineRule="exact"/>
        <w:rPr>
          <w:sz w:val="20"/>
          <w:szCs w:val="20"/>
          <w:color w:val="auto"/>
        </w:rPr>
      </w:pPr>
      <w:r>
        <w:rPr>
          <w:sz w:val="20"/>
          <w:szCs w:val="20"/>
          <w:color w:val="auto"/>
        </w:rPr>
        <w:br w:type="column"/>
      </w:r>
    </w:p>
    <w:p>
      <w:pPr>
        <w:spacing w:after="0" w:line="90" w:lineRule="exact"/>
        <w:rPr>
          <w:sz w:val="20"/>
          <w:szCs w:val="20"/>
          <w:color w:val="auto"/>
        </w:rPr>
      </w:pPr>
    </w:p>
    <w:p>
      <w:pPr>
        <w:spacing w:after="0" w:line="1" w:lineRule="exact"/>
        <w:rPr>
          <w:sz w:val="1"/>
          <w:szCs w:val="1"/>
          <w:color w:val="auto"/>
        </w:rPr>
      </w:pPr>
    </w:p>
    <w:tbl>
      <w:tblPr>
        <w:tblLayout w:type="fixed"/>
        <w:tblInd w:w="122"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Future</w:t>
            </w:r>
          </w:p>
        </w:tc>
        <w:tc>
          <w:tcPr>
            <w:tcW w:w="200" w:type="dxa"/>
            <w:vAlign w:val="bottom"/>
            <w:gridSpan w:val="3"/>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4"/>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6"/>
              </w:rPr>
              <w:t>Future</w:t>
            </w:r>
          </w:p>
        </w:tc>
        <w:tc>
          <w:tcPr>
            <w:tcW w:w="0" w:type="dxa"/>
            <w:vAlign w:val="bottom"/>
          </w:tcPr>
          <w:p>
            <w:pPr>
              <w:spacing w:after="0"/>
              <w:rPr>
                <w:sz w:val="1"/>
                <w:szCs w:val="1"/>
                <w:color w:val="auto"/>
              </w:rPr>
            </w:pPr>
          </w:p>
        </w:tc>
      </w:tr>
      <w:tr>
        <w:trPr>
          <w:trHeight w:val="20"/>
        </w:trPr>
        <w:tc>
          <w:tcPr>
            <w:tcW w:w="4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4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gridSpan w:val="3"/>
            <w:vMerge w:val="restart"/>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81"/>
              </w:rPr>
              <w:t>Lease</w:t>
            </w:r>
          </w:p>
        </w:tc>
        <w:tc>
          <w:tcPr>
            <w:tcW w:w="0" w:type="dxa"/>
            <w:vAlign w:val="bottom"/>
          </w:tcPr>
          <w:p>
            <w:pPr>
              <w:spacing w:after="0" w:line="20" w:lineRule="exact"/>
              <w:rPr>
                <w:sz w:val="1"/>
                <w:szCs w:val="1"/>
                <w:color w:val="auto"/>
              </w:rPr>
            </w:pPr>
          </w:p>
        </w:tc>
      </w:tr>
      <w:tr>
        <w:trPr>
          <w:trHeight w:val="122"/>
        </w:trPr>
        <w:tc>
          <w:tcPr>
            <w:tcW w:w="40" w:type="dxa"/>
            <w:vAlign w:val="bottom"/>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40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71"/>
              </w:rPr>
              <w:t>Minimum</w:t>
            </w:r>
          </w:p>
        </w:tc>
        <w:tc>
          <w:tcPr>
            <w:tcW w:w="100" w:type="dxa"/>
            <w:vAlign w:val="bottom"/>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80" w:type="dxa"/>
            <w:vAlign w:val="bottom"/>
            <w:vMerge w:val="continue"/>
          </w:tcPr>
          <w:p>
            <w:pPr>
              <w:spacing w:after="0"/>
              <w:rPr>
                <w:sz w:val="10"/>
                <w:szCs w:val="10"/>
                <w:color w:val="auto"/>
              </w:rPr>
            </w:pPr>
          </w:p>
        </w:tc>
        <w:tc>
          <w:tcPr>
            <w:tcW w:w="760" w:type="dxa"/>
            <w:vAlign w:val="bottom"/>
            <w:gridSpan w:val="4"/>
          </w:tcPr>
          <w:p>
            <w:pPr>
              <w:ind w:left="80"/>
              <w:spacing w:after="0" w:line="122" w:lineRule="exact"/>
              <w:rPr>
                <w:sz w:val="20"/>
                <w:szCs w:val="20"/>
                <w:color w:val="auto"/>
              </w:rPr>
            </w:pPr>
            <w:r>
              <w:rPr>
                <w:rFonts w:ascii="Times New Roman" w:cs="Times New Roman" w:eastAsia="Times New Roman" w:hAnsi="Times New Roman"/>
                <w:sz w:val="14"/>
                <w:szCs w:val="14"/>
                <w:b w:val="1"/>
                <w:bCs w:val="1"/>
                <w:color w:val="auto"/>
              </w:rPr>
              <w:t>Minimum</w:t>
            </w:r>
          </w:p>
        </w:tc>
        <w:tc>
          <w:tcPr>
            <w:tcW w:w="3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4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00" w:type="dxa"/>
            <w:vAlign w:val="bottom"/>
            <w:tcBorders>
              <w:top w:val="single" w:sz="8" w:color="auto"/>
              <w:bottom w:val="single" w:sz="8" w:color="auto"/>
            </w:tcBorders>
          </w:tcPr>
          <w:p>
            <w:pPr>
              <w:jc w:val="center"/>
              <w:spacing w:after="0" w:line="109" w:lineRule="exact"/>
              <w:rPr>
                <w:sz w:val="20"/>
                <w:szCs w:val="20"/>
                <w:color w:val="auto"/>
              </w:rPr>
            </w:pPr>
            <w:r>
              <w:rPr>
                <w:rFonts w:ascii="Times New Roman" w:cs="Times New Roman" w:eastAsia="Times New Roman" w:hAnsi="Times New Roman"/>
                <w:sz w:val="11"/>
                <w:szCs w:val="11"/>
                <w:b w:val="1"/>
                <w:bCs w:val="1"/>
                <w:color w:val="auto"/>
              </w:rPr>
              <w:t>Lease</w:t>
            </w:r>
          </w:p>
        </w:tc>
        <w:tc>
          <w:tcPr>
            <w:tcW w:w="10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620" w:type="dxa"/>
            <w:vAlign w:val="bottom"/>
            <w:tcBorders>
              <w:top w:val="single" w:sz="8" w:color="auto"/>
              <w:bottom w:val="single" w:sz="8" w:color="auto"/>
            </w:tcBorders>
            <w:gridSpan w:val="3"/>
          </w:tcPr>
          <w:p>
            <w:pPr>
              <w:jc w:val="center"/>
              <w:spacing w:after="0" w:line="109" w:lineRule="exact"/>
              <w:rPr>
                <w:sz w:val="20"/>
                <w:szCs w:val="20"/>
                <w:color w:val="auto"/>
              </w:rPr>
            </w:pPr>
            <w:r>
              <w:rPr>
                <w:rFonts w:ascii="Times New Roman" w:cs="Times New Roman" w:eastAsia="Times New Roman" w:hAnsi="Times New Roman"/>
                <w:sz w:val="11"/>
                <w:szCs w:val="11"/>
                <w:b w:val="1"/>
                <w:bCs w:val="1"/>
                <w:color w:val="auto"/>
              </w:rPr>
              <w:t>Payments -</w:t>
            </w:r>
          </w:p>
        </w:tc>
        <w:tc>
          <w:tcPr>
            <w:tcW w:w="14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540" w:type="dxa"/>
            <w:vAlign w:val="bottom"/>
            <w:gridSpan w:val="3"/>
          </w:tcPr>
          <w:p>
            <w:pPr>
              <w:spacing w:after="0" w:line="122" w:lineRule="exact"/>
              <w:rPr>
                <w:sz w:val="20"/>
                <w:szCs w:val="20"/>
                <w:color w:val="auto"/>
              </w:rPr>
            </w:pPr>
            <w:r>
              <w:rPr>
                <w:rFonts w:ascii="Times New Roman" w:cs="Times New Roman" w:eastAsia="Times New Roman" w:hAnsi="Times New Roman"/>
                <w:sz w:val="14"/>
                <w:szCs w:val="14"/>
                <w:b w:val="1"/>
                <w:bCs w:val="1"/>
                <w:color w:val="auto"/>
                <w:w w:val="85"/>
              </w:rPr>
              <w:t>Payments</w:t>
            </w:r>
          </w:p>
        </w:tc>
        <w:tc>
          <w:tcPr>
            <w:tcW w:w="200" w:type="dxa"/>
            <w:vAlign w:val="bottom"/>
            <w:gridSpan w:val="3"/>
          </w:tcPr>
          <w:p>
            <w:pPr>
              <w:jc w:val="right"/>
              <w:ind w:right="80"/>
              <w:spacing w:after="0" w:line="122" w:lineRule="exact"/>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gridSpan w:val="5"/>
          </w:tcPr>
          <w:p>
            <w:pPr>
              <w:jc w:val="center"/>
              <w:ind w:right="200"/>
              <w:spacing w:after="0" w:line="122" w:lineRule="exact"/>
              <w:rPr>
                <w:sz w:val="20"/>
                <w:szCs w:val="20"/>
                <w:color w:val="auto"/>
              </w:rPr>
            </w:pPr>
            <w:r>
              <w:rPr>
                <w:rFonts w:ascii="Times New Roman" w:cs="Times New Roman" w:eastAsia="Times New Roman" w:hAnsi="Times New Roman"/>
                <w:sz w:val="14"/>
                <w:szCs w:val="14"/>
                <w:b w:val="1"/>
                <w:bCs w:val="1"/>
                <w:color w:val="auto"/>
                <w:w w:val="96"/>
              </w:rPr>
              <w:t>Financing</w:t>
            </w:r>
          </w:p>
        </w:tc>
        <w:tc>
          <w:tcPr>
            <w:tcW w:w="0" w:type="dxa"/>
            <w:vAlign w:val="bottom"/>
          </w:tcPr>
          <w:p>
            <w:pPr>
              <w:spacing w:after="0"/>
              <w:rPr>
                <w:sz w:val="1"/>
                <w:szCs w:val="1"/>
                <w:color w:val="auto"/>
              </w:rPr>
            </w:pPr>
          </w:p>
        </w:tc>
      </w:tr>
      <w:tr>
        <w:trPr>
          <w:trHeight w:val="122"/>
        </w:trPr>
        <w:tc>
          <w:tcPr>
            <w:tcW w:w="4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gridSpan w:val="4"/>
          </w:tcPr>
          <w:p>
            <w:pPr>
              <w:jc w:val="center"/>
              <w:ind w:right="20"/>
              <w:spacing w:after="0" w:line="122" w:lineRule="exact"/>
              <w:rPr>
                <w:sz w:val="20"/>
                <w:szCs w:val="20"/>
                <w:color w:val="auto"/>
              </w:rPr>
            </w:pPr>
            <w:r>
              <w:rPr>
                <w:rFonts w:ascii="Times New Roman" w:cs="Times New Roman" w:eastAsia="Times New Roman" w:hAnsi="Times New Roman"/>
                <w:sz w:val="14"/>
                <w:szCs w:val="14"/>
                <w:b w:val="1"/>
                <w:bCs w:val="1"/>
                <w:color w:val="auto"/>
                <w:w w:val="93"/>
              </w:rPr>
              <w:t>Sales Type</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Borders>
              <w:top w:val="single" w:sz="8" w:color="auto"/>
            </w:tcBorders>
            <w:gridSpan w:val="3"/>
          </w:tcPr>
          <w:p>
            <w:pPr>
              <w:jc w:val="center"/>
              <w:spacing w:after="0" w:line="122" w:lineRule="exact"/>
              <w:rPr>
                <w:sz w:val="20"/>
                <w:szCs w:val="20"/>
                <w:color w:val="auto"/>
              </w:rPr>
            </w:pPr>
            <w:r>
              <w:rPr>
                <w:rFonts w:ascii="Times New Roman" w:cs="Times New Roman" w:eastAsia="Times New Roman" w:hAnsi="Times New Roman"/>
                <w:sz w:val="14"/>
                <w:szCs w:val="14"/>
                <w:b w:val="1"/>
                <w:bCs w:val="1"/>
                <w:color w:val="auto"/>
                <w:w w:val="82"/>
              </w:rPr>
              <w:t>Receivables</w:t>
            </w:r>
          </w:p>
        </w:tc>
        <w:tc>
          <w:tcPr>
            <w:tcW w:w="16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4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 w:lineRule="exact"/>
        <w:rPr>
          <w:sz w:val="20"/>
          <w:szCs w:val="20"/>
          <w:color w:val="auto"/>
        </w:rPr>
      </w:pPr>
    </w:p>
    <w:p>
      <w:pPr>
        <w:ind w:left="382" w:hanging="382"/>
        <w:spacing w:after="0"/>
        <w:tabs>
          <w:tab w:leader="none" w:pos="382"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11,128 $   136,802</w:t>
      </w:r>
    </w:p>
    <w:p>
      <w:pPr>
        <w:spacing w:after="0" w:line="27" w:lineRule="exact"/>
        <w:rPr>
          <w:rFonts w:ascii="Times New Roman" w:cs="Times New Roman" w:eastAsia="Times New Roman" w:hAnsi="Times New Roman"/>
          <w:sz w:val="17"/>
          <w:szCs w:val="17"/>
          <w:color w:val="auto"/>
        </w:rPr>
      </w:pPr>
    </w:p>
    <w:p>
      <w:pPr>
        <w:ind w:left="382"/>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14,837185,336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-1459230</wp:posOffset>
            </wp:positionH>
            <wp:positionV relativeFrom="paragraph">
              <wp:posOffset>-262890</wp:posOffset>
            </wp:positionV>
            <wp:extent cx="2685415" cy="1390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685415" cy="139065"/>
                    </a:xfrm>
                    <a:prstGeom prst="rect">
                      <a:avLst/>
                    </a:prstGeom>
                    <a:noFill/>
                  </pic:spPr>
                </pic:pic>
              </a:graphicData>
            </a:graphic>
          </wp:anchor>
        </w:drawing>
        <w:drawing>
          <wp:anchor simplePos="0" relativeHeight="251657728" behindDoc="1" locked="0" layoutInCell="0" allowOverlap="1">
            <wp:simplePos x="0" y="0"/>
            <wp:positionH relativeFrom="column">
              <wp:posOffset>-1459230</wp:posOffset>
            </wp:positionH>
            <wp:positionV relativeFrom="paragraph">
              <wp:posOffset>14605</wp:posOffset>
            </wp:positionV>
            <wp:extent cx="2685415" cy="1390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685415" cy="139065"/>
                    </a:xfrm>
                    <a:prstGeom prst="rect">
                      <a:avLst/>
                    </a:prstGeom>
                    <a:noFill/>
                  </pic:spPr>
                </pic:pic>
              </a:graphicData>
            </a:graphic>
          </wp:anchor>
        </w:drawing>
      </w:r>
    </w:p>
    <w:p>
      <w:pPr>
        <w:spacing w:after="0" w:line="4" w:lineRule="exact"/>
        <w:rPr>
          <w:sz w:val="20"/>
          <w:szCs w:val="20"/>
          <w:color w:val="auto"/>
        </w:rPr>
      </w:pPr>
    </w:p>
    <w:p>
      <w:pPr>
        <w:ind w:left="382"/>
        <w:spacing w:after="0"/>
        <w:tabs>
          <w:tab w:leader="none" w:pos="1281" w:val="left"/>
        </w:tabs>
        <w:rPr>
          <w:sz w:val="20"/>
          <w:szCs w:val="20"/>
          <w:color w:val="auto"/>
        </w:rPr>
      </w:pPr>
      <w:r>
        <w:rPr>
          <w:rFonts w:ascii="Times New Roman" w:cs="Times New Roman" w:eastAsia="Times New Roman" w:hAnsi="Times New Roman"/>
          <w:sz w:val="17"/>
          <w:szCs w:val="17"/>
          <w:color w:val="auto"/>
        </w:rPr>
        <w:t>14,837</w:t>
      </w:r>
      <w:r>
        <w:rPr>
          <w:sz w:val="20"/>
          <w:szCs w:val="20"/>
          <w:color w:val="auto"/>
        </w:rPr>
        <w:tab/>
      </w:r>
      <w:r>
        <w:rPr>
          <w:rFonts w:ascii="Times New Roman" w:cs="Times New Roman" w:eastAsia="Times New Roman" w:hAnsi="Times New Roman"/>
          <w:sz w:val="17"/>
          <w:szCs w:val="17"/>
          <w:color w:val="auto"/>
        </w:rPr>
        <w:t>188,639</w:t>
      </w:r>
    </w:p>
    <w:p>
      <w:pPr>
        <w:spacing w:after="0" w:line="24" w:lineRule="exact"/>
        <w:rPr>
          <w:sz w:val="20"/>
          <w:szCs w:val="20"/>
          <w:color w:val="auto"/>
        </w:rPr>
      </w:pPr>
    </w:p>
    <w:p>
      <w:pPr>
        <w:ind w:left="382"/>
        <w:spacing w:after="0"/>
        <w:tabs>
          <w:tab w:leader="none" w:pos="1281" w:val="left"/>
        </w:tabs>
        <w:rPr>
          <w:sz w:val="20"/>
          <w:szCs w:val="20"/>
          <w:color w:val="auto"/>
        </w:rPr>
      </w:pPr>
      <w:r>
        <w:rPr>
          <w:rFonts w:ascii="Times New Roman" w:cs="Times New Roman" w:eastAsia="Times New Roman" w:hAnsi="Times New Roman"/>
          <w:sz w:val="17"/>
          <w:szCs w:val="17"/>
          <w:color w:val="auto"/>
        </w:rPr>
        <w:t>14,837</w:t>
      </w:r>
      <w:r>
        <w:rPr>
          <w:sz w:val="20"/>
          <w:szCs w:val="20"/>
          <w:color w:val="auto"/>
        </w:rPr>
        <w:tab/>
      </w:r>
      <w:r>
        <w:rPr>
          <w:rFonts w:ascii="Times New Roman" w:cs="Times New Roman" w:eastAsia="Times New Roman" w:hAnsi="Times New Roman"/>
          <w:sz w:val="17"/>
          <w:szCs w:val="17"/>
          <w:color w:val="auto"/>
        </w:rPr>
        <w:t>192,001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-1459230</wp:posOffset>
            </wp:positionH>
            <wp:positionV relativeFrom="paragraph">
              <wp:posOffset>14605</wp:posOffset>
            </wp:positionV>
            <wp:extent cx="2685415" cy="1390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685415" cy="139065"/>
                    </a:xfrm>
                    <a:prstGeom prst="rect">
                      <a:avLst/>
                    </a:prstGeom>
                    <a:noFill/>
                  </pic:spPr>
                </pic:pic>
              </a:graphicData>
            </a:graphic>
          </wp:anchor>
        </w:drawing>
      </w:r>
    </w:p>
    <w:p>
      <w:pPr>
        <w:spacing w:after="0" w:line="4" w:lineRule="exact"/>
        <w:rPr>
          <w:sz w:val="20"/>
          <w:szCs w:val="20"/>
          <w:color w:val="auto"/>
        </w:rPr>
      </w:pPr>
    </w:p>
    <w:p>
      <w:pPr>
        <w:ind w:left="382"/>
        <w:spacing w:after="0"/>
        <w:tabs>
          <w:tab w:leader="none" w:pos="1281" w:val="left"/>
        </w:tabs>
        <w:rPr>
          <w:sz w:val="20"/>
          <w:szCs w:val="20"/>
          <w:color w:val="auto"/>
        </w:rPr>
      </w:pPr>
      <w:r>
        <w:rPr>
          <w:rFonts w:ascii="Times New Roman" w:cs="Times New Roman" w:eastAsia="Times New Roman" w:hAnsi="Times New Roman"/>
          <w:sz w:val="17"/>
          <w:szCs w:val="17"/>
          <w:color w:val="auto"/>
        </w:rPr>
        <w:t>14,837</w:t>
      </w:r>
      <w:r>
        <w:rPr>
          <w:sz w:val="20"/>
          <w:szCs w:val="20"/>
          <w:color w:val="auto"/>
        </w:rPr>
        <w:tab/>
      </w:r>
      <w:r>
        <w:rPr>
          <w:rFonts w:ascii="Times New Roman" w:cs="Times New Roman" w:eastAsia="Times New Roman" w:hAnsi="Times New Roman"/>
          <w:sz w:val="17"/>
          <w:szCs w:val="17"/>
          <w:color w:val="auto"/>
        </w:rPr>
        <w:t>195,423</w:t>
      </w:r>
    </w:p>
    <w:p>
      <w:pPr>
        <w:spacing w:after="0" w:line="24" w:lineRule="exact"/>
        <w:rPr>
          <w:sz w:val="20"/>
          <w:szCs w:val="20"/>
          <w:color w:val="auto"/>
        </w:rPr>
      </w:pPr>
    </w:p>
    <w:p>
      <w:pPr>
        <w:ind w:left="302"/>
        <w:spacing w:after="0"/>
        <w:tabs>
          <w:tab w:leader="none" w:pos="1161" w:val="left"/>
        </w:tabs>
        <w:rPr>
          <w:sz w:val="20"/>
          <w:szCs w:val="20"/>
          <w:color w:val="auto"/>
        </w:rPr>
      </w:pPr>
      <w:r>
        <w:rPr>
          <w:rFonts w:ascii="Times New Roman" w:cs="Times New Roman" w:eastAsia="Times New Roman" w:hAnsi="Times New Roman"/>
          <w:sz w:val="17"/>
          <w:szCs w:val="17"/>
          <w:color w:val="auto"/>
        </w:rPr>
        <w:t>619,434</w:t>
      </w:r>
      <w:r>
        <w:rPr>
          <w:sz w:val="20"/>
          <w:szCs w:val="20"/>
          <w:color w:val="auto"/>
        </w:rPr>
        <w:tab/>
      </w:r>
      <w:r>
        <w:rPr>
          <w:rFonts w:ascii="Times New Roman" w:cs="Times New Roman" w:eastAsia="Times New Roman" w:hAnsi="Times New Roman"/>
          <w:sz w:val="17"/>
          <w:szCs w:val="17"/>
          <w:color w:val="auto"/>
        </w:rPr>
        <w:t>9,146,983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-1459230</wp:posOffset>
            </wp:positionH>
            <wp:positionV relativeFrom="paragraph">
              <wp:posOffset>14605</wp:posOffset>
            </wp:positionV>
            <wp:extent cx="2685415" cy="1638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685415" cy="163830"/>
                    </a:xfrm>
                    <a:prstGeom prst="rect">
                      <a:avLst/>
                    </a:prstGeom>
                    <a:noFill/>
                  </pic:spPr>
                </pic:pic>
              </a:graphicData>
            </a:graphic>
          </wp:anchor>
        </w:drawing>
      </w:r>
    </w:p>
    <w:p>
      <w:pPr>
        <w:spacing w:after="0" w:line="13" w:lineRule="exact"/>
        <w:rPr>
          <w:sz w:val="20"/>
          <w:szCs w:val="20"/>
          <w:color w:val="auto"/>
        </w:rPr>
      </w:pPr>
    </w:p>
    <w:p>
      <w:pPr>
        <w:ind w:left="2"/>
        <w:spacing w:after="0"/>
        <w:tabs>
          <w:tab w:leader="none" w:pos="281" w:val="left"/>
        </w:tabs>
        <w:rPr>
          <w:sz w:val="20"/>
          <w:szCs w:val="20"/>
          <w:color w:val="auto"/>
        </w:rPr>
      </w:pPr>
      <w:r>
        <w:rPr>
          <w:rFonts w:ascii="Times New Roman" w:cs="Times New Roman" w:eastAsia="Times New Roman" w:hAnsi="Times New Roman"/>
          <w:sz w:val="17"/>
          <w:szCs w:val="17"/>
          <w:color w:val="auto"/>
        </w:rPr>
        <w:t>$</w:t>
        <w:tab/>
        <w:t>689,910 $ 10,045,184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41910</wp:posOffset>
            </wp:positionV>
            <wp:extent cx="123634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36345" cy="8255"/>
                    </a:xfrm>
                    <a:prstGeom prst="rect">
                      <a:avLst/>
                    </a:prstGeom>
                    <a:noFill/>
                  </pic:spPr>
                </pic:pic>
              </a:graphicData>
            </a:graphic>
          </wp:anchor>
        </w:drawing>
      </w:r>
    </w:p>
    <w:p>
      <w:pPr>
        <w:spacing w:after="0" w:line="225" w:lineRule="exact"/>
        <w:rPr>
          <w:sz w:val="20"/>
          <w:szCs w:val="20"/>
          <w:color w:val="auto"/>
        </w:rPr>
      </w:pPr>
    </w:p>
    <w:p>
      <w:pPr>
        <w:sectPr>
          <w:pgSz w:w="11900" w:h="16838" w:orient="portrait"/>
          <w:cols w:equalWidth="0" w:num="2">
            <w:col w:w="5560" w:space="558"/>
            <w:col w:w="5122"/>
          </w:cols>
          <w:pgMar w:left="320" w:top="127" w:right="339" w:bottom="1440" w:gutter="0" w:footer="0" w:header="0"/>
          <w:type w:val="continuous"/>
        </w:sectPr>
      </w:pPr>
    </w:p>
    <w:p>
      <w:pPr>
        <w:spacing w:after="0" w:line="56"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The Company follows ASC 326 “Credit Losses”, which requires that the Company measure and record current expected credit losses (“CECL”), the scope of which includes the Company's Investment in leases, financing receivables, net, the Company's Investment in leases, sales type, net, and the Company's Real estate loans, net, which are discussed in Note 5. The Company has elected to use an econometric default and loss rate model to estimate the allowance for credit losses, or CECL allowance. This model requires us to calculate and input lease and property-specific credit and performance metrics which in conjunction with forward-looking economic forecasts, project estimated credit losses over the life of the lease or loan. The Company then records a CECL allowance based on the expected loss rate multiplied by the outstanding investment.</w:t>
      </w:r>
    </w:p>
    <w:p>
      <w:pPr>
        <w:spacing w:after="0" w:line="341"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17"/>
          <w:szCs w:val="17"/>
          <w:color w:val="auto"/>
        </w:rPr>
        <w:t>Expected losses within our cash flows are determined by estimating the probability of default (“PD”) and loss given default (“LGD”) of our instruments subject to CECL. We have engaged a nationally recognized data analytics firm to assist us with estimating both the PD and LGD. The PD and LGD are estimated during the initial term of the instruments subject to CECL. The PD and LGD estimates were developed using current financial condition forecasts. The PD and LGD predictive model was developed using the average historical default rates and historical loss rates, respectively, of over 100,000 commercial real estate loans dating back to 1998 that have similar credit profiles or characteristics to the real estate underlying the Company's instruments subject to CECL. Management will monitor the credit risk related to its instruments subject to CECL by obtaining the applicable rent and interest coverage on a periodic basis. The Company also monitors legislative changes to assess whether it would have an impact on the underlying performance of its tenant. We are unable to use our historical data to estimate losses as the Company has no loss history to date on its lease portfolio. Our tenants were current on all of their rental obligations as of March 31, 2026 and December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35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change in the allowance for credit losses for the Company's investment in leases is illustrated below (in thousands):</w:t>
      </w:r>
    </w:p>
    <w:p>
      <w:pPr>
        <w:spacing w:after="0" w:line="257" w:lineRule="exact"/>
        <w:rPr>
          <w:sz w:val="20"/>
          <w:szCs w:val="20"/>
          <w:color w:val="auto"/>
        </w:rPr>
      </w:pPr>
    </w:p>
    <w:tbl>
      <w:tblPr>
        <w:tblLayout w:type="fixed"/>
        <w:tblInd w:w="1240" w:type="dxa"/>
        <w:tblCellMar>
          <w:top w:w="0" w:type="dxa"/>
          <w:left w:w="0" w:type="dxa"/>
          <w:bottom w:w="0" w:type="dxa"/>
          <w:right w:w="0" w:type="dxa"/>
        </w:tblCellMar>
      </w:tblPr>
      <w:tr>
        <w:trPr>
          <w:trHeight w:val="195"/>
        </w:trPr>
        <w:tc>
          <w:tcPr>
            <w:tcW w:w="3560" w:type="dxa"/>
            <w:vAlign w:val="bottom"/>
            <w:shd w:val="clear" w:color="auto" w:fill="CCEEFF"/>
          </w:tcPr>
          <w:p>
            <w:pPr>
              <w:spacing w:after="0"/>
              <w:rPr>
                <w:sz w:val="17"/>
                <w:szCs w:val="17"/>
                <w:color w:val="auto"/>
              </w:rPr>
            </w:pPr>
          </w:p>
        </w:tc>
        <w:tc>
          <w:tcPr>
            <w:tcW w:w="1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Balance at December 31,</w:t>
            </w:r>
          </w:p>
        </w:tc>
        <w:tc>
          <w:tcPr>
            <w:tcW w:w="280" w:type="dxa"/>
            <w:vAlign w:val="bottom"/>
            <w:shd w:val="clear" w:color="auto" w:fill="CCEEFF"/>
          </w:tcPr>
          <w:p>
            <w:pPr>
              <w:spacing w:after="0"/>
              <w:rPr>
                <w:sz w:val="17"/>
                <w:szCs w:val="17"/>
                <w:color w:val="auto"/>
              </w:rPr>
            </w:pPr>
          </w:p>
        </w:tc>
        <w:tc>
          <w:tcPr>
            <w:tcW w:w="1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b w:val="1"/>
                <w:bCs w:val="1"/>
                <w:color w:val="auto"/>
              </w:rPr>
              <w:t>Change in</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Balance at March 31,</w:t>
            </w:r>
          </w:p>
        </w:tc>
      </w:tr>
      <w:tr>
        <w:trPr>
          <w:trHeight w:val="232"/>
        </w:trPr>
        <w:tc>
          <w:tcPr>
            <w:tcW w:w="356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440" w:type="dxa"/>
            <w:vAlign w:val="bottom"/>
            <w:shd w:val="clear" w:color="auto" w:fill="CCEEFF"/>
          </w:tcPr>
          <w:p>
            <w:pPr>
              <w:jc w:val="right"/>
              <w:ind w:right="674"/>
              <w:spacing w:after="0"/>
              <w:rPr>
                <w:sz w:val="20"/>
                <w:szCs w:val="20"/>
                <w:color w:val="auto"/>
              </w:rPr>
            </w:pPr>
            <w:r>
              <w:rPr>
                <w:rFonts w:ascii="Times New Roman" w:cs="Times New Roman" w:eastAsia="Times New Roman" w:hAnsi="Times New Roman"/>
                <w:sz w:val="17"/>
                <w:szCs w:val="17"/>
                <w:b w:val="1"/>
                <w:bCs w:val="1"/>
                <w:color w:val="auto"/>
              </w:rPr>
              <w:t>2025</w:t>
            </w:r>
          </w:p>
        </w:tc>
        <w:tc>
          <w:tcPr>
            <w:tcW w:w="280" w:type="dxa"/>
            <w:vAlign w:val="bottom"/>
            <w:shd w:val="clear" w:color="auto" w:fill="CCEEFF"/>
          </w:tcPr>
          <w:p>
            <w:pPr>
              <w:spacing w:after="0"/>
              <w:rPr>
                <w:sz w:val="20"/>
                <w:szCs w:val="20"/>
                <w:color w:val="auto"/>
              </w:rPr>
            </w:pPr>
          </w:p>
        </w:tc>
        <w:tc>
          <w:tcPr>
            <w:tcW w:w="1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b w:val="1"/>
                <w:bCs w:val="1"/>
                <w:color w:val="auto"/>
              </w:rPr>
              <w:t>Allowance</w:t>
            </w:r>
          </w:p>
        </w:tc>
        <w:tc>
          <w:tcPr>
            <w:tcW w:w="400" w:type="dxa"/>
            <w:vAlign w:val="bottom"/>
            <w:shd w:val="clear" w:color="auto" w:fill="CCEEFF"/>
          </w:tcPr>
          <w:p>
            <w:pPr>
              <w:spacing w:after="0"/>
              <w:rPr>
                <w:sz w:val="20"/>
                <w:szCs w:val="20"/>
                <w:color w:val="auto"/>
              </w:rPr>
            </w:pPr>
          </w:p>
        </w:tc>
        <w:tc>
          <w:tcPr>
            <w:tcW w:w="1320" w:type="dxa"/>
            <w:vAlign w:val="bottom"/>
            <w:shd w:val="clear" w:color="auto" w:fill="CCEEFF"/>
          </w:tcPr>
          <w:p>
            <w:pPr>
              <w:jc w:val="right"/>
              <w:ind w:right="594"/>
              <w:spacing w:after="0"/>
              <w:rPr>
                <w:sz w:val="20"/>
                <w:szCs w:val="20"/>
                <w:color w:val="auto"/>
              </w:rPr>
            </w:pPr>
            <w:r>
              <w:rPr>
                <w:rFonts w:ascii="Times New Roman" w:cs="Times New Roman" w:eastAsia="Times New Roman" w:hAnsi="Times New Roman"/>
                <w:sz w:val="17"/>
                <w:szCs w:val="17"/>
                <w:b w:val="1"/>
                <w:bCs w:val="1"/>
                <w:color w:val="auto"/>
              </w:rPr>
              <w:t>2026</w:t>
            </w:r>
          </w:p>
        </w:tc>
      </w:tr>
      <w:tr>
        <w:trPr>
          <w:trHeight w:val="219"/>
        </w:trPr>
        <w:tc>
          <w:tcPr>
            <w:tcW w:w="3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Maryland Live! Lease</w:t>
            </w:r>
          </w:p>
        </w:tc>
        <w:tc>
          <w:tcPr>
            <w:tcW w:w="440" w:type="dxa"/>
            <w:vAlign w:val="bottom"/>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2,589</w:t>
            </w:r>
          </w:p>
        </w:tc>
        <w:tc>
          <w:tcPr>
            <w:tcW w:w="2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591</w:t>
            </w:r>
          </w:p>
        </w:tc>
        <w:tc>
          <w:tcPr>
            <w:tcW w:w="40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3,180</w:t>
            </w:r>
          </w:p>
        </w:tc>
      </w:tr>
      <w:tr>
        <w:trPr>
          <w:trHeight w:val="219"/>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Pennsylvania Live! Master Lease</w:t>
            </w:r>
          </w:p>
        </w:tc>
        <w:tc>
          <w:tcPr>
            <w:tcW w:w="4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11,935</w:t>
            </w: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(1,167)</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10,768</w:t>
            </w:r>
          </w:p>
        </w:tc>
      </w:tr>
      <w:tr>
        <w:trPr>
          <w:trHeight w:val="219"/>
        </w:trPr>
        <w:tc>
          <w:tcPr>
            <w:tcW w:w="3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Rockford Lease</w:t>
            </w:r>
          </w:p>
        </w:tc>
        <w:tc>
          <w:tcPr>
            <w:tcW w:w="4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894</w:t>
            </w: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1,140</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2,034</w:t>
            </w:r>
          </w:p>
        </w:tc>
      </w:tr>
      <w:tr>
        <w:trPr>
          <w:trHeight w:val="219"/>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Tioga Downs Lease</w:t>
            </w:r>
          </w:p>
        </w:tc>
        <w:tc>
          <w:tcPr>
            <w:tcW w:w="4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3,573</w:t>
            </w: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644</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4,217</w:t>
            </w:r>
          </w:p>
        </w:tc>
      </w:tr>
      <w:tr>
        <w:trPr>
          <w:trHeight w:val="219"/>
        </w:trPr>
        <w:tc>
          <w:tcPr>
            <w:tcW w:w="3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Strategic Lease</w:t>
            </w:r>
          </w:p>
        </w:tc>
        <w:tc>
          <w:tcPr>
            <w:tcW w:w="4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3,142</w:t>
            </w: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838</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3,980</w:t>
            </w:r>
          </w:p>
        </w:tc>
      </w:tr>
      <w:tr>
        <w:trPr>
          <w:trHeight w:val="219"/>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Tropicana LV Lease</w:t>
            </w:r>
          </w:p>
        </w:tc>
        <w:tc>
          <w:tcPr>
            <w:tcW w:w="4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30,076</w:t>
            </w:r>
          </w:p>
        </w:tc>
        <w:tc>
          <w:tcPr>
            <w:tcW w:w="2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(2,091)</w:t>
            </w: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27,985</w:t>
            </w:r>
          </w:p>
        </w:tc>
      </w:tr>
      <w:tr>
        <w:trPr>
          <w:trHeight w:val="212"/>
        </w:trPr>
        <w:tc>
          <w:tcPr>
            <w:tcW w:w="3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Totals</w:t>
            </w:r>
          </w:p>
        </w:tc>
        <w:tc>
          <w:tcPr>
            <w:tcW w:w="44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52,209</w:t>
            </w:r>
          </w:p>
        </w:tc>
        <w:tc>
          <w:tcPr>
            <w:tcW w:w="28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w:t>
            </w:r>
          </w:p>
        </w:tc>
        <w:tc>
          <w:tcPr>
            <w:tcW w:w="40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52,164</w:t>
            </w:r>
          </w:p>
        </w:tc>
      </w:tr>
      <w:tr>
        <w:trPr>
          <w:trHeight w:val="20"/>
        </w:trPr>
        <w:tc>
          <w:tcPr>
            <w:tcW w:w="35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94" w:lineRule="exact"/>
        <w:rPr>
          <w:sz w:val="20"/>
          <w:szCs w:val="20"/>
          <w:color w:val="auto"/>
        </w:rPr>
      </w:pPr>
    </w:p>
    <w:tbl>
      <w:tblPr>
        <w:tblLayout w:type="fixed"/>
        <w:tblInd w:w="1560" w:type="dxa"/>
        <w:tblCellMar>
          <w:top w:w="0" w:type="dxa"/>
          <w:left w:w="0" w:type="dxa"/>
          <w:bottom w:w="0" w:type="dxa"/>
          <w:right w:w="0" w:type="dxa"/>
        </w:tblCellMar>
      </w:tblPr>
      <w:tr>
        <w:trPr>
          <w:trHeight w:val="195"/>
        </w:trPr>
        <w:tc>
          <w:tcPr>
            <w:tcW w:w="3540" w:type="dxa"/>
            <w:vAlign w:val="bottom"/>
            <w:shd w:val="clear" w:color="auto" w:fill="CCEEFF"/>
          </w:tcPr>
          <w:p>
            <w:pPr>
              <w:spacing w:after="0"/>
              <w:rPr>
                <w:sz w:val="17"/>
                <w:szCs w:val="17"/>
                <w:color w:val="auto"/>
              </w:rPr>
            </w:pPr>
          </w:p>
        </w:tc>
        <w:tc>
          <w:tcPr>
            <w:tcW w:w="1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Balance at December 31,</w:t>
            </w:r>
          </w:p>
        </w:tc>
        <w:tc>
          <w:tcPr>
            <w:tcW w:w="260" w:type="dxa"/>
            <w:vAlign w:val="bottom"/>
            <w:shd w:val="clear" w:color="auto" w:fill="CCEEFF"/>
          </w:tcPr>
          <w:p>
            <w:pPr>
              <w:spacing w:after="0"/>
              <w:rPr>
                <w:sz w:val="17"/>
                <w:szCs w:val="17"/>
                <w:color w:val="auto"/>
              </w:rPr>
            </w:pPr>
          </w:p>
        </w:tc>
        <w:tc>
          <w:tcPr>
            <w:tcW w:w="13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b w:val="1"/>
                <w:bCs w:val="1"/>
                <w:color w:val="auto"/>
              </w:rPr>
              <w:t>Change in</w:t>
            </w:r>
          </w:p>
        </w:tc>
        <w:tc>
          <w:tcPr>
            <w:tcW w:w="1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Balance at March 31,</w:t>
            </w:r>
          </w:p>
        </w:tc>
      </w:tr>
      <w:tr>
        <w:trPr>
          <w:trHeight w:val="232"/>
        </w:trPr>
        <w:tc>
          <w:tcPr>
            <w:tcW w:w="35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460" w:type="dxa"/>
            <w:vAlign w:val="bottom"/>
            <w:shd w:val="clear" w:color="auto" w:fill="CCEEFF"/>
          </w:tcPr>
          <w:p>
            <w:pPr>
              <w:jc w:val="right"/>
              <w:ind w:right="694"/>
              <w:spacing w:after="0"/>
              <w:rPr>
                <w:sz w:val="20"/>
                <w:szCs w:val="20"/>
                <w:color w:val="auto"/>
              </w:rPr>
            </w:pPr>
            <w:r>
              <w:rPr>
                <w:rFonts w:ascii="Times New Roman" w:cs="Times New Roman" w:eastAsia="Times New Roman" w:hAnsi="Times New Roman"/>
                <w:sz w:val="17"/>
                <w:szCs w:val="17"/>
                <w:b w:val="1"/>
                <w:bCs w:val="1"/>
                <w:color w:val="auto"/>
              </w:rPr>
              <w:t>2024</w:t>
            </w:r>
          </w:p>
        </w:tc>
        <w:tc>
          <w:tcPr>
            <w:tcW w:w="260" w:type="dxa"/>
            <w:vAlign w:val="bottom"/>
            <w:shd w:val="clear" w:color="auto" w:fill="CCEEFF"/>
          </w:tcPr>
          <w:p>
            <w:pPr>
              <w:spacing w:after="0"/>
              <w:rPr>
                <w:sz w:val="20"/>
                <w:szCs w:val="20"/>
                <w:color w:val="auto"/>
              </w:rPr>
            </w:pPr>
          </w:p>
        </w:tc>
        <w:tc>
          <w:tcPr>
            <w:tcW w:w="13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b w:val="1"/>
                <w:bCs w:val="1"/>
                <w:color w:val="auto"/>
              </w:rPr>
              <w:t>Allowance</w:t>
            </w:r>
          </w:p>
        </w:tc>
        <w:tc>
          <w:tcPr>
            <w:tcW w:w="420" w:type="dxa"/>
            <w:vAlign w:val="bottom"/>
            <w:shd w:val="clear" w:color="auto" w:fill="CCEEFF"/>
          </w:tcPr>
          <w:p>
            <w:pPr>
              <w:spacing w:after="0"/>
              <w:rPr>
                <w:sz w:val="20"/>
                <w:szCs w:val="20"/>
                <w:color w:val="auto"/>
              </w:rPr>
            </w:pPr>
          </w:p>
        </w:tc>
        <w:tc>
          <w:tcPr>
            <w:tcW w:w="1340" w:type="dxa"/>
            <w:vAlign w:val="bottom"/>
            <w:shd w:val="clear" w:color="auto" w:fill="CCEEFF"/>
          </w:tcPr>
          <w:p>
            <w:pPr>
              <w:jc w:val="right"/>
              <w:ind w:right="614"/>
              <w:spacing w:after="0"/>
              <w:rPr>
                <w:sz w:val="20"/>
                <w:szCs w:val="20"/>
                <w:color w:val="auto"/>
              </w:rPr>
            </w:pPr>
            <w:r>
              <w:rPr>
                <w:rFonts w:ascii="Times New Roman" w:cs="Times New Roman" w:eastAsia="Times New Roman" w:hAnsi="Times New Roman"/>
                <w:sz w:val="17"/>
                <w:szCs w:val="17"/>
                <w:b w:val="1"/>
                <w:bCs w:val="1"/>
                <w:color w:val="auto"/>
              </w:rPr>
              <w:t>2025</w:t>
            </w:r>
          </w:p>
        </w:tc>
      </w:tr>
      <w:tr>
        <w:trPr>
          <w:trHeight w:val="219"/>
        </w:trPr>
        <w:tc>
          <w:tcPr>
            <w:tcW w:w="3540" w:type="dxa"/>
            <w:vAlign w:val="bottom"/>
          </w:tcPr>
          <w:p>
            <w:pPr>
              <w:spacing w:after="0"/>
              <w:rPr>
                <w:sz w:val="20"/>
                <w:szCs w:val="20"/>
                <w:color w:val="auto"/>
              </w:rPr>
            </w:pPr>
            <w:r>
              <w:rPr>
                <w:rFonts w:ascii="Times New Roman" w:cs="Times New Roman" w:eastAsia="Times New Roman" w:hAnsi="Times New Roman"/>
                <w:sz w:val="17"/>
                <w:szCs w:val="17"/>
                <w:color w:val="auto"/>
              </w:rPr>
              <w:t>Maryland Live! Lease</w:t>
            </w:r>
          </w:p>
        </w:tc>
        <w:tc>
          <w:tcPr>
            <w:tcW w:w="440" w:type="dxa"/>
            <w:vAlign w:val="bottom"/>
          </w:tcPr>
          <w:p>
            <w:pPr>
              <w:jc w:val="right"/>
              <w:ind w:right="234"/>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8,732</w:t>
            </w: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5,696</w:t>
            </w:r>
          </w:p>
        </w:tc>
        <w:tc>
          <w:tcPr>
            <w:tcW w:w="42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14,428</w:t>
            </w:r>
          </w:p>
        </w:tc>
      </w:tr>
      <w:tr>
        <w:trPr>
          <w:trHeight w:val="219"/>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Pennsylvania Live! Master Lease</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18,471</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12,286</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30,757</w:t>
            </w:r>
          </w:p>
        </w:tc>
      </w:tr>
      <w:tr>
        <w:trPr>
          <w:trHeight w:val="219"/>
        </w:trPr>
        <w:tc>
          <w:tcPr>
            <w:tcW w:w="3540" w:type="dxa"/>
            <w:vAlign w:val="bottom"/>
          </w:tcPr>
          <w:p>
            <w:pPr>
              <w:spacing w:after="0"/>
              <w:rPr>
                <w:sz w:val="20"/>
                <w:szCs w:val="20"/>
                <w:color w:val="auto"/>
              </w:rPr>
            </w:pPr>
            <w:r>
              <w:rPr>
                <w:rFonts w:ascii="Times New Roman" w:cs="Times New Roman" w:eastAsia="Times New Roman" w:hAnsi="Times New Roman"/>
                <w:sz w:val="17"/>
                <w:szCs w:val="17"/>
                <w:color w:val="auto"/>
              </w:rPr>
              <w:t>Rockford Lease</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3,077</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2,041</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5,118</w:t>
            </w:r>
          </w:p>
        </w:tc>
      </w:tr>
      <w:tr>
        <w:trPr>
          <w:trHeight w:val="219"/>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Tioga Downs Lease</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2,651</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3,767</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6,418</w:t>
            </w:r>
          </w:p>
        </w:tc>
      </w:tr>
      <w:tr>
        <w:trPr>
          <w:trHeight w:val="219"/>
        </w:trPr>
        <w:tc>
          <w:tcPr>
            <w:tcW w:w="3540" w:type="dxa"/>
            <w:vAlign w:val="bottom"/>
          </w:tcPr>
          <w:p>
            <w:pPr>
              <w:spacing w:after="0"/>
              <w:rPr>
                <w:sz w:val="20"/>
                <w:szCs w:val="20"/>
                <w:color w:val="auto"/>
              </w:rPr>
            </w:pPr>
            <w:r>
              <w:rPr>
                <w:rFonts w:ascii="Times New Roman" w:cs="Times New Roman" w:eastAsia="Times New Roman" w:hAnsi="Times New Roman"/>
                <w:sz w:val="17"/>
                <w:szCs w:val="17"/>
                <w:color w:val="auto"/>
              </w:rPr>
              <w:t>Strategic Lease</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1,134</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3,067</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4,201</w:t>
            </w:r>
          </w:p>
        </w:tc>
      </w:tr>
      <w:tr>
        <w:trPr>
          <w:trHeight w:val="219"/>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Tropicana LV Lease</w:t>
            </w:r>
          </w:p>
        </w:tc>
        <w:tc>
          <w:tcPr>
            <w:tcW w:w="4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23,681</w:t>
            </w:r>
          </w:p>
        </w:tc>
        <w:tc>
          <w:tcPr>
            <w:tcW w:w="2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9,157</w:t>
            </w: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32,838</w:t>
            </w:r>
          </w:p>
        </w:tc>
      </w:tr>
      <w:tr>
        <w:trPr>
          <w:trHeight w:val="212"/>
        </w:trPr>
        <w:tc>
          <w:tcPr>
            <w:tcW w:w="3540" w:type="dxa"/>
            <w:vAlign w:val="bottom"/>
          </w:tcPr>
          <w:p>
            <w:pPr>
              <w:spacing w:after="0"/>
              <w:rPr>
                <w:sz w:val="20"/>
                <w:szCs w:val="20"/>
                <w:color w:val="auto"/>
              </w:rPr>
            </w:pPr>
            <w:r>
              <w:rPr>
                <w:rFonts w:ascii="Times New Roman" w:cs="Times New Roman" w:eastAsia="Times New Roman" w:hAnsi="Times New Roman"/>
                <w:sz w:val="17"/>
                <w:szCs w:val="17"/>
                <w:color w:val="auto"/>
              </w:rPr>
              <w:t>Totals</w:t>
            </w:r>
          </w:p>
        </w:tc>
        <w:tc>
          <w:tcPr>
            <w:tcW w:w="44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57,746</w:t>
            </w: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36,014</w:t>
            </w:r>
          </w:p>
        </w:tc>
        <w:tc>
          <w:tcPr>
            <w:tcW w:w="42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93,760</w:t>
            </w:r>
          </w:p>
        </w:tc>
      </w:tr>
      <w:tr>
        <w:trPr>
          <w:trHeight w:val="20"/>
        </w:trPr>
        <w:tc>
          <w:tcPr>
            <w:tcW w:w="35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320"/>
          </w:cols>
          <w:pgMar w:left="320" w:top="127" w:right="12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right="300" w:firstLine="619"/>
        <w:spacing w:after="0" w:line="287" w:lineRule="auto"/>
        <w:rPr>
          <w:sz w:val="20"/>
          <w:szCs w:val="20"/>
          <w:color w:val="auto"/>
        </w:rPr>
      </w:pPr>
      <w:r>
        <w:rPr>
          <w:rFonts w:ascii="Times New Roman" w:cs="Times New Roman" w:eastAsia="Times New Roman" w:hAnsi="Times New Roman"/>
          <w:sz w:val="17"/>
          <w:szCs w:val="17"/>
          <w:color w:val="auto"/>
        </w:rPr>
        <w:t>The amortized cost basis of the Company's investment in leases, financing receivables by year of origination is shown below as of March 31, 2026 (in thousands):</w:t>
      </w:r>
    </w:p>
    <w:p>
      <w:pPr>
        <w:spacing w:after="0" w:line="191" w:lineRule="exact"/>
        <w:rPr>
          <w:sz w:val="20"/>
          <w:szCs w:val="20"/>
          <w:color w:val="auto"/>
        </w:rPr>
      </w:pPr>
    </w:p>
    <w:tbl>
      <w:tblPr>
        <w:tblLayout w:type="fixed"/>
        <w:tblInd w:w="1620" w:type="dxa"/>
        <w:tblCellMar>
          <w:top w:w="0" w:type="dxa"/>
          <w:left w:w="0" w:type="dxa"/>
          <w:bottom w:w="0" w:type="dxa"/>
          <w:right w:w="0" w:type="dxa"/>
        </w:tblCellMar>
      </w:tblPr>
      <w:tr>
        <w:trPr>
          <w:trHeight w:val="195"/>
        </w:trPr>
        <w:tc>
          <w:tcPr>
            <w:tcW w:w="16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b w:val="1"/>
                <w:bCs w:val="1"/>
                <w:color w:val="auto"/>
              </w:rPr>
              <w:t>Allowance as a</w:t>
            </w:r>
          </w:p>
        </w:tc>
        <w:tc>
          <w:tcPr>
            <w:tcW w:w="0" w:type="dxa"/>
            <w:vAlign w:val="bottom"/>
          </w:tcPr>
          <w:p>
            <w:pPr>
              <w:spacing w:after="0"/>
              <w:rPr>
                <w:sz w:val="1"/>
                <w:szCs w:val="1"/>
                <w:color w:val="auto"/>
              </w:rPr>
            </w:pPr>
          </w:p>
        </w:tc>
      </w:tr>
      <w:tr>
        <w:trPr>
          <w:trHeight w:val="173"/>
        </w:trPr>
        <w:tc>
          <w:tcPr>
            <w:tcW w:w="1620" w:type="dxa"/>
            <w:vAlign w:val="bottom"/>
            <w:shd w:val="clear" w:color="auto" w:fill="CCEEFF"/>
          </w:tcPr>
          <w:p>
            <w:pPr>
              <w:spacing w:after="0"/>
              <w:rPr>
                <w:sz w:val="15"/>
                <w:szCs w:val="15"/>
                <w:color w:val="auto"/>
              </w:rPr>
            </w:pPr>
          </w:p>
        </w:tc>
        <w:tc>
          <w:tcPr>
            <w:tcW w:w="15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Investment in leases,</w:t>
            </w:r>
          </w:p>
        </w:tc>
        <w:tc>
          <w:tcPr>
            <w:tcW w:w="180" w:type="dxa"/>
            <w:vAlign w:val="bottom"/>
            <w:shd w:val="clear" w:color="auto" w:fill="CCEEFF"/>
          </w:tcPr>
          <w:p>
            <w:pPr>
              <w:spacing w:after="0"/>
              <w:rPr>
                <w:sz w:val="15"/>
                <w:szCs w:val="15"/>
                <w:color w:val="auto"/>
              </w:rPr>
            </w:pPr>
          </w:p>
        </w:tc>
        <w:tc>
          <w:tcPr>
            <w:tcW w:w="1340" w:type="dxa"/>
            <w:vAlign w:val="bottom"/>
            <w:vMerge w:val="restart"/>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b w:val="1"/>
                <w:bCs w:val="1"/>
                <w:color w:val="auto"/>
              </w:rPr>
              <w:t>Allowance for</w:t>
            </w:r>
          </w:p>
        </w:tc>
        <w:tc>
          <w:tcPr>
            <w:tcW w:w="1680" w:type="dxa"/>
            <w:vAlign w:val="bottom"/>
            <w:gridSpan w:val="3"/>
            <w:vMerge w:val="restart"/>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Amortized cost basis</w:t>
            </w:r>
          </w:p>
        </w:tc>
        <w:tc>
          <w:tcPr>
            <w:tcW w:w="1620" w:type="dxa"/>
            <w:vAlign w:val="bottom"/>
            <w:shd w:val="clear" w:color="auto" w:fill="CCEEFF"/>
          </w:tcPr>
          <w:p>
            <w:pPr>
              <w:jc w:val="center"/>
              <w:spacing w:after="0" w:line="173" w:lineRule="exact"/>
              <w:rPr>
                <w:sz w:val="20"/>
                <w:szCs w:val="20"/>
                <w:color w:val="auto"/>
              </w:rPr>
            </w:pPr>
            <w:r>
              <w:rPr>
                <w:rFonts w:ascii="Times New Roman" w:cs="Times New Roman" w:eastAsia="Times New Roman" w:hAnsi="Times New Roman"/>
                <w:sz w:val="17"/>
                <w:szCs w:val="17"/>
                <w:b w:val="1"/>
                <w:bCs w:val="1"/>
                <w:color w:val="auto"/>
              </w:rPr>
              <w:t>percentage of</w:t>
            </w:r>
          </w:p>
        </w:tc>
        <w:tc>
          <w:tcPr>
            <w:tcW w:w="0" w:type="dxa"/>
            <w:vAlign w:val="bottom"/>
          </w:tcPr>
          <w:p>
            <w:pPr>
              <w:spacing w:after="0"/>
              <w:rPr>
                <w:sz w:val="1"/>
                <w:szCs w:val="1"/>
                <w:color w:val="auto"/>
              </w:rPr>
            </w:pPr>
          </w:p>
        </w:tc>
      </w:tr>
      <w:tr>
        <w:trPr>
          <w:trHeight w:val="175"/>
        </w:trPr>
        <w:tc>
          <w:tcPr>
            <w:tcW w:w="16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Origination year</w:t>
            </w:r>
          </w:p>
        </w:tc>
        <w:tc>
          <w:tcPr>
            <w:tcW w:w="158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40" w:type="dxa"/>
            <w:vAlign w:val="bottom"/>
            <w:vMerge w:val="continue"/>
            <w:shd w:val="clear" w:color="auto" w:fill="CCEEFF"/>
          </w:tcPr>
          <w:p>
            <w:pPr>
              <w:spacing w:after="0"/>
              <w:rPr>
                <w:sz w:val="15"/>
                <w:szCs w:val="15"/>
                <w:color w:val="auto"/>
              </w:rPr>
            </w:pPr>
          </w:p>
        </w:tc>
        <w:tc>
          <w:tcPr>
            <w:tcW w:w="1680" w:type="dxa"/>
            <w:vAlign w:val="bottom"/>
            <w:gridSpan w:val="3"/>
            <w:vMerge w:val="continue"/>
            <w:shd w:val="clear" w:color="auto" w:fill="CCEEFF"/>
          </w:tcPr>
          <w:p>
            <w:pPr>
              <w:spacing w:after="0"/>
              <w:rPr>
                <w:sz w:val="15"/>
                <w:szCs w:val="15"/>
                <w:color w:val="auto"/>
              </w:rPr>
            </w:pPr>
          </w:p>
        </w:tc>
        <w:tc>
          <w:tcPr>
            <w:tcW w:w="162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7"/>
                <w:szCs w:val="17"/>
                <w:b w:val="1"/>
                <w:bCs w:val="1"/>
                <w:color w:val="auto"/>
                <w:w w:val="99"/>
              </w:rPr>
              <w:t>outstanding</w:t>
            </w:r>
          </w:p>
        </w:tc>
        <w:tc>
          <w:tcPr>
            <w:tcW w:w="0" w:type="dxa"/>
            <w:vAlign w:val="bottom"/>
          </w:tcPr>
          <w:p>
            <w:pPr>
              <w:spacing w:after="0"/>
              <w:rPr>
                <w:sz w:val="1"/>
                <w:szCs w:val="1"/>
                <w:color w:val="auto"/>
              </w:rPr>
            </w:pPr>
          </w:p>
        </w:tc>
      </w:tr>
      <w:tr>
        <w:trPr>
          <w:trHeight w:val="219"/>
        </w:trPr>
        <w:tc>
          <w:tcPr>
            <w:tcW w:w="1620" w:type="dxa"/>
            <w:vAlign w:val="bottom"/>
            <w:vMerge w:val="continue"/>
            <w:shd w:val="clear" w:color="auto" w:fill="CCEEFF"/>
          </w:tcPr>
          <w:p>
            <w:pPr>
              <w:spacing w:after="0"/>
              <w:rPr>
                <w:sz w:val="19"/>
                <w:szCs w:val="19"/>
                <w:color w:val="auto"/>
              </w:rPr>
            </w:pPr>
          </w:p>
        </w:tc>
        <w:tc>
          <w:tcPr>
            <w:tcW w:w="1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financing receivables</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b w:val="1"/>
                <w:bCs w:val="1"/>
                <w:color w:val="auto"/>
              </w:rPr>
              <w:t>credit losses</w:t>
            </w:r>
          </w:p>
        </w:tc>
        <w:tc>
          <w:tcPr>
            <w:tcW w:w="1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at March 31, 2026</w:t>
            </w:r>
          </w:p>
        </w:tc>
        <w:tc>
          <w:tcPr>
            <w:tcW w:w="1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b w:val="1"/>
                <w:bCs w:val="1"/>
                <w:color w:val="auto"/>
              </w:rPr>
              <w:t>financing receivable</w:t>
            </w:r>
          </w:p>
        </w:tc>
        <w:tc>
          <w:tcPr>
            <w:tcW w:w="0" w:type="dxa"/>
            <w:vAlign w:val="bottom"/>
          </w:tcPr>
          <w:p>
            <w:pPr>
              <w:spacing w:after="0"/>
              <w:rPr>
                <w:sz w:val="1"/>
                <w:szCs w:val="1"/>
                <w:color w:val="auto"/>
              </w:rPr>
            </w:pPr>
          </w:p>
        </w:tc>
      </w:tr>
      <w:tr>
        <w:trPr>
          <w:trHeight w:val="232"/>
        </w:trPr>
        <w:tc>
          <w:tcPr>
            <w:tcW w:w="1620" w:type="dxa"/>
            <w:vAlign w:val="bottom"/>
          </w:tcPr>
          <w:p>
            <w:pPr>
              <w:spacing w:after="0" w:line="232" w:lineRule="exact"/>
              <w:rPr>
                <w:sz w:val="20"/>
                <w:szCs w:val="20"/>
                <w:color w:val="auto"/>
              </w:rPr>
            </w:pPr>
            <w:r>
              <w:rPr>
                <w:rFonts w:ascii="Times New Roman" w:cs="Times New Roman" w:eastAsia="Times New Roman" w:hAnsi="Times New Roman"/>
                <w:sz w:val="21"/>
                <w:szCs w:val="21"/>
                <w:color w:val="auto"/>
              </w:rPr>
              <w:t>​</w:t>
            </w:r>
          </w:p>
        </w:tc>
        <w:tc>
          <w:tcPr>
            <w:tcW w:w="4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162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7"/>
                <w:szCs w:val="17"/>
                <w:b w:val="1"/>
                <w:bCs w:val="1"/>
                <w:color w:val="auto"/>
              </w:rPr>
              <w:t>2025</w:t>
            </w:r>
          </w:p>
        </w:tc>
        <w:tc>
          <w:tcPr>
            <w:tcW w:w="4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185,192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(1,798)</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183,394</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(0.97)%</w:t>
            </w:r>
          </w:p>
        </w:tc>
        <w:tc>
          <w:tcPr>
            <w:tcW w:w="0" w:type="dxa"/>
            <w:vAlign w:val="bottom"/>
          </w:tcPr>
          <w:p>
            <w:pPr>
              <w:spacing w:after="0"/>
              <w:rPr>
                <w:sz w:val="1"/>
                <w:szCs w:val="1"/>
                <w:color w:val="auto"/>
              </w:rPr>
            </w:pPr>
          </w:p>
        </w:tc>
      </w:tr>
      <w:tr>
        <w:trPr>
          <w:trHeight w:val="219"/>
        </w:trPr>
        <w:tc>
          <w:tcPr>
            <w:tcW w:w="1620" w:type="dxa"/>
            <w:vAlign w:val="bottom"/>
          </w:tcPr>
          <w:p>
            <w:pPr>
              <w:ind w:left="620"/>
              <w:spacing w:after="0"/>
              <w:rPr>
                <w:sz w:val="20"/>
                <w:szCs w:val="20"/>
                <w:color w:val="auto"/>
              </w:rPr>
            </w:pPr>
            <w:r>
              <w:rPr>
                <w:rFonts w:ascii="Times New Roman" w:cs="Times New Roman" w:eastAsia="Times New Roman" w:hAnsi="Times New Roman"/>
                <w:sz w:val="17"/>
                <w:szCs w:val="17"/>
                <w:b w:val="1"/>
                <w:bCs w:val="1"/>
                <w:color w:val="auto"/>
              </w:rPr>
              <w:t>2024</w:t>
            </w: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300,129</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(6,399)</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293,730</w:t>
            </w: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(2.13)%</w:t>
            </w:r>
          </w:p>
        </w:tc>
        <w:tc>
          <w:tcPr>
            <w:tcW w:w="0" w:type="dxa"/>
            <w:vAlign w:val="bottom"/>
          </w:tcPr>
          <w:p>
            <w:pPr>
              <w:spacing w:after="0"/>
              <w:rPr>
                <w:sz w:val="1"/>
                <w:szCs w:val="1"/>
                <w:color w:val="auto"/>
              </w:rPr>
            </w:pPr>
          </w:p>
        </w:tc>
      </w:tr>
      <w:tr>
        <w:trPr>
          <w:trHeight w:val="219"/>
        </w:trPr>
        <w:tc>
          <w:tcPr>
            <w:tcW w:w="162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7"/>
                <w:szCs w:val="17"/>
                <w:b w:val="1"/>
                <w:bCs w:val="1"/>
                <w:color w:val="auto"/>
              </w:rPr>
              <w:t>2023</w:t>
            </w:r>
          </w:p>
        </w:tc>
        <w:tc>
          <w:tcPr>
            <w:tcW w:w="4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105,432</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(2,034)</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103,398</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(1.93)%</w:t>
            </w:r>
          </w:p>
        </w:tc>
        <w:tc>
          <w:tcPr>
            <w:tcW w:w="0" w:type="dxa"/>
            <w:vAlign w:val="bottom"/>
          </w:tcPr>
          <w:p>
            <w:pPr>
              <w:spacing w:after="0"/>
              <w:rPr>
                <w:sz w:val="1"/>
                <w:szCs w:val="1"/>
                <w:color w:val="auto"/>
              </w:rPr>
            </w:pPr>
          </w:p>
        </w:tc>
      </w:tr>
      <w:tr>
        <w:trPr>
          <w:trHeight w:val="219"/>
        </w:trPr>
        <w:tc>
          <w:tcPr>
            <w:tcW w:w="1620" w:type="dxa"/>
            <w:vAlign w:val="bottom"/>
          </w:tcPr>
          <w:p>
            <w:pPr>
              <w:ind w:left="620"/>
              <w:spacing w:after="0"/>
              <w:rPr>
                <w:sz w:val="20"/>
                <w:szCs w:val="20"/>
                <w:color w:val="auto"/>
              </w:rPr>
            </w:pPr>
            <w:r>
              <w:rPr>
                <w:rFonts w:ascii="Times New Roman" w:cs="Times New Roman" w:eastAsia="Times New Roman" w:hAnsi="Times New Roman"/>
                <w:sz w:val="17"/>
                <w:szCs w:val="17"/>
                <w:b w:val="1"/>
                <w:bCs w:val="1"/>
                <w:color w:val="auto"/>
              </w:rPr>
              <w:t>2022</w:t>
            </w: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724,689</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(10,768)</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713,921</w:t>
            </w: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(1.49)%</w:t>
            </w:r>
          </w:p>
        </w:tc>
        <w:tc>
          <w:tcPr>
            <w:tcW w:w="0" w:type="dxa"/>
            <w:vAlign w:val="bottom"/>
          </w:tcPr>
          <w:p>
            <w:pPr>
              <w:spacing w:after="0"/>
              <w:rPr>
                <w:sz w:val="1"/>
                <w:szCs w:val="1"/>
                <w:color w:val="auto"/>
              </w:rPr>
            </w:pPr>
          </w:p>
        </w:tc>
      </w:tr>
      <w:tr>
        <w:trPr>
          <w:trHeight w:val="219"/>
        </w:trPr>
        <w:tc>
          <w:tcPr>
            <w:tcW w:w="162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7"/>
                <w:szCs w:val="17"/>
                <w:b w:val="1"/>
                <w:bCs w:val="1"/>
                <w:color w:val="auto"/>
              </w:rPr>
              <w:t>2021</w:t>
            </w:r>
          </w:p>
        </w:tc>
        <w:tc>
          <w:tcPr>
            <w:tcW w:w="4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1,271,606</w:t>
            </w: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(3,180)</w:t>
            </w: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1,268,426</w:t>
            </w:r>
          </w:p>
        </w:tc>
        <w:tc>
          <w:tcPr>
            <w:tcW w:w="120" w:type="dxa"/>
            <w:vAlign w:val="bottom"/>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(0.25)%</w:t>
            </w:r>
          </w:p>
        </w:tc>
        <w:tc>
          <w:tcPr>
            <w:tcW w:w="0" w:type="dxa"/>
            <w:vAlign w:val="bottom"/>
          </w:tcPr>
          <w:p>
            <w:pPr>
              <w:spacing w:after="0"/>
              <w:rPr>
                <w:sz w:val="1"/>
                <w:szCs w:val="1"/>
                <w:color w:val="auto"/>
              </w:rPr>
            </w:pPr>
          </w:p>
        </w:tc>
      </w:tr>
      <w:tr>
        <w:trPr>
          <w:trHeight w:val="212"/>
        </w:trPr>
        <w:tc>
          <w:tcPr>
            <w:tcW w:w="1620" w:type="dxa"/>
            <w:vAlign w:val="bottom"/>
          </w:tcPr>
          <w:p>
            <w:pPr>
              <w:ind w:left="62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2,587,048</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(24,179)</w:t>
            </w:r>
          </w:p>
        </w:tc>
        <w:tc>
          <w:tcPr>
            <w:tcW w:w="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2,562,869</w:t>
            </w:r>
          </w:p>
        </w:tc>
        <w:tc>
          <w:tcPr>
            <w:tcW w:w="120" w:type="dxa"/>
            <w:vAlign w:val="bottom"/>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(0.93)%</w:t>
            </w: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amortized cost basis of the Company's investment in leases, sales type by year of origination is shown below as of March 31, 2026 (in thousands):</w:t>
      </w:r>
    </w:p>
    <w:p>
      <w:pPr>
        <w:spacing w:after="0" w:line="257" w:lineRule="exact"/>
        <w:rPr>
          <w:sz w:val="20"/>
          <w:szCs w:val="20"/>
          <w:color w:val="auto"/>
        </w:rPr>
      </w:pPr>
    </w:p>
    <w:tbl>
      <w:tblPr>
        <w:tblLayout w:type="fixed"/>
        <w:tblInd w:w="1920" w:type="dxa"/>
        <w:tblCellMar>
          <w:top w:w="0" w:type="dxa"/>
          <w:left w:w="0" w:type="dxa"/>
          <w:bottom w:w="0" w:type="dxa"/>
          <w:right w:w="0" w:type="dxa"/>
        </w:tblCellMar>
      </w:tblPr>
      <w:tr>
        <w:trPr>
          <w:trHeight w:val="195"/>
        </w:trPr>
        <w:tc>
          <w:tcPr>
            <w:tcW w:w="14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b w:val="1"/>
                <w:bCs w:val="1"/>
                <w:color w:val="auto"/>
              </w:rPr>
              <w:t>Allowance as a</w:t>
            </w:r>
          </w:p>
        </w:tc>
        <w:tc>
          <w:tcPr>
            <w:tcW w:w="0" w:type="dxa"/>
            <w:vAlign w:val="bottom"/>
          </w:tcPr>
          <w:p>
            <w:pPr>
              <w:spacing w:after="0"/>
              <w:rPr>
                <w:sz w:val="1"/>
                <w:szCs w:val="1"/>
                <w:color w:val="auto"/>
              </w:rPr>
            </w:pPr>
          </w:p>
        </w:tc>
      </w:tr>
      <w:tr>
        <w:trPr>
          <w:trHeight w:val="168"/>
        </w:trPr>
        <w:tc>
          <w:tcPr>
            <w:tcW w:w="1440" w:type="dxa"/>
            <w:vAlign w:val="bottom"/>
            <w:shd w:val="clear" w:color="auto" w:fill="CCEEFF"/>
          </w:tcPr>
          <w:p>
            <w:pPr>
              <w:spacing w:after="0"/>
              <w:rPr>
                <w:sz w:val="14"/>
                <w:szCs w:val="14"/>
                <w:color w:val="auto"/>
              </w:rPr>
            </w:pPr>
          </w:p>
        </w:tc>
        <w:tc>
          <w:tcPr>
            <w:tcW w:w="1760" w:type="dxa"/>
            <w:vAlign w:val="bottom"/>
            <w:gridSpan w:val="2"/>
            <w:vMerge w:val="restart"/>
            <w:shd w:val="clear" w:color="auto" w:fill="CCEEFF"/>
          </w:tcPr>
          <w:p>
            <w:pPr>
              <w:jc w:val="center"/>
              <w:ind w:left="94"/>
              <w:spacing w:after="0"/>
              <w:rPr>
                <w:sz w:val="20"/>
                <w:szCs w:val="20"/>
                <w:color w:val="auto"/>
              </w:rPr>
            </w:pPr>
            <w:r>
              <w:rPr>
                <w:rFonts w:ascii="Times New Roman" w:cs="Times New Roman" w:eastAsia="Times New Roman" w:hAnsi="Times New Roman"/>
                <w:sz w:val="17"/>
                <w:szCs w:val="17"/>
                <w:b w:val="1"/>
                <w:bCs w:val="1"/>
                <w:color w:val="auto"/>
              </w:rPr>
              <w:t>Investment in leases,</w:t>
            </w:r>
          </w:p>
        </w:tc>
        <w:tc>
          <w:tcPr>
            <w:tcW w:w="180" w:type="dxa"/>
            <w:vAlign w:val="bottom"/>
            <w:shd w:val="clear" w:color="auto" w:fill="CCEEFF"/>
          </w:tcPr>
          <w:p>
            <w:pPr>
              <w:spacing w:after="0"/>
              <w:rPr>
                <w:sz w:val="14"/>
                <w:szCs w:val="14"/>
                <w:color w:val="auto"/>
              </w:rPr>
            </w:pPr>
          </w:p>
        </w:tc>
        <w:tc>
          <w:tcPr>
            <w:tcW w:w="1340" w:type="dxa"/>
            <w:vAlign w:val="bottom"/>
            <w:vMerge w:val="restart"/>
            <w:shd w:val="clear" w:color="auto" w:fill="CCEEFF"/>
          </w:tcPr>
          <w:p>
            <w:pPr>
              <w:jc w:val="center"/>
              <w:ind w:right="94"/>
              <w:spacing w:after="0"/>
              <w:rPr>
                <w:sz w:val="20"/>
                <w:szCs w:val="20"/>
                <w:color w:val="auto"/>
              </w:rPr>
            </w:pPr>
            <w:r>
              <w:rPr>
                <w:rFonts w:ascii="Times New Roman" w:cs="Times New Roman" w:eastAsia="Times New Roman" w:hAnsi="Times New Roman"/>
                <w:sz w:val="17"/>
                <w:szCs w:val="17"/>
                <w:b w:val="1"/>
                <w:bCs w:val="1"/>
                <w:color w:val="auto"/>
              </w:rPr>
              <w:t>Allowance for</w:t>
            </w:r>
          </w:p>
        </w:tc>
        <w:tc>
          <w:tcPr>
            <w:tcW w:w="166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Amortized cost basis</w:t>
            </w:r>
          </w:p>
        </w:tc>
        <w:tc>
          <w:tcPr>
            <w:tcW w:w="1660" w:type="dxa"/>
            <w:vAlign w:val="bottom"/>
            <w:shd w:val="clear" w:color="auto" w:fill="CCEEFF"/>
          </w:tcPr>
          <w:p>
            <w:pPr>
              <w:jc w:val="center"/>
              <w:spacing w:after="0" w:line="167" w:lineRule="exact"/>
              <w:rPr>
                <w:sz w:val="20"/>
                <w:szCs w:val="20"/>
                <w:color w:val="auto"/>
              </w:rPr>
            </w:pPr>
            <w:r>
              <w:rPr>
                <w:rFonts w:ascii="Times New Roman" w:cs="Times New Roman" w:eastAsia="Times New Roman" w:hAnsi="Times New Roman"/>
                <w:sz w:val="17"/>
                <w:szCs w:val="17"/>
                <w:b w:val="1"/>
                <w:bCs w:val="1"/>
                <w:color w:val="auto"/>
              </w:rPr>
              <w:t>percentage of</w:t>
            </w:r>
          </w:p>
        </w:tc>
        <w:tc>
          <w:tcPr>
            <w:tcW w:w="0" w:type="dxa"/>
            <w:vAlign w:val="bottom"/>
          </w:tcPr>
          <w:p>
            <w:pPr>
              <w:spacing w:after="0"/>
              <w:rPr>
                <w:sz w:val="1"/>
                <w:szCs w:val="1"/>
                <w:color w:val="auto"/>
              </w:rPr>
            </w:pPr>
          </w:p>
        </w:tc>
      </w:tr>
      <w:tr>
        <w:trPr>
          <w:trHeight w:val="168"/>
        </w:trPr>
        <w:tc>
          <w:tcPr>
            <w:tcW w:w="14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Origination year</w:t>
            </w:r>
          </w:p>
        </w:tc>
        <w:tc>
          <w:tcPr>
            <w:tcW w:w="176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40" w:type="dxa"/>
            <w:vAlign w:val="bottom"/>
            <w:vMerge w:val="continue"/>
            <w:shd w:val="clear" w:color="auto" w:fill="CCEEFF"/>
          </w:tcPr>
          <w:p>
            <w:pPr>
              <w:spacing w:after="0"/>
              <w:rPr>
                <w:sz w:val="14"/>
                <w:szCs w:val="14"/>
                <w:color w:val="auto"/>
              </w:rPr>
            </w:pPr>
          </w:p>
        </w:tc>
        <w:tc>
          <w:tcPr>
            <w:tcW w:w="1660" w:type="dxa"/>
            <w:vAlign w:val="bottom"/>
            <w:gridSpan w:val="2"/>
            <w:vMerge w:val="continue"/>
            <w:shd w:val="clear" w:color="auto" w:fill="CCEEFF"/>
          </w:tcPr>
          <w:p>
            <w:pPr>
              <w:spacing w:after="0"/>
              <w:rPr>
                <w:sz w:val="14"/>
                <w:szCs w:val="14"/>
                <w:color w:val="auto"/>
              </w:rPr>
            </w:pPr>
          </w:p>
        </w:tc>
        <w:tc>
          <w:tcPr>
            <w:tcW w:w="1660" w:type="dxa"/>
            <w:vAlign w:val="bottom"/>
            <w:shd w:val="clear" w:color="auto" w:fill="CCEEFF"/>
          </w:tcPr>
          <w:p>
            <w:pPr>
              <w:jc w:val="center"/>
              <w:spacing w:after="0" w:line="167" w:lineRule="exact"/>
              <w:rPr>
                <w:sz w:val="20"/>
                <w:szCs w:val="20"/>
                <w:color w:val="auto"/>
              </w:rPr>
            </w:pPr>
            <w:r>
              <w:rPr>
                <w:rFonts w:ascii="Times New Roman" w:cs="Times New Roman" w:eastAsia="Times New Roman" w:hAnsi="Times New Roman"/>
                <w:sz w:val="17"/>
                <w:szCs w:val="17"/>
                <w:b w:val="1"/>
                <w:bCs w:val="1"/>
                <w:color w:val="auto"/>
              </w:rPr>
              <w:t>outstanding</w:t>
            </w:r>
          </w:p>
        </w:tc>
        <w:tc>
          <w:tcPr>
            <w:tcW w:w="0" w:type="dxa"/>
            <w:vAlign w:val="bottom"/>
          </w:tcPr>
          <w:p>
            <w:pPr>
              <w:spacing w:after="0"/>
              <w:rPr>
                <w:sz w:val="1"/>
                <w:szCs w:val="1"/>
                <w:color w:val="auto"/>
              </w:rPr>
            </w:pPr>
          </w:p>
        </w:tc>
      </w:tr>
      <w:tr>
        <w:trPr>
          <w:trHeight w:val="232"/>
        </w:trPr>
        <w:tc>
          <w:tcPr>
            <w:tcW w:w="1440" w:type="dxa"/>
            <w:vAlign w:val="bottom"/>
            <w:vMerge w:val="continue"/>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320" w:type="dxa"/>
            <w:vAlign w:val="bottom"/>
            <w:shd w:val="clear" w:color="auto" w:fill="CCEEFF"/>
          </w:tcPr>
          <w:p>
            <w:pPr>
              <w:jc w:val="center"/>
              <w:ind w:right="174"/>
              <w:spacing w:after="0"/>
              <w:rPr>
                <w:sz w:val="20"/>
                <w:szCs w:val="20"/>
                <w:color w:val="auto"/>
              </w:rPr>
            </w:pPr>
            <w:r>
              <w:rPr>
                <w:rFonts w:ascii="Times New Roman" w:cs="Times New Roman" w:eastAsia="Times New Roman" w:hAnsi="Times New Roman"/>
                <w:sz w:val="17"/>
                <w:szCs w:val="17"/>
                <w:b w:val="1"/>
                <w:bCs w:val="1"/>
                <w:color w:val="auto"/>
              </w:rPr>
              <w:t>sales type</w:t>
            </w:r>
          </w:p>
        </w:tc>
        <w:tc>
          <w:tcPr>
            <w:tcW w:w="180" w:type="dxa"/>
            <w:vAlign w:val="bottom"/>
            <w:shd w:val="clear" w:color="auto" w:fill="CCEEFF"/>
          </w:tcPr>
          <w:p>
            <w:pPr>
              <w:spacing w:after="0"/>
              <w:rPr>
                <w:sz w:val="20"/>
                <w:szCs w:val="20"/>
                <w:color w:val="auto"/>
              </w:rPr>
            </w:pPr>
          </w:p>
        </w:tc>
        <w:tc>
          <w:tcPr>
            <w:tcW w:w="1340" w:type="dxa"/>
            <w:vAlign w:val="bottom"/>
            <w:shd w:val="clear" w:color="auto" w:fill="CCEEFF"/>
          </w:tcPr>
          <w:p>
            <w:pPr>
              <w:jc w:val="center"/>
              <w:ind w:right="94"/>
              <w:spacing w:after="0"/>
              <w:rPr>
                <w:sz w:val="20"/>
                <w:szCs w:val="20"/>
                <w:color w:val="auto"/>
              </w:rPr>
            </w:pPr>
            <w:r>
              <w:rPr>
                <w:rFonts w:ascii="Times New Roman" w:cs="Times New Roman" w:eastAsia="Times New Roman" w:hAnsi="Times New Roman"/>
                <w:sz w:val="17"/>
                <w:szCs w:val="17"/>
                <w:b w:val="1"/>
                <w:bCs w:val="1"/>
                <w:color w:val="auto"/>
              </w:rPr>
              <w:t>credit losses</w:t>
            </w:r>
          </w:p>
        </w:tc>
        <w:tc>
          <w:tcPr>
            <w:tcW w:w="100" w:type="dxa"/>
            <w:vAlign w:val="bottom"/>
            <w:shd w:val="clear" w:color="auto" w:fill="CCEEFF"/>
          </w:tcPr>
          <w:p>
            <w:pPr>
              <w:spacing w:after="0"/>
              <w:rPr>
                <w:sz w:val="20"/>
                <w:szCs w:val="20"/>
                <w:color w:val="auto"/>
              </w:rPr>
            </w:pPr>
          </w:p>
        </w:tc>
        <w:tc>
          <w:tcPr>
            <w:tcW w:w="15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rPr>
              <w:t>at March 31, 2026</w:t>
            </w: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b w:val="1"/>
                <w:bCs w:val="1"/>
                <w:color w:val="auto"/>
              </w:rPr>
              <w:t>financing receivable</w:t>
            </w:r>
          </w:p>
        </w:tc>
        <w:tc>
          <w:tcPr>
            <w:tcW w:w="0" w:type="dxa"/>
            <w:vAlign w:val="bottom"/>
          </w:tcPr>
          <w:p>
            <w:pPr>
              <w:spacing w:after="0"/>
              <w:rPr>
                <w:sz w:val="1"/>
                <w:szCs w:val="1"/>
                <w:color w:val="auto"/>
              </w:rPr>
            </w:pPr>
          </w:p>
        </w:tc>
      </w:tr>
      <w:tr>
        <w:trPr>
          <w:trHeight w:val="232"/>
        </w:trPr>
        <w:tc>
          <w:tcPr>
            <w:tcW w:w="1440" w:type="dxa"/>
            <w:vAlign w:val="bottom"/>
          </w:tcPr>
          <w:p>
            <w:pPr>
              <w:ind w:left="20"/>
              <w:spacing w:after="0" w:line="232" w:lineRule="exact"/>
              <w:rPr>
                <w:sz w:val="20"/>
                <w:szCs w:val="20"/>
                <w:color w:val="auto"/>
              </w:rPr>
            </w:pPr>
            <w:r>
              <w:rPr>
                <w:rFonts w:ascii="Times New Roman" w:cs="Times New Roman" w:eastAsia="Times New Roman" w:hAnsi="Times New Roman"/>
                <w:sz w:val="21"/>
                <w:szCs w:val="21"/>
                <w:color w:val="auto"/>
              </w:rPr>
              <w:t>​</w:t>
            </w:r>
          </w:p>
        </w:tc>
        <w:tc>
          <w:tcPr>
            <w:tcW w:w="4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1440" w:type="dxa"/>
            <w:vAlign w:val="bottom"/>
            <w:shd w:val="clear" w:color="auto" w:fill="CCEEFF"/>
          </w:tcPr>
          <w:p>
            <w:pPr>
              <w:jc w:val="right"/>
              <w:ind w:right="368"/>
              <w:spacing w:after="0"/>
              <w:rPr>
                <w:sz w:val="20"/>
                <w:szCs w:val="20"/>
                <w:color w:val="auto"/>
              </w:rPr>
            </w:pPr>
            <w:r>
              <w:rPr>
                <w:rFonts w:ascii="Times New Roman" w:cs="Times New Roman" w:eastAsia="Times New Roman" w:hAnsi="Times New Roman"/>
                <w:sz w:val="17"/>
                <w:szCs w:val="17"/>
                <w:b w:val="1"/>
                <w:bCs w:val="1"/>
                <w:color w:val="auto"/>
              </w:rPr>
              <w:t>2024</w:t>
            </w:r>
          </w:p>
        </w:tc>
        <w:tc>
          <w:tcPr>
            <w:tcW w:w="4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278,497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(27,985)</w:t>
            </w: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250,512</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(10.05)%</w:t>
            </w:r>
          </w:p>
        </w:tc>
        <w:tc>
          <w:tcPr>
            <w:tcW w:w="0" w:type="dxa"/>
            <w:vAlign w:val="bottom"/>
          </w:tcPr>
          <w:p>
            <w:pPr>
              <w:spacing w:after="0"/>
              <w:rPr>
                <w:sz w:val="1"/>
                <w:szCs w:val="1"/>
                <w:color w:val="auto"/>
              </w:rPr>
            </w:pPr>
          </w:p>
        </w:tc>
      </w:tr>
    </w:tbl>
    <w:p>
      <w:pPr>
        <w:spacing w:after="0" w:line="293"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During the three months ended March 31, 2025, the Company recorded a provision for credit losses, net of $36.0 million on the Investment in leases, financing receivables and sales type. The reason for the increase was primarily due to a more pessimistic forward looking economic forecast and weighting at March 31, 2025 compared to what was utilized at December 31, 2024.</w:t>
      </w:r>
    </w:p>
    <w:p>
      <w:pPr>
        <w:spacing w:after="0" w:line="191"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Additionally, a benefit for credit losses of $10.1 million and a provision for credit losses of $3.2 million was recorded during the three months ended March 31, 2026 and March 31, 2025, respectively, on the Company's real estate loans and related loan commitment (See Note 5 for further details).</w:t>
      </w:r>
    </w:p>
    <w:p>
      <w:pPr>
        <w:spacing w:after="0" w:line="177"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The reason for differences in the allowance as a percentage of outstanding financing receivable for leases originated in each calendar year in the table above depends on various factors for the leases such as, but not limited to expected rent coverage ratios and loan to value ratios. Future changes in economic projections, probability factors, changes in the estimated value of our real estate property and earnings assumptions at the underlying facilities may result in non-cash provisions or recoveries in future periods that could materially impact our results of operations.</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354"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7"/>
          <w:szCs w:val="17"/>
          <w:b w:val="1"/>
          <w:bCs w:val="1"/>
          <w:color w:val="auto"/>
        </w:rPr>
        <w:t>4.</w:t>
        <w:tab/>
        <w:t>Real Estate Investments, Net</w:t>
      </w:r>
    </w:p>
    <w:p>
      <w:pPr>
        <w:spacing w:after="0" w:line="247" w:lineRule="exact"/>
        <w:rPr>
          <w:sz w:val="20"/>
          <w:szCs w:val="20"/>
          <w:color w:val="auto"/>
        </w:rPr>
      </w:pPr>
    </w:p>
    <w:p>
      <w:pPr>
        <w:ind w:right="60" w:firstLine="619"/>
        <w:spacing w:after="0" w:line="265" w:lineRule="auto"/>
        <w:rPr>
          <w:sz w:val="20"/>
          <w:szCs w:val="20"/>
          <w:color w:val="auto"/>
        </w:rPr>
      </w:pPr>
      <w:r>
        <w:rPr>
          <w:rFonts w:ascii="Times New Roman" w:cs="Times New Roman" w:eastAsia="Times New Roman" w:hAnsi="Times New Roman"/>
          <w:sz w:val="17"/>
          <w:szCs w:val="17"/>
          <w:color w:val="auto"/>
        </w:rPr>
        <w:t>Real estate investments, net, represent investments in rental properties and the corporate headquarters building (excluding our investments in transactions accounted for as real estate loans and investment in leases, financing receivables and investment in leases, sales-type that are described in Notes 5 and 3, respectively) and is summarized as follows:</w:t>
      </w:r>
    </w:p>
    <w:tbl>
      <w:tblPr>
        <w:tblLayout w:type="fixed"/>
        <w:tblInd w:w="1280" w:type="dxa"/>
        <w:tblCellMar>
          <w:top w:w="0" w:type="dxa"/>
          <w:left w:w="0" w:type="dxa"/>
          <w:bottom w:w="0" w:type="dxa"/>
          <w:right w:w="0" w:type="dxa"/>
        </w:tblCellMar>
      </w:tblPr>
      <w:tr>
        <w:trPr>
          <w:trHeight w:val="144"/>
        </w:trPr>
        <w:tc>
          <w:tcPr>
            <w:tcW w:w="7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gridSpan w:val="2"/>
          </w:tcPr>
          <w:p>
            <w:pPr>
              <w:ind w:left="140"/>
              <w:spacing w:after="0" w:line="144"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2"/>
                <w:szCs w:val="12"/>
                <w:color w:val="auto"/>
              </w:rPr>
            </w:pPr>
          </w:p>
        </w:tc>
        <w:tc>
          <w:tcPr>
            <w:tcW w:w="1180" w:type="dxa"/>
            <w:vAlign w:val="bottom"/>
          </w:tcPr>
          <w:p>
            <w:pPr>
              <w:jc w:val="right"/>
              <w:ind w:right="198"/>
              <w:spacing w:after="0" w:line="144"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70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86"/>
        </w:trPr>
        <w:tc>
          <w:tcPr>
            <w:tcW w:w="7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0" w:type="dxa"/>
            <w:vAlign w:val="bottom"/>
            <w:gridSpan w:val="4"/>
          </w:tcPr>
          <w:p>
            <w:pPr>
              <w:jc w:val="right"/>
              <w:ind w:right="918"/>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25"/>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Land and improvements</w:t>
            </w: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4,032,380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3,588,793</w:t>
            </w:r>
          </w:p>
        </w:tc>
      </w:tr>
      <w:tr>
        <w:trPr>
          <w:trHeight w:val="219"/>
        </w:trPr>
        <w:tc>
          <w:tcPr>
            <w:tcW w:w="7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Building and improvements</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7,629,958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7,353,409</w:t>
            </w:r>
          </w:p>
        </w:tc>
      </w:tr>
      <w:tr>
        <w:trPr>
          <w:trHeight w:val="219"/>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Construction in progress</w:t>
            </w: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325,570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230,831</w:t>
            </w:r>
          </w:p>
        </w:tc>
      </w:tr>
      <w:tr>
        <w:trPr>
          <w:trHeight w:val="212"/>
        </w:trPr>
        <w:tc>
          <w:tcPr>
            <w:tcW w:w="70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Total real estate investments</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11,987,908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11,173,033</w:t>
            </w:r>
          </w:p>
        </w:tc>
      </w:tr>
      <w:tr>
        <w:trPr>
          <w:trHeight w:val="219"/>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Less accumulated depreciation</w:t>
            </w: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(2,763,324)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(2,698,772)</w:t>
            </w:r>
          </w:p>
        </w:tc>
      </w:tr>
      <w:tr>
        <w:trPr>
          <w:trHeight w:val="212"/>
        </w:trPr>
        <w:tc>
          <w:tcPr>
            <w:tcW w:w="7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Real estate investments, net</w:t>
            </w:r>
          </w:p>
        </w:tc>
        <w:tc>
          <w:tcPr>
            <w:tcW w:w="2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9,224,584</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8,474,261</w:t>
            </w:r>
          </w:p>
        </w:tc>
      </w:tr>
      <w:tr>
        <w:trPr>
          <w:trHeight w:val="20"/>
        </w:trPr>
        <w:tc>
          <w:tcPr>
            <w:tcW w:w="70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The increase in land and improvements and building and improvements relates to the acquisition of the Bally's Lincoln real estate assets, in addition to the landside development project for Bally's Marquette. Construction in progress primarily represents development funding along with related capitalized interest on the Company's development projects.</w:t>
      </w:r>
    </w:p>
    <w:p>
      <w:pPr>
        <w:spacing w:after="0" w:line="187"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7"/>
          <w:szCs w:val="17"/>
          <w:b w:val="1"/>
          <w:bCs w:val="1"/>
          <w:color w:val="auto"/>
        </w:rPr>
        <w:t>5.</w:t>
        <w:tab/>
        <w:t>Real Estate Loans, Net</w:t>
      </w:r>
    </w:p>
    <w:p>
      <w:pPr>
        <w:spacing w:after="0" w:line="247"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The Company entered into the Rockford Loan to fund the construction of the Hard Rock Casino Rockford in Rockford, Illinois. As of March 31, 2026 and December 31, 2025, the entire $150 million commitment was drawn. On January 1, 2025, the Company amended the terms of the Rockford Loan to reduce the interest rate to 8% from 10% with a maturity date of June 30, 2026, subject to a 6 month extension.</w:t>
      </w:r>
    </w:p>
    <w:p>
      <w:pPr>
        <w:spacing w:after="0" w:line="191"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The Company also entered into the Ione Loan for up to $110 million, of which $83.6 million and $56.6 million was drawn as of March 31, 2026 and December 31, 2025, respectively. The Ione Loan has an 11% annual interest rate and matures in September 2029.</w:t>
      </w:r>
    </w:p>
    <w:p>
      <w:pPr>
        <w:spacing w:after="0" w:line="177"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The Company also entered into the Dry Creek Loan on December 4, 2025, and $45.3 million was drawn as of March 31, 2026 and December 31, 2025, respectively. The term loan B was issued at an original issue discount of 3% and bears interest at SOFR plus 900 basis points, subject to a SOFR floor of 1%. Each term loan has a maturity of 6 years.</w:t>
      </w:r>
    </w:p>
    <w:p>
      <w:pPr>
        <w:spacing w:after="0" w:line="191"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As discussed in Note 1, the Company concluded that amounts funded and the commitment to fund the development of Virginia Live! should be accounted for as a loan and a loan commitment, respectively. Accordingly, the approximately $27.0 million funded on January 15, 2026 to acquire the land for the project has been classified as a real estate loan, and interest income is recognized at an annual rate of 8.0%. Upon completion of construction and commencement of operations, the Company expects the arrangement to be evaluated under the sale-leaseback guidance in ASC 842 to determine the appropriate lease classification.</w:t>
      </w:r>
    </w:p>
    <w:p>
      <w:pPr>
        <w:spacing w:after="0" w:line="19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is a summary of the balances of the Company's Real estate loans, net.</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2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960" w:type="dxa"/>
            <w:vAlign w:val="bottom"/>
            <w:tcBorders>
              <w:bottom w:val="single" w:sz="8" w:color="auto"/>
            </w:tcBorders>
            <w:gridSpan w:val="2"/>
            <w:shd w:val="clear" w:color="auto" w:fill="CCEEFF"/>
          </w:tcPr>
          <w:p>
            <w:pPr>
              <w:ind w:left="240"/>
              <w:spacing w:after="0"/>
              <w:rPr>
                <w:sz w:val="20"/>
                <w:szCs w:val="20"/>
                <w:color w:val="auto"/>
              </w:rPr>
            </w:pPr>
            <w:r>
              <w:rPr>
                <w:rFonts w:ascii="Times New Roman" w:cs="Times New Roman" w:eastAsia="Times New Roman" w:hAnsi="Times New Roman"/>
                <w:sz w:val="15"/>
                <w:szCs w:val="15"/>
                <w:b w:val="1"/>
                <w:bCs w:val="1"/>
                <w:color w:val="auto"/>
              </w:rPr>
              <w:t>March 31, 2026</w:t>
            </w:r>
          </w:p>
        </w:tc>
        <w:tc>
          <w:tcPr>
            <w:tcW w:w="420" w:type="dxa"/>
            <w:vAlign w:val="bottom"/>
            <w:tcBorders>
              <w:bottom w:val="single" w:sz="8" w:color="auto"/>
            </w:tcBorders>
            <w:shd w:val="clear" w:color="auto" w:fill="CCEEFF"/>
          </w:tcPr>
          <w:p>
            <w:pPr>
              <w:spacing w:after="0"/>
              <w:rPr>
                <w:sz w:val="17"/>
                <w:szCs w:val="17"/>
                <w:color w:val="auto"/>
              </w:rPr>
            </w:pPr>
          </w:p>
        </w:tc>
        <w:tc>
          <w:tcPr>
            <w:tcW w:w="1780" w:type="dxa"/>
            <w:vAlign w:val="bottom"/>
            <w:tcBorders>
              <w:bottom w:val="single" w:sz="8" w:color="auto"/>
            </w:tcBorders>
            <w:shd w:val="clear" w:color="auto" w:fill="CCEEFF"/>
          </w:tcPr>
          <w:p>
            <w:pPr>
              <w:jc w:val="right"/>
              <w:ind w:right="396"/>
              <w:spacing w:after="0"/>
              <w:rPr>
                <w:sz w:val="20"/>
                <w:szCs w:val="20"/>
                <w:color w:val="auto"/>
              </w:rPr>
            </w:pPr>
            <w:r>
              <w:rPr>
                <w:rFonts w:ascii="Times New Roman" w:cs="Times New Roman" w:eastAsia="Times New Roman" w:hAnsi="Times New Roman"/>
                <w:sz w:val="15"/>
                <w:szCs w:val="15"/>
                <w:b w:val="1"/>
                <w:bCs w:val="1"/>
                <w:color w:val="auto"/>
              </w:rPr>
              <w:t>December 31, 2025</w:t>
            </w:r>
          </w:p>
        </w:tc>
        <w:tc>
          <w:tcPr>
            <w:tcW w:w="3140" w:type="dxa"/>
            <w:vAlign w:val="bottom"/>
          </w:tcPr>
          <w:p>
            <w:pPr>
              <w:spacing w:after="0"/>
              <w:rPr>
                <w:sz w:val="17"/>
                <w:szCs w:val="17"/>
                <w:color w:val="auto"/>
              </w:rPr>
            </w:pPr>
          </w:p>
        </w:tc>
      </w:tr>
      <w:tr>
        <w:trPr>
          <w:trHeight w:val="181"/>
        </w:trPr>
        <w:tc>
          <w:tcPr>
            <w:tcW w:w="62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3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780" w:type="dxa"/>
            <w:vAlign w:val="bottom"/>
          </w:tcPr>
          <w:p>
            <w:pPr>
              <w:spacing w:after="0"/>
              <w:rPr>
                <w:sz w:val="15"/>
                <w:szCs w:val="15"/>
                <w:color w:val="auto"/>
              </w:rPr>
            </w:pPr>
          </w:p>
        </w:tc>
        <w:tc>
          <w:tcPr>
            <w:tcW w:w="3140" w:type="dxa"/>
            <w:vAlign w:val="bottom"/>
          </w:tcPr>
          <w:p>
            <w:pPr>
              <w:spacing w:after="0"/>
              <w:rPr>
                <w:sz w:val="15"/>
                <w:szCs w:val="15"/>
                <w:color w:val="auto"/>
              </w:rPr>
            </w:pPr>
          </w:p>
        </w:tc>
      </w:tr>
      <w:tr>
        <w:trPr>
          <w:trHeight w:val="225"/>
        </w:trPr>
        <w:tc>
          <w:tcPr>
            <w:tcW w:w="620" w:type="dxa"/>
            <w:vAlign w:val="bottom"/>
          </w:tcPr>
          <w:p>
            <w:pPr>
              <w:spacing w:after="0"/>
              <w:rPr>
                <w:sz w:val="19"/>
                <w:szCs w:val="19"/>
                <w:color w:val="auto"/>
              </w:rPr>
            </w:pPr>
          </w:p>
        </w:tc>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Real estate loans (1)</w:t>
            </w:r>
          </w:p>
        </w:tc>
        <w:tc>
          <w:tcPr>
            <w:tcW w:w="36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304,629</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250,515</w:t>
            </w:r>
          </w:p>
        </w:tc>
        <w:tc>
          <w:tcPr>
            <w:tcW w:w="3140" w:type="dxa"/>
            <w:vAlign w:val="bottom"/>
          </w:tcPr>
          <w:p>
            <w:pPr>
              <w:spacing w:after="0"/>
              <w:rPr>
                <w:sz w:val="19"/>
                <w:szCs w:val="19"/>
                <w:color w:val="auto"/>
              </w:rPr>
            </w:pPr>
          </w:p>
        </w:tc>
      </w:tr>
      <w:tr>
        <w:trPr>
          <w:trHeight w:val="219"/>
        </w:trPr>
        <w:tc>
          <w:tcPr>
            <w:tcW w:w="620" w:type="dxa"/>
            <w:vAlign w:val="bottom"/>
          </w:tcPr>
          <w:p>
            <w:pPr>
              <w:spacing w:after="0"/>
              <w:rPr>
                <w:sz w:val="19"/>
                <w:szCs w:val="19"/>
                <w:color w:val="auto"/>
              </w:rPr>
            </w:pPr>
          </w:p>
        </w:tc>
        <w:tc>
          <w:tcPr>
            <w:tcW w:w="2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Less: Allowance for credit losses</w:t>
            </w:r>
          </w:p>
        </w:tc>
        <w:tc>
          <w:tcPr>
            <w:tcW w:w="36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(4,920)</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(2,516)</w:t>
            </w:r>
          </w:p>
        </w:tc>
        <w:tc>
          <w:tcPr>
            <w:tcW w:w="3140" w:type="dxa"/>
            <w:vAlign w:val="bottom"/>
          </w:tcPr>
          <w:p>
            <w:pPr>
              <w:spacing w:after="0"/>
              <w:rPr>
                <w:sz w:val="19"/>
                <w:szCs w:val="19"/>
                <w:color w:val="auto"/>
              </w:rPr>
            </w:pPr>
          </w:p>
        </w:tc>
      </w:tr>
      <w:tr>
        <w:trPr>
          <w:trHeight w:val="237"/>
        </w:trPr>
        <w:tc>
          <w:tcPr>
            <w:tcW w:w="620" w:type="dxa"/>
            <w:vAlign w:val="bottom"/>
          </w:tcPr>
          <w:p>
            <w:pPr>
              <w:spacing w:after="0"/>
              <w:rPr>
                <w:sz w:val="20"/>
                <w:szCs w:val="20"/>
                <w:color w:val="auto"/>
              </w:rPr>
            </w:pPr>
          </w:p>
        </w:tc>
        <w:tc>
          <w:tcPr>
            <w:tcW w:w="2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Real estate loans, net</w:t>
            </w:r>
          </w:p>
        </w:tc>
        <w:tc>
          <w:tcPr>
            <w:tcW w:w="36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299,709</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247,999</w:t>
            </w:r>
          </w:p>
        </w:tc>
        <w:tc>
          <w:tcPr>
            <w:tcW w:w="3140" w:type="dxa"/>
            <w:vAlign w:val="bottom"/>
          </w:tcPr>
          <w:p>
            <w:pPr>
              <w:spacing w:after="0"/>
              <w:rPr>
                <w:sz w:val="20"/>
                <w:szCs w:val="20"/>
                <w:color w:val="auto"/>
              </w:rPr>
            </w:pPr>
          </w:p>
        </w:tc>
      </w:tr>
      <w:tr>
        <w:trPr>
          <w:trHeight w:val="20"/>
        </w:trPr>
        <w:tc>
          <w:tcPr>
            <w:tcW w:w="620" w:type="dxa"/>
            <w:vAlign w:val="bottom"/>
          </w:tcPr>
          <w:p>
            <w:pPr>
              <w:spacing w:after="0" w:line="20" w:lineRule="exact"/>
              <w:rPr>
                <w:sz w:val="1"/>
                <w:szCs w:val="1"/>
                <w:color w:val="auto"/>
              </w:rPr>
            </w:pPr>
          </w:p>
        </w:tc>
        <w:tc>
          <w:tcPr>
            <w:tcW w:w="29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r>
      <w:tr>
        <w:trPr>
          <w:trHeight w:val="784"/>
        </w:trPr>
        <w:tc>
          <w:tcPr>
            <w:tcW w:w="6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140" w:type="dxa"/>
            <w:vAlign w:val="bottom"/>
          </w:tcPr>
          <w:p>
            <w:pPr>
              <w:spacing w:after="0"/>
              <w:rPr>
                <w:sz w:val="24"/>
                <w:szCs w:val="24"/>
                <w:color w:val="auto"/>
              </w:rPr>
            </w:pPr>
          </w:p>
        </w:tc>
      </w:tr>
      <w:tr>
        <w:trPr>
          <w:trHeight w:val="108"/>
        </w:trPr>
        <w:tc>
          <w:tcPr>
            <w:tcW w:w="620" w:type="dxa"/>
            <w:vAlign w:val="bottom"/>
            <w:tcBorders>
              <w:bottom w:val="single" w:sz="8" w:color="9A9A9A"/>
            </w:tcBorders>
          </w:tcPr>
          <w:p>
            <w:pPr>
              <w:spacing w:after="0"/>
              <w:rPr>
                <w:sz w:val="9"/>
                <w:szCs w:val="9"/>
                <w:color w:val="auto"/>
              </w:rPr>
            </w:pPr>
          </w:p>
        </w:tc>
        <w:tc>
          <w:tcPr>
            <w:tcW w:w="296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8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1780" w:type="dxa"/>
            <w:vAlign w:val="bottom"/>
            <w:tcBorders>
              <w:bottom w:val="single" w:sz="8" w:color="9A9A9A"/>
            </w:tcBorders>
          </w:tcPr>
          <w:p>
            <w:pPr>
              <w:spacing w:after="0"/>
              <w:rPr>
                <w:sz w:val="9"/>
                <w:szCs w:val="9"/>
                <w:color w:val="auto"/>
              </w:rPr>
            </w:pPr>
          </w:p>
        </w:tc>
        <w:tc>
          <w:tcPr>
            <w:tcW w:w="31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358" w:lineRule="exact"/>
        <w:rPr>
          <w:sz w:val="20"/>
          <w:szCs w:val="20"/>
          <w:color w:val="auto"/>
        </w:rPr>
      </w:pPr>
    </w:p>
    <w:p>
      <w:pPr>
        <w:ind w:left="620" w:right="2220" w:firstLine="2"/>
        <w:spacing w:after="0" w:line="564" w:lineRule="auto"/>
        <w:tabs>
          <w:tab w:leader="none" w:pos="863"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an unearned discount of $1.3 million and $1.4 million at March 31, 2026 and December 31, 2025, respectively. The change in the allowance for credit losses for the Company's Real estate loans is shown below (in thousands):</w:t>
      </w:r>
    </w:p>
    <w:tbl>
      <w:tblPr>
        <w:tblLayout w:type="fixed"/>
        <w:tblInd w:w="620" w:type="dxa"/>
        <w:tblCellMar>
          <w:top w:w="0" w:type="dxa"/>
          <w:left w:w="0" w:type="dxa"/>
          <w:bottom w:w="0" w:type="dxa"/>
          <w:right w:w="0" w:type="dxa"/>
        </w:tblCellMar>
      </w:tblPr>
      <w:tr>
        <w:trPr>
          <w:trHeight w:val="206"/>
        </w:trPr>
        <w:tc>
          <w:tcPr>
            <w:tcW w:w="3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5"/>
                <w:szCs w:val="15"/>
                <w:b w:val="1"/>
                <w:bCs w:val="1"/>
                <w:color w:val="auto"/>
              </w:rPr>
              <w:t>Rockford Loan</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Ione Loan</w:t>
            </w: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5"/>
                <w:szCs w:val="15"/>
                <w:b w:val="1"/>
                <w:bCs w:val="1"/>
                <w:color w:val="auto"/>
              </w:rPr>
              <w:t>Dry Creek Loan</w:t>
            </w:r>
          </w:p>
        </w:tc>
        <w:tc>
          <w:tcPr>
            <w:tcW w:w="12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5"/>
                <w:szCs w:val="15"/>
                <w:b w:val="1"/>
                <w:bCs w:val="1"/>
                <w:color w:val="auto"/>
              </w:rPr>
              <w:t>Cordish VA Loan</w:t>
            </w:r>
          </w:p>
        </w:tc>
        <w:tc>
          <w:tcPr>
            <w:tcW w:w="34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276"/>
              <w:spacing w:after="0"/>
              <w:rPr>
                <w:sz w:val="20"/>
                <w:szCs w:val="20"/>
                <w:color w:val="auto"/>
              </w:rPr>
            </w:pPr>
            <w:r>
              <w:rPr>
                <w:rFonts w:ascii="Times New Roman" w:cs="Times New Roman" w:eastAsia="Times New Roman" w:hAnsi="Times New Roman"/>
                <w:sz w:val="15"/>
                <w:szCs w:val="15"/>
                <w:b w:val="1"/>
                <w:bCs w:val="1"/>
                <w:color w:val="auto"/>
              </w:rPr>
              <w:t>Total</w:t>
            </w:r>
          </w:p>
        </w:tc>
      </w:tr>
      <w:tr>
        <w:trPr>
          <w:trHeight w:val="219"/>
        </w:trPr>
        <w:tc>
          <w:tcPr>
            <w:tcW w:w="3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Balance at December 31, 2025</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(1,279)</w:t>
            </w:r>
          </w:p>
        </w:tc>
        <w:tc>
          <w:tcPr>
            <w:tcW w:w="1080" w:type="dxa"/>
            <w:vAlign w:val="bottom"/>
          </w:tcPr>
          <w:p>
            <w:pPr>
              <w:jc w:val="right"/>
              <w:ind w:right="897"/>
              <w:spacing w:after="0"/>
              <w:rPr>
                <w:sz w:val="20"/>
                <w:szCs w:val="20"/>
                <w:color w:val="auto"/>
              </w:rPr>
            </w:pPr>
            <w:r>
              <w:rPr>
                <w:rFonts w:ascii="Times New Roman" w:cs="Times New Roman" w:eastAsia="Times New Roman" w:hAnsi="Times New Roman"/>
                <w:sz w:val="17"/>
                <w:szCs w:val="17"/>
                <w:color w:val="auto"/>
                <w:w w:val="93"/>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2"/>
              </w:rPr>
              <w:t>(399)</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(838)</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gridSpan w:val="2"/>
          </w:tcPr>
          <w:p>
            <w:pPr>
              <w:jc w:val="right"/>
              <w:ind w:right="134"/>
              <w:spacing w:after="0"/>
              <w:rPr>
                <w:sz w:val="20"/>
                <w:szCs w:val="20"/>
                <w:color w:val="auto"/>
              </w:rPr>
            </w:pPr>
            <w:r>
              <w:rPr>
                <w:rFonts w:ascii="Times New Roman" w:cs="Times New Roman" w:eastAsia="Times New Roman" w:hAnsi="Times New Roman"/>
                <w:sz w:val="17"/>
                <w:szCs w:val="17"/>
                <w:color w:val="auto"/>
              </w:rPr>
              <w:t>— $</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(2,51</w:t>
            </w:r>
          </w:p>
        </w:tc>
      </w:tr>
      <w:tr>
        <w:trPr>
          <w:trHeight w:val="219"/>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Change in allowance</w:t>
            </w:r>
          </w:p>
        </w:tc>
        <w:tc>
          <w:tcPr>
            <w:tcW w:w="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(1,616)</w:t>
            </w:r>
          </w:p>
        </w:tc>
        <w:tc>
          <w:tcPr>
            <w:tcW w:w="108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2"/>
              </w:rPr>
              <w:t>(246)</w:t>
            </w: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(294)</w:t>
            </w: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(248)</w:t>
            </w:r>
          </w:p>
        </w:tc>
        <w:tc>
          <w:tcPr>
            <w:tcW w:w="3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(2,40</w:t>
            </w:r>
          </w:p>
        </w:tc>
      </w:tr>
      <w:tr>
        <w:trPr>
          <w:trHeight w:val="212"/>
        </w:trPr>
        <w:tc>
          <w:tcPr>
            <w:tcW w:w="3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Ending balance at March 31, 2026</w:t>
            </w:r>
          </w:p>
        </w:tc>
        <w:tc>
          <w:tcPr>
            <w:tcW w:w="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(2,895)</w:t>
            </w:r>
          </w:p>
        </w:tc>
        <w:tc>
          <w:tcPr>
            <w:tcW w:w="1080" w:type="dxa"/>
            <w:vAlign w:val="bottom"/>
            <w:tcBorders>
              <w:bottom w:val="single" w:sz="8" w:color="auto"/>
            </w:tcBorders>
          </w:tcPr>
          <w:p>
            <w:pPr>
              <w:jc w:val="right"/>
              <w:ind w:right="897"/>
              <w:spacing w:after="0"/>
              <w:rPr>
                <w:sz w:val="20"/>
                <w:szCs w:val="20"/>
                <w:color w:val="auto"/>
              </w:rPr>
            </w:pPr>
            <w:r>
              <w:rPr>
                <w:rFonts w:ascii="Times New Roman" w:cs="Times New Roman" w:eastAsia="Times New Roman" w:hAnsi="Times New Roman"/>
                <w:sz w:val="17"/>
                <w:szCs w:val="17"/>
                <w:color w:val="auto"/>
                <w:w w:val="93"/>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2"/>
              </w:rPr>
              <w:t>(645)</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(1,132)</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(248)</w:t>
            </w:r>
          </w:p>
        </w:tc>
        <w:tc>
          <w:tcPr>
            <w:tcW w:w="3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(4,92</w:t>
            </w:r>
          </w:p>
        </w:tc>
      </w:tr>
      <w:tr>
        <w:trPr>
          <w:trHeight w:val="20"/>
        </w:trPr>
        <w:tc>
          <w:tcPr>
            <w:tcW w:w="3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572"/>
        </w:trPr>
        <w:tc>
          <w:tcPr>
            <w:tcW w:w="3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6"/>
        </w:trPr>
        <w:tc>
          <w:tcPr>
            <w:tcW w:w="3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5"/>
                <w:szCs w:val="15"/>
                <w:b w:val="1"/>
                <w:bCs w:val="1"/>
                <w:color w:val="auto"/>
              </w:rPr>
              <w:t>Rockford Loan</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Ione Loan</w:t>
            </w: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496"/>
              <w:spacing w:after="0"/>
              <w:rPr>
                <w:sz w:val="20"/>
                <w:szCs w:val="20"/>
                <w:color w:val="auto"/>
              </w:rPr>
            </w:pPr>
            <w:r>
              <w:rPr>
                <w:rFonts w:ascii="Times New Roman" w:cs="Times New Roman" w:eastAsia="Times New Roman" w:hAnsi="Times New Roman"/>
                <w:sz w:val="15"/>
                <w:szCs w:val="15"/>
                <w:b w:val="1"/>
                <w:bCs w:val="1"/>
                <w:color w:val="auto"/>
              </w:rPr>
              <w:t>Total</w:t>
            </w: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19"/>
        </w:trPr>
        <w:tc>
          <w:tcPr>
            <w:tcW w:w="3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Balance at December 31, 2024</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(4,487)</w:t>
            </w:r>
          </w:p>
        </w:tc>
        <w:tc>
          <w:tcPr>
            <w:tcW w:w="1080" w:type="dxa"/>
            <w:vAlign w:val="bottom"/>
          </w:tcPr>
          <w:p>
            <w:pPr>
              <w:jc w:val="right"/>
              <w:ind w:right="897"/>
              <w:spacing w:after="0"/>
              <w:rPr>
                <w:sz w:val="20"/>
                <w:szCs w:val="20"/>
                <w:color w:val="auto"/>
              </w:rPr>
            </w:pPr>
            <w:r>
              <w:rPr>
                <w:rFonts w:ascii="Times New Roman" w:cs="Times New Roman" w:eastAsia="Times New Roman" w:hAnsi="Times New Roman"/>
                <w:sz w:val="17"/>
                <w:szCs w:val="17"/>
                <w:color w:val="auto"/>
                <w:w w:val="93"/>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(4,570)</w:t>
            </w: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19"/>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Change in allowance</w:t>
            </w:r>
          </w:p>
        </w:tc>
        <w:tc>
          <w:tcPr>
            <w:tcW w:w="4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(2,939)</w:t>
            </w:r>
          </w:p>
        </w:tc>
        <w:tc>
          <w:tcPr>
            <w:tcW w:w="108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w:t>
            </w: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(3,006)</w:t>
            </w: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12"/>
        </w:trPr>
        <w:tc>
          <w:tcPr>
            <w:tcW w:w="3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Ending balance at March 31, 2025</w:t>
            </w:r>
          </w:p>
        </w:tc>
        <w:tc>
          <w:tcPr>
            <w:tcW w:w="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(7,426)</w:t>
            </w:r>
          </w:p>
        </w:tc>
        <w:tc>
          <w:tcPr>
            <w:tcW w:w="1080" w:type="dxa"/>
            <w:vAlign w:val="bottom"/>
            <w:tcBorders>
              <w:bottom w:val="single" w:sz="8" w:color="auto"/>
            </w:tcBorders>
          </w:tcPr>
          <w:p>
            <w:pPr>
              <w:jc w:val="right"/>
              <w:ind w:right="897"/>
              <w:spacing w:after="0"/>
              <w:rPr>
                <w:sz w:val="20"/>
                <w:szCs w:val="20"/>
                <w:color w:val="auto"/>
              </w:rPr>
            </w:pPr>
            <w:r>
              <w:rPr>
                <w:rFonts w:ascii="Times New Roman" w:cs="Times New Roman" w:eastAsia="Times New Roman" w:hAnsi="Times New Roman"/>
                <w:sz w:val="17"/>
                <w:szCs w:val="17"/>
                <w:color w:val="auto"/>
                <w:w w:val="93"/>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2"/>
              </w:rPr>
              <w:t>(150)</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(7,576)</w:t>
            </w: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0"/>
        </w:trPr>
        <w:tc>
          <w:tcPr>
            <w:tcW w:w="35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bl>
    <w:p>
      <w:pPr>
        <w:spacing w:after="0" w:line="29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amortized cost basis of the Company's real estate loans by year of origination is shown below as of March 31, 2026 (in thousands):</w:t>
      </w:r>
    </w:p>
    <w:p>
      <w:pPr>
        <w:spacing w:after="0" w:line="263" w:lineRule="exact"/>
        <w:rPr>
          <w:sz w:val="20"/>
          <w:szCs w:val="20"/>
          <w:color w:val="auto"/>
        </w:rPr>
      </w:pPr>
    </w:p>
    <w:tbl>
      <w:tblPr>
        <w:tblLayout w:type="fixed"/>
        <w:tblInd w:w="1620" w:type="dxa"/>
        <w:tblCellMar>
          <w:top w:w="0" w:type="dxa"/>
          <w:left w:w="0" w:type="dxa"/>
          <w:bottom w:w="0" w:type="dxa"/>
          <w:right w:w="0" w:type="dxa"/>
        </w:tblCellMar>
      </w:tblPr>
      <w:tr>
        <w:trPr>
          <w:trHeight w:val="195"/>
        </w:trPr>
        <w:tc>
          <w:tcPr>
            <w:tcW w:w="16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b w:val="1"/>
                <w:bCs w:val="1"/>
                <w:color w:val="auto"/>
              </w:rPr>
              <w:t>Allowance as a</w:t>
            </w:r>
          </w:p>
        </w:tc>
        <w:tc>
          <w:tcPr>
            <w:tcW w:w="0" w:type="dxa"/>
            <w:vAlign w:val="bottom"/>
          </w:tcPr>
          <w:p>
            <w:pPr>
              <w:spacing w:after="0"/>
              <w:rPr>
                <w:sz w:val="1"/>
                <w:szCs w:val="1"/>
                <w:color w:val="auto"/>
              </w:rPr>
            </w:pPr>
          </w:p>
        </w:tc>
      </w:tr>
      <w:tr>
        <w:trPr>
          <w:trHeight w:val="175"/>
        </w:trPr>
        <w:tc>
          <w:tcPr>
            <w:tcW w:w="16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20" w:type="dxa"/>
            <w:vAlign w:val="bottom"/>
            <w:vMerge w:val="restart"/>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b w:val="1"/>
                <w:bCs w:val="1"/>
                <w:color w:val="auto"/>
              </w:rPr>
              <w:t>Allowance for</w:t>
            </w:r>
          </w:p>
        </w:tc>
        <w:tc>
          <w:tcPr>
            <w:tcW w:w="1700" w:type="dxa"/>
            <w:vAlign w:val="bottom"/>
            <w:gridSpan w:val="3"/>
            <w:vMerge w:val="restart"/>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Amortized cost basis</w:t>
            </w:r>
          </w:p>
        </w:tc>
        <w:tc>
          <w:tcPr>
            <w:tcW w:w="162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7"/>
                <w:szCs w:val="17"/>
                <w:b w:val="1"/>
                <w:bCs w:val="1"/>
                <w:color w:val="auto"/>
              </w:rPr>
              <w:t>percentage of</w:t>
            </w:r>
          </w:p>
        </w:tc>
        <w:tc>
          <w:tcPr>
            <w:tcW w:w="0" w:type="dxa"/>
            <w:vAlign w:val="bottom"/>
          </w:tcPr>
          <w:p>
            <w:pPr>
              <w:spacing w:after="0"/>
              <w:rPr>
                <w:sz w:val="1"/>
                <w:szCs w:val="1"/>
                <w:color w:val="auto"/>
              </w:rPr>
            </w:pPr>
          </w:p>
        </w:tc>
      </w:tr>
      <w:tr>
        <w:trPr>
          <w:trHeight w:val="168"/>
        </w:trPr>
        <w:tc>
          <w:tcPr>
            <w:tcW w:w="16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Origination year</w:t>
            </w:r>
          </w:p>
        </w:tc>
        <w:tc>
          <w:tcPr>
            <w:tcW w:w="158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Real estate loans, net</w:t>
            </w:r>
          </w:p>
        </w:tc>
        <w:tc>
          <w:tcPr>
            <w:tcW w:w="180" w:type="dxa"/>
            <w:vAlign w:val="bottom"/>
            <w:shd w:val="clear" w:color="auto" w:fill="CCEEFF"/>
          </w:tcPr>
          <w:p>
            <w:pPr>
              <w:spacing w:after="0"/>
              <w:rPr>
                <w:sz w:val="14"/>
                <w:szCs w:val="14"/>
                <w:color w:val="auto"/>
              </w:rPr>
            </w:pPr>
          </w:p>
        </w:tc>
        <w:tc>
          <w:tcPr>
            <w:tcW w:w="1320" w:type="dxa"/>
            <w:vAlign w:val="bottom"/>
            <w:vMerge w:val="continue"/>
            <w:shd w:val="clear" w:color="auto" w:fill="CCEEFF"/>
          </w:tcPr>
          <w:p>
            <w:pPr>
              <w:spacing w:after="0"/>
              <w:rPr>
                <w:sz w:val="14"/>
                <w:szCs w:val="14"/>
                <w:color w:val="auto"/>
              </w:rPr>
            </w:pPr>
          </w:p>
        </w:tc>
        <w:tc>
          <w:tcPr>
            <w:tcW w:w="1700" w:type="dxa"/>
            <w:vAlign w:val="bottom"/>
            <w:gridSpan w:val="3"/>
            <w:vMerge w:val="continue"/>
            <w:shd w:val="clear" w:color="auto" w:fill="CCEEFF"/>
          </w:tcPr>
          <w:p>
            <w:pPr>
              <w:spacing w:after="0"/>
              <w:rPr>
                <w:sz w:val="14"/>
                <w:szCs w:val="14"/>
                <w:color w:val="auto"/>
              </w:rPr>
            </w:pPr>
          </w:p>
        </w:tc>
        <w:tc>
          <w:tcPr>
            <w:tcW w:w="1620" w:type="dxa"/>
            <w:vAlign w:val="bottom"/>
            <w:shd w:val="clear" w:color="auto" w:fill="CCEEFF"/>
          </w:tcPr>
          <w:p>
            <w:pPr>
              <w:jc w:val="center"/>
              <w:spacing w:after="0" w:line="167" w:lineRule="exact"/>
              <w:rPr>
                <w:sz w:val="20"/>
                <w:szCs w:val="20"/>
                <w:color w:val="auto"/>
              </w:rPr>
            </w:pPr>
            <w:r>
              <w:rPr>
                <w:rFonts w:ascii="Times New Roman" w:cs="Times New Roman" w:eastAsia="Times New Roman" w:hAnsi="Times New Roman"/>
                <w:sz w:val="17"/>
                <w:szCs w:val="17"/>
                <w:b w:val="1"/>
                <w:bCs w:val="1"/>
                <w:color w:val="auto"/>
                <w:w w:val="99"/>
              </w:rPr>
              <w:t>outstanding real</w:t>
            </w:r>
          </w:p>
        </w:tc>
        <w:tc>
          <w:tcPr>
            <w:tcW w:w="0" w:type="dxa"/>
            <w:vAlign w:val="bottom"/>
          </w:tcPr>
          <w:p>
            <w:pPr>
              <w:spacing w:after="0"/>
              <w:rPr>
                <w:sz w:val="1"/>
                <w:szCs w:val="1"/>
                <w:color w:val="auto"/>
              </w:rPr>
            </w:pPr>
          </w:p>
        </w:tc>
      </w:tr>
      <w:tr>
        <w:trPr>
          <w:trHeight w:val="219"/>
        </w:trPr>
        <w:tc>
          <w:tcPr>
            <w:tcW w:w="1620" w:type="dxa"/>
            <w:vAlign w:val="bottom"/>
            <w:vMerge w:val="continue"/>
            <w:shd w:val="clear" w:color="auto" w:fill="CCEEFF"/>
          </w:tcPr>
          <w:p>
            <w:pPr>
              <w:spacing w:after="0"/>
              <w:rPr>
                <w:sz w:val="19"/>
                <w:szCs w:val="19"/>
                <w:color w:val="auto"/>
              </w:rPr>
            </w:pPr>
          </w:p>
        </w:tc>
        <w:tc>
          <w:tcPr>
            <w:tcW w:w="158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b w:val="1"/>
                <w:bCs w:val="1"/>
                <w:color w:val="auto"/>
              </w:rPr>
              <w:t>credit losses</w:t>
            </w:r>
          </w:p>
        </w:tc>
        <w:tc>
          <w:tcPr>
            <w:tcW w:w="12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at March 31, 2026</w:t>
            </w:r>
          </w:p>
        </w:tc>
        <w:tc>
          <w:tcPr>
            <w:tcW w:w="1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b w:val="1"/>
                <w:bCs w:val="1"/>
                <w:color w:val="auto"/>
              </w:rPr>
              <w:t>estate loans</w:t>
            </w:r>
          </w:p>
        </w:tc>
        <w:tc>
          <w:tcPr>
            <w:tcW w:w="0" w:type="dxa"/>
            <w:vAlign w:val="bottom"/>
          </w:tcPr>
          <w:p>
            <w:pPr>
              <w:spacing w:after="0"/>
              <w:rPr>
                <w:sz w:val="1"/>
                <w:szCs w:val="1"/>
                <w:color w:val="auto"/>
              </w:rPr>
            </w:pPr>
          </w:p>
        </w:tc>
      </w:tr>
      <w:tr>
        <w:trPr>
          <w:trHeight w:val="219"/>
        </w:trPr>
        <w:tc>
          <w:tcPr>
            <w:tcW w:w="1620" w:type="dxa"/>
            <w:vAlign w:val="bottom"/>
          </w:tcPr>
          <w:p>
            <w:pPr>
              <w:ind w:left="620"/>
              <w:spacing w:after="0"/>
              <w:rPr>
                <w:sz w:val="20"/>
                <w:szCs w:val="20"/>
                <w:color w:val="auto"/>
              </w:rPr>
            </w:pPr>
            <w:r>
              <w:rPr>
                <w:rFonts w:ascii="Times New Roman" w:cs="Times New Roman" w:eastAsia="Times New Roman" w:hAnsi="Times New Roman"/>
                <w:sz w:val="17"/>
                <w:szCs w:val="17"/>
                <w:b w:val="1"/>
                <w:bCs w:val="1"/>
                <w:color w:val="auto"/>
              </w:rPr>
              <w:t>2026</w:t>
            </w:r>
          </w:p>
        </w:tc>
        <w:tc>
          <w:tcPr>
            <w:tcW w:w="52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27,108</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(248)</w:t>
            </w:r>
          </w:p>
        </w:tc>
        <w:tc>
          <w:tcPr>
            <w:tcW w:w="120" w:type="dxa"/>
            <w:vAlign w:val="bottom"/>
          </w:tcPr>
          <w:p>
            <w:pPr>
              <w:ind w:left="20"/>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26,860</w:t>
            </w: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(0.91)%</w:t>
            </w:r>
          </w:p>
        </w:tc>
        <w:tc>
          <w:tcPr>
            <w:tcW w:w="0" w:type="dxa"/>
            <w:vAlign w:val="bottom"/>
          </w:tcPr>
          <w:p>
            <w:pPr>
              <w:spacing w:after="0"/>
              <w:rPr>
                <w:sz w:val="1"/>
                <w:szCs w:val="1"/>
                <w:color w:val="auto"/>
              </w:rPr>
            </w:pPr>
          </w:p>
        </w:tc>
      </w:tr>
      <w:tr>
        <w:trPr>
          <w:trHeight w:val="219"/>
        </w:trPr>
        <w:tc>
          <w:tcPr>
            <w:tcW w:w="162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7"/>
                <w:szCs w:val="17"/>
                <w:b w:val="1"/>
                <w:bCs w:val="1"/>
                <w:color w:val="auto"/>
              </w:rPr>
              <w:t>2025</w:t>
            </w: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43,968</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(1,132)</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42,836</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(2.57)%</w:t>
            </w:r>
          </w:p>
        </w:tc>
        <w:tc>
          <w:tcPr>
            <w:tcW w:w="0" w:type="dxa"/>
            <w:vAlign w:val="bottom"/>
          </w:tcPr>
          <w:p>
            <w:pPr>
              <w:spacing w:after="0"/>
              <w:rPr>
                <w:sz w:val="1"/>
                <w:szCs w:val="1"/>
                <w:color w:val="auto"/>
              </w:rPr>
            </w:pPr>
          </w:p>
        </w:tc>
      </w:tr>
      <w:tr>
        <w:trPr>
          <w:trHeight w:val="219"/>
        </w:trPr>
        <w:tc>
          <w:tcPr>
            <w:tcW w:w="1620" w:type="dxa"/>
            <w:vAlign w:val="bottom"/>
          </w:tcPr>
          <w:p>
            <w:pPr>
              <w:ind w:left="620"/>
              <w:spacing w:after="0"/>
              <w:rPr>
                <w:sz w:val="20"/>
                <w:szCs w:val="20"/>
                <w:color w:val="auto"/>
              </w:rPr>
            </w:pPr>
            <w:r>
              <w:rPr>
                <w:rFonts w:ascii="Times New Roman" w:cs="Times New Roman" w:eastAsia="Times New Roman" w:hAnsi="Times New Roman"/>
                <w:sz w:val="17"/>
                <w:szCs w:val="17"/>
                <w:b w:val="1"/>
                <w:bCs w:val="1"/>
                <w:color w:val="auto"/>
              </w:rPr>
              <w:t>2024</w:t>
            </w: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83,553</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(645)</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82,908</w:t>
            </w: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(0.77)%</w:t>
            </w:r>
          </w:p>
        </w:tc>
        <w:tc>
          <w:tcPr>
            <w:tcW w:w="0" w:type="dxa"/>
            <w:vAlign w:val="bottom"/>
          </w:tcPr>
          <w:p>
            <w:pPr>
              <w:spacing w:after="0"/>
              <w:rPr>
                <w:sz w:val="1"/>
                <w:szCs w:val="1"/>
                <w:color w:val="auto"/>
              </w:rPr>
            </w:pPr>
          </w:p>
        </w:tc>
      </w:tr>
      <w:tr>
        <w:trPr>
          <w:trHeight w:val="219"/>
        </w:trPr>
        <w:tc>
          <w:tcPr>
            <w:tcW w:w="162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7"/>
                <w:szCs w:val="17"/>
                <w:b w:val="1"/>
                <w:bCs w:val="1"/>
                <w:color w:val="auto"/>
              </w:rPr>
              <w:t>2023</w:t>
            </w:r>
          </w:p>
        </w:tc>
        <w:tc>
          <w:tcPr>
            <w:tcW w:w="5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150,000</w:t>
            </w: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(2,895)</w:t>
            </w:r>
          </w:p>
        </w:tc>
        <w:tc>
          <w:tcPr>
            <w:tcW w:w="1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147,105</w:t>
            </w:r>
          </w:p>
        </w:tc>
        <w:tc>
          <w:tcPr>
            <w:tcW w:w="120" w:type="dxa"/>
            <w:vAlign w:val="bottom"/>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(1.93)%</w:t>
            </w:r>
          </w:p>
        </w:tc>
        <w:tc>
          <w:tcPr>
            <w:tcW w:w="0" w:type="dxa"/>
            <w:vAlign w:val="bottom"/>
          </w:tcPr>
          <w:p>
            <w:pPr>
              <w:spacing w:after="0"/>
              <w:rPr>
                <w:sz w:val="1"/>
                <w:szCs w:val="1"/>
                <w:color w:val="auto"/>
              </w:rPr>
            </w:pPr>
          </w:p>
        </w:tc>
      </w:tr>
      <w:tr>
        <w:trPr>
          <w:trHeight w:val="212"/>
        </w:trPr>
        <w:tc>
          <w:tcPr>
            <w:tcW w:w="1620" w:type="dxa"/>
            <w:vAlign w:val="bottom"/>
          </w:tcPr>
          <w:p>
            <w:pPr>
              <w:ind w:left="62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304,629</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(4,920)</w:t>
            </w:r>
          </w:p>
        </w:tc>
        <w:tc>
          <w:tcPr>
            <w:tcW w:w="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299,709</w:t>
            </w:r>
          </w:p>
        </w:tc>
        <w:tc>
          <w:tcPr>
            <w:tcW w:w="120" w:type="dxa"/>
            <w:vAlign w:val="bottom"/>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(1.62)%</w:t>
            </w: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both"/>
        <w:ind w:right="100" w:firstLine="619"/>
        <w:spacing w:after="0" w:line="258" w:lineRule="auto"/>
        <w:rPr>
          <w:sz w:val="20"/>
          <w:szCs w:val="20"/>
          <w:color w:val="auto"/>
        </w:rPr>
      </w:pPr>
      <w:r>
        <w:rPr>
          <w:rFonts w:ascii="Times New Roman" w:cs="Times New Roman" w:eastAsia="Times New Roman" w:hAnsi="Times New Roman"/>
          <w:sz w:val="17"/>
          <w:szCs w:val="17"/>
          <w:color w:val="auto"/>
        </w:rPr>
        <w:t>The real estate loans are subject to CECL, which is described in Note 3. The Company recorded provision for credit losses of $2.4 million and $3.0 million for the three month period ended March 31, 2026 and March 31, 2025 on the Company's real estate loans, respectively. Additionally, the Company recorded a benefit of $12.5 million and a provision of $0.2 million during the three month period ended March 31, 2026 and March 31, 2025 on unfunded loan commitments. The benefit for the three month period ended March 31, 2026 was primarily due to an improvement in the estimated real estate values that will comprise the Company's real estate portfolio for the Virginia Live! development project. The reserves for the unfunded loan commitment are recorded in other liabilities on the Condensed Consolidated Balance Sheets and totaled $4.3 million and $16.8 million at March 31, 2026 and December 31, 2025, respectively. The Company's borrowers were current on their loan obligations as of March 31, 2026 and December 31, 2025.</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340"/>
          </w:cols>
          <w:pgMar w:left="320" w:top="127" w:right="239" w:bottom="1440" w:gutter="0" w:footer="0" w:header="0"/>
        </w:sectPr>
      </w:pPr>
    </w:p>
    <w:bookmarkStart w:id="18" w:name="page19"/>
    <w:bookmarkEnd w:id="18"/>
    <w:p>
      <w:pPr>
        <w:ind w:right="8460" w:firstLine="3"/>
        <w:spacing w:after="0" w:line="540" w:lineRule="auto"/>
        <w:tabs>
          <w:tab w:leader="none" w:pos="301" w:val="left"/>
        </w:tabs>
        <w:numPr>
          <w:ilvl w:val="0"/>
          <w:numId w:val="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Lease Assets and Lease Liabilities Lease Assets</w:t>
      </w:r>
    </w:p>
    <w:p>
      <w:pPr>
        <w:spacing w:after="0" w:line="1"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17"/>
          <w:szCs w:val="17"/>
          <w:color w:val="auto"/>
        </w:rPr>
        <w:t>The Company is subject to various operating leases as lessee for both real estate and equipment, the majority of which are ground leases related to properties the Company leases to its tenants under triple-net operating leases. These ground leases may include fixed rent, as well as variable rent based upon an individual property’s performance or changes in an index such as the CPI, and have maturity dates ranging from 2038 to 2108, when considering all renewal options. For certain of these ground leases, the Company’s tenants are responsible for payment directly to the third-party landlord. Under ASC 842, the Company is required to gross-up its condensed consolidated financial statements for these ground leases as the Company is considered the primary obligor. In conjunction with the adoption of ASU 2016-02 on January 1, 2019, the Company recorded right-of-use assets and related lease liabilities on its condensed consolidated balance sheets to represent its rights to use the underlying leased assets and its future lease obligations, respectively, including for those ground leases paid directly by our tenants. Because the right-of-use asset relates, in part, to the same leases which resulted in the land right assets the Company recorded on its condensed consolidated balance sheets in conjunction with the Company's assumption of below market leases at the time it acquired the related land and building assets, the Company is required to report the right-of-use assets and land rights in the aggregate on the Condensed Consolidated Balance Sheets.</w:t>
      </w:r>
    </w:p>
    <w:p>
      <w:pPr>
        <w:spacing w:after="0" w:line="240"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Land rights, net represent the Company's rights to land subject to long-term ground leases. The Company obtained ground lease rights through the acquisition of several of its rental properties and immediately subleased the land to its tenants. These land rights represent the below market value of the related ground leases. The Company assessed the acquired ground leases to determine if the lease terms were favorable or unfavorable, given market conditions at the acquisition date. Because the market rents to be received under the Company's triple-net tenant leases were greater than the rents to be paid under the acquired ground leases, the Company concluded that the ground leases were below market and were therefore required to be recorded as a definite lived asset (land rights) on its books.</w:t>
      </w:r>
    </w:p>
    <w:p>
      <w:pPr>
        <w:spacing w:after="0" w:line="19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Components of the Company's right-of use assets and land rights, net are detailed below (in thousands):</w:t>
      </w:r>
    </w:p>
    <w:p>
      <w:pPr>
        <w:spacing w:after="0" w:line="41" w:lineRule="exact"/>
        <w:rPr>
          <w:sz w:val="20"/>
          <w:szCs w:val="20"/>
          <w:color w:val="auto"/>
        </w:rPr>
      </w:pPr>
    </w:p>
    <w:tbl>
      <w:tblPr>
        <w:tblLayout w:type="fixed"/>
        <w:tblInd w:w="620" w:type="dxa"/>
        <w:tblCellMar>
          <w:top w:w="0" w:type="dxa"/>
          <w:left w:w="0" w:type="dxa"/>
          <w:bottom w:w="0" w:type="dxa"/>
          <w:right w:w="0" w:type="dxa"/>
        </w:tblCellMar>
      </w:tblPr>
      <w:tr>
        <w:trPr>
          <w:trHeight w:val="182"/>
        </w:trPr>
        <w:tc>
          <w:tcPr>
            <w:tcW w:w="5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60" w:type="dxa"/>
            <w:vAlign w:val="bottom"/>
          </w:tcPr>
          <w:p>
            <w:pPr>
              <w:spacing w:after="0"/>
              <w:rPr>
                <w:sz w:val="15"/>
                <w:szCs w:val="15"/>
                <w:color w:val="auto"/>
              </w:rPr>
            </w:pPr>
          </w:p>
        </w:tc>
        <w:tc>
          <w:tcPr>
            <w:tcW w:w="1680" w:type="dxa"/>
            <w:vAlign w:val="bottom"/>
          </w:tcPr>
          <w:p>
            <w:pPr>
              <w:jc w:val="right"/>
              <w:ind w:right="338"/>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2"/>
        </w:trPr>
        <w:tc>
          <w:tcPr>
            <w:tcW w:w="57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r>
        <w:trPr>
          <w:trHeight w:val="238"/>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Right-of use assets - operating leases</w:t>
            </w: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241,345</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242,053</w:t>
            </w:r>
          </w:p>
        </w:tc>
      </w:tr>
      <w:tr>
        <w:trPr>
          <w:trHeight w:val="219"/>
        </w:trPr>
        <w:tc>
          <w:tcPr>
            <w:tcW w:w="5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Land rights, net</w:t>
            </w:r>
          </w:p>
        </w:tc>
        <w:tc>
          <w:tcPr>
            <w:tcW w:w="3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825,840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830,110</w:t>
            </w:r>
          </w:p>
        </w:tc>
      </w:tr>
      <w:tr>
        <w:trPr>
          <w:trHeight w:val="237"/>
        </w:trPr>
        <w:tc>
          <w:tcPr>
            <w:tcW w:w="5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Right-of-use assets and land rights, net</w:t>
            </w: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1,067,185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1,072,163</w:t>
            </w: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Land Rights</w:t>
      </w:r>
    </w:p>
    <w:p>
      <w:pPr>
        <w:spacing w:after="0" w:line="247" w:lineRule="exact"/>
        <w:rPr>
          <w:sz w:val="20"/>
          <w:szCs w:val="20"/>
          <w:color w:val="auto"/>
        </w:rPr>
      </w:pPr>
    </w:p>
    <w:p>
      <w:pPr>
        <w:ind w:firstLine="619"/>
        <w:spacing w:after="0" w:line="272" w:lineRule="auto"/>
        <w:rPr>
          <w:sz w:val="20"/>
          <w:szCs w:val="20"/>
          <w:color w:val="auto"/>
        </w:rPr>
      </w:pPr>
      <w:r>
        <w:rPr>
          <w:rFonts w:ascii="Times New Roman" w:cs="Times New Roman" w:eastAsia="Times New Roman" w:hAnsi="Times New Roman"/>
          <w:sz w:val="17"/>
          <w:szCs w:val="17"/>
          <w:color w:val="auto"/>
        </w:rPr>
        <w:t>The land rights are amortized over the individual lease term of the related ground lease, including all renewal options, which ranged from 10 years to 92 years at their respective acquisition dates. Land rights net, consist of the following:</w:t>
      </w:r>
    </w:p>
    <w:tbl>
      <w:tblPr>
        <w:tblLayout w:type="fixed"/>
        <w:tblInd w:w="0" w:type="dxa"/>
        <w:tblCellMar>
          <w:top w:w="0" w:type="dxa"/>
          <w:left w:w="0" w:type="dxa"/>
          <w:bottom w:w="0" w:type="dxa"/>
          <w:right w:w="0" w:type="dxa"/>
        </w:tblCellMar>
      </w:tblPr>
      <w:tr>
        <w:trPr>
          <w:trHeight w:val="142"/>
        </w:trPr>
        <w:tc>
          <w:tcPr>
            <w:tcW w:w="62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gridSpan w:val="2"/>
          </w:tcPr>
          <w:p>
            <w:pPr>
              <w:jc w:val="center"/>
              <w:ind w:right="360"/>
              <w:spacing w:after="0" w:line="142" w:lineRule="exact"/>
              <w:rPr>
                <w:sz w:val="20"/>
                <w:szCs w:val="20"/>
                <w:color w:val="auto"/>
              </w:rPr>
            </w:pPr>
            <w:r>
              <w:rPr>
                <w:rFonts w:ascii="Times New Roman" w:cs="Times New Roman" w:eastAsia="Times New Roman" w:hAnsi="Times New Roman"/>
                <w:sz w:val="14"/>
                <w:szCs w:val="14"/>
                <w:b w:val="1"/>
                <w:bCs w:val="1"/>
                <w:color w:val="auto"/>
                <w:w w:val="97"/>
              </w:rPr>
              <w:t>March 31,</w:t>
            </w:r>
          </w:p>
        </w:tc>
        <w:tc>
          <w:tcPr>
            <w:tcW w:w="200" w:type="dxa"/>
            <w:vAlign w:val="bottom"/>
          </w:tcPr>
          <w:p>
            <w:pPr>
              <w:spacing w:after="0"/>
              <w:rPr>
                <w:sz w:val="12"/>
                <w:szCs w:val="12"/>
                <w:color w:val="auto"/>
              </w:rPr>
            </w:pPr>
          </w:p>
        </w:tc>
        <w:tc>
          <w:tcPr>
            <w:tcW w:w="1420" w:type="dxa"/>
            <w:vAlign w:val="bottom"/>
            <w:gridSpan w:val="2"/>
          </w:tcPr>
          <w:p>
            <w:pPr>
              <w:jc w:val="center"/>
              <w:ind w:right="380"/>
              <w:spacing w:after="0" w:line="142" w:lineRule="exact"/>
              <w:rPr>
                <w:sz w:val="20"/>
                <w:szCs w:val="20"/>
                <w:color w:val="auto"/>
              </w:rPr>
            </w:pPr>
            <w:r>
              <w:rPr>
                <w:rFonts w:ascii="Times New Roman" w:cs="Times New Roman" w:eastAsia="Times New Roman" w:hAnsi="Times New Roman"/>
                <w:sz w:val="14"/>
                <w:szCs w:val="14"/>
                <w:b w:val="1"/>
                <w:bCs w:val="1"/>
                <w:color w:val="auto"/>
                <w:w w:val="97"/>
              </w:rPr>
              <w:t>December 31,</w:t>
            </w:r>
          </w:p>
        </w:tc>
        <w:tc>
          <w:tcPr>
            <w:tcW w:w="0" w:type="dxa"/>
            <w:vAlign w:val="bottom"/>
          </w:tcPr>
          <w:p>
            <w:pPr>
              <w:spacing w:after="0"/>
              <w:rPr>
                <w:sz w:val="1"/>
                <w:szCs w:val="1"/>
                <w:color w:val="auto"/>
              </w:rPr>
            </w:pPr>
          </w:p>
        </w:tc>
      </w:tr>
      <w:tr>
        <w:trPr>
          <w:trHeight w:val="187"/>
        </w:trPr>
        <w:tc>
          <w:tcPr>
            <w:tcW w:w="62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2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20" w:type="dxa"/>
            <w:vAlign w:val="bottom"/>
            <w:gridSpan w:val="4"/>
          </w:tcPr>
          <w:p>
            <w:pPr>
              <w:ind w:left="8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620" w:type="dxa"/>
            <w:vAlign w:val="bottom"/>
          </w:tcPr>
          <w:p>
            <w:pPr>
              <w:spacing w:after="0"/>
              <w:rPr>
                <w:sz w:val="19"/>
                <w:szCs w:val="19"/>
                <w:color w:val="auto"/>
              </w:rPr>
            </w:pPr>
          </w:p>
        </w:tc>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Land rights</w:t>
            </w:r>
          </w:p>
        </w:tc>
        <w:tc>
          <w:tcPr>
            <w:tcW w:w="418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CCEEFF"/>
          </w:tcPr>
          <w:p>
            <w:pPr>
              <w:jc w:val="center"/>
              <w:ind w:left="403"/>
              <w:spacing w:after="0"/>
              <w:rPr>
                <w:sz w:val="20"/>
                <w:szCs w:val="20"/>
                <w:color w:val="auto"/>
              </w:rPr>
            </w:pPr>
            <w:r>
              <w:rPr>
                <w:rFonts w:ascii="Times New Roman" w:cs="Times New Roman" w:eastAsia="Times New Roman" w:hAnsi="Times New Roman"/>
                <w:sz w:val="17"/>
                <w:szCs w:val="17"/>
                <w:color w:val="auto"/>
                <w:w w:val="97"/>
              </w:rPr>
              <w:t>948,303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center"/>
              <w:ind w:left="441"/>
              <w:spacing w:after="0"/>
              <w:rPr>
                <w:sz w:val="20"/>
                <w:szCs w:val="20"/>
                <w:color w:val="auto"/>
              </w:rPr>
            </w:pPr>
            <w:r>
              <w:rPr>
                <w:rFonts w:ascii="Times New Roman" w:cs="Times New Roman" w:eastAsia="Times New Roman" w:hAnsi="Times New Roman"/>
                <w:sz w:val="17"/>
                <w:szCs w:val="17"/>
                <w:color w:val="auto"/>
              </w:rPr>
              <w:t>948,303</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20" w:type="dxa"/>
            <w:vAlign w:val="bottom"/>
          </w:tcPr>
          <w:p>
            <w:pPr>
              <w:spacing w:after="0"/>
              <w:rPr>
                <w:sz w:val="19"/>
                <w:szCs w:val="19"/>
                <w:color w:val="auto"/>
              </w:rPr>
            </w:pPr>
          </w:p>
        </w:tc>
        <w:tc>
          <w:tcPr>
            <w:tcW w:w="3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Less accumulated amortization</w:t>
            </w:r>
          </w:p>
        </w:tc>
        <w:tc>
          <w:tcPr>
            <w:tcW w:w="39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ind w:left="383"/>
              <w:spacing w:after="0"/>
              <w:rPr>
                <w:sz w:val="20"/>
                <w:szCs w:val="20"/>
                <w:color w:val="auto"/>
              </w:rPr>
            </w:pPr>
            <w:r>
              <w:rPr>
                <w:rFonts w:ascii="Times New Roman" w:cs="Times New Roman" w:eastAsia="Times New Roman" w:hAnsi="Times New Roman"/>
                <w:sz w:val="17"/>
                <w:szCs w:val="17"/>
                <w:color w:val="auto"/>
              </w:rPr>
              <w:t>(122,463)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left="421"/>
              <w:spacing w:after="0"/>
              <w:rPr>
                <w:sz w:val="20"/>
                <w:szCs w:val="20"/>
                <w:color w:val="auto"/>
              </w:rPr>
            </w:pPr>
            <w:r>
              <w:rPr>
                <w:rFonts w:ascii="Times New Roman" w:cs="Times New Roman" w:eastAsia="Times New Roman" w:hAnsi="Times New Roman"/>
                <w:sz w:val="17"/>
                <w:szCs w:val="17"/>
                <w:color w:val="auto"/>
                <w:w w:val="99"/>
              </w:rPr>
              <w:t>(118,193)</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20" w:type="dxa"/>
            <w:vAlign w:val="bottom"/>
          </w:tcPr>
          <w:p>
            <w:pPr>
              <w:spacing w:after="0"/>
              <w:rPr>
                <w:sz w:val="20"/>
                <w:szCs w:val="20"/>
                <w:color w:val="auto"/>
              </w:rPr>
            </w:pPr>
          </w:p>
        </w:tc>
        <w:tc>
          <w:tcPr>
            <w:tcW w:w="3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Land rights, net</w:t>
            </w:r>
          </w:p>
        </w:tc>
        <w:tc>
          <w:tcPr>
            <w:tcW w:w="39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shd w:val="clear" w:color="auto" w:fill="CCEEFF"/>
          </w:tcPr>
          <w:p>
            <w:pPr>
              <w:jc w:val="center"/>
              <w:ind w:left="403"/>
              <w:spacing w:after="0"/>
              <w:rPr>
                <w:sz w:val="20"/>
                <w:szCs w:val="20"/>
                <w:color w:val="auto"/>
              </w:rPr>
            </w:pPr>
            <w:r>
              <w:rPr>
                <w:rFonts w:ascii="Times New Roman" w:cs="Times New Roman" w:eastAsia="Times New Roman" w:hAnsi="Times New Roman"/>
                <w:sz w:val="17"/>
                <w:szCs w:val="17"/>
                <w:color w:val="auto"/>
                <w:w w:val="97"/>
              </w:rPr>
              <w:t>825,840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shd w:val="clear" w:color="auto" w:fill="CCEEFF"/>
          </w:tcPr>
          <w:p>
            <w:pPr>
              <w:jc w:val="center"/>
              <w:ind w:left="461"/>
              <w:spacing w:after="0"/>
              <w:rPr>
                <w:sz w:val="20"/>
                <w:szCs w:val="20"/>
                <w:color w:val="auto"/>
              </w:rPr>
            </w:pPr>
            <w:r>
              <w:rPr>
                <w:rFonts w:ascii="Times New Roman" w:cs="Times New Roman" w:eastAsia="Times New Roman" w:hAnsi="Times New Roman"/>
                <w:sz w:val="17"/>
                <w:szCs w:val="17"/>
                <w:color w:val="auto"/>
                <w:w w:val="97"/>
              </w:rPr>
              <w:t>830,110</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3540" w:type="dxa"/>
            <w:vAlign w:val="bottom"/>
            <w:tcBorders>
              <w:top w:val="single" w:sz="8" w:color="CCEEFF"/>
            </w:tcBorders>
          </w:tcPr>
          <w:p>
            <w:pPr>
              <w:spacing w:after="0" w:line="20" w:lineRule="exact"/>
              <w:rPr>
                <w:sz w:val="1"/>
                <w:szCs w:val="1"/>
                <w:color w:val="auto"/>
              </w:rPr>
            </w:pPr>
          </w:p>
        </w:tc>
        <w:tc>
          <w:tcPr>
            <w:tcW w:w="3920" w:type="dxa"/>
            <w:vAlign w:val="bottom"/>
            <w:tcBorders>
              <w:top w:val="single" w:sz="8" w:color="CCEEFF"/>
              <w:bottom w:val="single" w:sz="8" w:color="CCEEFF"/>
            </w:tcBorders>
            <w:vMerge w:val="restart"/>
          </w:tcPr>
          <w:p>
            <w:pPr>
              <w:jc w:val="right"/>
              <w:ind w:right="2294"/>
              <w:spacing w:after="0"/>
              <w:rPr>
                <w:sz w:val="20"/>
                <w:szCs w:val="20"/>
                <w:color w:val="auto"/>
              </w:rPr>
            </w:pPr>
            <w:r>
              <w:rPr>
                <w:rFonts w:ascii="Times New Roman" w:cs="Times New Roman" w:eastAsia="Times New Roman" w:hAnsi="Times New Roman"/>
                <w:sz w:val="17"/>
                <w:szCs w:val="17"/>
                <w:color w:val="auto"/>
              </w:rPr>
              <w:t>19</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7"/>
        </w:trPr>
        <w:tc>
          <w:tcPr>
            <w:tcW w:w="62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39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620" w:type="dxa"/>
            <w:vAlign w:val="bottom"/>
            <w:tcBorders>
              <w:bottom w:val="single" w:sz="8" w:color="9A9A9A"/>
            </w:tcBorders>
          </w:tcPr>
          <w:p>
            <w:pPr>
              <w:spacing w:after="0"/>
              <w:rPr>
                <w:sz w:val="9"/>
                <w:szCs w:val="9"/>
                <w:color w:val="auto"/>
              </w:rPr>
            </w:pPr>
          </w:p>
        </w:tc>
        <w:tc>
          <w:tcPr>
            <w:tcW w:w="3540" w:type="dxa"/>
            <w:vAlign w:val="bottom"/>
            <w:tcBorders>
              <w:bottom w:val="single" w:sz="8" w:color="9A9A9A"/>
            </w:tcBorders>
          </w:tcPr>
          <w:p>
            <w:pPr>
              <w:spacing w:after="0"/>
              <w:rPr>
                <w:sz w:val="9"/>
                <w:szCs w:val="9"/>
                <w:color w:val="auto"/>
              </w:rPr>
            </w:pPr>
          </w:p>
        </w:tc>
        <w:tc>
          <w:tcPr>
            <w:tcW w:w="39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sectPr>
      </w:pPr>
    </w:p>
    <w:bookmarkStart w:id="19" w:name="page20"/>
    <w:bookmarkEnd w:id="19"/>
    <w:p>
      <w:pPr>
        <w:ind w:left="620"/>
        <w:spacing w:after="0"/>
        <w:rPr>
          <w:sz w:val="20"/>
          <w:szCs w:val="20"/>
          <w:color w:val="auto"/>
        </w:rPr>
      </w:pPr>
      <w:r>
        <w:rPr>
          <w:rFonts w:ascii="Times New Roman" w:cs="Times New Roman" w:eastAsia="Times New Roman" w:hAnsi="Times New Roman"/>
          <w:sz w:val="17"/>
          <w:szCs w:val="17"/>
          <w:color w:val="auto"/>
        </w:rPr>
        <w:t>As of March 31, 2026, estimated future amortization expense related to the Company’s land rights by fiscal year is as follows (in thousands):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60" w:type="dxa"/>
            <w:vAlign w:val="bottom"/>
          </w:tcPr>
          <w:p>
            <w:pPr>
              <w:spacing w:after="0"/>
              <w:rPr>
                <w:sz w:val="13"/>
                <w:szCs w:val="13"/>
                <w:color w:val="auto"/>
              </w:rPr>
            </w:pPr>
          </w:p>
        </w:tc>
        <w:tc>
          <w:tcPr>
            <w:tcW w:w="54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4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2"/>
        </w:trPr>
        <w:tc>
          <w:tcPr>
            <w:tcW w:w="1360" w:type="dxa"/>
            <w:vAlign w:val="bottom"/>
          </w:tcPr>
          <w:p>
            <w:pPr>
              <w:spacing w:after="0"/>
              <w:rPr>
                <w:sz w:val="2"/>
                <w:szCs w:val="2"/>
                <w:color w:val="auto"/>
              </w:rPr>
            </w:pPr>
          </w:p>
        </w:tc>
        <w:tc>
          <w:tcPr>
            <w:tcW w:w="154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1360" w:type="dxa"/>
            <w:vAlign w:val="bottom"/>
            <w:tcBorders>
              <w:right w:val="single" w:sz="8" w:color="CCEEFF"/>
            </w:tcBorders>
          </w:tcPr>
          <w:p>
            <w:pPr>
              <w:spacing w:after="0"/>
              <w:rPr>
                <w:sz w:val="19"/>
                <w:szCs w:val="19"/>
                <w:color w:val="auto"/>
              </w:rPr>
            </w:pPr>
          </w:p>
        </w:tc>
        <w:tc>
          <w:tcPr>
            <w:tcW w:w="54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7"/>
                <w:szCs w:val="17"/>
                <w:color w:val="auto"/>
              </w:rPr>
              <w:t>2026 (remainder of year)</w:t>
            </w:r>
          </w:p>
        </w:tc>
        <w:tc>
          <w:tcPr>
            <w:tcW w:w="420" w:type="dxa"/>
            <w:vAlign w:val="bottom"/>
            <w:shd w:val="clear" w:color="auto" w:fill="CCEEFF"/>
          </w:tcPr>
          <w:p>
            <w:pPr>
              <w:spacing w:after="0"/>
              <w:rPr>
                <w:sz w:val="19"/>
                <w:szCs w:val="19"/>
                <w:color w:val="auto"/>
              </w:rPr>
            </w:pPr>
          </w:p>
        </w:tc>
        <w:tc>
          <w:tcPr>
            <w:tcW w:w="2440" w:type="dxa"/>
            <w:vAlign w:val="bottom"/>
            <w:gridSpan w:val="3"/>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12,810</w:t>
            </w:r>
          </w:p>
        </w:tc>
        <w:tc>
          <w:tcPr>
            <w:tcW w:w="0" w:type="dxa"/>
            <w:vAlign w:val="bottom"/>
          </w:tcPr>
          <w:p>
            <w:pPr>
              <w:spacing w:after="0"/>
              <w:rPr>
                <w:sz w:val="1"/>
                <w:szCs w:val="1"/>
                <w:color w:val="auto"/>
              </w:rPr>
            </w:pPr>
          </w:p>
        </w:tc>
      </w:tr>
      <w:tr>
        <w:trPr>
          <w:trHeight w:val="219"/>
        </w:trPr>
        <w:tc>
          <w:tcPr>
            <w:tcW w:w="1360" w:type="dxa"/>
            <w:vAlign w:val="bottom"/>
          </w:tcPr>
          <w:p>
            <w:pPr>
              <w:spacing w:after="0"/>
              <w:rPr>
                <w:sz w:val="19"/>
                <w:szCs w:val="19"/>
                <w:color w:val="auto"/>
              </w:rPr>
            </w:pPr>
          </w:p>
        </w:tc>
        <w:tc>
          <w:tcPr>
            <w:tcW w:w="1540" w:type="dxa"/>
            <w:vAlign w:val="bottom"/>
          </w:tcPr>
          <w:p>
            <w:pPr>
              <w:spacing w:after="0"/>
              <w:rPr>
                <w:sz w:val="20"/>
                <w:szCs w:val="20"/>
                <w:color w:val="auto"/>
              </w:rPr>
            </w:pPr>
            <w:r>
              <w:rPr>
                <w:rFonts w:ascii="Times New Roman" w:cs="Times New Roman" w:eastAsia="Times New Roman" w:hAnsi="Times New Roman"/>
                <w:sz w:val="17"/>
                <w:szCs w:val="17"/>
                <w:color w:val="auto"/>
              </w:rPr>
              <w:t>2027</w:t>
            </w:r>
          </w:p>
        </w:tc>
        <w:tc>
          <w:tcPr>
            <w:tcW w:w="1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17,079</w:t>
            </w:r>
          </w:p>
        </w:tc>
        <w:tc>
          <w:tcPr>
            <w:tcW w:w="0" w:type="dxa"/>
            <w:vAlign w:val="bottom"/>
          </w:tcPr>
          <w:p>
            <w:pPr>
              <w:spacing w:after="0"/>
              <w:rPr>
                <w:sz w:val="1"/>
                <w:szCs w:val="1"/>
                <w:color w:val="auto"/>
              </w:rPr>
            </w:pPr>
          </w:p>
        </w:tc>
      </w:tr>
      <w:tr>
        <w:trPr>
          <w:trHeight w:val="219"/>
        </w:trPr>
        <w:tc>
          <w:tcPr>
            <w:tcW w:w="1360" w:type="dxa"/>
            <w:vAlign w:val="bottom"/>
            <w:tcBorders>
              <w:right w:val="single" w:sz="8" w:color="CCEEFF"/>
            </w:tcBorders>
          </w:tcPr>
          <w:p>
            <w:pPr>
              <w:spacing w:after="0"/>
              <w:rPr>
                <w:sz w:val="19"/>
                <w:szCs w:val="19"/>
                <w:color w:val="auto"/>
              </w:rPr>
            </w:pPr>
          </w:p>
        </w:tc>
        <w:tc>
          <w:tcPr>
            <w:tcW w:w="15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2028</w:t>
            </w:r>
          </w:p>
        </w:tc>
        <w:tc>
          <w:tcPr>
            <w:tcW w:w="140" w:type="dxa"/>
            <w:vAlign w:val="bottom"/>
            <w:tcBorders>
              <w:right w:val="single" w:sz="8" w:color="CCEEFF"/>
            </w:tcBorders>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22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17,079</w:t>
            </w:r>
          </w:p>
        </w:tc>
        <w:tc>
          <w:tcPr>
            <w:tcW w:w="0" w:type="dxa"/>
            <w:vAlign w:val="bottom"/>
          </w:tcPr>
          <w:p>
            <w:pPr>
              <w:spacing w:after="0"/>
              <w:rPr>
                <w:sz w:val="1"/>
                <w:szCs w:val="1"/>
                <w:color w:val="auto"/>
              </w:rPr>
            </w:pPr>
          </w:p>
        </w:tc>
      </w:tr>
      <w:tr>
        <w:trPr>
          <w:trHeight w:val="219"/>
        </w:trPr>
        <w:tc>
          <w:tcPr>
            <w:tcW w:w="1360" w:type="dxa"/>
            <w:vAlign w:val="bottom"/>
          </w:tcPr>
          <w:p>
            <w:pPr>
              <w:spacing w:after="0"/>
              <w:rPr>
                <w:sz w:val="19"/>
                <w:szCs w:val="19"/>
                <w:color w:val="auto"/>
              </w:rPr>
            </w:pPr>
          </w:p>
        </w:tc>
        <w:tc>
          <w:tcPr>
            <w:tcW w:w="1540" w:type="dxa"/>
            <w:vAlign w:val="bottom"/>
          </w:tcPr>
          <w:p>
            <w:pPr>
              <w:spacing w:after="0"/>
              <w:rPr>
                <w:sz w:val="20"/>
                <w:szCs w:val="20"/>
                <w:color w:val="auto"/>
              </w:rPr>
            </w:pPr>
            <w:r>
              <w:rPr>
                <w:rFonts w:ascii="Times New Roman" w:cs="Times New Roman" w:eastAsia="Times New Roman" w:hAnsi="Times New Roman"/>
                <w:sz w:val="17"/>
                <w:szCs w:val="17"/>
                <w:color w:val="auto"/>
              </w:rPr>
              <w:t>2029</w:t>
            </w:r>
          </w:p>
        </w:tc>
        <w:tc>
          <w:tcPr>
            <w:tcW w:w="1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17,079</w:t>
            </w:r>
          </w:p>
        </w:tc>
        <w:tc>
          <w:tcPr>
            <w:tcW w:w="0" w:type="dxa"/>
            <w:vAlign w:val="bottom"/>
          </w:tcPr>
          <w:p>
            <w:pPr>
              <w:spacing w:after="0"/>
              <w:rPr>
                <w:sz w:val="1"/>
                <w:szCs w:val="1"/>
                <w:color w:val="auto"/>
              </w:rPr>
            </w:pPr>
          </w:p>
        </w:tc>
      </w:tr>
      <w:tr>
        <w:trPr>
          <w:trHeight w:val="219"/>
        </w:trPr>
        <w:tc>
          <w:tcPr>
            <w:tcW w:w="1360" w:type="dxa"/>
            <w:vAlign w:val="bottom"/>
            <w:tcBorders>
              <w:right w:val="single" w:sz="8" w:color="CCEEFF"/>
            </w:tcBorders>
          </w:tcPr>
          <w:p>
            <w:pPr>
              <w:spacing w:after="0"/>
              <w:rPr>
                <w:sz w:val="19"/>
                <w:szCs w:val="19"/>
                <w:color w:val="auto"/>
              </w:rPr>
            </w:pPr>
          </w:p>
        </w:tc>
        <w:tc>
          <w:tcPr>
            <w:tcW w:w="15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2030</w:t>
            </w:r>
          </w:p>
        </w:tc>
        <w:tc>
          <w:tcPr>
            <w:tcW w:w="140" w:type="dxa"/>
            <w:vAlign w:val="bottom"/>
            <w:tcBorders>
              <w:right w:val="single" w:sz="8" w:color="CCEEFF"/>
            </w:tcBorders>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22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17,079</w:t>
            </w:r>
          </w:p>
        </w:tc>
        <w:tc>
          <w:tcPr>
            <w:tcW w:w="0" w:type="dxa"/>
            <w:vAlign w:val="bottom"/>
          </w:tcPr>
          <w:p>
            <w:pPr>
              <w:spacing w:after="0"/>
              <w:rPr>
                <w:sz w:val="1"/>
                <w:szCs w:val="1"/>
                <w:color w:val="auto"/>
              </w:rPr>
            </w:pPr>
          </w:p>
        </w:tc>
      </w:tr>
      <w:tr>
        <w:trPr>
          <w:trHeight w:val="219"/>
        </w:trPr>
        <w:tc>
          <w:tcPr>
            <w:tcW w:w="1360" w:type="dxa"/>
            <w:vAlign w:val="bottom"/>
          </w:tcPr>
          <w:p>
            <w:pPr>
              <w:spacing w:after="0"/>
              <w:rPr>
                <w:sz w:val="19"/>
                <w:szCs w:val="19"/>
                <w:color w:val="auto"/>
              </w:rPr>
            </w:pPr>
          </w:p>
        </w:tc>
        <w:tc>
          <w:tcPr>
            <w:tcW w:w="544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7"/>
                <w:szCs w:val="17"/>
                <w:color w:val="auto"/>
              </w:rPr>
              <w:t>Thereafter</w:t>
            </w:r>
          </w:p>
        </w:tc>
        <w:tc>
          <w:tcPr>
            <w:tcW w:w="42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744,714</w:t>
            </w:r>
          </w:p>
        </w:tc>
        <w:tc>
          <w:tcPr>
            <w:tcW w:w="0" w:type="dxa"/>
            <w:vAlign w:val="bottom"/>
          </w:tcPr>
          <w:p>
            <w:pPr>
              <w:spacing w:after="0"/>
              <w:rPr>
                <w:sz w:val="1"/>
                <w:szCs w:val="1"/>
                <w:color w:val="auto"/>
              </w:rPr>
            </w:pPr>
          </w:p>
        </w:tc>
      </w:tr>
      <w:tr>
        <w:trPr>
          <w:trHeight w:val="212"/>
        </w:trPr>
        <w:tc>
          <w:tcPr>
            <w:tcW w:w="1360" w:type="dxa"/>
            <w:vAlign w:val="bottom"/>
            <w:tcBorders>
              <w:right w:val="single" w:sz="8" w:color="CCEEFF"/>
            </w:tcBorders>
          </w:tcPr>
          <w:p>
            <w:pPr>
              <w:spacing w:after="0"/>
              <w:rPr>
                <w:sz w:val="18"/>
                <w:szCs w:val="18"/>
                <w:color w:val="auto"/>
              </w:rPr>
            </w:pPr>
          </w:p>
        </w:tc>
        <w:tc>
          <w:tcPr>
            <w:tcW w:w="544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w:t>
            </w:r>
          </w:p>
        </w:tc>
        <w:tc>
          <w:tcPr>
            <w:tcW w:w="4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825,840</w:t>
            </w:r>
          </w:p>
        </w:tc>
        <w:tc>
          <w:tcPr>
            <w:tcW w:w="0" w:type="dxa"/>
            <w:vAlign w:val="bottom"/>
          </w:tcPr>
          <w:p>
            <w:pPr>
              <w:spacing w:after="0"/>
              <w:rPr>
                <w:sz w:val="1"/>
                <w:szCs w:val="1"/>
                <w:color w:val="auto"/>
              </w:rPr>
            </w:pPr>
          </w:p>
        </w:tc>
      </w:tr>
      <w:tr>
        <w:trPr>
          <w:trHeight w:val="20"/>
        </w:trPr>
        <w:tc>
          <w:tcPr>
            <w:tcW w:w="1360" w:type="dxa"/>
            <w:vAlign w:val="bottom"/>
            <w:tcBorders>
              <w:right w:val="single" w:sz="8" w:color="CCEEFF"/>
            </w:tcBorders>
          </w:tcPr>
          <w:p>
            <w:pPr>
              <w:spacing w:after="0" w:line="20" w:lineRule="exact"/>
              <w:rPr>
                <w:sz w:val="1"/>
                <w:szCs w:val="1"/>
                <w:color w:val="auto"/>
              </w:rPr>
            </w:pPr>
          </w:p>
        </w:tc>
        <w:tc>
          <w:tcPr>
            <w:tcW w:w="154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540" w:type="dxa"/>
            <w:vAlign w:val="bottom"/>
            <w:shd w:val="clear" w:color="auto" w:fill="CCEEFF"/>
          </w:tcPr>
          <w:p>
            <w:pPr>
              <w:spacing w:after="0" w:line="20" w:lineRule="exact"/>
              <w:rPr>
                <w:sz w:val="1"/>
                <w:szCs w:val="1"/>
                <w:color w:val="auto"/>
              </w:rPr>
            </w:pPr>
          </w:p>
        </w:tc>
        <w:tc>
          <w:tcPr>
            <w:tcW w:w="222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8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b w:val="1"/>
                <w:bCs w:val="1"/>
                <w:color w:val="auto"/>
              </w:rPr>
              <w:t>Operating Lease Liabilities</w:t>
            </w:r>
          </w:p>
        </w:tc>
        <w:tc>
          <w:tcPr>
            <w:tcW w:w="4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1"/>
        </w:trPr>
        <w:tc>
          <w:tcPr>
            <w:tcW w:w="6800" w:type="dxa"/>
            <w:vAlign w:val="bottom"/>
            <w:gridSpan w:val="5"/>
            <w:vMerge w:val="continue"/>
          </w:tcPr>
          <w:p>
            <w:pPr>
              <w:spacing w:after="0"/>
              <w:rPr>
                <w:sz w:val="24"/>
                <w:szCs w:val="24"/>
                <w:color w:val="auto"/>
              </w:rPr>
            </w:pP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8"/>
        </w:trPr>
        <w:tc>
          <w:tcPr>
            <w:tcW w:w="9660" w:type="dxa"/>
            <w:vAlign w:val="bottom"/>
            <w:gridSpan w:val="9"/>
          </w:tcPr>
          <w:p>
            <w:pPr>
              <w:jc w:val="right"/>
              <w:ind w:right="1454"/>
              <w:spacing w:after="0"/>
              <w:rPr>
                <w:sz w:val="20"/>
                <w:szCs w:val="20"/>
                <w:color w:val="auto"/>
              </w:rPr>
            </w:pPr>
            <w:r>
              <w:rPr>
                <w:rFonts w:ascii="Times New Roman" w:cs="Times New Roman" w:eastAsia="Times New Roman" w:hAnsi="Times New Roman"/>
                <w:sz w:val="17"/>
                <w:szCs w:val="17"/>
                <w:color w:val="auto"/>
              </w:rPr>
              <w:t>At March 31, 2026, payments under the Company's operating lease liabilities were as follows (in thousands):</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13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7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4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13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Borders>
              <w:top w:val="single" w:sz="8" w:color="auto"/>
            </w:tcBorders>
          </w:tcPr>
          <w:p>
            <w:pPr>
              <w:spacing w:after="0"/>
              <w:rPr>
                <w:sz w:val="2"/>
                <w:szCs w:val="2"/>
                <w:color w:val="auto"/>
              </w:rPr>
            </w:pPr>
          </w:p>
        </w:tc>
        <w:tc>
          <w:tcPr>
            <w:tcW w:w="2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13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40" w:type="dxa"/>
            <w:vAlign w:val="bottom"/>
            <w:tcBorders>
              <w:right w:val="single" w:sz="8" w:color="CCEEFF"/>
            </w:tcBorders>
          </w:tcPr>
          <w:p>
            <w:pPr>
              <w:spacing w:after="0"/>
              <w:rPr>
                <w:sz w:val="19"/>
                <w:szCs w:val="19"/>
                <w:color w:val="auto"/>
              </w:rPr>
            </w:pPr>
          </w:p>
        </w:tc>
        <w:tc>
          <w:tcPr>
            <w:tcW w:w="3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2026 (remainder of year)</w:t>
            </w:r>
          </w:p>
        </w:tc>
        <w:tc>
          <w:tcPr>
            <w:tcW w:w="42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12,968</w:t>
            </w:r>
          </w:p>
        </w:tc>
        <w:tc>
          <w:tcPr>
            <w:tcW w:w="1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040" w:type="dxa"/>
            <w:vAlign w:val="bottom"/>
            <w:gridSpan w:val="3"/>
          </w:tcPr>
          <w:p>
            <w:pPr>
              <w:spacing w:after="0"/>
              <w:rPr>
                <w:sz w:val="19"/>
                <w:szCs w:val="19"/>
                <w:color w:val="auto"/>
              </w:rPr>
            </w:pPr>
          </w:p>
        </w:tc>
        <w:tc>
          <w:tcPr>
            <w:tcW w:w="1540" w:type="dxa"/>
            <w:vAlign w:val="bottom"/>
          </w:tcPr>
          <w:p>
            <w:pPr>
              <w:spacing w:after="0"/>
              <w:rPr>
                <w:sz w:val="20"/>
                <w:szCs w:val="20"/>
                <w:color w:val="auto"/>
              </w:rPr>
            </w:pPr>
            <w:r>
              <w:rPr>
                <w:rFonts w:ascii="Times New Roman" w:cs="Times New Roman" w:eastAsia="Times New Roman" w:hAnsi="Times New Roman"/>
                <w:sz w:val="17"/>
                <w:szCs w:val="17"/>
                <w:color w:val="auto"/>
              </w:rPr>
              <w:t>2027</w:t>
            </w:r>
          </w:p>
        </w:tc>
        <w:tc>
          <w:tcPr>
            <w:tcW w:w="2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16,786</w:t>
            </w:r>
          </w:p>
        </w:tc>
        <w:tc>
          <w:tcPr>
            <w:tcW w:w="1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040" w:type="dxa"/>
            <w:vAlign w:val="bottom"/>
            <w:tcBorders>
              <w:right w:val="single" w:sz="8" w:color="CCEEFF"/>
            </w:tcBorders>
            <w:gridSpan w:val="3"/>
          </w:tcPr>
          <w:p>
            <w:pPr>
              <w:spacing w:after="0"/>
              <w:rPr>
                <w:sz w:val="19"/>
                <w:szCs w:val="19"/>
                <w:color w:val="auto"/>
              </w:rPr>
            </w:pPr>
          </w:p>
        </w:tc>
        <w:tc>
          <w:tcPr>
            <w:tcW w:w="15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2028</w:t>
            </w:r>
          </w:p>
        </w:tc>
        <w:tc>
          <w:tcPr>
            <w:tcW w:w="22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16,673</w:t>
            </w:r>
          </w:p>
        </w:tc>
        <w:tc>
          <w:tcPr>
            <w:tcW w:w="1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040" w:type="dxa"/>
            <w:vAlign w:val="bottom"/>
            <w:gridSpan w:val="3"/>
          </w:tcPr>
          <w:p>
            <w:pPr>
              <w:spacing w:after="0"/>
              <w:rPr>
                <w:sz w:val="19"/>
                <w:szCs w:val="19"/>
                <w:color w:val="auto"/>
              </w:rPr>
            </w:pPr>
          </w:p>
        </w:tc>
        <w:tc>
          <w:tcPr>
            <w:tcW w:w="1540" w:type="dxa"/>
            <w:vAlign w:val="bottom"/>
          </w:tcPr>
          <w:p>
            <w:pPr>
              <w:spacing w:after="0"/>
              <w:rPr>
                <w:sz w:val="20"/>
                <w:szCs w:val="20"/>
                <w:color w:val="auto"/>
              </w:rPr>
            </w:pPr>
            <w:r>
              <w:rPr>
                <w:rFonts w:ascii="Times New Roman" w:cs="Times New Roman" w:eastAsia="Times New Roman" w:hAnsi="Times New Roman"/>
                <w:sz w:val="17"/>
                <w:szCs w:val="17"/>
                <w:color w:val="auto"/>
              </w:rPr>
              <w:t>2029</w:t>
            </w:r>
          </w:p>
        </w:tc>
        <w:tc>
          <w:tcPr>
            <w:tcW w:w="2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16,710</w:t>
            </w:r>
          </w:p>
        </w:tc>
        <w:tc>
          <w:tcPr>
            <w:tcW w:w="1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040" w:type="dxa"/>
            <w:vAlign w:val="bottom"/>
            <w:tcBorders>
              <w:right w:val="single" w:sz="8" w:color="CCEEFF"/>
            </w:tcBorders>
            <w:gridSpan w:val="3"/>
          </w:tcPr>
          <w:p>
            <w:pPr>
              <w:spacing w:after="0"/>
              <w:rPr>
                <w:sz w:val="19"/>
                <w:szCs w:val="19"/>
                <w:color w:val="auto"/>
              </w:rPr>
            </w:pPr>
          </w:p>
        </w:tc>
        <w:tc>
          <w:tcPr>
            <w:tcW w:w="15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2030</w:t>
            </w:r>
          </w:p>
        </w:tc>
        <w:tc>
          <w:tcPr>
            <w:tcW w:w="22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16,723</w:t>
            </w:r>
          </w:p>
        </w:tc>
        <w:tc>
          <w:tcPr>
            <w:tcW w:w="1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3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7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7"/>
                <w:szCs w:val="17"/>
                <w:color w:val="auto"/>
              </w:rPr>
              <w:t>Thereafter</w:t>
            </w:r>
          </w:p>
        </w:tc>
        <w:tc>
          <w:tcPr>
            <w:tcW w:w="4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771,201</w:t>
            </w:r>
          </w:p>
        </w:tc>
        <w:tc>
          <w:tcPr>
            <w:tcW w:w="1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13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40" w:type="dxa"/>
            <w:vAlign w:val="bottom"/>
            <w:tcBorders>
              <w:right w:val="single" w:sz="8" w:color="CCEEFF"/>
            </w:tcBorders>
          </w:tcPr>
          <w:p>
            <w:pPr>
              <w:spacing w:after="0"/>
              <w:rPr>
                <w:sz w:val="18"/>
                <w:szCs w:val="18"/>
                <w:color w:val="auto"/>
              </w:rPr>
            </w:pPr>
          </w:p>
        </w:tc>
        <w:tc>
          <w:tcPr>
            <w:tcW w:w="3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lease payments</w:t>
            </w:r>
          </w:p>
        </w:tc>
        <w:tc>
          <w:tcPr>
            <w:tcW w:w="42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851,061</w:t>
            </w: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13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7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7"/>
                <w:szCs w:val="17"/>
                <w:color w:val="auto"/>
              </w:rPr>
              <w:t>Less: interest</w:t>
            </w:r>
          </w:p>
        </w:tc>
        <w:tc>
          <w:tcPr>
            <w:tcW w:w="4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(609,296)</w:t>
            </w:r>
          </w:p>
        </w:tc>
        <w:tc>
          <w:tcPr>
            <w:tcW w:w="1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3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40" w:type="dxa"/>
            <w:vAlign w:val="bottom"/>
            <w:tcBorders>
              <w:right w:val="single" w:sz="8" w:color="CCEEFF"/>
            </w:tcBorders>
          </w:tcPr>
          <w:p>
            <w:pPr>
              <w:spacing w:after="0"/>
              <w:rPr>
                <w:sz w:val="20"/>
                <w:szCs w:val="20"/>
                <w:color w:val="auto"/>
              </w:rPr>
            </w:pPr>
          </w:p>
        </w:tc>
        <w:tc>
          <w:tcPr>
            <w:tcW w:w="37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Present value of lease liabilities</w:t>
            </w:r>
          </w:p>
        </w:tc>
        <w:tc>
          <w:tcPr>
            <w:tcW w:w="420" w:type="dxa"/>
            <w:vAlign w:val="bottom"/>
            <w:tcBorders>
              <w:bottom w:val="single" w:sz="8" w:color="auto"/>
            </w:tcBorders>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241,765</w:t>
            </w:r>
          </w:p>
        </w:tc>
        <w:tc>
          <w:tcPr>
            <w:tcW w:w="1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Lease Expense</w:t>
      </w:r>
    </w:p>
    <w:p>
      <w:pPr>
        <w:spacing w:after="0" w:line="247"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Operating lease costs represent the entire amount of expense recognized for operating leases that are recorded on the condensed consolidated balance sheets. Variable lease costs are not included in the measurement of the lease liability and include both lease payments tied to a property's performance and changes in an index such as the CPI that are not determinable at lease commencement, while short-term lease costs are costs for those operating leases with a term of 12 months or less.</w:t>
      </w:r>
    </w:p>
    <w:p>
      <w:pPr>
        <w:spacing w:after="0" w:line="19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components of lease expense were as follows (in thousands):</w:t>
      </w:r>
    </w:p>
    <w:p>
      <w:pPr>
        <w:spacing w:after="0" w:line="50"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5"/>
          <w:szCs w:val="15"/>
          <w:b w:val="1"/>
          <w:bCs w:val="1"/>
          <w:color w:val="auto"/>
        </w:rPr>
        <w:t>Three Months Ended March 31,</w:t>
      </w:r>
    </w:p>
    <w:p>
      <w:pPr>
        <w:spacing w:after="0" w:line="31" w:lineRule="exact"/>
        <w:rPr>
          <w:sz w:val="20"/>
          <w:szCs w:val="20"/>
          <w:color w:val="auto"/>
        </w:rPr>
      </w:pPr>
    </w:p>
    <w:tbl>
      <w:tblPr>
        <w:tblLayout w:type="fixed"/>
        <w:tblInd w:w="2320" w:type="dxa"/>
        <w:tblCellMar>
          <w:top w:w="0" w:type="dxa"/>
          <w:left w:w="0" w:type="dxa"/>
          <w:bottom w:w="0" w:type="dxa"/>
          <w:right w:w="0" w:type="dxa"/>
        </w:tblCellMar>
      </w:tblPr>
      <w:tr>
        <w:trPr>
          <w:trHeight w:val="192"/>
        </w:trPr>
        <w:tc>
          <w:tcPr>
            <w:tcW w:w="344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2026</w:t>
            </w: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698"/>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9"/>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Operating lease cost</w:t>
            </w:r>
          </w:p>
        </w:tc>
        <w:tc>
          <w:tcPr>
            <w:tcW w:w="1180" w:type="dxa"/>
            <w:vAlign w:val="bottom"/>
            <w:shd w:val="clear" w:color="auto" w:fill="CCEEFF"/>
          </w:tcPr>
          <w:p>
            <w:pPr>
              <w:jc w:val="right"/>
              <w:ind w:right="1000"/>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4,315</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4,315</w:t>
            </w:r>
          </w:p>
        </w:tc>
      </w:tr>
      <w:tr>
        <w:trPr>
          <w:trHeight w:val="219"/>
        </w:trPr>
        <w:tc>
          <w:tcPr>
            <w:tcW w:w="3440" w:type="dxa"/>
            <w:vAlign w:val="bottom"/>
          </w:tcPr>
          <w:p>
            <w:pPr>
              <w:spacing w:after="0"/>
              <w:rPr>
                <w:sz w:val="20"/>
                <w:szCs w:val="20"/>
                <w:color w:val="auto"/>
              </w:rPr>
            </w:pPr>
            <w:r>
              <w:rPr>
                <w:rFonts w:ascii="Times New Roman" w:cs="Times New Roman" w:eastAsia="Times New Roman" w:hAnsi="Times New Roman"/>
                <w:sz w:val="17"/>
                <w:szCs w:val="17"/>
                <w:color w:val="auto"/>
              </w:rPr>
              <w:t>Variable lease cost</w:t>
            </w:r>
          </w:p>
        </w:tc>
        <w:tc>
          <w:tcPr>
            <w:tcW w:w="1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5,213</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4,970</w:t>
            </w:r>
          </w:p>
        </w:tc>
      </w:tr>
      <w:tr>
        <w:trPr>
          <w:trHeight w:val="219"/>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Amortization of land right assets</w:t>
            </w:r>
          </w:p>
        </w:tc>
        <w:tc>
          <w:tcPr>
            <w:tcW w:w="11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4,270</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4,270</w:t>
            </w:r>
          </w:p>
        </w:tc>
      </w:tr>
      <w:tr>
        <w:trPr>
          <w:trHeight w:val="212"/>
        </w:trPr>
        <w:tc>
          <w:tcPr>
            <w:tcW w:w="3440" w:type="dxa"/>
            <w:vAlign w:val="bottom"/>
          </w:tcPr>
          <w:p>
            <w:pPr>
              <w:spacing w:after="0"/>
              <w:rPr>
                <w:sz w:val="20"/>
                <w:szCs w:val="20"/>
                <w:color w:val="auto"/>
              </w:rPr>
            </w:pPr>
            <w:r>
              <w:rPr>
                <w:rFonts w:ascii="Times New Roman" w:cs="Times New Roman" w:eastAsia="Times New Roman" w:hAnsi="Times New Roman"/>
                <w:sz w:val="17"/>
                <w:szCs w:val="17"/>
                <w:color w:val="auto"/>
              </w:rPr>
              <w:t>Total lease cost</w:t>
            </w:r>
          </w:p>
        </w:tc>
        <w:tc>
          <w:tcPr>
            <w:tcW w:w="1180" w:type="dxa"/>
            <w:vAlign w:val="bottom"/>
            <w:tcBorders>
              <w:bottom w:val="single" w:sz="8" w:color="auto"/>
            </w:tcBorders>
          </w:tcPr>
          <w:p>
            <w:pPr>
              <w:jc w:val="right"/>
              <w:ind w:right="1000"/>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13,798</w:t>
            </w:r>
          </w:p>
        </w:tc>
        <w:tc>
          <w:tcPr>
            <w:tcW w:w="120" w:type="dxa"/>
            <w:vAlign w:val="bottom"/>
          </w:tcPr>
          <w:p>
            <w:pPr>
              <w:spacing w:after="0"/>
              <w:rPr>
                <w:sz w:val="18"/>
                <w:szCs w:val="18"/>
                <w:color w:val="auto"/>
              </w:rPr>
            </w:pPr>
          </w:p>
        </w:tc>
        <w:tc>
          <w:tcPr>
            <w:tcW w:w="44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13,555</w:t>
            </w:r>
          </w:p>
        </w:tc>
      </w:tr>
      <w:tr>
        <w:trPr>
          <w:trHeight w:val="20"/>
        </w:trPr>
        <w:tc>
          <w:tcPr>
            <w:tcW w:w="34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firstLine="619"/>
        <w:spacing w:after="0" w:line="287" w:lineRule="auto"/>
        <w:rPr>
          <w:sz w:val="20"/>
          <w:szCs w:val="20"/>
          <w:color w:val="auto"/>
        </w:rPr>
      </w:pPr>
      <w:r>
        <w:rPr>
          <w:rFonts w:ascii="Times New Roman" w:cs="Times New Roman" w:eastAsia="Times New Roman" w:hAnsi="Times New Roman"/>
          <w:sz w:val="17"/>
          <w:szCs w:val="17"/>
          <w:color w:val="auto"/>
        </w:rPr>
        <w:t>Amortization expense related to the land right intangibles, as well as variable lease costs and the Company's operating lease costs are recorded within land rights and ground lease expense in the condensed consolidated statements of income.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Supplemental Disclosures Related to Leases</w:t>
      </w:r>
    </w:p>
    <w:p>
      <w:pPr>
        <w:spacing w:after="0" w:line="24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Supplemental balance sheet information related to the Company's operating leases was as follows:</w:t>
      </w:r>
    </w:p>
    <w:p>
      <w:pPr>
        <w:spacing w:after="0" w:line="41" w:lineRule="exact"/>
        <w:rPr>
          <w:sz w:val="20"/>
          <w:szCs w:val="20"/>
          <w:color w:val="auto"/>
        </w:rPr>
      </w:pPr>
    </w:p>
    <w:tbl>
      <w:tblPr>
        <w:tblLayout w:type="fixed"/>
        <w:tblInd w:w="2100" w:type="dxa"/>
        <w:tblCellMar>
          <w:top w:w="0" w:type="dxa"/>
          <w:left w:w="0" w:type="dxa"/>
          <w:bottom w:w="0" w:type="dxa"/>
          <w:right w:w="0" w:type="dxa"/>
        </w:tblCellMar>
      </w:tblPr>
      <w:tr>
        <w:trPr>
          <w:trHeight w:val="182"/>
        </w:trPr>
        <w:tc>
          <w:tcPr>
            <w:tcW w:w="5760" w:type="dxa"/>
            <w:vAlign w:val="bottom"/>
          </w:tcPr>
          <w:p>
            <w:pPr>
              <w:spacing w:after="0"/>
              <w:rPr>
                <w:sz w:val="15"/>
                <w:szCs w:val="15"/>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March 31, 2026</w:t>
            </w:r>
          </w:p>
        </w:tc>
      </w:tr>
      <w:tr>
        <w:trPr>
          <w:trHeight w:val="22"/>
        </w:trPr>
        <w:tc>
          <w:tcPr>
            <w:tcW w:w="5760" w:type="dxa"/>
            <w:vAlign w:val="bottom"/>
            <w:tcBorders>
              <w:bottom w:val="single" w:sz="8" w:color="CCEEFF"/>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r>
        <w:trPr>
          <w:trHeight w:val="212"/>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Weighted average remaining lease term - operating leases</w:t>
            </w:r>
          </w:p>
        </w:tc>
        <w:tc>
          <w:tcPr>
            <w:tcW w:w="1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52.26 years</w:t>
            </w:r>
          </w:p>
        </w:tc>
      </w:tr>
      <w:tr>
        <w:trPr>
          <w:trHeight w:val="223"/>
        </w:trPr>
        <w:tc>
          <w:tcPr>
            <w:tcW w:w="5760" w:type="dxa"/>
            <w:vAlign w:val="bottom"/>
          </w:tcPr>
          <w:p>
            <w:pPr>
              <w:spacing w:after="0"/>
              <w:rPr>
                <w:sz w:val="20"/>
                <w:szCs w:val="20"/>
                <w:color w:val="auto"/>
              </w:rPr>
            </w:pPr>
            <w:r>
              <w:rPr>
                <w:rFonts w:ascii="Times New Roman" w:cs="Times New Roman" w:eastAsia="Times New Roman" w:hAnsi="Times New Roman"/>
                <w:sz w:val="17"/>
                <w:szCs w:val="17"/>
                <w:color w:val="auto"/>
              </w:rPr>
              <w:t>Weighted average discount rate - operating leases</w:t>
            </w:r>
          </w:p>
        </w:tc>
        <w:tc>
          <w:tcPr>
            <w:tcW w:w="19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6.26%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90" w:right="339" w:bottom="1440" w:gutter="0" w:footer="0" w:header="0"/>
        </w:sectPr>
      </w:pPr>
    </w:p>
    <w:bookmarkStart w:id="20" w:name="page21"/>
    <w:bookmarkEnd w:id="20"/>
    <w:p>
      <w:pPr>
        <w:ind w:left="620"/>
        <w:spacing w:after="0"/>
        <w:rPr>
          <w:sz w:val="20"/>
          <w:szCs w:val="20"/>
          <w:color w:val="auto"/>
        </w:rPr>
      </w:pPr>
      <w:r>
        <w:rPr>
          <w:rFonts w:ascii="Times New Roman" w:cs="Times New Roman" w:eastAsia="Times New Roman" w:hAnsi="Times New Roman"/>
          <w:sz w:val="17"/>
          <w:szCs w:val="17"/>
          <w:color w:val="auto"/>
        </w:rPr>
        <w:t>Supplemental cash flow information related to the Company's operating leases was as follows:</w:t>
      </w:r>
    </w:p>
    <w:p>
      <w:pPr>
        <w:spacing w:after="0" w:line="274" w:lineRule="exact"/>
        <w:rPr>
          <w:sz w:val="20"/>
          <w:szCs w:val="20"/>
          <w:color w:val="auto"/>
        </w:rPr>
      </w:pPr>
    </w:p>
    <w:p>
      <w:pPr>
        <w:jc w:val="center"/>
        <w:ind w:left="67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5028565</wp:posOffset>
            </wp:positionH>
            <wp:positionV relativeFrom="paragraph">
              <wp:posOffset>27940</wp:posOffset>
            </wp:positionV>
            <wp:extent cx="138366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383665" cy="8255"/>
                    </a:xfrm>
                    <a:prstGeom prst="rect">
                      <a:avLst/>
                    </a:prstGeom>
                    <a:noFill/>
                  </pic:spPr>
                </pic:pic>
              </a:graphicData>
            </a:graphic>
          </wp:anchor>
        </w:drawing>
      </w:r>
    </w:p>
    <w:p>
      <w:pPr>
        <w:spacing w:after="0" w:line="25" w:lineRule="exact"/>
        <w:rPr>
          <w:sz w:val="20"/>
          <w:szCs w:val="20"/>
          <w:color w:val="auto"/>
        </w:rPr>
      </w:pPr>
    </w:p>
    <w:p>
      <w:pPr>
        <w:ind w:left="8300"/>
        <w:spacing w:after="0"/>
        <w:tabs>
          <w:tab w:leader="none" w:pos="9420" w:val="left"/>
        </w:tabs>
        <w:rPr>
          <w:sz w:val="20"/>
          <w:szCs w:val="20"/>
          <w:color w:val="auto"/>
        </w:rPr>
      </w:pPr>
      <w:r>
        <w:rPr>
          <w:rFonts w:ascii="Times New Roman" w:cs="Times New Roman" w:eastAsia="Times New Roman" w:hAnsi="Times New Roman"/>
          <w:sz w:val="14"/>
          <w:szCs w:val="14"/>
          <w:b w:val="1"/>
          <w:bCs w:val="1"/>
          <w:color w:val="auto"/>
        </w:rPr>
        <w:t>2026</w:t>
      </w:r>
      <w:r>
        <w:rPr>
          <w:sz w:val="20"/>
          <w:szCs w:val="20"/>
          <w:color w:val="auto"/>
        </w:rPr>
        <w:tab/>
      </w:r>
      <w:r>
        <w:rPr>
          <w:rFonts w:ascii="Times New Roman" w:cs="Times New Roman" w:eastAsia="Times New Roman" w:hAnsi="Times New Roman"/>
          <w:sz w:val="14"/>
          <w:szCs w:val="14"/>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5028565</wp:posOffset>
            </wp:positionH>
            <wp:positionV relativeFrom="paragraph">
              <wp:posOffset>27940</wp:posOffset>
            </wp:positionV>
            <wp:extent cx="138366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383665" cy="8255"/>
                    </a:xfrm>
                    <a:prstGeom prst="rect">
                      <a:avLst/>
                    </a:prstGeom>
                    <a:noFill/>
                  </pic:spPr>
                </pic:pic>
              </a:graphicData>
            </a:graphic>
          </wp:anchor>
        </w:drawing>
      </w:r>
    </w:p>
    <w:p>
      <w:pPr>
        <w:spacing w:after="0" w:line="25" w:lineRule="exact"/>
        <w:rPr>
          <w:sz w:val="20"/>
          <w:szCs w:val="20"/>
          <w:color w:val="auto"/>
        </w:rPr>
      </w:pPr>
    </w:p>
    <w:p>
      <w:pPr>
        <w:ind w:left="860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40"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7"/>
          <w:szCs w:val="17"/>
          <w:color w:val="auto"/>
        </w:rPr>
        <w:t>Cash paid for amounts included in the measurement of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1066165</wp:posOffset>
            </wp:positionH>
            <wp:positionV relativeFrom="paragraph">
              <wp:posOffset>-121285</wp:posOffset>
            </wp:positionV>
            <wp:extent cx="5403215" cy="13906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403215" cy="139065"/>
                    </a:xfrm>
                    <a:prstGeom prst="rect">
                      <a:avLst/>
                    </a:prstGeom>
                    <a:noFill/>
                  </pic:spPr>
                </pic:pic>
              </a:graphicData>
            </a:graphic>
          </wp:anchor>
        </w:drawing>
      </w:r>
    </w:p>
    <w:p>
      <w:pPr>
        <w:spacing w:after="0" w:line="8" w:lineRule="exact"/>
        <w:rPr>
          <w:sz w:val="20"/>
          <w:szCs w:val="20"/>
          <w:color w:val="auto"/>
        </w:rPr>
      </w:pPr>
    </w:p>
    <w:p>
      <w:pPr>
        <w:ind w:left="1780"/>
        <w:spacing w:after="0"/>
        <w:tabs>
          <w:tab w:leader="none" w:pos="7920" w:val="left"/>
          <w:tab w:leader="none" w:pos="8600" w:val="left"/>
          <w:tab w:leader="none" w:pos="9060" w:val="left"/>
          <w:tab w:leader="none" w:pos="9760" w:val="left"/>
        </w:tabs>
        <w:rPr>
          <w:sz w:val="20"/>
          <w:szCs w:val="20"/>
          <w:color w:val="auto"/>
        </w:rPr>
      </w:pPr>
      <w:r>
        <w:rPr>
          <w:rFonts w:ascii="Times New Roman" w:cs="Times New Roman" w:eastAsia="Times New Roman" w:hAnsi="Times New Roman"/>
          <w:sz w:val="17"/>
          <w:szCs w:val="17"/>
          <w:color w:val="auto"/>
        </w:rPr>
        <w:t xml:space="preserve">Operating cash flows from operating leases </w:t>
      </w:r>
      <w:r>
        <w:rPr>
          <w:rFonts w:ascii="Times New Roman" w:cs="Times New Roman" w:eastAsia="Times New Roman" w:hAnsi="Times New Roman"/>
          <w:sz w:val="22"/>
          <w:szCs w:val="22"/>
          <w:color w:val="auto"/>
          <w:vertAlign w:val="superscript"/>
        </w:rPr>
        <w:t>(1)</w:t>
      </w:r>
      <w:r>
        <w:rPr>
          <w:sz w:val="20"/>
          <w:szCs w:val="20"/>
          <w:color w:val="auto"/>
        </w:rPr>
        <w:tab/>
      </w: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7"/>
          <w:szCs w:val="17"/>
          <w:color w:val="auto"/>
        </w:rPr>
        <w:t>418</w:t>
        <w:tab/>
        <w:t>$</w:t>
      </w:r>
      <w:r>
        <w:rPr>
          <w:sz w:val="20"/>
          <w:szCs w:val="20"/>
          <w:color w:val="auto"/>
        </w:rPr>
        <w:tab/>
      </w:r>
      <w:r>
        <w:rPr>
          <w:rFonts w:ascii="Times New Roman" w:cs="Times New Roman" w:eastAsia="Times New Roman" w:hAnsi="Times New Roman"/>
          <w:sz w:val="16"/>
          <w:szCs w:val="16"/>
          <w:color w:val="auto"/>
        </w:rPr>
        <w:t>415</w:t>
      </w:r>
    </w:p>
    <w:p>
      <w:pPr>
        <w:spacing w:after="0" w:line="272" w:lineRule="exact"/>
        <w:rPr>
          <w:sz w:val="20"/>
          <w:szCs w:val="20"/>
          <w:color w:val="auto"/>
        </w:rPr>
      </w:pPr>
    </w:p>
    <w:p>
      <w:pPr>
        <w:jc w:val="both"/>
        <w:ind w:firstLine="622"/>
        <w:spacing w:after="0" w:line="284" w:lineRule="auto"/>
        <w:tabs>
          <w:tab w:leader="none" w:pos="777" w:val="left"/>
        </w:tabs>
        <w:numPr>
          <w:ilvl w:val="0"/>
          <w:numId w:val="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The Company's cash paid for operating leases is significantly less than the lease cost for the same period due to the majority of the Company's ground lease rent being paid directly to the landlords by the Company's tenants. Although GLPI expends no cash related to these leases, they are required to be grossed up in the Company's condensed consolidated financial statements under ASC 842.</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Financing Lease Liabilities</w:t>
      </w:r>
    </w:p>
    <w:p>
      <w:pPr>
        <w:spacing w:after="0" w:line="247"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In connection with the acquisition of certain real property assets included in the Maryland Live! Lease and the Strategic Gaming Leases, the Company acquired the rights to land subject to long-term ground leases which expire in June 2111 and April 2062, respectively. As these leases were accounted for as Investment in leases, financing receivables, the underlying ground leases were accounted for as Financing lease liabilities on the Condensed Consolidated Balance Sheets. In accordance with ASC 842, the Company records revenue for the ground lease rent paid by its tenant with an offsetting expense in interest expense as the Company has concluded that as the lessee it is the primary obligor under the ground leases. The Company's weighted average discount rate on the fixed minimum annual payments was 5.07% to arrive at the initial lease obligations. At March 31, 2026, payments under the Company's financing lease liabilities were as follows (in thousands):</w:t>
      </w:r>
    </w:p>
    <w:p>
      <w:pPr>
        <w:spacing w:after="0" w:line="200" w:lineRule="exact"/>
        <w:rPr>
          <w:sz w:val="20"/>
          <w:szCs w:val="20"/>
          <w:color w:val="auto"/>
        </w:rPr>
      </w:pPr>
    </w:p>
    <w:p>
      <w:pPr>
        <w:spacing w:after="0" w:line="305" w:lineRule="exact"/>
        <w:rPr>
          <w:sz w:val="20"/>
          <w:szCs w:val="20"/>
          <w:color w:val="auto"/>
        </w:rPr>
      </w:pPr>
    </w:p>
    <w:tbl>
      <w:tblPr>
        <w:tblLayout w:type="fixed"/>
        <w:tblInd w:w="1860" w:type="dxa"/>
        <w:tblCellMar>
          <w:top w:w="0" w:type="dxa"/>
          <w:left w:w="0" w:type="dxa"/>
          <w:bottom w:w="0" w:type="dxa"/>
          <w:right w:w="0" w:type="dxa"/>
        </w:tblCellMar>
      </w:tblPr>
      <w:tr>
        <w:trPr>
          <w:trHeight w:val="219"/>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2026 (remainder of year)</w:t>
            </w:r>
          </w:p>
        </w:tc>
        <w:tc>
          <w:tcPr>
            <w:tcW w:w="700" w:type="dxa"/>
            <w:vAlign w:val="bottom"/>
            <w:shd w:val="clear" w:color="auto" w:fill="CCEEFF"/>
          </w:tcPr>
          <w:p>
            <w:pPr>
              <w:jc w:val="right"/>
              <w:ind w:right="51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2,038</w:t>
            </w:r>
          </w:p>
        </w:tc>
      </w:tr>
      <w:tr>
        <w:trPr>
          <w:trHeight w:val="219"/>
        </w:trPr>
        <w:tc>
          <w:tcPr>
            <w:tcW w:w="4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7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2,735</w:t>
            </w:r>
          </w:p>
        </w:tc>
      </w:tr>
      <w:tr>
        <w:trPr>
          <w:trHeight w:val="219"/>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2028</w:t>
            </w:r>
          </w:p>
        </w:tc>
        <w:tc>
          <w:tcPr>
            <w:tcW w:w="7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2,758</w:t>
            </w:r>
          </w:p>
        </w:tc>
      </w:tr>
      <w:tr>
        <w:trPr>
          <w:trHeight w:val="219"/>
        </w:trPr>
        <w:tc>
          <w:tcPr>
            <w:tcW w:w="4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2029</w:t>
            </w:r>
          </w:p>
        </w:tc>
        <w:tc>
          <w:tcPr>
            <w:tcW w:w="7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2,782</w:t>
            </w:r>
          </w:p>
        </w:tc>
      </w:tr>
      <w:tr>
        <w:trPr>
          <w:trHeight w:val="219"/>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2030</w:t>
            </w:r>
          </w:p>
        </w:tc>
        <w:tc>
          <w:tcPr>
            <w:tcW w:w="7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2,805</w:t>
            </w:r>
          </w:p>
        </w:tc>
      </w:tr>
      <w:tr>
        <w:trPr>
          <w:trHeight w:val="219"/>
        </w:trPr>
        <w:tc>
          <w:tcPr>
            <w:tcW w:w="4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Thereafter</w:t>
            </w:r>
          </w:p>
        </w:tc>
        <w:tc>
          <w:tcPr>
            <w:tcW w:w="7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308,234</w:t>
            </w:r>
          </w:p>
        </w:tc>
      </w:tr>
      <w:tr>
        <w:trPr>
          <w:trHeight w:val="212"/>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lease payments</w:t>
            </w:r>
          </w:p>
        </w:tc>
        <w:tc>
          <w:tcPr>
            <w:tcW w:w="700" w:type="dxa"/>
            <w:vAlign w:val="bottom"/>
            <w:shd w:val="clear" w:color="auto" w:fill="CCEEFF"/>
          </w:tcPr>
          <w:p>
            <w:pPr>
              <w:jc w:val="right"/>
              <w:ind w:right="51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321,352</w:t>
            </w:r>
          </w:p>
        </w:tc>
      </w:tr>
      <w:tr>
        <w:trPr>
          <w:trHeight w:val="219"/>
        </w:trPr>
        <w:tc>
          <w:tcPr>
            <w:tcW w:w="4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Less: Interest</w:t>
            </w:r>
          </w:p>
        </w:tc>
        <w:tc>
          <w:tcPr>
            <w:tcW w:w="7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(260,035)</w:t>
            </w:r>
          </w:p>
        </w:tc>
      </w:tr>
      <w:tr>
        <w:trPr>
          <w:trHeight w:val="237"/>
        </w:trPr>
        <w:tc>
          <w:tcPr>
            <w:tcW w:w="4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Present value of finance lease liability</w:t>
            </w:r>
          </w:p>
        </w:tc>
        <w:tc>
          <w:tcPr>
            <w:tcW w:w="700" w:type="dxa"/>
            <w:vAlign w:val="bottom"/>
            <w:tcBorders>
              <w:bottom w:val="single" w:sz="8" w:color="auto"/>
            </w:tcBorders>
            <w:shd w:val="clear" w:color="auto" w:fill="CCEEFF"/>
          </w:tcPr>
          <w:p>
            <w:pPr>
              <w:jc w:val="right"/>
              <w:ind w:right="51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61,317</w:t>
            </w: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21" w:name="page22"/>
    <w:bookmarkEnd w:id="21"/>
    <w:p>
      <w:pPr>
        <w:spacing w:after="0"/>
        <w:tabs>
          <w:tab w:leader="none" w:pos="280" w:val="left"/>
        </w:tabs>
        <w:rPr>
          <w:sz w:val="20"/>
          <w:szCs w:val="20"/>
          <w:color w:val="auto"/>
        </w:rPr>
      </w:pPr>
      <w:r>
        <w:rPr>
          <w:rFonts w:ascii="Times New Roman" w:cs="Times New Roman" w:eastAsia="Times New Roman" w:hAnsi="Times New Roman"/>
          <w:sz w:val="17"/>
          <w:szCs w:val="17"/>
          <w:b w:val="1"/>
          <w:bCs w:val="1"/>
          <w:color w:val="auto"/>
        </w:rPr>
        <w:t>7.</w:t>
        <w:tab/>
        <w:t>Long-term Debt</w:t>
      </w:r>
    </w:p>
    <w:p>
      <w:pPr>
        <w:spacing w:after="0" w:line="22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Long-term debt is as follows: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3"/>
                <w:szCs w:val="13"/>
                <w:color w:val="auto"/>
              </w:rPr>
            </w:pPr>
          </w:p>
        </w:tc>
        <w:tc>
          <w:tcPr>
            <w:tcW w:w="1220" w:type="dxa"/>
            <w:vAlign w:val="bottom"/>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82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86"/>
        </w:trPr>
        <w:tc>
          <w:tcPr>
            <w:tcW w:w="8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00" w:type="dxa"/>
            <w:vAlign w:val="bottom"/>
            <w:gridSpan w:val="4"/>
          </w:tcPr>
          <w:p>
            <w:pPr>
              <w:jc w:val="right"/>
              <w:ind w:right="976"/>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25"/>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Unsecured $2,090 million revolver due December 2028</w:t>
            </w: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330,793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331,624</w:t>
            </w:r>
          </w:p>
        </w:tc>
      </w:tr>
      <w:tr>
        <w:trPr>
          <w:trHeight w:val="219"/>
        </w:trPr>
        <w:tc>
          <w:tcPr>
            <w:tcW w:w="8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2022 Term Loan Agreement due September 2027</w:t>
            </w:r>
          </w:p>
        </w:tc>
        <w:tc>
          <w:tcPr>
            <w:tcW w:w="26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600,000</w:t>
            </w:r>
          </w:p>
        </w:tc>
      </w:tr>
      <w:tr>
        <w:trPr>
          <w:trHeight w:val="21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2026 Term Loan due December 2028</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679,000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8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$500 million 5.750% senior unsecured notes due June 2028</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500,000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500,000</w:t>
            </w:r>
          </w:p>
        </w:tc>
      </w:tr>
      <w:tr>
        <w:trPr>
          <w:trHeight w:val="21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$750 million 5.300% senior unsecured notes due January 2029</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750,000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750,000</w:t>
            </w:r>
          </w:p>
        </w:tc>
      </w:tr>
      <w:tr>
        <w:trPr>
          <w:trHeight w:val="219"/>
        </w:trPr>
        <w:tc>
          <w:tcPr>
            <w:tcW w:w="8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$700 million 4.000% senior unsecured notes due January 2030</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700,000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700,000</w:t>
            </w:r>
          </w:p>
        </w:tc>
      </w:tr>
      <w:tr>
        <w:trPr>
          <w:trHeight w:val="21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$700 million 4.000% senior unsecured notes due January 2031</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700,000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700,000</w:t>
            </w:r>
          </w:p>
        </w:tc>
      </w:tr>
      <w:tr>
        <w:trPr>
          <w:trHeight w:val="219"/>
        </w:trPr>
        <w:tc>
          <w:tcPr>
            <w:tcW w:w="8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$800 million 3.250% senior unsecured notes due January 2032</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800,000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800,000</w:t>
            </w:r>
          </w:p>
        </w:tc>
      </w:tr>
      <w:tr>
        <w:trPr>
          <w:trHeight w:val="21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$600 million 5.250% senior unsecured notes due February 2033</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600,000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600,000</w:t>
            </w:r>
          </w:p>
        </w:tc>
      </w:tr>
      <w:tr>
        <w:trPr>
          <w:trHeight w:val="219"/>
        </w:trPr>
        <w:tc>
          <w:tcPr>
            <w:tcW w:w="8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$400 million 6.750% senior unsecured notes due December 2033</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400,000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400,000</w:t>
            </w:r>
          </w:p>
        </w:tc>
      </w:tr>
      <w:tr>
        <w:trPr>
          <w:trHeight w:val="21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$800 million 5.625% senior unsecured notes due September 2034</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800,000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800,000</w:t>
            </w:r>
          </w:p>
        </w:tc>
      </w:tr>
      <w:tr>
        <w:trPr>
          <w:trHeight w:val="219"/>
        </w:trPr>
        <w:tc>
          <w:tcPr>
            <w:tcW w:w="8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$800 million 5.625% senior unsecured notes due March 2036</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800,000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$700 million 5.750% senior unsecured notes due November 2037</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700,000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700,000</w:t>
            </w:r>
          </w:p>
        </w:tc>
      </w:tr>
      <w:tr>
        <w:trPr>
          <w:trHeight w:val="219"/>
        </w:trPr>
        <w:tc>
          <w:tcPr>
            <w:tcW w:w="8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$400 million 6.250% senior unsecured notes due September 2054</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400,000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400,000</w:t>
            </w:r>
          </w:p>
        </w:tc>
      </w:tr>
      <w:tr>
        <w:trPr>
          <w:trHeight w:val="21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w:t>
            </w:r>
          </w:p>
        </w:tc>
      </w:tr>
      <w:tr>
        <w:trPr>
          <w:trHeight w:val="212"/>
        </w:trPr>
        <w:tc>
          <w:tcPr>
            <w:tcW w:w="8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long-term debt</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8,159,863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7,281,764</w:t>
            </w:r>
          </w:p>
        </w:tc>
      </w:tr>
      <w:tr>
        <w:trPr>
          <w:trHeight w:val="21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Less: unamortized debt issuance costs, bond premiums and original issuance discounts</w:t>
            </w: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(84,849)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(78,033)</w:t>
            </w:r>
          </w:p>
        </w:tc>
      </w:tr>
      <w:tr>
        <w:trPr>
          <w:trHeight w:val="212"/>
        </w:trPr>
        <w:tc>
          <w:tcPr>
            <w:tcW w:w="8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long-term debt, net of unamortized debt issuance costs, bond premiums and original issuance discounts</w:t>
            </w: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8,075,014</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7,203,731</w:t>
            </w:r>
          </w:p>
        </w:tc>
      </w:tr>
      <w:tr>
        <w:trPr>
          <w:trHeight w:val="20"/>
        </w:trPr>
        <w:tc>
          <w:tcPr>
            <w:tcW w:w="8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is a schedule of future minimum repayments of long-term debt as of March 31, 2026 (in thousands):</w:t>
      </w:r>
    </w:p>
    <w:p>
      <w:pPr>
        <w:spacing w:after="0" w:line="285" w:lineRule="exact"/>
        <w:rPr>
          <w:sz w:val="20"/>
          <w:szCs w:val="20"/>
          <w:color w:val="auto"/>
        </w:rPr>
      </w:pPr>
    </w:p>
    <w:tbl>
      <w:tblPr>
        <w:tblLayout w:type="fixed"/>
        <w:tblInd w:w="2140" w:type="dxa"/>
        <w:tblCellMar>
          <w:top w:w="0" w:type="dxa"/>
          <w:left w:w="0" w:type="dxa"/>
          <w:bottom w:w="0" w:type="dxa"/>
          <w:right w:w="0" w:type="dxa"/>
        </w:tblCellMar>
      </w:tblPr>
      <w:tr>
        <w:trPr>
          <w:trHeight w:val="219"/>
        </w:trPr>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99"/>
              </w:rPr>
              <w:t>2026</w:t>
            </w:r>
          </w:p>
        </w:tc>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(remainder of year)</w:t>
            </w:r>
          </w:p>
        </w:tc>
        <w:tc>
          <w:tcPr>
            <w:tcW w:w="480" w:type="dxa"/>
            <w:vAlign w:val="bottom"/>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2,563</w:t>
            </w:r>
          </w:p>
        </w:tc>
      </w:tr>
      <w:tr>
        <w:trPr>
          <w:trHeight w:val="219"/>
        </w:trPr>
        <w:tc>
          <w:tcPr>
            <w:tcW w:w="380" w:type="dxa"/>
            <w:vAlign w:val="bottom"/>
          </w:tcPr>
          <w:p>
            <w:pPr>
              <w:ind w:left="20"/>
              <w:spacing w:after="0"/>
              <w:rPr>
                <w:sz w:val="20"/>
                <w:szCs w:val="20"/>
                <w:color w:val="auto"/>
              </w:rPr>
            </w:pPr>
            <w:r>
              <w:rPr>
                <w:rFonts w:ascii="Times New Roman" w:cs="Times New Roman" w:eastAsia="Times New Roman" w:hAnsi="Times New Roman"/>
                <w:sz w:val="17"/>
                <w:szCs w:val="17"/>
                <w:color w:val="auto"/>
                <w:w w:val="99"/>
              </w:rPr>
              <w:t>2027</w:t>
            </w:r>
          </w:p>
        </w:tc>
        <w:tc>
          <w:tcPr>
            <w:tcW w:w="56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3,325</w:t>
            </w:r>
          </w:p>
        </w:tc>
      </w:tr>
      <w:tr>
        <w:trPr>
          <w:trHeight w:val="219"/>
        </w:trPr>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99"/>
              </w:rPr>
              <w:t>2028</w:t>
            </w:r>
          </w:p>
        </w:tc>
        <w:tc>
          <w:tcPr>
            <w:tcW w:w="56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1,503,975</w:t>
            </w:r>
          </w:p>
        </w:tc>
      </w:tr>
      <w:tr>
        <w:trPr>
          <w:trHeight w:val="219"/>
        </w:trPr>
        <w:tc>
          <w:tcPr>
            <w:tcW w:w="380" w:type="dxa"/>
            <w:vAlign w:val="bottom"/>
          </w:tcPr>
          <w:p>
            <w:pPr>
              <w:ind w:left="20"/>
              <w:spacing w:after="0"/>
              <w:rPr>
                <w:sz w:val="20"/>
                <w:szCs w:val="20"/>
                <w:color w:val="auto"/>
              </w:rPr>
            </w:pPr>
            <w:r>
              <w:rPr>
                <w:rFonts w:ascii="Times New Roman" w:cs="Times New Roman" w:eastAsia="Times New Roman" w:hAnsi="Times New Roman"/>
                <w:sz w:val="17"/>
                <w:szCs w:val="17"/>
                <w:color w:val="auto"/>
                <w:w w:val="99"/>
              </w:rPr>
              <w:t>2029</w:t>
            </w:r>
          </w:p>
        </w:tc>
        <w:tc>
          <w:tcPr>
            <w:tcW w:w="56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750,000</w:t>
            </w:r>
          </w:p>
        </w:tc>
      </w:tr>
      <w:tr>
        <w:trPr>
          <w:trHeight w:val="219"/>
        </w:trPr>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99"/>
              </w:rPr>
              <w:t>2030</w:t>
            </w:r>
          </w:p>
        </w:tc>
        <w:tc>
          <w:tcPr>
            <w:tcW w:w="56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700,000</w:t>
            </w:r>
          </w:p>
        </w:tc>
      </w:tr>
      <w:tr>
        <w:trPr>
          <w:trHeight w:val="219"/>
        </w:trPr>
        <w:tc>
          <w:tcPr>
            <w:tcW w:w="60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Over 5 years</w:t>
            </w:r>
          </w:p>
        </w:tc>
        <w:tc>
          <w:tcPr>
            <w:tcW w:w="4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5,200,000</w:t>
            </w:r>
          </w:p>
        </w:tc>
      </w:tr>
      <w:tr>
        <w:trPr>
          <w:trHeight w:val="237"/>
        </w:trPr>
        <w:tc>
          <w:tcPr>
            <w:tcW w:w="6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minimum payments</w:t>
            </w:r>
          </w:p>
        </w:tc>
        <w:tc>
          <w:tcPr>
            <w:tcW w:w="480" w:type="dxa"/>
            <w:vAlign w:val="bottom"/>
            <w:tcBorders>
              <w:bottom w:val="single" w:sz="8" w:color="auto"/>
            </w:tcBorders>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8,159,863</w:t>
            </w:r>
          </w:p>
        </w:tc>
      </w:tr>
      <w:tr>
        <w:trPr>
          <w:trHeight w:val="20"/>
        </w:trPr>
        <w:tc>
          <w:tcPr>
            <w:tcW w:w="380" w:type="dxa"/>
            <w:vAlign w:val="bottom"/>
            <w:tcBorders>
              <w:top w:val="single" w:sz="8" w:color="CCEEFF"/>
            </w:tcBorders>
          </w:tcPr>
          <w:p>
            <w:pPr>
              <w:spacing w:after="0" w:line="20" w:lineRule="exact"/>
              <w:rPr>
                <w:sz w:val="1"/>
                <w:szCs w:val="1"/>
                <w:color w:val="auto"/>
              </w:rPr>
            </w:pPr>
          </w:p>
        </w:tc>
        <w:tc>
          <w:tcPr>
            <w:tcW w:w="56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Credit Agreement and Term Loan</w:t>
      </w:r>
    </w:p>
    <w:p>
      <w:pPr>
        <w:spacing w:after="0" w:line="247" w:lineRule="exact"/>
        <w:rPr>
          <w:sz w:val="20"/>
          <w:szCs w:val="20"/>
          <w:color w:val="auto"/>
        </w:rPr>
      </w:pPr>
    </w:p>
    <w:p>
      <w:pPr>
        <w:jc w:val="both"/>
        <w:ind w:firstLine="619"/>
        <w:spacing w:after="0" w:line="249" w:lineRule="auto"/>
        <w:rPr>
          <w:sz w:val="20"/>
          <w:szCs w:val="20"/>
          <w:color w:val="auto"/>
        </w:rPr>
      </w:pPr>
      <w:r>
        <w:rPr>
          <w:rFonts w:ascii="Times New Roman" w:cs="Times New Roman" w:eastAsia="Times New Roman" w:hAnsi="Times New Roman"/>
          <w:sz w:val="17"/>
          <w:szCs w:val="17"/>
          <w:color w:val="auto"/>
        </w:rPr>
        <w:t>On March 4, 2026, GLP Capital entered into an amendment to the credit agreement among GLP Capital, Wells Fargo Bank, National Association, as administrative agent, and the several banks and other financial institutions or entities party thereto, dated as of May 13, 2022 (the “Credit Agreement”). Pursuant to the amendment, GLP Capital borrowed a new $679 million term loan (the “2026 Term Loan”), the proceeds of which were used to repay $679 million of outstanding bridge revolving loans (without any corresponding reduction in revolving commitments). The 2026 Term Loan matures on December 2, 2028, subject to two six-month extensions at GLP Capital’s option.</w:t>
      </w:r>
    </w:p>
    <w:p>
      <w:pPr>
        <w:spacing w:after="0" w:line="198" w:lineRule="exact"/>
        <w:rPr>
          <w:sz w:val="20"/>
          <w:szCs w:val="20"/>
          <w:color w:val="auto"/>
        </w:rPr>
      </w:pPr>
    </w:p>
    <w:p>
      <w:pPr>
        <w:jc w:val="both"/>
        <w:ind w:firstLine="619"/>
        <w:spacing w:after="0" w:line="254" w:lineRule="auto"/>
        <w:rPr>
          <w:sz w:val="20"/>
          <w:szCs w:val="20"/>
          <w:color w:val="auto"/>
        </w:rPr>
      </w:pPr>
      <w:r>
        <w:rPr>
          <w:rFonts w:ascii="Times New Roman" w:cs="Times New Roman" w:eastAsia="Times New Roman" w:hAnsi="Times New Roman"/>
          <w:sz w:val="17"/>
          <w:szCs w:val="17"/>
          <w:color w:val="auto"/>
        </w:rPr>
        <w:t>The interest rates per annum applicable to the 2026 Term Loan are, at GLP Capital’s option, equal to either a Secured Overnight Financing Rate (“SOFR”) based rate or a base rate plus an applicable margin, which ranges from 0.850% to 1.70% per annum for SOFR loans and 0.0% to 0.7% per annum for base rate loans, in each case, depending on the credit ratings assigned to the credit facility under the Credit Agreement. The weighted average interest rate under the 2026 Term Loan at March 31, 2026 was 4.96%.</w:t>
      </w:r>
    </w:p>
    <w:p>
      <w:pPr>
        <w:spacing w:after="0" w:line="204" w:lineRule="exact"/>
        <w:rPr>
          <w:sz w:val="20"/>
          <w:szCs w:val="20"/>
          <w:color w:val="auto"/>
        </w:rPr>
      </w:pPr>
    </w:p>
    <w:p>
      <w:pPr>
        <w:jc w:val="both"/>
        <w:ind w:firstLine="619"/>
        <w:spacing w:after="0" w:line="271" w:lineRule="auto"/>
        <w:rPr>
          <w:sz w:val="20"/>
          <w:szCs w:val="20"/>
          <w:color w:val="auto"/>
        </w:rPr>
      </w:pPr>
      <w:r>
        <w:rPr>
          <w:rFonts w:ascii="Times New Roman" w:cs="Times New Roman" w:eastAsia="Times New Roman" w:hAnsi="Times New Roman"/>
          <w:sz w:val="17"/>
          <w:szCs w:val="17"/>
          <w:color w:val="auto"/>
        </w:rPr>
        <w:t>The 2026 Term Loan is not subject to interim amortization. GLP Capital is not required to repay the 2026 Term Loan prior to maturity but may prepay all or any portion of the 2026 Term Loan prior to maturity without premium or penalty,</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7"/>
          <w:szCs w:val="17"/>
          <w:color w:val="auto"/>
        </w:rPr>
        <w:t>subject to reimbursement of any SOFR breakage costs of the lenders. Amounts repaid under the 2026 Term Loan may not be reborrowed.</w:t>
      </w:r>
    </w:p>
    <w:p>
      <w:pPr>
        <w:spacing w:after="0" w:line="230"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The 2026 Term Loan is subject to the representations and warranties, affirmative covenants, negative covenants, financial covenants and events of default set forth in the Credit Agreement and applicable to the revolving loans therein.</w:t>
      </w:r>
    </w:p>
    <w:p>
      <w:pPr>
        <w:spacing w:after="0" w:line="164" w:lineRule="exact"/>
        <w:rPr>
          <w:sz w:val="20"/>
          <w:szCs w:val="20"/>
          <w:color w:val="auto"/>
        </w:rPr>
      </w:pPr>
    </w:p>
    <w:p>
      <w:pPr>
        <w:jc w:val="both"/>
        <w:ind w:firstLine="619"/>
        <w:spacing w:after="0" w:line="250" w:lineRule="auto"/>
        <w:rPr>
          <w:sz w:val="20"/>
          <w:szCs w:val="20"/>
          <w:color w:val="auto"/>
        </w:rPr>
      </w:pPr>
      <w:r>
        <w:rPr>
          <w:rFonts w:ascii="Times New Roman" w:cs="Times New Roman" w:eastAsia="Times New Roman" w:hAnsi="Times New Roman"/>
          <w:sz w:val="17"/>
          <w:szCs w:val="17"/>
          <w:color w:val="auto"/>
        </w:rPr>
        <w:t>On March 4, 2026, GLP Capital repaid in full the $600 million outstanding obligations under the term loan credit agreement among GLP Capital, Wells Fargo Bank, National Association, as administrative agent, and the several banks and other financial institutions or entities party thereto, dated as of September 2, 2022 (the “2022 Term Loan Agreement”). All of GLP Capital’s and GLPI’s obligations under the 2022 Term Loan Agreement have been paid and discharged in full and all guarantees granted by GLPI and any other party in connection with the 2022 Term Loan Agreement have been released (other than with respect to customary provisions and agreements that are expressly specified to survive the termination). GLP Capital and GLPI did not incur any early termination penalties in connection with repayment of the indebtedness or termination.</w:t>
      </w:r>
    </w:p>
    <w:p>
      <w:pPr>
        <w:spacing w:after="0" w:line="19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Company’s Credit Agreement provides a revolving commitment capacity of $2.09 billion with a maturity date of December 2, 2028 (the “Revolver”).</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GLP Capital is the primary obligor under the Credit Agreement, which is guaranteed by GLPI.</w:t>
      </w:r>
    </w:p>
    <w:p>
      <w:pPr>
        <w:spacing w:after="0" w:line="225" w:lineRule="exact"/>
        <w:rPr>
          <w:sz w:val="20"/>
          <w:szCs w:val="20"/>
          <w:color w:val="auto"/>
        </w:rPr>
      </w:pPr>
    </w:p>
    <w:p>
      <w:pPr>
        <w:jc w:val="both"/>
        <w:ind w:firstLine="619"/>
        <w:spacing w:after="0" w:line="254" w:lineRule="auto"/>
        <w:rPr>
          <w:sz w:val="20"/>
          <w:szCs w:val="20"/>
          <w:color w:val="auto"/>
        </w:rPr>
      </w:pPr>
      <w:r>
        <w:rPr>
          <w:rFonts w:ascii="Times New Roman" w:cs="Times New Roman" w:eastAsia="Times New Roman" w:hAnsi="Times New Roman"/>
          <w:sz w:val="17"/>
          <w:szCs w:val="17"/>
          <w:color w:val="auto"/>
        </w:rPr>
        <w:t>At March 31, 2026, $330.8 million was outstanding under the Company's Revolver. After giving effect to contingent obligations under letters of credit with face amounts aggregating approximately $0.4 million, the Company had $1,758.8 million of available borrowing capacity under the Revolver as of March 31, 2026. The weighted average interest rate under the Revolver at March 31, 2026 was 4.97%.</w:t>
      </w:r>
    </w:p>
    <w:p>
      <w:pPr>
        <w:spacing w:after="0" w:line="20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Senior Unsecured Notes</w:t>
      </w:r>
    </w:p>
    <w:p>
      <w:pPr>
        <w:spacing w:after="0" w:line="234" w:lineRule="exact"/>
        <w:rPr>
          <w:sz w:val="20"/>
          <w:szCs w:val="20"/>
          <w:color w:val="auto"/>
        </w:rPr>
      </w:pPr>
    </w:p>
    <w:p>
      <w:pPr>
        <w:jc w:val="both"/>
        <w:ind w:firstLine="619"/>
        <w:spacing w:after="0" w:line="262" w:lineRule="auto"/>
        <w:rPr>
          <w:sz w:val="20"/>
          <w:szCs w:val="20"/>
          <w:color w:val="auto"/>
        </w:rPr>
      </w:pPr>
      <w:r>
        <w:rPr>
          <w:rFonts w:ascii="Times New Roman" w:cs="Times New Roman" w:eastAsia="Times New Roman" w:hAnsi="Times New Roman"/>
          <w:sz w:val="17"/>
          <w:szCs w:val="17"/>
          <w:color w:val="auto"/>
        </w:rPr>
        <w:t>At March 31, 2026, the Company had $7,150.0 million of outstanding senior unsecured notes (the "Senior Notes"). During the three months ended March 31, 2026, the Company issued $800 million of 5.625% Senior Notes that will mature on March 1, 2036 at an issue price of 99.857% of the principal amount. The proceeds of the offering were utilized to repay the 2022 Term Loan Agreement and for working capital and general corporate purposes.</w:t>
      </w:r>
    </w:p>
    <w:p>
      <w:pPr>
        <w:spacing w:after="0" w:line="18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At March 31, 2026, the Company was in compliance with all required financial covenants on its debt obligations.</w:t>
      </w:r>
    </w:p>
    <w:p>
      <w:pPr>
        <w:spacing w:after="0" w:line="226"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7"/>
          <w:szCs w:val="17"/>
          <w:b w:val="1"/>
          <w:bCs w:val="1"/>
          <w:color w:val="auto"/>
        </w:rPr>
        <w:t>8.</w:t>
        <w:tab/>
        <w:t>Fair Value of Financial Assets and Liabilities</w:t>
      </w:r>
    </w:p>
    <w:p>
      <w:pPr>
        <w:spacing w:after="0" w:line="247"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 xml:space="preserve">Fair value is defined as the price that would be received to sell an asset or transfer a liability in an orderly transaction between market participants at the measurement date. Assets and liabilities recorded at fair value are classified based upon the level of judgment associated with the inputs used to measure their fair value. ASC 820 - </w:t>
      </w:r>
      <w:r>
        <w:rPr>
          <w:rFonts w:ascii="Times New Roman" w:cs="Times New Roman" w:eastAsia="Times New Roman" w:hAnsi="Times New Roman"/>
          <w:sz w:val="17"/>
          <w:szCs w:val="17"/>
          <w:i w:val="1"/>
          <w:iCs w:val="1"/>
          <w:color w:val="auto"/>
        </w:rPr>
        <w:t>Fair Value Measurements and Disclosures</w:t>
      </w:r>
      <w:r>
        <w:rPr>
          <w:rFonts w:ascii="Times New Roman" w:cs="Times New Roman" w:eastAsia="Times New Roman" w:hAnsi="Times New Roman"/>
          <w:sz w:val="17"/>
          <w:szCs w:val="17"/>
          <w:color w:val="auto"/>
        </w:rPr>
        <w:t xml:space="preserve"> ("ASC 820") establishes a hierarchy that prioritizes fair value measurements based on the types of inputs used for the various valuation techniques (market approach, income approach, and cost approach). The levels of the hierarchy related to the subjectivity of the valuation inputs are described below:</w:t>
      </w:r>
    </w:p>
    <w:p>
      <w:pPr>
        <w:spacing w:after="0" w:line="200" w:lineRule="exact"/>
        <w:rPr>
          <w:sz w:val="20"/>
          <w:szCs w:val="20"/>
          <w:color w:val="auto"/>
        </w:rPr>
      </w:pPr>
    </w:p>
    <w:p>
      <w:pPr>
        <w:ind w:left="620" w:hanging="307"/>
        <w:spacing w:after="0"/>
        <w:tabs>
          <w:tab w:leader="none" w:pos="6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1: Observable inputs such as quoted prices in active markets for identical assets or liabilities.</w:t>
      </w:r>
    </w:p>
    <w:p>
      <w:pPr>
        <w:spacing w:after="0" w:line="242"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2: Inputs other than quoted prices that are observable for the asset or liability, either directly or indirectly; these include quoted prices for similar assets or liabilities in active markets, such as interest rates and yield curves that are observable at commonly quoted intervals.</w:t>
      </w:r>
    </w:p>
    <w:p>
      <w:pPr>
        <w:spacing w:after="0" w:line="17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3: Unobservable inputs that reflect the reporting entity's own assumptions, as there is little, if any, related market activity.</w:t>
      </w:r>
    </w:p>
    <w:p>
      <w:pPr>
        <w:spacing w:after="0" w:line="243" w:lineRule="exact"/>
        <w:rPr>
          <w:sz w:val="20"/>
          <w:szCs w:val="20"/>
          <w:color w:val="auto"/>
        </w:rPr>
      </w:pPr>
    </w:p>
    <w:p>
      <w:pPr>
        <w:ind w:firstLine="194"/>
        <w:spacing w:after="0" w:line="287" w:lineRule="auto"/>
        <w:rPr>
          <w:sz w:val="20"/>
          <w:szCs w:val="20"/>
          <w:color w:val="auto"/>
        </w:rPr>
      </w:pPr>
      <w:r>
        <w:rPr>
          <w:rFonts w:ascii="Times New Roman" w:cs="Times New Roman" w:eastAsia="Times New Roman" w:hAnsi="Times New Roman"/>
          <w:sz w:val="17"/>
          <w:szCs w:val="17"/>
          <w:color w:val="auto"/>
        </w:rPr>
        <w:t>The Company's assessment of the significance of a particular input to the fair value measurement requires judgment and may affect the valuation of assets and liabilities and their placement within the fair value hierarchy.</w:t>
      </w:r>
    </w:p>
    <w:p>
      <w:pPr>
        <w:spacing w:after="0" w:line="17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Assets and Liabilities Measured at Fair Value on a Recurring Basis</w:t>
      </w:r>
    </w:p>
    <w:p>
      <w:pPr>
        <w:spacing w:after="0" w:line="22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methods and assumptions are used to estimate the fair value of each class of financial instruments for which it is practicable to estimate.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23" w:name="page24"/>
    <w:bookmarkEnd w:id="23"/>
    <w:p>
      <w:pPr>
        <w:ind w:left="620"/>
        <w:spacing w:after="0"/>
        <w:rPr>
          <w:sz w:val="20"/>
          <w:szCs w:val="20"/>
          <w:color w:val="auto"/>
        </w:rPr>
      </w:pPr>
      <w:r>
        <w:rPr>
          <w:rFonts w:ascii="Times New Roman" w:cs="Times New Roman" w:eastAsia="Times New Roman" w:hAnsi="Times New Roman"/>
          <w:sz w:val="17"/>
          <w:szCs w:val="17"/>
          <w:i w:val="1"/>
          <w:iCs w:val="1"/>
          <w:color w:val="auto"/>
        </w:rPr>
        <w:t>Cash and Cash Equivalents</w:t>
      </w:r>
    </w:p>
    <w:p>
      <w:pPr>
        <w:spacing w:after="0" w:line="221"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The fair value of the Company’s cash and cash equivalents approximates the carrying value of the Company’s cash and cash equivalents, due to the short maturity of the cash equivalents.</w:t>
      </w:r>
    </w:p>
    <w:p>
      <w:pPr>
        <w:spacing w:after="0" w:line="17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Investment in Leases, Financing Receivables, net</w:t>
      </w:r>
    </w:p>
    <w:p>
      <w:pPr>
        <w:spacing w:after="0" w:line="247"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The fair value of the Company's investment in leases, financing receivables, net is based on the value of the underlying real estate property the Company owns under these leases. The initial fair value was the price paid by the Company to acquire the real estate. The initial fair value is then adjusted for changes in the commercial real estate price index and as such is a Level 3 measurement as defined under ASC 820.</w:t>
      </w:r>
    </w:p>
    <w:p>
      <w:pPr>
        <w:spacing w:after="0" w:line="18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Investment in Leases, Sales Type, Net</w:t>
      </w:r>
    </w:p>
    <w:p>
      <w:pPr>
        <w:spacing w:after="0" w:line="247"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The fair value of the Company's investment in leases, sales type, net was initially based on a third party valuation report which utilized both market based and income based valuation approaches to value the underlying land related to the applicable lease at the lease reassessment date. Subsequent changes in the fair value from this date are based on changes in the commercial real estate price index. As such, this was determined to be a Level 3 measurement as defined under ASC 820.</w:t>
      </w:r>
    </w:p>
    <w:p>
      <w:pPr>
        <w:spacing w:after="0" w:line="19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Deferred Compensation Plan Assets</w:t>
      </w:r>
    </w:p>
    <w:p>
      <w:pPr>
        <w:spacing w:after="0" w:line="247" w:lineRule="exact"/>
        <w:rPr>
          <w:sz w:val="20"/>
          <w:szCs w:val="20"/>
          <w:color w:val="auto"/>
        </w:rPr>
      </w:pPr>
    </w:p>
    <w:p>
      <w:pPr>
        <w:jc w:val="both"/>
        <w:ind w:firstLine="619"/>
        <w:spacing w:after="0" w:line="280" w:lineRule="auto"/>
        <w:rPr>
          <w:sz w:val="20"/>
          <w:szCs w:val="20"/>
          <w:color w:val="auto"/>
        </w:rPr>
      </w:pPr>
      <w:r>
        <w:rPr>
          <w:rFonts w:ascii="Times New Roman" w:cs="Times New Roman" w:eastAsia="Times New Roman" w:hAnsi="Times New Roman"/>
          <w:sz w:val="17"/>
          <w:szCs w:val="17"/>
          <w:color w:val="auto"/>
        </w:rPr>
        <w:t>The Company's deferred compensation plan assets consist of open-ended mutual funds and as such the fair value measurement of the assets is considered a Level 1 measurement as defined under ASC 820. Deferred compensation plan assets are included within other assets on the condensed consolidated balance sheets.</w:t>
      </w:r>
    </w:p>
    <w:p>
      <w:pPr>
        <w:spacing w:after="0" w:line="39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Real Estate Loans, Net</w:t>
      </w:r>
    </w:p>
    <w:p>
      <w:pPr>
        <w:spacing w:after="0" w:line="234" w:lineRule="exact"/>
        <w:rPr>
          <w:sz w:val="20"/>
          <w:szCs w:val="20"/>
          <w:color w:val="auto"/>
        </w:rPr>
      </w:pPr>
    </w:p>
    <w:p>
      <w:pPr>
        <w:jc w:val="both"/>
        <w:ind w:firstLine="619"/>
        <w:spacing w:after="0" w:line="244" w:lineRule="auto"/>
        <w:rPr>
          <w:sz w:val="20"/>
          <w:szCs w:val="20"/>
          <w:color w:val="auto"/>
        </w:rPr>
      </w:pPr>
      <w:r>
        <w:rPr>
          <w:rFonts w:ascii="Times New Roman" w:cs="Times New Roman" w:eastAsia="Times New Roman" w:hAnsi="Times New Roman"/>
          <w:sz w:val="17"/>
          <w:szCs w:val="17"/>
          <w:color w:val="auto"/>
        </w:rPr>
        <w:t>The Company estimates the fair value of its fixed-rate loan portfolio for disclosure purposes using a discounted cash flow methodology. Fair value is estimated by discounting the loans’ remaining contractual cash flows using current market rates as of the measurement date for loans with similar credit characteristics and remaining terms. As a result, the estimated fair value is primarily driven by movements in market interest rates since origination, along with the remaining maturity and payment structure of the loans. The Company's variable-rate loans reprice to market at regular intervals and therefore the Company believes the carrying amount approximates its fair value. The fair value measurement of the real estate loans is considered a Level 3 measurement as defined in ASC 820.</w:t>
      </w:r>
    </w:p>
    <w:p>
      <w:pPr>
        <w:spacing w:after="0" w:line="200" w:lineRule="exact"/>
        <w:rPr>
          <w:sz w:val="20"/>
          <w:szCs w:val="20"/>
          <w:color w:val="auto"/>
        </w:rPr>
      </w:pPr>
    </w:p>
    <w:p>
      <w:pPr>
        <w:spacing w:after="0" w:line="20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Long-term Debt</w:t>
      </w:r>
    </w:p>
    <w:p>
      <w:pPr>
        <w:spacing w:after="0" w:line="221"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The fair value of the Senior Notes are estimated based on quoted prices in active markets and as such is a Level 1 measurement as defined under ASC 820. The fair value of the obligations in our Credit Agreement is based on indicative pricing from market information (Level 2 inputs).</w:t>
      </w:r>
    </w:p>
    <w:p>
      <w:pPr>
        <w:spacing w:after="0" w:line="17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estimated fair values of the Company’s financial instruments are as follows (in thousands):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900" w:type="dxa"/>
            <w:vAlign w:val="bottom"/>
          </w:tcPr>
          <w:p>
            <w:pPr>
              <w:spacing w:after="0"/>
              <w:rPr>
                <w:sz w:val="15"/>
                <w:szCs w:val="15"/>
                <w:color w:val="auto"/>
              </w:rPr>
            </w:pPr>
          </w:p>
        </w:tc>
      </w:tr>
      <w:tr>
        <w:trPr>
          <w:trHeight w:val="22"/>
        </w:trPr>
        <w:tc>
          <w:tcPr>
            <w:tcW w:w="5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22"/>
        </w:trPr>
        <w:tc>
          <w:tcPr>
            <w:tcW w:w="5120" w:type="dxa"/>
            <w:vAlign w:val="bottom"/>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260" w:type="dxa"/>
            <w:vAlign w:val="bottom"/>
            <w:tcBorders>
              <w:top w:val="single" w:sz="8" w:color="auto"/>
            </w:tcBorders>
            <w:gridSpan w:val="2"/>
          </w:tcPr>
          <w:p>
            <w:pPr>
              <w:jc w:val="center"/>
              <w:ind w:right="360"/>
              <w:spacing w:after="0" w:line="122" w:lineRule="exact"/>
              <w:rPr>
                <w:sz w:val="20"/>
                <w:szCs w:val="20"/>
                <w:color w:val="auto"/>
              </w:rPr>
            </w:pPr>
            <w:r>
              <w:rPr>
                <w:rFonts w:ascii="Times New Roman" w:cs="Times New Roman" w:eastAsia="Times New Roman" w:hAnsi="Times New Roman"/>
                <w:sz w:val="14"/>
                <w:szCs w:val="14"/>
                <w:b w:val="1"/>
                <w:bCs w:val="1"/>
                <w:color w:val="auto"/>
                <w:w w:val="97"/>
              </w:rPr>
              <w:t>Carrying</w:t>
            </w:r>
          </w:p>
        </w:tc>
        <w:tc>
          <w:tcPr>
            <w:tcW w:w="48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jc w:val="center"/>
              <w:ind w:right="398"/>
              <w:spacing w:after="0" w:line="122" w:lineRule="exact"/>
              <w:rPr>
                <w:sz w:val="20"/>
                <w:szCs w:val="20"/>
                <w:color w:val="auto"/>
              </w:rPr>
            </w:pPr>
            <w:r>
              <w:rPr>
                <w:rFonts w:ascii="Times New Roman" w:cs="Times New Roman" w:eastAsia="Times New Roman" w:hAnsi="Times New Roman"/>
                <w:sz w:val="14"/>
                <w:szCs w:val="14"/>
                <w:b w:val="1"/>
                <w:bCs w:val="1"/>
                <w:color w:val="auto"/>
              </w:rPr>
              <w:t>Fair</w:t>
            </w:r>
          </w:p>
        </w:tc>
        <w:tc>
          <w:tcPr>
            <w:tcW w:w="100" w:type="dxa"/>
            <w:vAlign w:val="bottom"/>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260" w:type="dxa"/>
            <w:vAlign w:val="bottom"/>
            <w:tcBorders>
              <w:top w:val="single" w:sz="8" w:color="auto"/>
            </w:tcBorders>
            <w:gridSpan w:val="2"/>
          </w:tcPr>
          <w:p>
            <w:pPr>
              <w:jc w:val="center"/>
              <w:ind w:right="400"/>
              <w:spacing w:after="0" w:line="122" w:lineRule="exact"/>
              <w:rPr>
                <w:sz w:val="20"/>
                <w:szCs w:val="20"/>
                <w:color w:val="auto"/>
              </w:rPr>
            </w:pPr>
            <w:r>
              <w:rPr>
                <w:rFonts w:ascii="Times New Roman" w:cs="Times New Roman" w:eastAsia="Times New Roman" w:hAnsi="Times New Roman"/>
                <w:sz w:val="14"/>
                <w:szCs w:val="14"/>
                <w:b w:val="1"/>
                <w:bCs w:val="1"/>
                <w:color w:val="auto"/>
                <w:w w:val="97"/>
              </w:rPr>
              <w:t>Carrying</w:t>
            </w:r>
          </w:p>
        </w:tc>
        <w:tc>
          <w:tcPr>
            <w:tcW w:w="54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jc w:val="right"/>
              <w:ind w:right="498"/>
              <w:spacing w:after="0" w:line="122" w:lineRule="exact"/>
              <w:rPr>
                <w:sz w:val="20"/>
                <w:szCs w:val="20"/>
                <w:color w:val="auto"/>
              </w:rPr>
            </w:pPr>
            <w:r>
              <w:rPr>
                <w:rFonts w:ascii="Times New Roman" w:cs="Times New Roman" w:eastAsia="Times New Roman" w:hAnsi="Times New Roman"/>
                <w:sz w:val="14"/>
                <w:szCs w:val="14"/>
                <w:b w:val="1"/>
                <w:bCs w:val="1"/>
                <w:color w:val="auto"/>
              </w:rPr>
              <w:t>Fair</w:t>
            </w:r>
          </w:p>
        </w:tc>
      </w:tr>
      <w:tr>
        <w:trPr>
          <w:trHeight w:val="188"/>
        </w:trPr>
        <w:tc>
          <w:tcPr>
            <w:tcW w:w="5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480" w:type="dxa"/>
            <w:vAlign w:val="bottom"/>
          </w:tcPr>
          <w:p>
            <w:pPr>
              <w:spacing w:after="0"/>
              <w:rPr>
                <w:sz w:val="16"/>
                <w:szCs w:val="16"/>
                <w:color w:val="auto"/>
              </w:rPr>
            </w:pPr>
          </w:p>
        </w:tc>
        <w:tc>
          <w:tcPr>
            <w:tcW w:w="108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280" w:type="dxa"/>
            <w:vAlign w:val="bottom"/>
          </w:tcPr>
          <w:p>
            <w:pPr>
              <w:spacing w:after="0"/>
              <w:rPr>
                <w:sz w:val="16"/>
                <w:szCs w:val="16"/>
                <w:color w:val="auto"/>
              </w:rPr>
            </w:pPr>
          </w:p>
        </w:tc>
        <w:tc>
          <w:tcPr>
            <w:tcW w:w="12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540" w:type="dxa"/>
            <w:vAlign w:val="bottom"/>
          </w:tcPr>
          <w:p>
            <w:pPr>
              <w:spacing w:after="0"/>
              <w:rPr>
                <w:sz w:val="16"/>
                <w:szCs w:val="16"/>
                <w:color w:val="auto"/>
              </w:rPr>
            </w:pPr>
          </w:p>
        </w:tc>
        <w:tc>
          <w:tcPr>
            <w:tcW w:w="900" w:type="dxa"/>
            <w:vAlign w:val="bottom"/>
          </w:tcPr>
          <w:p>
            <w:pPr>
              <w:jc w:val="right"/>
              <w:ind w:right="478"/>
              <w:spacing w:after="0"/>
              <w:rPr>
                <w:sz w:val="20"/>
                <w:szCs w:val="20"/>
                <w:color w:val="auto"/>
              </w:rPr>
            </w:pPr>
            <w:r>
              <w:rPr>
                <w:rFonts w:ascii="Times New Roman" w:cs="Times New Roman" w:eastAsia="Times New Roman" w:hAnsi="Times New Roman"/>
                <w:sz w:val="14"/>
                <w:szCs w:val="14"/>
                <w:b w:val="1"/>
                <w:bCs w:val="1"/>
                <w:color w:val="auto"/>
                <w:w w:val="91"/>
              </w:rPr>
              <w:t>Value</w:t>
            </w:r>
          </w:p>
        </w:tc>
      </w:tr>
      <w:tr>
        <w:trPr>
          <w:trHeight w:val="205"/>
        </w:trPr>
        <w:tc>
          <w:tcPr>
            <w:tcW w:w="5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Financial assets:</w:t>
            </w:r>
          </w:p>
        </w:tc>
        <w:tc>
          <w:tcPr>
            <w:tcW w:w="28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r>
      <w:tr>
        <w:trPr>
          <w:trHeight w:val="258"/>
        </w:trPr>
        <w:tc>
          <w:tcPr>
            <w:tcW w:w="51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274,513</w:t>
            </w:r>
          </w:p>
        </w:tc>
        <w:tc>
          <w:tcPr>
            <w:tcW w:w="100" w:type="dxa"/>
            <w:vAlign w:val="bottom"/>
          </w:tcPr>
          <w:p>
            <w:pPr>
              <w:spacing w:after="0"/>
              <w:rPr>
                <w:sz w:val="22"/>
                <w:szCs w:val="22"/>
                <w:color w:val="auto"/>
              </w:rPr>
            </w:pPr>
          </w:p>
        </w:tc>
        <w:tc>
          <w:tcPr>
            <w:tcW w:w="480" w:type="dxa"/>
            <w:vAlign w:val="bottom"/>
          </w:tcPr>
          <w:p>
            <w:pPr>
              <w:jc w:val="right"/>
              <w:ind w:right="274"/>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274,513</w:t>
            </w:r>
          </w:p>
        </w:tc>
        <w:tc>
          <w:tcPr>
            <w:tcW w:w="100" w:type="dxa"/>
            <w:vAlign w:val="bottom"/>
          </w:tcPr>
          <w:p>
            <w:pPr>
              <w:spacing w:after="0"/>
              <w:rPr>
                <w:sz w:val="22"/>
                <w:szCs w:val="22"/>
                <w:color w:val="auto"/>
              </w:rPr>
            </w:pP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224,314</w:t>
            </w:r>
          </w:p>
        </w:tc>
        <w:tc>
          <w:tcPr>
            <w:tcW w:w="100" w:type="dxa"/>
            <w:vAlign w:val="bottom"/>
          </w:tcPr>
          <w:p>
            <w:pPr>
              <w:spacing w:after="0"/>
              <w:rPr>
                <w:sz w:val="22"/>
                <w:szCs w:val="22"/>
                <w:color w:val="auto"/>
              </w:rPr>
            </w:pPr>
          </w:p>
        </w:tc>
        <w:tc>
          <w:tcPr>
            <w:tcW w:w="540" w:type="dxa"/>
            <w:vAlign w:val="bottom"/>
          </w:tcPr>
          <w:p>
            <w:pPr>
              <w:jc w:val="right"/>
              <w:ind w:right="35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224,314</w:t>
            </w:r>
          </w:p>
        </w:tc>
      </w:tr>
      <w:tr>
        <w:trPr>
          <w:trHeight w:val="219"/>
        </w:trPr>
        <w:tc>
          <w:tcPr>
            <w:tcW w:w="5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Investment in leases, financing receivables, net</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2,562,869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2,273,699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2,557,504</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2,150,560</w:t>
            </w:r>
          </w:p>
        </w:tc>
      </w:tr>
      <w:tr>
        <w:trPr>
          <w:trHeight w:val="219"/>
        </w:trPr>
        <w:tc>
          <w:tcPr>
            <w:tcW w:w="51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Investment in leases, sales type, net</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250,512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284,045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248,421</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268,107</w:t>
            </w:r>
          </w:p>
        </w:tc>
      </w:tr>
      <w:tr>
        <w:trPr>
          <w:trHeight w:val="258"/>
        </w:trPr>
        <w:tc>
          <w:tcPr>
            <w:tcW w:w="5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Real estate loans, net</w:t>
            </w:r>
          </w:p>
        </w:tc>
        <w:tc>
          <w:tcPr>
            <w:tcW w:w="28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299,709</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303,654</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247,999</w:t>
            </w: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250,689</w:t>
            </w:r>
          </w:p>
        </w:tc>
      </w:tr>
      <w:tr>
        <w:trPr>
          <w:trHeight w:val="219"/>
        </w:trPr>
        <w:tc>
          <w:tcPr>
            <w:tcW w:w="51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Deferred compensation plan assets</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45,871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45,871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46,154</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46,154</w:t>
            </w:r>
          </w:p>
        </w:tc>
      </w:tr>
      <w:tr>
        <w:trPr>
          <w:trHeight w:val="219"/>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Financial liabilities: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19"/>
        </w:trPr>
        <w:tc>
          <w:tcPr>
            <w:tcW w:w="51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Long-term debt:</w:t>
            </w: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19"/>
        </w:trPr>
        <w:tc>
          <w:tcPr>
            <w:tcW w:w="51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Credit Agreement and Term Loans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1,009,793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1,009,793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931,624</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931,624</w:t>
            </w:r>
          </w:p>
        </w:tc>
      </w:tr>
      <w:tr>
        <w:trPr>
          <w:trHeight w:val="223"/>
        </w:trPr>
        <w:tc>
          <w:tcPr>
            <w:tcW w:w="51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Senior Notes</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7,150,000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6,956,936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6,350,000</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6,295,709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sectPr>
      </w:pPr>
    </w:p>
    <w:bookmarkStart w:id="24" w:name="page25"/>
    <w:bookmarkEnd w:id="24"/>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Assets and Liabilities Measured at Fair Value on a Nonrecurring Basis</w:t>
      </w:r>
    </w:p>
    <w:p>
      <w:pPr>
        <w:spacing w:after="0" w:line="15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There were no assets or liabilities measured at fair value on a nonrecurring basis during the three months ended March 31, 2026 and 2025.</w:t>
      </w:r>
    </w:p>
    <w:p>
      <w:pPr>
        <w:spacing w:after="0" w:line="200" w:lineRule="exact"/>
        <w:rPr>
          <w:sz w:val="20"/>
          <w:szCs w:val="20"/>
          <w:color w:val="auto"/>
        </w:rPr>
      </w:pPr>
    </w:p>
    <w:p>
      <w:pPr>
        <w:spacing w:after="0" w:line="310" w:lineRule="exact"/>
        <w:rPr>
          <w:sz w:val="20"/>
          <w:szCs w:val="20"/>
          <w:color w:val="auto"/>
        </w:rPr>
      </w:pPr>
    </w:p>
    <w:p>
      <w:pPr>
        <w:ind w:right="8500" w:firstLine="3"/>
        <w:spacing w:after="0" w:line="524" w:lineRule="auto"/>
        <w:tabs>
          <w:tab w:leader="none" w:pos="301" w:val="left"/>
        </w:tabs>
        <w:numPr>
          <w:ilvl w:val="0"/>
          <w:numId w:val="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Commitments and Contingencies Litigation</w:t>
      </w:r>
    </w:p>
    <w:p>
      <w:pPr>
        <w:spacing w:after="0" w:line="1"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The Company is subject to various legal and administrative proceedings relating to personal injuries, employment matters, commercial transactions, and other matters arising in the normal course of business. The Company does not believe that the final outcome of these matters will have a material adverse effect on the Company’s consolidated financial position or results of operations. The majority of these matters are subject to indemnification and defense obligations of our tenants. The Company maintains what it believes is adequate insurance coverage to further mitigate the risks of such proceedings. However, such proceedings can be costly, time consuming, and unpredictable and, therefore, no assurance can be given that the final outcome of such proceedings may not materially impact the Company’s financial condition, results of operations or liquidity. Further, no assurance can be given that the amount or scope of existing insurance coverage will be sufficient to cover losses arising from such matters.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Funding commitments</w:t>
      </w:r>
    </w:p>
    <w:p>
      <w:pPr>
        <w:spacing w:after="0" w:line="236"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As of March 31, 2026, we have entered into various commitments or call rights to finance/acquire future investments in gaming and related facilities for our tenants. These are detailed in the table below. Our tenants retain the option to decline our financing for certain projects and may seek alternative financing solutions. The inclusion of a commitment in this disclosure does not guarantee that the financing will be utilized by the tenant in circumstances where a tenant has the option. See Note 1 in the Notes to the Condensed Consolidated Financial Statements for further details.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240" w:type="dxa"/>
            <w:vAlign w:val="bottom"/>
          </w:tcPr>
          <w:p>
            <w:pPr>
              <w:spacing w:after="0"/>
              <w:rPr>
                <w:sz w:val="17"/>
                <w:szCs w:val="17"/>
                <w:color w:val="auto"/>
              </w:rPr>
            </w:pPr>
          </w:p>
        </w:tc>
        <w:tc>
          <w:tcPr>
            <w:tcW w:w="2160" w:type="dxa"/>
            <w:vAlign w:val="bottom"/>
          </w:tcPr>
          <w:p>
            <w:pPr>
              <w:jc w:val="center"/>
              <w:ind w:left="634"/>
              <w:spacing w:after="0"/>
              <w:rPr>
                <w:sz w:val="20"/>
                <w:szCs w:val="20"/>
                <w:color w:val="auto"/>
              </w:rPr>
            </w:pPr>
            <w:r>
              <w:rPr>
                <w:rFonts w:ascii="Times New Roman" w:cs="Times New Roman" w:eastAsia="Times New Roman" w:hAnsi="Times New Roman"/>
                <w:sz w:val="17"/>
                <w:szCs w:val="17"/>
                <w:color w:val="auto"/>
              </w:rPr>
              <w:t>Maximum</w:t>
            </w:r>
          </w:p>
        </w:tc>
        <w:tc>
          <w:tcPr>
            <w:tcW w:w="18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Amount funded at</w:t>
            </w:r>
          </w:p>
        </w:tc>
        <w:tc>
          <w:tcPr>
            <w:tcW w:w="0" w:type="dxa"/>
            <w:vAlign w:val="bottom"/>
          </w:tcPr>
          <w:p>
            <w:pPr>
              <w:spacing w:after="0"/>
              <w:rPr>
                <w:sz w:val="1"/>
                <w:szCs w:val="1"/>
                <w:color w:val="auto"/>
              </w:rPr>
            </w:pPr>
          </w:p>
        </w:tc>
      </w:tr>
      <w:tr>
        <w:trPr>
          <w:trHeight w:val="168"/>
        </w:trPr>
        <w:tc>
          <w:tcPr>
            <w:tcW w:w="7240" w:type="dxa"/>
            <w:vAlign w:val="bottom"/>
          </w:tcPr>
          <w:p>
            <w:pPr>
              <w:spacing w:after="0"/>
              <w:rPr>
                <w:sz w:val="14"/>
                <w:szCs w:val="14"/>
                <w:color w:val="auto"/>
              </w:rPr>
            </w:pPr>
          </w:p>
        </w:tc>
        <w:tc>
          <w:tcPr>
            <w:tcW w:w="2160" w:type="dxa"/>
            <w:vAlign w:val="bottom"/>
          </w:tcPr>
          <w:p>
            <w:pPr>
              <w:jc w:val="center"/>
              <w:ind w:left="634"/>
              <w:spacing w:after="0" w:line="167" w:lineRule="exact"/>
              <w:rPr>
                <w:sz w:val="20"/>
                <w:szCs w:val="20"/>
                <w:color w:val="auto"/>
              </w:rPr>
            </w:pPr>
            <w:r>
              <w:rPr>
                <w:rFonts w:ascii="Times New Roman" w:cs="Times New Roman" w:eastAsia="Times New Roman" w:hAnsi="Times New Roman"/>
                <w:sz w:val="17"/>
                <w:szCs w:val="17"/>
                <w:color w:val="auto"/>
              </w:rPr>
              <w:t>Commitment</w:t>
            </w:r>
          </w:p>
        </w:tc>
        <w:tc>
          <w:tcPr>
            <w:tcW w:w="1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7240" w:type="dxa"/>
            <w:vAlign w:val="bottom"/>
            <w:tcBorders>
              <w:bottom w:val="single" w:sz="8" w:color="auto"/>
            </w:tcBorders>
          </w:tcPr>
          <w:p>
            <w:pPr>
              <w:ind w:left="3600"/>
              <w:spacing w:after="0"/>
              <w:rPr>
                <w:sz w:val="20"/>
                <w:szCs w:val="20"/>
                <w:color w:val="auto"/>
              </w:rPr>
            </w:pPr>
            <w:r>
              <w:rPr>
                <w:rFonts w:ascii="Times New Roman" w:cs="Times New Roman" w:eastAsia="Times New Roman" w:hAnsi="Times New Roman"/>
                <w:sz w:val="17"/>
                <w:szCs w:val="17"/>
                <w:color w:val="auto"/>
              </w:rPr>
              <w:t>Description</w:t>
            </w:r>
          </w:p>
        </w:tc>
        <w:tc>
          <w:tcPr>
            <w:tcW w:w="2160" w:type="dxa"/>
            <w:vAlign w:val="bottom"/>
            <w:tcBorders>
              <w:bottom w:val="single" w:sz="8" w:color="auto"/>
            </w:tcBorders>
          </w:tcPr>
          <w:p>
            <w:pPr>
              <w:jc w:val="center"/>
              <w:ind w:left="634"/>
              <w:spacing w:after="0"/>
              <w:rPr>
                <w:sz w:val="20"/>
                <w:szCs w:val="20"/>
                <w:color w:val="auto"/>
              </w:rPr>
            </w:pPr>
            <w:r>
              <w:rPr>
                <w:rFonts w:ascii="Times New Roman" w:cs="Times New Roman" w:eastAsia="Times New Roman" w:hAnsi="Times New Roman"/>
                <w:sz w:val="17"/>
                <w:szCs w:val="17"/>
                <w:color w:val="auto"/>
              </w:rPr>
              <w:t>amount</w:t>
            </w:r>
          </w:p>
        </w:tc>
        <w:tc>
          <w:tcPr>
            <w:tcW w:w="1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March 31, 2026</w:t>
            </w:r>
          </w:p>
        </w:tc>
        <w:tc>
          <w:tcPr>
            <w:tcW w:w="0" w:type="dxa"/>
            <w:vAlign w:val="bottom"/>
          </w:tcPr>
          <w:p>
            <w:pPr>
              <w:spacing w:after="0"/>
              <w:rPr>
                <w:sz w:val="1"/>
                <w:szCs w:val="1"/>
                <w:color w:val="auto"/>
              </w:rPr>
            </w:pPr>
          </w:p>
        </w:tc>
      </w:tr>
      <w:tr>
        <w:trPr>
          <w:trHeight w:val="212"/>
        </w:trPr>
        <w:tc>
          <w:tcPr>
            <w:tcW w:w="7240" w:type="dxa"/>
            <w:vAlign w:val="bottom"/>
            <w:shd w:val="clear" w:color="auto" w:fill="CCEEFF"/>
          </w:tcPr>
          <w:p>
            <w:pPr>
              <w:ind w:left="20"/>
              <w:spacing w:after="0" w:line="212" w:lineRule="exact"/>
              <w:rPr>
                <w:sz w:val="20"/>
                <w:szCs w:val="20"/>
                <w:color w:val="auto"/>
              </w:rPr>
            </w:pPr>
            <w:r>
              <w:rPr>
                <w:rFonts w:ascii="Times New Roman" w:cs="Times New Roman" w:eastAsia="Times New Roman" w:hAnsi="Times New Roman"/>
                <w:sz w:val="17"/>
                <w:szCs w:val="17"/>
                <w:color w:val="auto"/>
              </w:rPr>
              <w:t xml:space="preserve">Relocation of Hollywood Casino Aurora </w:t>
            </w:r>
            <w:r>
              <w:rPr>
                <w:rFonts w:ascii="Times New Roman" w:cs="Times New Roman" w:eastAsia="Times New Roman" w:hAnsi="Times New Roman"/>
                <w:sz w:val="22"/>
                <w:szCs w:val="22"/>
                <w:color w:val="auto"/>
                <w:vertAlign w:val="superscript"/>
              </w:rPr>
              <w:t>(1)</w:t>
            </w:r>
          </w:p>
        </w:tc>
        <w:tc>
          <w:tcPr>
            <w:tcW w:w="2160" w:type="dxa"/>
            <w:vAlign w:val="bottom"/>
            <w:shd w:val="clear" w:color="auto" w:fill="CCEEFF"/>
          </w:tcPr>
          <w:p>
            <w:pPr>
              <w:jc w:val="center"/>
              <w:ind w:left="634"/>
              <w:spacing w:after="0"/>
              <w:rPr>
                <w:sz w:val="20"/>
                <w:szCs w:val="20"/>
                <w:color w:val="auto"/>
              </w:rPr>
            </w:pPr>
            <w:r>
              <w:rPr>
                <w:rFonts w:ascii="Times New Roman" w:cs="Times New Roman" w:eastAsia="Times New Roman" w:hAnsi="Times New Roman"/>
                <w:sz w:val="17"/>
                <w:szCs w:val="17"/>
                <w:color w:val="auto"/>
              </w:rPr>
              <w:t>$225 million</w:t>
            </w:r>
          </w:p>
        </w:tc>
        <w:tc>
          <w:tcPr>
            <w:tcW w:w="1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7"/>
              </w:rPr>
              <w:t>None</w:t>
            </w:r>
          </w:p>
        </w:tc>
        <w:tc>
          <w:tcPr>
            <w:tcW w:w="0" w:type="dxa"/>
            <w:vAlign w:val="bottom"/>
          </w:tcPr>
          <w:p>
            <w:pPr>
              <w:spacing w:after="0"/>
              <w:rPr>
                <w:sz w:val="1"/>
                <w:szCs w:val="1"/>
                <w:color w:val="auto"/>
              </w:rPr>
            </w:pPr>
          </w:p>
        </w:tc>
      </w:tr>
      <w:tr>
        <w:trPr>
          <w:trHeight w:val="219"/>
        </w:trPr>
        <w:tc>
          <w:tcPr>
            <w:tcW w:w="7240" w:type="dxa"/>
            <w:vAlign w:val="bottom"/>
          </w:tcPr>
          <w:p>
            <w:pPr>
              <w:ind w:left="20"/>
              <w:spacing w:after="0" w:line="219" w:lineRule="exact"/>
              <w:rPr>
                <w:sz w:val="20"/>
                <w:szCs w:val="20"/>
                <w:color w:val="auto"/>
              </w:rPr>
            </w:pPr>
            <w:r>
              <w:rPr>
                <w:rFonts w:ascii="Times New Roman" w:cs="Times New Roman" w:eastAsia="Times New Roman" w:hAnsi="Times New Roman"/>
                <w:sz w:val="17"/>
                <w:szCs w:val="17"/>
                <w:color w:val="auto"/>
              </w:rPr>
              <w:t xml:space="preserve">Funding associated with a landside move at Ameristar Casino Council Bluffs </w:t>
            </w:r>
            <w:r>
              <w:rPr>
                <w:rFonts w:ascii="Times New Roman" w:cs="Times New Roman" w:eastAsia="Times New Roman" w:hAnsi="Times New Roman"/>
                <w:sz w:val="22"/>
                <w:szCs w:val="22"/>
                <w:color w:val="auto"/>
                <w:vertAlign w:val="superscript"/>
              </w:rPr>
              <w:t>(2)</w:t>
            </w:r>
          </w:p>
        </w:tc>
        <w:tc>
          <w:tcPr>
            <w:tcW w:w="2160" w:type="dxa"/>
            <w:vAlign w:val="bottom"/>
          </w:tcPr>
          <w:p>
            <w:pPr>
              <w:jc w:val="center"/>
              <w:ind w:left="634"/>
              <w:spacing w:after="0"/>
              <w:rPr>
                <w:sz w:val="20"/>
                <w:szCs w:val="20"/>
                <w:color w:val="auto"/>
              </w:rPr>
            </w:pPr>
            <w:r>
              <w:rPr>
                <w:rFonts w:ascii="Times New Roman" w:cs="Times New Roman" w:eastAsia="Times New Roman" w:hAnsi="Times New Roman"/>
                <w:sz w:val="17"/>
                <w:szCs w:val="17"/>
                <w:color w:val="auto"/>
              </w:rPr>
              <w:t>$150 million</w:t>
            </w:r>
          </w:p>
        </w:tc>
        <w:tc>
          <w:tcPr>
            <w:tcW w:w="1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None</w:t>
            </w:r>
          </w:p>
        </w:tc>
        <w:tc>
          <w:tcPr>
            <w:tcW w:w="0" w:type="dxa"/>
            <w:vAlign w:val="bottom"/>
          </w:tcPr>
          <w:p>
            <w:pPr>
              <w:spacing w:after="0"/>
              <w:rPr>
                <w:sz w:val="1"/>
                <w:szCs w:val="1"/>
                <w:color w:val="auto"/>
              </w:rPr>
            </w:pPr>
          </w:p>
        </w:tc>
      </w:tr>
      <w:tr>
        <w:trPr>
          <w:trHeight w:val="219"/>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Potential transaction at the former Tropicana Las Vegas site with Bally's</w:t>
            </w:r>
          </w:p>
        </w:tc>
        <w:tc>
          <w:tcPr>
            <w:tcW w:w="2160" w:type="dxa"/>
            <w:vAlign w:val="bottom"/>
            <w:shd w:val="clear" w:color="auto" w:fill="CCEEFF"/>
          </w:tcPr>
          <w:p>
            <w:pPr>
              <w:jc w:val="center"/>
              <w:ind w:left="634"/>
              <w:spacing w:after="0"/>
              <w:rPr>
                <w:sz w:val="20"/>
                <w:szCs w:val="20"/>
                <w:color w:val="auto"/>
              </w:rPr>
            </w:pPr>
            <w:r>
              <w:rPr>
                <w:rFonts w:ascii="Times New Roman" w:cs="Times New Roman" w:eastAsia="Times New Roman" w:hAnsi="Times New Roman"/>
                <w:sz w:val="17"/>
                <w:szCs w:val="17"/>
                <w:color w:val="auto"/>
              </w:rPr>
              <w:t>$175 million</w:t>
            </w:r>
          </w:p>
        </w:tc>
        <w:tc>
          <w:tcPr>
            <w:tcW w:w="1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$48.5 million</w:t>
            </w:r>
          </w:p>
        </w:tc>
        <w:tc>
          <w:tcPr>
            <w:tcW w:w="0" w:type="dxa"/>
            <w:vAlign w:val="bottom"/>
          </w:tcPr>
          <w:p>
            <w:pPr>
              <w:spacing w:after="0"/>
              <w:rPr>
                <w:sz w:val="1"/>
                <w:szCs w:val="1"/>
                <w:color w:val="auto"/>
              </w:rPr>
            </w:pPr>
          </w:p>
        </w:tc>
      </w:tr>
      <w:tr>
        <w:trPr>
          <w:trHeight w:val="219"/>
        </w:trPr>
        <w:tc>
          <w:tcPr>
            <w:tcW w:w="7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Real estate construction costs for Bally's Chicago</w:t>
            </w:r>
          </w:p>
        </w:tc>
        <w:tc>
          <w:tcPr>
            <w:tcW w:w="2160" w:type="dxa"/>
            <w:vAlign w:val="bottom"/>
          </w:tcPr>
          <w:p>
            <w:pPr>
              <w:jc w:val="center"/>
              <w:ind w:left="634"/>
              <w:spacing w:after="0"/>
              <w:rPr>
                <w:sz w:val="20"/>
                <w:szCs w:val="20"/>
                <w:color w:val="auto"/>
              </w:rPr>
            </w:pPr>
            <w:r>
              <w:rPr>
                <w:rFonts w:ascii="Times New Roman" w:cs="Times New Roman" w:eastAsia="Times New Roman" w:hAnsi="Times New Roman"/>
                <w:sz w:val="17"/>
                <w:szCs w:val="17"/>
                <w:color w:val="auto"/>
              </w:rPr>
              <w:t>$940 million</w:t>
            </w:r>
          </w:p>
        </w:tc>
        <w:tc>
          <w:tcPr>
            <w:tcW w:w="1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$299.6 million</w:t>
            </w:r>
          </w:p>
        </w:tc>
        <w:tc>
          <w:tcPr>
            <w:tcW w:w="0" w:type="dxa"/>
            <w:vAlign w:val="bottom"/>
          </w:tcPr>
          <w:p>
            <w:pPr>
              <w:spacing w:after="0"/>
              <w:rPr>
                <w:sz w:val="1"/>
                <w:szCs w:val="1"/>
                <w:color w:val="auto"/>
              </w:rPr>
            </w:pPr>
          </w:p>
        </w:tc>
      </w:tr>
      <w:tr>
        <w:trPr>
          <w:trHeight w:val="219"/>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Construction costs for the landside development project at Bally's Marquette</w:t>
            </w:r>
          </w:p>
        </w:tc>
        <w:tc>
          <w:tcPr>
            <w:tcW w:w="2160" w:type="dxa"/>
            <w:vAlign w:val="bottom"/>
            <w:shd w:val="clear" w:color="auto" w:fill="CCEEFF"/>
          </w:tcPr>
          <w:p>
            <w:pPr>
              <w:jc w:val="center"/>
              <w:ind w:left="634"/>
              <w:spacing w:after="0"/>
              <w:rPr>
                <w:sz w:val="20"/>
                <w:szCs w:val="20"/>
                <w:color w:val="auto"/>
              </w:rPr>
            </w:pPr>
            <w:r>
              <w:rPr>
                <w:rFonts w:ascii="Times New Roman" w:cs="Times New Roman" w:eastAsia="Times New Roman" w:hAnsi="Times New Roman"/>
                <w:sz w:val="17"/>
                <w:szCs w:val="17"/>
                <w:color w:val="auto"/>
              </w:rPr>
              <w:t>$16.5 million</w:t>
            </w:r>
          </w:p>
        </w:tc>
        <w:tc>
          <w:tcPr>
            <w:tcW w:w="1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$16.5 million</w:t>
            </w:r>
          </w:p>
        </w:tc>
        <w:tc>
          <w:tcPr>
            <w:tcW w:w="0" w:type="dxa"/>
            <w:vAlign w:val="bottom"/>
          </w:tcPr>
          <w:p>
            <w:pPr>
              <w:spacing w:after="0"/>
              <w:rPr>
                <w:sz w:val="1"/>
                <w:szCs w:val="1"/>
                <w:color w:val="auto"/>
              </w:rPr>
            </w:pPr>
          </w:p>
        </w:tc>
      </w:tr>
      <w:tr>
        <w:trPr>
          <w:trHeight w:val="219"/>
        </w:trPr>
        <w:tc>
          <w:tcPr>
            <w:tcW w:w="7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Ione Loan to fund a new casino development near Sacramento, California</w:t>
            </w:r>
          </w:p>
        </w:tc>
        <w:tc>
          <w:tcPr>
            <w:tcW w:w="2160" w:type="dxa"/>
            <w:vAlign w:val="bottom"/>
          </w:tcPr>
          <w:p>
            <w:pPr>
              <w:jc w:val="center"/>
              <w:ind w:left="634"/>
              <w:spacing w:after="0"/>
              <w:rPr>
                <w:sz w:val="20"/>
                <w:szCs w:val="20"/>
                <w:color w:val="auto"/>
              </w:rPr>
            </w:pPr>
            <w:r>
              <w:rPr>
                <w:rFonts w:ascii="Times New Roman" w:cs="Times New Roman" w:eastAsia="Times New Roman" w:hAnsi="Times New Roman"/>
                <w:sz w:val="17"/>
                <w:szCs w:val="17"/>
                <w:color w:val="auto"/>
              </w:rPr>
              <w:t>$110 million</w:t>
            </w:r>
          </w:p>
        </w:tc>
        <w:tc>
          <w:tcPr>
            <w:tcW w:w="18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$83.6 million</w:t>
            </w:r>
          </w:p>
        </w:tc>
        <w:tc>
          <w:tcPr>
            <w:tcW w:w="0" w:type="dxa"/>
            <w:vAlign w:val="bottom"/>
          </w:tcPr>
          <w:p>
            <w:pPr>
              <w:spacing w:after="0"/>
              <w:rPr>
                <w:sz w:val="1"/>
                <w:szCs w:val="1"/>
                <w:color w:val="auto"/>
              </w:rPr>
            </w:pPr>
          </w:p>
        </w:tc>
      </w:tr>
      <w:tr>
        <w:trPr>
          <w:trHeight w:val="219"/>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Funding associated with the future site and construction for Live! Virginia Casino &amp; Hotel</w:t>
            </w:r>
          </w:p>
        </w:tc>
        <w:tc>
          <w:tcPr>
            <w:tcW w:w="2160" w:type="dxa"/>
            <w:vAlign w:val="bottom"/>
            <w:shd w:val="clear" w:color="auto" w:fill="CCEEFF"/>
          </w:tcPr>
          <w:p>
            <w:pPr>
              <w:jc w:val="center"/>
              <w:ind w:left="634"/>
              <w:spacing w:after="0"/>
              <w:rPr>
                <w:sz w:val="20"/>
                <w:szCs w:val="20"/>
                <w:color w:val="auto"/>
              </w:rPr>
            </w:pPr>
            <w:r>
              <w:rPr>
                <w:rFonts w:ascii="Times New Roman" w:cs="Times New Roman" w:eastAsia="Times New Roman" w:hAnsi="Times New Roman"/>
                <w:sz w:val="17"/>
                <w:szCs w:val="17"/>
                <w:color w:val="auto"/>
              </w:rPr>
              <w:t>$467 million</w:t>
            </w:r>
          </w:p>
        </w:tc>
        <w:tc>
          <w:tcPr>
            <w:tcW w:w="1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$27.0 million</w:t>
            </w:r>
          </w:p>
        </w:tc>
        <w:tc>
          <w:tcPr>
            <w:tcW w:w="0" w:type="dxa"/>
            <w:vAlign w:val="bottom"/>
          </w:tcPr>
          <w:p>
            <w:pPr>
              <w:spacing w:after="0"/>
              <w:rPr>
                <w:sz w:val="1"/>
                <w:szCs w:val="1"/>
                <w:color w:val="auto"/>
              </w:rPr>
            </w:pPr>
          </w:p>
        </w:tc>
      </w:tr>
      <w:tr>
        <w:trPr>
          <w:trHeight w:val="223"/>
        </w:trPr>
        <w:tc>
          <w:tcPr>
            <w:tcW w:w="7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Delayed draw term loan for Dry Creek Rancheria Resort development</w:t>
            </w:r>
          </w:p>
        </w:tc>
        <w:tc>
          <w:tcPr>
            <w:tcW w:w="2160" w:type="dxa"/>
            <w:vAlign w:val="bottom"/>
          </w:tcPr>
          <w:p>
            <w:pPr>
              <w:jc w:val="center"/>
              <w:ind w:left="634"/>
              <w:spacing w:after="0"/>
              <w:rPr>
                <w:sz w:val="20"/>
                <w:szCs w:val="20"/>
                <w:color w:val="auto"/>
              </w:rPr>
            </w:pPr>
            <w:r>
              <w:rPr>
                <w:rFonts w:ascii="Times New Roman" w:cs="Times New Roman" w:eastAsia="Times New Roman" w:hAnsi="Times New Roman"/>
                <w:sz w:val="17"/>
                <w:szCs w:val="17"/>
                <w:color w:val="auto"/>
              </w:rPr>
              <w:t>$180 million</w:t>
            </w:r>
          </w:p>
        </w:tc>
        <w:tc>
          <w:tcPr>
            <w:tcW w:w="1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None</w:t>
            </w:r>
          </w:p>
        </w:tc>
        <w:tc>
          <w:tcPr>
            <w:tcW w:w="0" w:type="dxa"/>
            <w:vAlign w:val="bottom"/>
          </w:tcPr>
          <w:p>
            <w:pPr>
              <w:spacing w:after="0"/>
              <w:rPr>
                <w:sz w:val="1"/>
                <w:szCs w:val="1"/>
                <w:color w:val="auto"/>
              </w:rPr>
            </w:pPr>
          </w:p>
        </w:tc>
      </w:tr>
    </w:tbl>
    <w:p>
      <w:pPr>
        <w:spacing w:after="0" w:line="302" w:lineRule="exact"/>
        <w:rPr>
          <w:sz w:val="20"/>
          <w:szCs w:val="20"/>
          <w:color w:val="auto"/>
        </w:rPr>
      </w:pPr>
    </w:p>
    <w:p>
      <w:pPr>
        <w:ind w:firstLine="3"/>
        <w:spacing w:after="0" w:line="222" w:lineRule="auto"/>
        <w:tabs>
          <w:tab w:leader="none" w:pos="186" w:val="left"/>
        </w:tabs>
        <w:numPr>
          <w:ilvl w:val="0"/>
          <w:numId w:val="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PENN anticipates completing the relocation of its Aurora, Illinois riverboat casino to a land-based facility on June 24, 2026, pending customary regulatory approvals. The Company anticipates funding $225 million at a 7.75% capitalization rate for this project on or about June 24, 2026.</w:t>
      </w:r>
    </w:p>
    <w:p>
      <w:pPr>
        <w:spacing w:after="0" w:line="203" w:lineRule="exact"/>
        <w:rPr>
          <w:rFonts w:ascii="Times New Roman" w:cs="Times New Roman" w:eastAsia="Times New Roman" w:hAnsi="Times New Roman"/>
          <w:sz w:val="22"/>
          <w:szCs w:val="22"/>
          <w:color w:val="auto"/>
          <w:vertAlign w:val="superscript"/>
        </w:rPr>
      </w:pPr>
    </w:p>
    <w:p>
      <w:pPr>
        <w:ind w:firstLine="3"/>
        <w:spacing w:after="0" w:line="256" w:lineRule="auto"/>
        <w:tabs>
          <w:tab w:leader="none" w:pos="158" w:val="left"/>
        </w:tabs>
        <w:numPr>
          <w:ilvl w:val="0"/>
          <w:numId w:val="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The Company has agreed to fund, if requested by PENN in their sole discretion, on or before March 31, 2029, construction improvements in an amount not to exceed the greater of (i) the hard costs associated with the project and (ii) $150.0 million at a 7.10% capitalization rate.</w:t>
      </w:r>
    </w:p>
    <w:p>
      <w:pPr>
        <w:spacing w:after="0" w:line="1"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7"/>
          <w:szCs w:val="17"/>
          <w:b w:val="1"/>
          <w:bCs w:val="1"/>
          <w:color w:val="auto"/>
        </w:rPr>
        <w:t>10.</w:t>
        <w:tab/>
        <w:t>Revenue Recognition</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Lease terms</w:t>
      </w:r>
    </w:p>
    <w:p>
      <w:pPr>
        <w:spacing w:after="0" w:line="28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Under ASC 842, the Company is required at lease inception (and if applicable at a lease reassessment date) to determine the term of the lease. This</w:t>
      </w:r>
    </w:p>
    <w:p>
      <w:pPr>
        <w:spacing w:after="0" w:line="4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requires concluding whether it is reasonably assured that our tenants will exercise their renewal options contained within the lease. The initial lease term is a key judgment that is utilized in the lease classification test to determine whether the lease is an operating lease, sales type lease or direct financing lease. The Company currently has</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2" w:right="339" w:bottom="1440" w:gutter="0" w:footer="0" w:header="0"/>
        </w:sectPr>
      </w:pPr>
    </w:p>
    <w:bookmarkStart w:id="25" w:name="page26"/>
    <w:bookmarkEnd w:id="25"/>
    <w:p>
      <w:pPr>
        <w:jc w:val="both"/>
        <w:spacing w:after="0" w:line="270" w:lineRule="auto"/>
        <w:rPr>
          <w:sz w:val="20"/>
          <w:szCs w:val="20"/>
          <w:color w:val="auto"/>
        </w:rPr>
      </w:pPr>
      <w:r>
        <w:rPr>
          <w:rFonts w:ascii="Times New Roman" w:cs="Times New Roman" w:eastAsia="Times New Roman" w:hAnsi="Times New Roman"/>
          <w:sz w:val="17"/>
          <w:szCs w:val="17"/>
          <w:color w:val="auto"/>
        </w:rPr>
        <w:t>not included tenant renewal options in its determination of the initial lease term. The Company assesses whether to include tenant renewal options in its calculation of the lease term based on several factors, including but not limited to, whether its tenants' leases represent substantially all of the tenants' earnings and revenues, the ability of its tenants to sell their leased operations for fair value and whether the initial term of its leases is for a significant period of time.</w:t>
      </w:r>
    </w:p>
    <w:p>
      <w:pPr>
        <w:spacing w:after="0" w:line="19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Details of the Company's income from real estate for the three months ended March 31, 2026 was as follows (in thousands):</w:t>
      </w:r>
    </w:p>
    <w:p>
      <w:pPr>
        <w:spacing w:after="0" w:line="22" w:lineRule="exact"/>
        <w:rPr>
          <w:sz w:val="20"/>
          <w:szCs w:val="20"/>
          <w:color w:val="auto"/>
        </w:rPr>
      </w:pPr>
    </w:p>
    <w:tbl>
      <w:tblPr>
        <w:tblLayout w:type="fixed"/>
        <w:tblInd w:w="3080" w:type="dxa"/>
        <w:tblCellMar>
          <w:top w:w="0" w:type="dxa"/>
          <w:left w:w="0" w:type="dxa"/>
          <w:bottom w:w="0" w:type="dxa"/>
          <w:right w:w="0" w:type="dxa"/>
        </w:tblCellMar>
      </w:tblPr>
      <w:tr>
        <w:trPr>
          <w:trHeight w:val="161"/>
        </w:trPr>
        <w:tc>
          <w:tcPr>
            <w:tcW w:w="3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Three Months Ended</w:t>
            </w:r>
          </w:p>
        </w:tc>
      </w:tr>
      <w:tr>
        <w:trPr>
          <w:trHeight w:val="187"/>
        </w:trPr>
        <w:tc>
          <w:tcPr>
            <w:tcW w:w="3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6"/>
              </w:rPr>
              <w:t>March 31, 2026</w:t>
            </w:r>
          </w:p>
        </w:tc>
      </w:tr>
      <w:tr>
        <w:trPr>
          <w:trHeight w:val="217"/>
        </w:trPr>
        <w:tc>
          <w:tcPr>
            <w:tcW w:w="39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Building base rent</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328,551</w:t>
            </w:r>
          </w:p>
        </w:tc>
        <w:tc>
          <w:tcPr>
            <w:tcW w:w="120" w:type="dxa"/>
            <w:vAlign w:val="bottom"/>
            <w:tcBorders>
              <w:top w:val="single" w:sz="8" w:color="CCEEFF"/>
            </w:tcBorders>
            <w:shd w:val="clear" w:color="auto" w:fill="CCEEFF"/>
          </w:tcPr>
          <w:p>
            <w:pPr>
              <w:spacing w:after="0"/>
              <w:rPr>
                <w:sz w:val="18"/>
                <w:szCs w:val="18"/>
                <w:color w:val="auto"/>
              </w:rPr>
            </w:pPr>
          </w:p>
        </w:tc>
      </w:tr>
      <w:tr>
        <w:trPr>
          <w:trHeight w:val="219"/>
        </w:trPr>
        <w:tc>
          <w:tcPr>
            <w:tcW w:w="3900" w:type="dxa"/>
            <w:vAlign w:val="bottom"/>
          </w:tcPr>
          <w:p>
            <w:pPr>
              <w:spacing w:after="0"/>
              <w:rPr>
                <w:sz w:val="20"/>
                <w:szCs w:val="20"/>
                <w:color w:val="auto"/>
              </w:rPr>
            </w:pPr>
            <w:r>
              <w:rPr>
                <w:rFonts w:ascii="Times New Roman" w:cs="Times New Roman" w:eastAsia="Times New Roman" w:hAnsi="Times New Roman"/>
                <w:sz w:val="17"/>
                <w:szCs w:val="17"/>
                <w:color w:val="auto"/>
              </w:rPr>
              <w:t>Land base rent</w:t>
            </w: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49,650</w:t>
            </w:r>
          </w:p>
        </w:tc>
        <w:tc>
          <w:tcPr>
            <w:tcW w:w="120" w:type="dxa"/>
            <w:vAlign w:val="bottom"/>
          </w:tcPr>
          <w:p>
            <w:pPr>
              <w:spacing w:after="0"/>
              <w:rPr>
                <w:sz w:val="19"/>
                <w:szCs w:val="19"/>
                <w:color w:val="auto"/>
              </w:rPr>
            </w:pPr>
          </w:p>
        </w:tc>
      </w:tr>
      <w:tr>
        <w:trPr>
          <w:trHeight w:val="219"/>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Percentage rent and other rental revenue</w:t>
            </w: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18,267</w:t>
            </w:r>
          </w:p>
        </w:tc>
        <w:tc>
          <w:tcPr>
            <w:tcW w:w="120" w:type="dxa"/>
            <w:vAlign w:val="bottom"/>
            <w:shd w:val="clear" w:color="auto" w:fill="CCEEFF"/>
          </w:tcPr>
          <w:p>
            <w:pPr>
              <w:spacing w:after="0"/>
              <w:rPr>
                <w:sz w:val="19"/>
                <w:szCs w:val="19"/>
                <w:color w:val="auto"/>
              </w:rPr>
            </w:pPr>
          </w:p>
        </w:tc>
      </w:tr>
      <w:tr>
        <w:trPr>
          <w:trHeight w:val="219"/>
        </w:trPr>
        <w:tc>
          <w:tcPr>
            <w:tcW w:w="39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Interest income on real estate loans</w:t>
            </w:r>
          </w:p>
        </w:tc>
        <w:tc>
          <w:tcPr>
            <w:tcW w:w="1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6,923</w:t>
            </w:r>
          </w:p>
        </w:tc>
        <w:tc>
          <w:tcPr>
            <w:tcW w:w="120" w:type="dxa"/>
            <w:vAlign w:val="bottom"/>
            <w:tcBorders>
              <w:bottom w:val="single" w:sz="8" w:color="CCEEFF"/>
            </w:tcBorders>
          </w:tcPr>
          <w:p>
            <w:pPr>
              <w:spacing w:after="0"/>
              <w:rPr>
                <w:sz w:val="19"/>
                <w:szCs w:val="19"/>
                <w:color w:val="auto"/>
              </w:rPr>
            </w:pPr>
          </w:p>
        </w:tc>
      </w:tr>
      <w:tr>
        <w:trPr>
          <w:trHeight w:val="212"/>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 cash income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403,391</w:t>
            </w:r>
          </w:p>
        </w:tc>
        <w:tc>
          <w:tcPr>
            <w:tcW w:w="120" w:type="dxa"/>
            <w:vAlign w:val="bottom"/>
            <w:shd w:val="clear" w:color="auto" w:fill="CCEEFF"/>
          </w:tcPr>
          <w:p>
            <w:pPr>
              <w:spacing w:after="0"/>
              <w:rPr>
                <w:sz w:val="18"/>
                <w:szCs w:val="18"/>
                <w:color w:val="auto"/>
              </w:rPr>
            </w:pPr>
          </w:p>
        </w:tc>
      </w:tr>
      <w:tr>
        <w:trPr>
          <w:trHeight w:val="219"/>
        </w:trPr>
        <w:tc>
          <w:tcPr>
            <w:tcW w:w="3900" w:type="dxa"/>
            <w:vAlign w:val="bottom"/>
          </w:tcPr>
          <w:p>
            <w:pPr>
              <w:spacing w:after="0"/>
              <w:rPr>
                <w:sz w:val="20"/>
                <w:szCs w:val="20"/>
                <w:color w:val="auto"/>
              </w:rPr>
            </w:pPr>
            <w:r>
              <w:rPr>
                <w:rFonts w:ascii="Times New Roman" w:cs="Times New Roman" w:eastAsia="Times New Roman" w:hAnsi="Times New Roman"/>
                <w:sz w:val="17"/>
                <w:szCs w:val="17"/>
                <w:color w:val="auto"/>
              </w:rPr>
              <w:t>Straight-line rent adjustments</w:t>
            </w: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(471)</w:t>
            </w:r>
          </w:p>
        </w:tc>
        <w:tc>
          <w:tcPr>
            <w:tcW w:w="120" w:type="dxa"/>
            <w:vAlign w:val="bottom"/>
          </w:tcPr>
          <w:p>
            <w:pPr>
              <w:spacing w:after="0"/>
              <w:rPr>
                <w:sz w:val="19"/>
                <w:szCs w:val="19"/>
                <w:color w:val="auto"/>
              </w:rPr>
            </w:pPr>
          </w:p>
        </w:tc>
      </w:tr>
      <w:tr>
        <w:trPr>
          <w:trHeight w:val="219"/>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Ground rent in revenue</w:t>
            </w: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9,653</w:t>
            </w:r>
          </w:p>
        </w:tc>
        <w:tc>
          <w:tcPr>
            <w:tcW w:w="120" w:type="dxa"/>
            <w:vAlign w:val="bottom"/>
            <w:shd w:val="clear" w:color="auto" w:fill="CCEEFF"/>
          </w:tcPr>
          <w:p>
            <w:pPr>
              <w:spacing w:after="0"/>
              <w:rPr>
                <w:sz w:val="19"/>
                <w:szCs w:val="19"/>
                <w:color w:val="auto"/>
              </w:rPr>
            </w:pPr>
          </w:p>
        </w:tc>
      </w:tr>
      <w:tr>
        <w:trPr>
          <w:trHeight w:val="219"/>
        </w:trPr>
        <w:tc>
          <w:tcPr>
            <w:tcW w:w="39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Accretion on financing receivables</w:t>
            </w:r>
          </w:p>
        </w:tc>
        <w:tc>
          <w:tcPr>
            <w:tcW w:w="1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7,412</w:t>
            </w:r>
          </w:p>
        </w:tc>
        <w:tc>
          <w:tcPr>
            <w:tcW w:w="120" w:type="dxa"/>
            <w:vAlign w:val="bottom"/>
            <w:tcBorders>
              <w:bottom w:val="single" w:sz="8" w:color="CCEEFF"/>
            </w:tcBorders>
          </w:tcPr>
          <w:p>
            <w:pPr>
              <w:spacing w:after="0"/>
              <w:rPr>
                <w:sz w:val="19"/>
                <w:szCs w:val="19"/>
                <w:color w:val="auto"/>
              </w:rPr>
            </w:pPr>
          </w:p>
        </w:tc>
      </w:tr>
      <w:tr>
        <w:trPr>
          <w:trHeight w:val="237"/>
        </w:trPr>
        <w:tc>
          <w:tcPr>
            <w:tcW w:w="3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 income from real estate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419,985</w:t>
            </w:r>
          </w:p>
        </w:tc>
        <w:tc>
          <w:tcPr>
            <w:tcW w:w="120" w:type="dxa"/>
            <w:vAlign w:val="bottom"/>
            <w:tcBorders>
              <w:bottom w:val="single" w:sz="8" w:color="CCEEFF"/>
            </w:tcBorders>
            <w:shd w:val="clear" w:color="auto" w:fill="CCEEFF"/>
          </w:tcPr>
          <w:p>
            <w:pPr>
              <w:spacing w:after="0"/>
              <w:rPr>
                <w:sz w:val="20"/>
                <w:szCs w:val="20"/>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r>
    </w:tbl>
    <w:p>
      <w:pPr>
        <w:spacing w:after="0" w:line="203" w:lineRule="exact"/>
        <w:rPr>
          <w:sz w:val="20"/>
          <w:szCs w:val="20"/>
          <w:color w:val="auto"/>
        </w:rPr>
      </w:pPr>
    </w:p>
    <w:p>
      <w:pPr>
        <w:ind w:firstLine="619"/>
        <w:spacing w:after="0" w:line="287" w:lineRule="auto"/>
        <w:rPr>
          <w:sz w:val="20"/>
          <w:szCs w:val="20"/>
          <w:color w:val="auto"/>
        </w:rPr>
      </w:pPr>
      <w:r>
        <w:rPr>
          <w:rFonts w:ascii="Times New Roman" w:cs="Times New Roman" w:eastAsia="Times New Roman" w:hAnsi="Times New Roman"/>
          <w:sz w:val="17"/>
          <w:szCs w:val="17"/>
          <w:color w:val="auto"/>
        </w:rPr>
        <w:t>As of March 31, 2026, the future minimum rental income from the Company's rental properties under non-cancelable operating leases, including any reasonably assured renewal periods, was as follows (in thousands):</w:t>
      </w:r>
    </w:p>
    <w:p>
      <w:pPr>
        <w:spacing w:after="0" w:line="98" w:lineRule="exact"/>
        <w:rPr>
          <w:sz w:val="20"/>
          <w:szCs w:val="20"/>
          <w:color w:val="auto"/>
        </w:rPr>
      </w:pPr>
    </w:p>
    <w:tbl>
      <w:tblPr>
        <w:tblLayout w:type="fixed"/>
        <w:tblInd w:w="1120" w:type="dxa"/>
        <w:tblCellMar>
          <w:top w:w="0" w:type="dxa"/>
          <w:left w:w="0" w:type="dxa"/>
          <w:bottom w:w="0" w:type="dxa"/>
          <w:right w:w="0" w:type="dxa"/>
        </w:tblCellMar>
      </w:tblPr>
      <w:tr>
        <w:trPr>
          <w:trHeight w:val="161"/>
        </w:trPr>
        <w:tc>
          <w:tcPr>
            <w:tcW w:w="154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Future Rental</w:t>
            </w:r>
          </w:p>
        </w:tc>
        <w:tc>
          <w:tcPr>
            <w:tcW w:w="138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7"/>
              </w:rPr>
              <w:t>Straight-Line Rent</w:t>
            </w:r>
          </w:p>
        </w:tc>
        <w:tc>
          <w:tcPr>
            <w:tcW w:w="13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Future Base Ground</w:t>
            </w:r>
          </w:p>
        </w:tc>
        <w:tc>
          <w:tcPr>
            <w:tcW w:w="100" w:type="dxa"/>
            <w:vAlign w:val="bottom"/>
          </w:tcPr>
          <w:p>
            <w:pPr>
              <w:spacing w:after="0"/>
              <w:rPr>
                <w:sz w:val="13"/>
                <w:szCs w:val="13"/>
                <w:color w:val="auto"/>
              </w:rPr>
            </w:pPr>
          </w:p>
        </w:tc>
        <w:tc>
          <w:tcPr>
            <w:tcW w:w="1400" w:type="dxa"/>
            <w:vAlign w:val="bottom"/>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w w:val="96"/>
              </w:rPr>
              <w:t>Future Income to be</w:t>
            </w:r>
          </w:p>
        </w:tc>
        <w:tc>
          <w:tcPr>
            <w:tcW w:w="0" w:type="dxa"/>
            <w:vAlign w:val="bottom"/>
          </w:tcPr>
          <w:p>
            <w:pPr>
              <w:spacing w:after="0"/>
              <w:rPr>
                <w:sz w:val="1"/>
                <w:szCs w:val="1"/>
                <w:color w:val="auto"/>
              </w:rPr>
            </w:pPr>
          </w:p>
        </w:tc>
      </w:tr>
      <w:tr>
        <w:trPr>
          <w:trHeight w:val="140"/>
        </w:trPr>
        <w:tc>
          <w:tcPr>
            <w:tcW w:w="40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16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380" w:type="dxa"/>
            <w:vAlign w:val="bottom"/>
            <w:gridSpan w:val="3"/>
            <w:vMerge w:val="continue"/>
          </w:tcPr>
          <w:p>
            <w:pPr>
              <w:spacing w:after="0"/>
              <w:rPr>
                <w:sz w:val="12"/>
                <w:szCs w:val="12"/>
                <w:color w:val="auto"/>
              </w:rPr>
            </w:pPr>
          </w:p>
        </w:tc>
        <w:tc>
          <w:tcPr>
            <w:tcW w:w="136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Pr>
          <w:p>
            <w:pPr>
              <w:jc w:val="center"/>
              <w:ind w:right="19"/>
              <w:spacing w:after="0" w:line="141" w:lineRule="exact"/>
              <w:rPr>
                <w:sz w:val="20"/>
                <w:szCs w:val="20"/>
                <w:color w:val="auto"/>
              </w:rPr>
            </w:pPr>
            <w:r>
              <w:rPr>
                <w:rFonts w:ascii="Times New Roman" w:cs="Times New Roman" w:eastAsia="Times New Roman" w:hAnsi="Times New Roman"/>
                <w:sz w:val="14"/>
                <w:szCs w:val="14"/>
                <w:b w:val="1"/>
                <w:bCs w:val="1"/>
                <w:color w:val="auto"/>
                <w:w w:val="97"/>
              </w:rPr>
              <w:t>Recognized Related to</w:t>
            </w:r>
          </w:p>
        </w:tc>
        <w:tc>
          <w:tcPr>
            <w:tcW w:w="0" w:type="dxa"/>
            <w:vAlign w:val="bottom"/>
          </w:tcPr>
          <w:p>
            <w:pPr>
              <w:spacing w:after="0"/>
              <w:rPr>
                <w:sz w:val="1"/>
                <w:szCs w:val="1"/>
                <w:color w:val="auto"/>
              </w:rPr>
            </w:pPr>
          </w:p>
        </w:tc>
      </w:tr>
      <w:tr>
        <w:trPr>
          <w:trHeight w:val="142"/>
        </w:trPr>
        <w:tc>
          <w:tcPr>
            <w:tcW w:w="4020" w:type="dxa"/>
            <w:vAlign w:val="bottom"/>
            <w:gridSpan w:val="2"/>
            <w:vMerge w:val="continue"/>
          </w:tcPr>
          <w:p>
            <w:pPr>
              <w:spacing w:after="0"/>
              <w:rPr>
                <w:sz w:val="12"/>
                <w:szCs w:val="12"/>
                <w:color w:val="auto"/>
              </w:rPr>
            </w:pPr>
          </w:p>
        </w:tc>
        <w:tc>
          <w:tcPr>
            <w:tcW w:w="1380" w:type="dxa"/>
            <w:vAlign w:val="bottom"/>
            <w:gridSpan w:val="3"/>
          </w:tcPr>
          <w:p>
            <w:pPr>
              <w:spacing w:after="0" w:line="122" w:lineRule="exact"/>
              <w:rPr>
                <w:sz w:val="20"/>
                <w:szCs w:val="20"/>
                <w:color w:val="auto"/>
              </w:rPr>
            </w:pPr>
            <w:r>
              <w:rPr>
                <w:rFonts w:ascii="Times New Roman" w:cs="Times New Roman" w:eastAsia="Times New Roman" w:hAnsi="Times New Roman"/>
                <w:sz w:val="14"/>
                <w:szCs w:val="14"/>
                <w:b w:val="1"/>
                <w:bCs w:val="1"/>
                <w:color w:val="auto"/>
              </w:rPr>
              <w:t>Payments Receivable</w:t>
            </w:r>
          </w:p>
        </w:tc>
        <w:tc>
          <w:tcPr>
            <w:tcW w:w="120" w:type="dxa"/>
            <w:vAlign w:val="bottom"/>
          </w:tcPr>
          <w:p>
            <w:pPr>
              <w:spacing w:after="0"/>
              <w:rPr>
                <w:sz w:val="12"/>
                <w:szCs w:val="12"/>
                <w:color w:val="auto"/>
              </w:rPr>
            </w:pPr>
          </w:p>
        </w:tc>
        <w:tc>
          <w:tcPr>
            <w:tcW w:w="126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4"/>
                <w:szCs w:val="14"/>
                <w:b w:val="1"/>
                <w:bCs w:val="1"/>
                <w:color w:val="auto"/>
                <w:w w:val="97"/>
              </w:rPr>
              <w:t>Adjustments (1)</w:t>
            </w:r>
          </w:p>
        </w:tc>
        <w:tc>
          <w:tcPr>
            <w:tcW w:w="100" w:type="dxa"/>
            <w:vAlign w:val="bottom"/>
          </w:tcPr>
          <w:p>
            <w:pPr>
              <w:spacing w:after="0"/>
              <w:rPr>
                <w:sz w:val="12"/>
                <w:szCs w:val="12"/>
                <w:color w:val="auto"/>
              </w:rPr>
            </w:pPr>
          </w:p>
        </w:tc>
        <w:tc>
          <w:tcPr>
            <w:tcW w:w="12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4"/>
                <w:szCs w:val="14"/>
                <w:b w:val="1"/>
                <w:bCs w:val="1"/>
                <w:color w:val="auto"/>
              </w:rPr>
              <w:t>Rents Receivable</w:t>
            </w:r>
          </w:p>
        </w:tc>
        <w:tc>
          <w:tcPr>
            <w:tcW w:w="100" w:type="dxa"/>
            <w:vAlign w:val="bottom"/>
          </w:tcPr>
          <w:p>
            <w:pPr>
              <w:spacing w:after="0"/>
              <w:rPr>
                <w:sz w:val="12"/>
                <w:szCs w:val="12"/>
                <w:color w:val="auto"/>
              </w:rPr>
            </w:pPr>
          </w:p>
        </w:tc>
        <w:tc>
          <w:tcPr>
            <w:tcW w:w="1400" w:type="dxa"/>
            <w:vAlign w:val="bottom"/>
          </w:tcPr>
          <w:p>
            <w:pPr>
              <w:jc w:val="center"/>
              <w:ind w:right="19"/>
              <w:spacing w:after="0" w:line="122" w:lineRule="exact"/>
              <w:rPr>
                <w:sz w:val="20"/>
                <w:szCs w:val="20"/>
                <w:color w:val="auto"/>
              </w:rPr>
            </w:pPr>
            <w:r>
              <w:rPr>
                <w:rFonts w:ascii="Times New Roman" w:cs="Times New Roman" w:eastAsia="Times New Roman" w:hAnsi="Times New Roman"/>
                <w:sz w:val="14"/>
                <w:szCs w:val="14"/>
                <w:b w:val="1"/>
                <w:bCs w:val="1"/>
                <w:color w:val="auto"/>
                <w:w w:val="97"/>
              </w:rPr>
              <w:t>Operating Leases</w:t>
            </w:r>
          </w:p>
        </w:tc>
        <w:tc>
          <w:tcPr>
            <w:tcW w:w="0" w:type="dxa"/>
            <w:vAlign w:val="bottom"/>
          </w:tcPr>
          <w:p>
            <w:pPr>
              <w:spacing w:after="0"/>
              <w:rPr>
                <w:sz w:val="1"/>
                <w:szCs w:val="1"/>
                <w:color w:val="auto"/>
              </w:rPr>
            </w:pPr>
          </w:p>
        </w:tc>
      </w:tr>
      <w:tr>
        <w:trPr>
          <w:trHeight w:val="32"/>
        </w:trPr>
        <w:tc>
          <w:tcPr>
            <w:tcW w:w="1540" w:type="dxa"/>
            <w:vAlign w:val="bottom"/>
            <w:tcBorders>
              <w:top w:val="single" w:sz="8" w:color="auto"/>
              <w:bottom w:val="single" w:sz="8" w:color="CCEEFF"/>
            </w:tcBorders>
          </w:tcPr>
          <w:p>
            <w:pPr>
              <w:spacing w:after="0"/>
              <w:rPr>
                <w:sz w:val="2"/>
                <w:szCs w:val="2"/>
                <w:color w:val="auto"/>
              </w:rPr>
            </w:pPr>
          </w:p>
        </w:tc>
        <w:tc>
          <w:tcPr>
            <w:tcW w:w="24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4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2026 (remainder of year)</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1,003,995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38,440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11,714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1,054,149</w:t>
            </w:r>
          </w:p>
        </w:tc>
        <w:tc>
          <w:tcPr>
            <w:tcW w:w="0" w:type="dxa"/>
            <w:vAlign w:val="bottom"/>
          </w:tcPr>
          <w:p>
            <w:pPr>
              <w:spacing w:after="0"/>
              <w:rPr>
                <w:sz w:val="1"/>
                <w:szCs w:val="1"/>
                <w:color w:val="auto"/>
              </w:rPr>
            </w:pPr>
          </w:p>
        </w:tc>
      </w:tr>
      <w:tr>
        <w:trPr>
          <w:trHeight w:val="219"/>
        </w:trPr>
        <w:tc>
          <w:tcPr>
            <w:tcW w:w="1540" w:type="dxa"/>
            <w:vAlign w:val="bottom"/>
          </w:tcPr>
          <w:p>
            <w:pPr>
              <w:spacing w:after="0"/>
              <w:rPr>
                <w:sz w:val="20"/>
                <w:szCs w:val="20"/>
                <w:color w:val="auto"/>
              </w:rPr>
            </w:pPr>
            <w:r>
              <w:rPr>
                <w:rFonts w:ascii="Times New Roman" w:cs="Times New Roman" w:eastAsia="Times New Roman" w:hAnsi="Times New Roman"/>
                <w:sz w:val="17"/>
                <w:szCs w:val="17"/>
                <w:color w:val="auto"/>
              </w:rPr>
              <w:t>2027</w:t>
            </w:r>
          </w:p>
        </w:tc>
        <w:tc>
          <w:tcPr>
            <w:tcW w:w="2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1,339,168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47,136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15,154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1,401,458</w:t>
            </w:r>
          </w:p>
        </w:tc>
        <w:tc>
          <w:tcPr>
            <w:tcW w:w="0" w:type="dxa"/>
            <w:vAlign w:val="bottom"/>
          </w:tcPr>
          <w:p>
            <w:pPr>
              <w:spacing w:after="0"/>
              <w:rPr>
                <w:sz w:val="1"/>
                <w:szCs w:val="1"/>
                <w:color w:val="auto"/>
              </w:rPr>
            </w:pPr>
          </w:p>
        </w:tc>
      </w:tr>
      <w:tr>
        <w:trPr>
          <w:trHeight w:val="219"/>
        </w:trPr>
        <w:tc>
          <w:tcPr>
            <w:tcW w:w="15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2028</w:t>
            </w:r>
          </w:p>
        </w:tc>
        <w:tc>
          <w:tcPr>
            <w:tcW w:w="24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1,341,561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39,999</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15,036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1,396,596</w:t>
            </w:r>
          </w:p>
        </w:tc>
        <w:tc>
          <w:tcPr>
            <w:tcW w:w="0" w:type="dxa"/>
            <w:vAlign w:val="bottom"/>
          </w:tcPr>
          <w:p>
            <w:pPr>
              <w:spacing w:after="0"/>
              <w:rPr>
                <w:sz w:val="1"/>
                <w:szCs w:val="1"/>
                <w:color w:val="auto"/>
              </w:rPr>
            </w:pPr>
          </w:p>
        </w:tc>
      </w:tr>
      <w:tr>
        <w:trPr>
          <w:trHeight w:val="219"/>
        </w:trPr>
        <w:tc>
          <w:tcPr>
            <w:tcW w:w="1540" w:type="dxa"/>
            <w:vAlign w:val="bottom"/>
          </w:tcPr>
          <w:p>
            <w:pPr>
              <w:spacing w:after="0"/>
              <w:rPr>
                <w:sz w:val="20"/>
                <w:szCs w:val="20"/>
                <w:color w:val="auto"/>
              </w:rPr>
            </w:pPr>
            <w:r>
              <w:rPr>
                <w:rFonts w:ascii="Times New Roman" w:cs="Times New Roman" w:eastAsia="Times New Roman" w:hAnsi="Times New Roman"/>
                <w:sz w:val="17"/>
                <w:szCs w:val="17"/>
                <w:color w:val="auto"/>
              </w:rPr>
              <w:t>2029</w:t>
            </w:r>
          </w:p>
        </w:tc>
        <w:tc>
          <w:tcPr>
            <w:tcW w:w="2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1,323,861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33,983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15,036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1,372,880</w:t>
            </w:r>
          </w:p>
        </w:tc>
        <w:tc>
          <w:tcPr>
            <w:tcW w:w="0" w:type="dxa"/>
            <w:vAlign w:val="bottom"/>
          </w:tcPr>
          <w:p>
            <w:pPr>
              <w:spacing w:after="0"/>
              <w:rPr>
                <w:sz w:val="1"/>
                <w:szCs w:val="1"/>
                <w:color w:val="auto"/>
              </w:rPr>
            </w:pPr>
          </w:p>
        </w:tc>
      </w:tr>
      <w:tr>
        <w:trPr>
          <w:trHeight w:val="219"/>
        </w:trPr>
        <w:tc>
          <w:tcPr>
            <w:tcW w:w="15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2030</w:t>
            </w:r>
          </w:p>
        </w:tc>
        <w:tc>
          <w:tcPr>
            <w:tcW w:w="24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1,329,976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27,868</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15,043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1,372,887</w:t>
            </w:r>
          </w:p>
        </w:tc>
        <w:tc>
          <w:tcPr>
            <w:tcW w:w="0" w:type="dxa"/>
            <w:vAlign w:val="bottom"/>
          </w:tcPr>
          <w:p>
            <w:pPr>
              <w:spacing w:after="0"/>
              <w:rPr>
                <w:sz w:val="1"/>
                <w:szCs w:val="1"/>
                <w:color w:val="auto"/>
              </w:rPr>
            </w:pPr>
          </w:p>
        </w:tc>
      </w:tr>
      <w:tr>
        <w:trPr>
          <w:trHeight w:val="219"/>
        </w:trPr>
        <w:tc>
          <w:tcPr>
            <w:tcW w:w="40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7"/>
                <w:szCs w:val="17"/>
                <w:color w:val="auto"/>
              </w:rPr>
              <w:t>Thereafter</w:t>
            </w: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4,345,839</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(23,493)</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58,509</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4,380,855</w:t>
            </w:r>
          </w:p>
        </w:tc>
        <w:tc>
          <w:tcPr>
            <w:tcW w:w="0" w:type="dxa"/>
            <w:vAlign w:val="bottom"/>
          </w:tcPr>
          <w:p>
            <w:pPr>
              <w:spacing w:after="0"/>
              <w:rPr>
                <w:sz w:val="1"/>
                <w:szCs w:val="1"/>
                <w:color w:val="auto"/>
              </w:rPr>
            </w:pPr>
          </w:p>
        </w:tc>
      </w:tr>
      <w:tr>
        <w:trPr>
          <w:trHeight w:val="237"/>
        </w:trPr>
        <w:tc>
          <w:tcPr>
            <w:tcW w:w="40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w:t>
            </w:r>
          </w:p>
        </w:tc>
        <w:tc>
          <w:tcPr>
            <w:tcW w:w="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10,684,400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163,933</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130,492</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10,978,825</w:t>
            </w:r>
          </w:p>
        </w:tc>
        <w:tc>
          <w:tcPr>
            <w:tcW w:w="0" w:type="dxa"/>
            <w:vAlign w:val="bottom"/>
          </w:tcPr>
          <w:p>
            <w:pPr>
              <w:spacing w:after="0"/>
              <w:rPr>
                <w:sz w:val="1"/>
                <w:szCs w:val="1"/>
                <w:color w:val="auto"/>
              </w:rPr>
            </w:pPr>
          </w:p>
        </w:tc>
      </w:tr>
      <w:tr>
        <w:trPr>
          <w:trHeight w:val="20"/>
        </w:trPr>
        <w:tc>
          <w:tcPr>
            <w:tcW w:w="1540" w:type="dxa"/>
            <w:vAlign w:val="bottom"/>
            <w:tcBorders>
              <w:top w:val="single" w:sz="8" w:color="CCEEFF"/>
            </w:tcBorders>
          </w:tcPr>
          <w:p>
            <w:pPr>
              <w:spacing w:after="0" w:line="20" w:lineRule="exact"/>
              <w:rPr>
                <w:sz w:val="1"/>
                <w:szCs w:val="1"/>
                <w:color w:val="auto"/>
              </w:rPr>
            </w:pPr>
          </w:p>
        </w:tc>
        <w:tc>
          <w:tcPr>
            <w:tcW w:w="24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p>
      <w:pPr>
        <w:ind w:left="620" w:hanging="617"/>
        <w:spacing w:after="0" w:line="229" w:lineRule="auto"/>
        <w:tabs>
          <w:tab w:leader="none" w:pos="351" w:val="left"/>
        </w:tabs>
        <w:numPr>
          <w:ilvl w:val="0"/>
          <w:numId w:val="1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Includes a tenant improvement allowance that is being amortized over the life of a tenant lease and excludes deferred income on the Bally's Chicago Land Lease as the facility is under development and as such is not ready for its intended use.</w:t>
      </w:r>
    </w:p>
    <w:p>
      <w:pPr>
        <w:spacing w:after="0" w:line="126"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The table above presents the cash rent the Company expects to receive from its tenants, offset by adjustments to recognize this rent on a straight-line basis over the lease term. The Company also includes the future non-cash revenue it expects to recognize from the fixed portion of tenant paid ground leases in the table above. See Note 3 for the future contractual cash receipts to be received by the Company under its Investment in leases.</w:t>
      </w:r>
    </w:p>
    <w:p>
      <w:pPr>
        <w:spacing w:after="0" w:line="101"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The Company may periodically loan funds to casino owner-operators for the purchase of real estate. Interest income related to real estate loans is recorded as revenue from real estate within the Company's consolidated statements of income in the period earned. See Note 5 for further details.</w:t>
      </w:r>
    </w:p>
    <w:p>
      <w:pPr>
        <w:spacing w:after="0" w:line="302"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7"/>
          <w:szCs w:val="17"/>
          <w:b w:val="1"/>
          <w:bCs w:val="1"/>
          <w:color w:val="auto"/>
        </w:rPr>
        <w:t>11.</w:t>
        <w:tab/>
        <w:t>Earnings Per Share</w:t>
      </w:r>
    </w:p>
    <w:p>
      <w:pPr>
        <w:spacing w:after="0" w:line="217"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 xml:space="preserve">The Company calculates earnings per share ("EPS") in accordance with ASC 260 - </w:t>
      </w:r>
      <w:r>
        <w:rPr>
          <w:rFonts w:ascii="Times New Roman" w:cs="Times New Roman" w:eastAsia="Times New Roman" w:hAnsi="Times New Roman"/>
          <w:sz w:val="17"/>
          <w:szCs w:val="17"/>
          <w:i w:val="1"/>
          <w:iCs w:val="1"/>
          <w:color w:val="auto"/>
        </w:rPr>
        <w:t>Earnings per Share</w:t>
      </w:r>
      <w:r>
        <w:rPr>
          <w:rFonts w:ascii="Times New Roman" w:cs="Times New Roman" w:eastAsia="Times New Roman" w:hAnsi="Times New Roman"/>
          <w:sz w:val="17"/>
          <w:szCs w:val="17"/>
          <w:color w:val="auto"/>
        </w:rPr>
        <w:t xml:space="preserve"> ("ASC 260"</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Basic EPS is computed by dividing net income applicable to common stock by the weighted-average number of common shares outstanding during the period, excluding net income attributable to participating securities in accordance with the two class method. The Company's participating securities are related to certain employee equity awards that receive non-forfeitable dividends. Specifically, time based restricted stock awards receive non-forfeitable dividends equivalent to what common shareholders receive during these awards vesting periods. Diluted EPS for the Company's common stock is computed using the more dilutive of the two-class method or the treasury stock method. Diluted EPS reflects the additional dilution for all</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26" w:name="page27"/>
    <w:bookmarkEnd w:id="26"/>
    <w:p>
      <w:pPr>
        <w:jc w:val="both"/>
        <w:spacing w:after="0" w:line="261" w:lineRule="auto"/>
        <w:rPr>
          <w:sz w:val="20"/>
          <w:szCs w:val="20"/>
          <w:color w:val="auto"/>
        </w:rPr>
      </w:pPr>
      <w:r>
        <w:rPr>
          <w:rFonts w:ascii="Times New Roman" w:cs="Times New Roman" w:eastAsia="Times New Roman" w:hAnsi="Times New Roman"/>
          <w:sz w:val="17"/>
          <w:szCs w:val="17"/>
          <w:color w:val="auto"/>
        </w:rPr>
        <w:t>potentially-dilutive securities. The effect of the conversion of the LTIP Units and OP Units to common shares is excluded from the computation of basic and diluted earnings per share because the exchange of LTIP Units and OP Units into common stock is on a one-for-one basis and all net income attributable to the non-controlling interest holders are recorded as income attributable to non-controlling interests and thus is excluded from net income available to common shareholders. In accordance with ASC 260, the Company includes all performance-based restricted shares that would have vested based upon the Company’s performance at quarter-end in the calculation of diluted EPS.</w:t>
      </w:r>
    </w:p>
    <w:p>
      <w:pPr>
        <w:spacing w:after="0" w:line="200" w:lineRule="exact"/>
        <w:rPr>
          <w:sz w:val="20"/>
          <w:szCs w:val="20"/>
          <w:color w:val="auto"/>
        </w:rPr>
      </w:pPr>
    </w:p>
    <w:p>
      <w:pPr>
        <w:jc w:val="both"/>
        <w:ind w:firstLine="619"/>
        <w:spacing w:after="0" w:line="272" w:lineRule="auto"/>
        <w:rPr>
          <w:sz w:val="20"/>
          <w:szCs w:val="20"/>
          <w:color w:val="auto"/>
        </w:rPr>
      </w:pPr>
      <w:r>
        <w:rPr>
          <w:rFonts w:ascii="Times New Roman" w:cs="Times New Roman" w:eastAsia="Times New Roman" w:hAnsi="Times New Roman"/>
          <w:sz w:val="17"/>
          <w:szCs w:val="17"/>
          <w:color w:val="auto"/>
        </w:rPr>
        <w:t>The following table reconciles the weighted-average common shares outstanding used in the calculation of basic EPS to the weighted-average common shares outstanding used in the calculation of diluted EPS for the three months ended March 31, 2026 and 2025:</w:t>
      </w:r>
    </w:p>
    <w:tbl>
      <w:tblPr>
        <w:tblLayout w:type="fixed"/>
        <w:tblInd w:w="1680" w:type="dxa"/>
        <w:tblCellMar>
          <w:top w:w="0" w:type="dxa"/>
          <w:left w:w="0" w:type="dxa"/>
          <w:bottom w:w="0" w:type="dxa"/>
          <w:right w:w="0" w:type="dxa"/>
        </w:tblCellMar>
      </w:tblPr>
      <w:tr>
        <w:trPr>
          <w:trHeight w:val="182"/>
        </w:trPr>
        <w:tc>
          <w:tcPr>
            <w:tcW w:w="5100" w:type="dxa"/>
            <w:vAlign w:val="bottom"/>
          </w:tcPr>
          <w:p>
            <w:pPr>
              <w:spacing w:after="0"/>
              <w:rPr>
                <w:sz w:val="15"/>
                <w:szCs w:val="15"/>
                <w:color w:val="auto"/>
              </w:rPr>
            </w:pPr>
          </w:p>
        </w:tc>
        <w:tc>
          <w:tcPr>
            <w:tcW w:w="3120" w:type="dxa"/>
            <w:vAlign w:val="bottom"/>
            <w:gridSpan w:val="5"/>
          </w:tcPr>
          <w:p>
            <w:pPr>
              <w:ind w:left="5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2"/>
        </w:trPr>
        <w:tc>
          <w:tcPr>
            <w:tcW w:w="5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1"/>
        </w:trPr>
        <w:tc>
          <w:tcPr>
            <w:tcW w:w="5100" w:type="dxa"/>
            <w:vAlign w:val="bottom"/>
          </w:tcPr>
          <w:p>
            <w:pPr>
              <w:spacing w:after="0"/>
              <w:rPr>
                <w:sz w:val="15"/>
                <w:szCs w:val="15"/>
                <w:color w:val="auto"/>
              </w:rPr>
            </w:pPr>
          </w:p>
        </w:tc>
        <w:tc>
          <w:tcPr>
            <w:tcW w:w="144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auto"/>
            </w:tcBorders>
          </w:tcPr>
          <w:p>
            <w:pPr>
              <w:spacing w:after="0"/>
              <w:rPr>
                <w:sz w:val="15"/>
                <w:szCs w:val="15"/>
                <w:color w:val="auto"/>
              </w:rPr>
            </w:pPr>
          </w:p>
        </w:tc>
      </w:tr>
      <w:tr>
        <w:trPr>
          <w:trHeight w:val="186"/>
        </w:trPr>
        <w:tc>
          <w:tcPr>
            <w:tcW w:w="5100" w:type="dxa"/>
            <w:vAlign w:val="bottom"/>
          </w:tcPr>
          <w:p>
            <w:pPr>
              <w:spacing w:after="0"/>
              <w:rPr>
                <w:sz w:val="16"/>
                <w:szCs w:val="16"/>
                <w:color w:val="auto"/>
              </w:rPr>
            </w:pPr>
          </w:p>
        </w:tc>
        <w:tc>
          <w:tcPr>
            <w:tcW w:w="2060" w:type="dxa"/>
            <w:vAlign w:val="bottom"/>
            <w:gridSpan w:val="3"/>
          </w:tcPr>
          <w:p>
            <w:pPr>
              <w:ind w:left="11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25"/>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Determination of shares:</w:t>
            </w: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r>
      <w:tr>
        <w:trPr>
          <w:trHeight w:val="219"/>
        </w:trPr>
        <w:tc>
          <w:tcPr>
            <w:tcW w:w="5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Weighted-average common shares outstanding</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283,219</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274,827</w:t>
            </w:r>
          </w:p>
        </w:tc>
        <w:tc>
          <w:tcPr>
            <w:tcW w:w="120" w:type="dxa"/>
            <w:vAlign w:val="bottom"/>
          </w:tcPr>
          <w:p>
            <w:pPr>
              <w:spacing w:after="0"/>
              <w:rPr>
                <w:sz w:val="19"/>
                <w:szCs w:val="19"/>
                <w:color w:val="auto"/>
              </w:rPr>
            </w:pPr>
          </w:p>
        </w:tc>
      </w:tr>
      <w:tr>
        <w:trPr>
          <w:trHeight w:val="219"/>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Assumed conversion of restricted stock awards (1)</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w:t>
            </w:r>
          </w:p>
        </w:tc>
        <w:tc>
          <w:tcPr>
            <w:tcW w:w="120" w:type="dxa"/>
            <w:vAlign w:val="bottom"/>
            <w:shd w:val="clear" w:color="auto" w:fill="CCEEFF"/>
          </w:tcPr>
          <w:p>
            <w:pPr>
              <w:spacing w:after="0"/>
              <w:rPr>
                <w:sz w:val="19"/>
                <w:szCs w:val="19"/>
                <w:color w:val="auto"/>
              </w:rPr>
            </w:pPr>
          </w:p>
        </w:tc>
      </w:tr>
      <w:tr>
        <w:trPr>
          <w:trHeight w:val="219"/>
        </w:trPr>
        <w:tc>
          <w:tcPr>
            <w:tcW w:w="5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Assumed conversion of performance-based restricted stock awards</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327</w:t>
            </w:r>
          </w:p>
        </w:tc>
        <w:tc>
          <w:tcPr>
            <w:tcW w:w="120" w:type="dxa"/>
            <w:vAlign w:val="bottom"/>
          </w:tcPr>
          <w:p>
            <w:pPr>
              <w:spacing w:after="0"/>
              <w:rPr>
                <w:sz w:val="19"/>
                <w:szCs w:val="19"/>
                <w:color w:val="auto"/>
              </w:rPr>
            </w:pPr>
          </w:p>
        </w:tc>
      </w:tr>
      <w:tr>
        <w:trPr>
          <w:trHeight w:val="219"/>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Dilution attributable to equity forward contract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183</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w:t>
            </w:r>
          </w:p>
        </w:tc>
        <w:tc>
          <w:tcPr>
            <w:tcW w:w="120" w:type="dxa"/>
            <w:vAlign w:val="bottom"/>
            <w:shd w:val="clear" w:color="auto" w:fill="CCEEFF"/>
          </w:tcPr>
          <w:p>
            <w:pPr>
              <w:spacing w:after="0"/>
              <w:rPr>
                <w:sz w:val="19"/>
                <w:szCs w:val="19"/>
                <w:color w:val="auto"/>
              </w:rPr>
            </w:pPr>
          </w:p>
        </w:tc>
      </w:tr>
      <w:tr>
        <w:trPr>
          <w:trHeight w:val="212"/>
        </w:trPr>
        <w:tc>
          <w:tcPr>
            <w:tcW w:w="5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Diluted weighted-average common shares outstanding</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283,556</w:t>
            </w:r>
          </w:p>
        </w:tc>
        <w:tc>
          <w:tcPr>
            <w:tcW w:w="12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275,403</w:t>
            </w:r>
          </w:p>
        </w:tc>
        <w:tc>
          <w:tcPr>
            <w:tcW w:w="120" w:type="dxa"/>
            <w:vAlign w:val="bottom"/>
          </w:tcPr>
          <w:p>
            <w:pPr>
              <w:spacing w:after="0"/>
              <w:rPr>
                <w:sz w:val="18"/>
                <w:szCs w:val="18"/>
                <w:color w:val="auto"/>
              </w:rPr>
            </w:pPr>
          </w:p>
        </w:tc>
      </w:tr>
      <w:tr>
        <w:trPr>
          <w:trHeight w:val="20"/>
        </w:trPr>
        <w:tc>
          <w:tcPr>
            <w:tcW w:w="5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1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presents the calculation of basic and diluted EPS for the Company’s common stock for the three months ended March 31, 2026 and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2025:</w:t>
      </w:r>
    </w:p>
    <w:p>
      <w:pPr>
        <w:spacing w:after="0" w:line="25" w:lineRule="exact"/>
        <w:rPr>
          <w:sz w:val="20"/>
          <w:szCs w:val="20"/>
          <w:color w:val="auto"/>
        </w:rPr>
      </w:pPr>
    </w:p>
    <w:tbl>
      <w:tblPr>
        <w:tblLayout w:type="fixed"/>
        <w:tblInd w:w="1660" w:type="dxa"/>
        <w:tblCellMar>
          <w:top w:w="0" w:type="dxa"/>
          <w:left w:w="0" w:type="dxa"/>
          <w:bottom w:w="0" w:type="dxa"/>
          <w:right w:w="0" w:type="dxa"/>
        </w:tblCellMar>
      </w:tblPr>
      <w:tr>
        <w:trPr>
          <w:trHeight w:val="182"/>
        </w:trPr>
        <w:tc>
          <w:tcPr>
            <w:tcW w:w="5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4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2"/>
        </w:trPr>
        <w:tc>
          <w:tcPr>
            <w:tcW w:w="5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1"/>
        </w:trPr>
        <w:tc>
          <w:tcPr>
            <w:tcW w:w="51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1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auto"/>
            </w:tcBorders>
          </w:tcPr>
          <w:p>
            <w:pPr>
              <w:spacing w:after="0"/>
              <w:rPr>
                <w:sz w:val="15"/>
                <w:szCs w:val="15"/>
                <w:color w:val="auto"/>
              </w:rPr>
            </w:pPr>
          </w:p>
        </w:tc>
      </w:tr>
      <w:tr>
        <w:trPr>
          <w:trHeight w:val="186"/>
        </w:trPr>
        <w:tc>
          <w:tcPr>
            <w:tcW w:w="5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4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r>
      <w:tr>
        <w:trPr>
          <w:trHeight w:val="225"/>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Calculation of basic EPS:</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r>
      <w:tr>
        <w:trPr>
          <w:trHeight w:val="219"/>
        </w:trPr>
        <w:tc>
          <w:tcPr>
            <w:tcW w:w="5140" w:type="dxa"/>
            <w:vAlign w:val="bottom"/>
          </w:tcPr>
          <w:p>
            <w:pPr>
              <w:spacing w:after="0"/>
              <w:rPr>
                <w:sz w:val="20"/>
                <w:szCs w:val="20"/>
                <w:color w:val="auto"/>
              </w:rPr>
            </w:pPr>
            <w:r>
              <w:rPr>
                <w:rFonts w:ascii="Times New Roman" w:cs="Times New Roman" w:eastAsia="Times New Roman" w:hAnsi="Times New Roman"/>
                <w:sz w:val="17"/>
                <w:szCs w:val="17"/>
                <w:color w:val="auto"/>
              </w:rPr>
              <w:t>Net income attributable to common shareholders</w:t>
            </w: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231,829</w:t>
            </w:r>
          </w:p>
        </w:tc>
        <w:tc>
          <w:tcPr>
            <w:tcW w:w="100" w:type="dxa"/>
            <w:vAlign w:val="bottom"/>
          </w:tcPr>
          <w:p>
            <w:pPr>
              <w:spacing w:after="0"/>
              <w:rPr>
                <w:sz w:val="19"/>
                <w:szCs w:val="19"/>
                <w:color w:val="auto"/>
              </w:rPr>
            </w:pPr>
          </w:p>
        </w:tc>
        <w:tc>
          <w:tcPr>
            <w:tcW w:w="36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165,184</w:t>
            </w:r>
          </w:p>
        </w:tc>
        <w:tc>
          <w:tcPr>
            <w:tcW w:w="120" w:type="dxa"/>
            <w:vAlign w:val="bottom"/>
          </w:tcPr>
          <w:p>
            <w:pPr>
              <w:spacing w:after="0"/>
              <w:rPr>
                <w:sz w:val="19"/>
                <w:szCs w:val="19"/>
                <w:color w:val="auto"/>
              </w:rPr>
            </w:pPr>
          </w:p>
        </w:tc>
      </w:tr>
      <w:tr>
        <w:trPr>
          <w:trHeight w:val="219"/>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Less: Net income allocated to participating securities</w:t>
            </w: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w:t>
            </w:r>
          </w:p>
        </w:tc>
        <w:tc>
          <w:tcPr>
            <w:tcW w:w="120" w:type="dxa"/>
            <w:vAlign w:val="bottom"/>
            <w:shd w:val="clear" w:color="auto" w:fill="CCEEFF"/>
          </w:tcPr>
          <w:p>
            <w:pPr>
              <w:spacing w:after="0"/>
              <w:rPr>
                <w:sz w:val="19"/>
                <w:szCs w:val="19"/>
                <w:color w:val="auto"/>
              </w:rPr>
            </w:pPr>
          </w:p>
        </w:tc>
      </w:tr>
      <w:tr>
        <w:trPr>
          <w:trHeight w:val="212"/>
        </w:trPr>
        <w:tc>
          <w:tcPr>
            <w:tcW w:w="5140" w:type="dxa"/>
            <w:vAlign w:val="bottom"/>
          </w:tcPr>
          <w:p>
            <w:pPr>
              <w:spacing w:after="0"/>
              <w:rPr>
                <w:sz w:val="20"/>
                <w:szCs w:val="20"/>
                <w:color w:val="auto"/>
              </w:rPr>
            </w:pPr>
            <w:r>
              <w:rPr>
                <w:rFonts w:ascii="Times New Roman" w:cs="Times New Roman" w:eastAsia="Times New Roman" w:hAnsi="Times New Roman"/>
                <w:sz w:val="17"/>
                <w:szCs w:val="17"/>
                <w:color w:val="auto"/>
              </w:rPr>
              <w:t>Net income for earnings per share purposes</w:t>
            </w: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231,666</w:t>
            </w:r>
          </w:p>
        </w:tc>
        <w:tc>
          <w:tcPr>
            <w:tcW w:w="100" w:type="dxa"/>
            <w:vAlign w:val="bottom"/>
          </w:tcPr>
          <w:p>
            <w:pPr>
              <w:spacing w:after="0"/>
              <w:rPr>
                <w:sz w:val="18"/>
                <w:szCs w:val="18"/>
                <w:color w:val="auto"/>
              </w:rPr>
            </w:pPr>
          </w:p>
        </w:tc>
        <w:tc>
          <w:tcPr>
            <w:tcW w:w="36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165,036</w:t>
            </w:r>
          </w:p>
        </w:tc>
        <w:tc>
          <w:tcPr>
            <w:tcW w:w="120" w:type="dxa"/>
            <w:vAlign w:val="bottom"/>
          </w:tcPr>
          <w:p>
            <w:pPr>
              <w:spacing w:after="0"/>
              <w:rPr>
                <w:sz w:val="18"/>
                <w:szCs w:val="18"/>
                <w:color w:val="auto"/>
              </w:rPr>
            </w:pPr>
          </w:p>
        </w:tc>
      </w:tr>
      <w:tr>
        <w:trPr>
          <w:trHeight w:val="219"/>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Weighted-average common shares outstanding</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283,219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274,827</w:t>
            </w:r>
          </w:p>
        </w:tc>
        <w:tc>
          <w:tcPr>
            <w:tcW w:w="120" w:type="dxa"/>
            <w:vAlign w:val="bottom"/>
            <w:shd w:val="clear" w:color="auto" w:fill="CCEEFF"/>
          </w:tcPr>
          <w:p>
            <w:pPr>
              <w:spacing w:after="0"/>
              <w:rPr>
                <w:sz w:val="19"/>
                <w:szCs w:val="19"/>
                <w:color w:val="auto"/>
              </w:rPr>
            </w:pPr>
          </w:p>
        </w:tc>
      </w:tr>
      <w:tr>
        <w:trPr>
          <w:trHeight w:val="219"/>
        </w:trPr>
        <w:tc>
          <w:tcPr>
            <w:tcW w:w="5140" w:type="dxa"/>
            <w:vAlign w:val="bottom"/>
          </w:tcPr>
          <w:p>
            <w:pPr>
              <w:spacing w:after="0"/>
              <w:rPr>
                <w:sz w:val="20"/>
                <w:szCs w:val="20"/>
                <w:color w:val="auto"/>
              </w:rPr>
            </w:pPr>
            <w:r>
              <w:rPr>
                <w:rFonts w:ascii="Times New Roman" w:cs="Times New Roman" w:eastAsia="Times New Roman" w:hAnsi="Times New Roman"/>
                <w:sz w:val="17"/>
                <w:szCs w:val="17"/>
                <w:color w:val="auto"/>
              </w:rPr>
              <w:t>Basic EPS</w:t>
            </w: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0.82</w:t>
            </w:r>
          </w:p>
        </w:tc>
        <w:tc>
          <w:tcPr>
            <w:tcW w:w="100" w:type="dxa"/>
            <w:vAlign w:val="bottom"/>
          </w:tcPr>
          <w:p>
            <w:pPr>
              <w:spacing w:after="0"/>
              <w:rPr>
                <w:sz w:val="19"/>
                <w:szCs w:val="19"/>
                <w:color w:val="auto"/>
              </w:rPr>
            </w:pPr>
          </w:p>
        </w:tc>
        <w:tc>
          <w:tcPr>
            <w:tcW w:w="36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0.60</w:t>
            </w:r>
          </w:p>
        </w:tc>
        <w:tc>
          <w:tcPr>
            <w:tcW w:w="120" w:type="dxa"/>
            <w:vAlign w:val="bottom"/>
          </w:tcPr>
          <w:p>
            <w:pPr>
              <w:spacing w:after="0"/>
              <w:rPr>
                <w:sz w:val="19"/>
                <w:szCs w:val="19"/>
                <w:color w:val="auto"/>
              </w:rPr>
            </w:pPr>
          </w:p>
        </w:tc>
      </w:tr>
      <w:tr>
        <w:trPr>
          <w:trHeight w:val="206"/>
        </w:trPr>
        <w:tc>
          <w:tcPr>
            <w:tcW w:w="5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9"/>
        </w:trPr>
        <w:tc>
          <w:tcPr>
            <w:tcW w:w="51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Calculation of diluted EPS:</w:t>
            </w: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9"/>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income for diluted EPS purposes</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231,666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165,184</w:t>
            </w:r>
          </w:p>
        </w:tc>
        <w:tc>
          <w:tcPr>
            <w:tcW w:w="120" w:type="dxa"/>
            <w:vAlign w:val="bottom"/>
            <w:shd w:val="clear" w:color="auto" w:fill="CCEEFF"/>
          </w:tcPr>
          <w:p>
            <w:pPr>
              <w:spacing w:after="0"/>
              <w:rPr>
                <w:sz w:val="19"/>
                <w:szCs w:val="19"/>
                <w:color w:val="auto"/>
              </w:rPr>
            </w:pPr>
          </w:p>
        </w:tc>
      </w:tr>
      <w:tr>
        <w:trPr>
          <w:trHeight w:val="219"/>
        </w:trPr>
        <w:tc>
          <w:tcPr>
            <w:tcW w:w="5140" w:type="dxa"/>
            <w:vAlign w:val="bottom"/>
          </w:tcPr>
          <w:p>
            <w:pPr>
              <w:spacing w:after="0"/>
              <w:rPr>
                <w:sz w:val="20"/>
                <w:szCs w:val="20"/>
                <w:color w:val="auto"/>
              </w:rPr>
            </w:pPr>
            <w:r>
              <w:rPr>
                <w:rFonts w:ascii="Times New Roman" w:cs="Times New Roman" w:eastAsia="Times New Roman" w:hAnsi="Times New Roman"/>
                <w:sz w:val="17"/>
                <w:szCs w:val="17"/>
                <w:color w:val="auto"/>
              </w:rPr>
              <w:t>Diluted weighted-average common shares outstanding (1)</w:t>
            </w: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283,477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275,403</w:t>
            </w:r>
          </w:p>
        </w:tc>
        <w:tc>
          <w:tcPr>
            <w:tcW w:w="120" w:type="dxa"/>
            <w:vAlign w:val="bottom"/>
          </w:tcPr>
          <w:p>
            <w:pPr>
              <w:spacing w:after="0"/>
              <w:rPr>
                <w:sz w:val="19"/>
                <w:szCs w:val="19"/>
                <w:color w:val="auto"/>
              </w:rPr>
            </w:pPr>
          </w:p>
        </w:tc>
      </w:tr>
      <w:tr>
        <w:trPr>
          <w:trHeight w:val="219"/>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Diluted EPS</w:t>
            </w: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0.82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0.60</w:t>
            </w:r>
          </w:p>
        </w:tc>
        <w:tc>
          <w:tcPr>
            <w:tcW w:w="120" w:type="dxa"/>
            <w:vAlign w:val="bottom"/>
            <w:shd w:val="clear" w:color="auto" w:fill="CCEEFF"/>
          </w:tcPr>
          <w:p>
            <w:pPr>
              <w:spacing w:after="0"/>
              <w:rPr>
                <w:sz w:val="19"/>
                <w:szCs w:val="19"/>
                <w:color w:val="auto"/>
              </w:rPr>
            </w:pPr>
          </w:p>
        </w:tc>
      </w:tr>
      <w:tr>
        <w:trPr>
          <w:trHeight w:val="206"/>
        </w:trPr>
        <w:tc>
          <w:tcPr>
            <w:tcW w:w="5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168"/>
        </w:trPr>
        <w:tc>
          <w:tcPr>
            <w:tcW w:w="514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7"/>
                <w:szCs w:val="17"/>
                <w:b w:val="1"/>
                <w:bCs w:val="1"/>
                <w:color w:val="auto"/>
              </w:rPr>
              <w:t>Antidilutive securities excluded from the computation of diluted</w:t>
            </w:r>
          </w:p>
        </w:tc>
        <w:tc>
          <w:tcPr>
            <w:tcW w:w="3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232"/>
        </w:trPr>
        <w:tc>
          <w:tcPr>
            <w:tcW w:w="51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b w:val="1"/>
                <w:bCs w:val="1"/>
                <w:color w:val="auto"/>
              </w:rPr>
              <w:t>earnings per share</w:t>
            </w:r>
          </w:p>
        </w:tc>
        <w:tc>
          <w:tcPr>
            <w:tcW w:w="30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20" w:type="dxa"/>
            <w:vAlign w:val="bottom"/>
            <w:shd w:val="clear" w:color="auto" w:fill="CCEEFF"/>
          </w:tcPr>
          <w:p>
            <w:pPr>
              <w:spacing w:after="0"/>
              <w:rPr>
                <w:sz w:val="20"/>
                <w:szCs w:val="20"/>
                <w:color w:val="auto"/>
              </w:rPr>
            </w:pPr>
          </w:p>
        </w:tc>
      </w:tr>
    </w:tbl>
    <w:p>
      <w:pPr>
        <w:spacing w:after="0" w:line="306" w:lineRule="exact"/>
        <w:rPr>
          <w:sz w:val="20"/>
          <w:szCs w:val="20"/>
          <w:color w:val="auto"/>
        </w:rPr>
      </w:pPr>
    </w:p>
    <w:p>
      <w:pPr>
        <w:ind w:right="200" w:firstLine="3"/>
        <w:spacing w:after="0" w:line="287" w:lineRule="auto"/>
        <w:tabs>
          <w:tab w:leader="none" w:pos="243"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During the three months ended March 31, 2026, these awards which are participating securities were accounted for under the two class method and excluded from diluted shares as they are a separate class.</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27" w:name="page28"/>
    <w:bookmarkEnd w:id="27"/>
    <w:p>
      <w:pPr>
        <w:spacing w:after="0"/>
        <w:tabs>
          <w:tab w:leader="none" w:pos="360" w:val="left"/>
        </w:tabs>
        <w:rPr>
          <w:sz w:val="20"/>
          <w:szCs w:val="20"/>
          <w:color w:val="auto"/>
        </w:rPr>
      </w:pPr>
      <w:r>
        <w:rPr>
          <w:rFonts w:ascii="Times New Roman" w:cs="Times New Roman" w:eastAsia="Times New Roman" w:hAnsi="Times New Roman"/>
          <w:sz w:val="17"/>
          <w:szCs w:val="17"/>
          <w:b w:val="1"/>
          <w:bCs w:val="1"/>
          <w:color w:val="auto"/>
        </w:rPr>
        <w:t>12.</w:t>
        <w:tab/>
        <w:t>Equity</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Common stock issuance</w:t>
      </w:r>
    </w:p>
    <w:p>
      <w:pPr>
        <w:spacing w:after="0" w:line="247" w:lineRule="exact"/>
        <w:rPr>
          <w:sz w:val="20"/>
          <w:szCs w:val="20"/>
          <w:color w:val="auto"/>
        </w:rPr>
      </w:pPr>
    </w:p>
    <w:p>
      <w:pPr>
        <w:jc w:val="both"/>
        <w:ind w:firstLine="619"/>
        <w:spacing w:after="0" w:line="245" w:lineRule="auto"/>
        <w:rPr>
          <w:sz w:val="20"/>
          <w:szCs w:val="20"/>
          <w:color w:val="auto"/>
        </w:rPr>
      </w:pPr>
      <w:r>
        <w:rPr>
          <w:rFonts w:ascii="Times New Roman" w:cs="Times New Roman" w:eastAsia="Times New Roman" w:hAnsi="Times New Roman"/>
          <w:sz w:val="17"/>
          <w:szCs w:val="17"/>
          <w:color w:val="auto"/>
        </w:rPr>
        <w:t>On May 2, 2025, the Company entered into a new continuous equity offering program under which the Company may sell up to an aggregate of $1.25 billion of its common stock from time to time through a sales agent in "at the market" offerings (the "2025 ATM Program"). The issuance of securities through the 2025 ATM Program will depend on a variety of factors, including market conditions, the trading price of the Company's common stock and determinations of the appropriate sources of funding. The Company may sell the shares in amounts and at times to be determined by the Company, but has no obligation to sell any of the shares in the 2025 ATM Program. The 2025 ATM Program also allows the Company to enter into forward sale agreements. In no event will the aggregate number of shares sold under the 2025 ATM Program (whether under any forward sale agreement or through a sales agent), have an aggregate sales price in excess of $1.25 billion. The Company expects, that if it enters into a forward sale contract, to physically settle each forward sale agreement with the forward purchaser on one or more dates specified by the Company prior to the maturity date of that particular forward sale agreement, in which case the aggregate net cash proceeds at settlement will equal the number of shares underlying the particular forward sale agreement multiplied by the relevant forward sale price. However, the Company may also elect to cash settle or net share settle a particular forward sale agreement, in which case cash proceeds may or may not be received or cash may be owed to the forward purchaser.</w:t>
      </w:r>
    </w:p>
    <w:p>
      <w:pPr>
        <w:spacing w:after="0" w:line="216" w:lineRule="exact"/>
        <w:rPr>
          <w:sz w:val="20"/>
          <w:szCs w:val="20"/>
          <w:color w:val="auto"/>
        </w:rPr>
      </w:pPr>
    </w:p>
    <w:p>
      <w:pPr>
        <w:jc w:val="both"/>
        <w:ind w:firstLine="619"/>
        <w:spacing w:after="0" w:line="254" w:lineRule="auto"/>
        <w:rPr>
          <w:sz w:val="20"/>
          <w:szCs w:val="20"/>
          <w:color w:val="auto"/>
        </w:rPr>
      </w:pPr>
      <w:r>
        <w:rPr>
          <w:rFonts w:ascii="Times New Roman" w:cs="Times New Roman" w:eastAsia="Times New Roman" w:hAnsi="Times New Roman"/>
          <w:sz w:val="17"/>
          <w:szCs w:val="17"/>
          <w:color w:val="auto"/>
        </w:rPr>
        <w:t>In connection with the 2025 ATM Program, the Company would engage a sales agent who may receive compensation of up to 2% of the gross sales price of the shares sold. Similarly, in the event the Company enters into a forward sale agreement, it will pay the relevant forward seller a commission of up to 2% of the sales price of all borrowed shares of common stock sold during the applicable selling period of the forward sale agreement.</w:t>
      </w:r>
    </w:p>
    <w:p>
      <w:pPr>
        <w:spacing w:after="0" w:line="204" w:lineRule="exact"/>
        <w:rPr>
          <w:sz w:val="20"/>
          <w:szCs w:val="20"/>
          <w:color w:val="auto"/>
        </w:rPr>
      </w:pPr>
    </w:p>
    <w:p>
      <w:pPr>
        <w:jc w:val="both"/>
        <w:ind w:firstLine="619"/>
        <w:spacing w:after="0" w:line="247" w:lineRule="auto"/>
        <w:rPr>
          <w:sz w:val="20"/>
          <w:szCs w:val="20"/>
          <w:color w:val="auto"/>
        </w:rPr>
      </w:pPr>
      <w:r>
        <w:rPr>
          <w:rFonts w:ascii="Times New Roman" w:cs="Times New Roman" w:eastAsia="Times New Roman" w:hAnsi="Times New Roman"/>
          <w:sz w:val="17"/>
          <w:szCs w:val="17"/>
          <w:color w:val="auto"/>
        </w:rPr>
        <w:t>The Company has sold 7,589,487 shares of common stock under forward sale agreements, that will raise gross proceeds of $363.3 million subject to certain contractual adjustments. No amounts are recorded on the Company's balance sheet until the forward is settled (which contractually matures in the third quarter of 2026 but may be settled prior to this time period at the Company's election). Until settlement of the forward sale agreements, earnings per share dilution resulting from the forward sale agreements will be determined under the treasury stock method. Share dilution occurs when the average market price of the Company's common stock is higher than the average forward sales price (which is reduced by the maximum specified fixed amounts in the contracts). Reflecting the impact of these forward sale agreements, the Company has $886.7 million remaining for issuance under the 2025 ATM Program.</w:t>
      </w:r>
    </w:p>
    <w:p>
      <w:pPr>
        <w:spacing w:after="0" w:line="211" w:lineRule="exact"/>
        <w:rPr>
          <w:sz w:val="20"/>
          <w:szCs w:val="20"/>
          <w:color w:val="auto"/>
        </w:rPr>
      </w:pPr>
    </w:p>
    <w:p>
      <w:pPr>
        <w:jc w:val="both"/>
        <w:ind w:firstLine="619"/>
        <w:spacing w:after="0" w:line="249" w:lineRule="auto"/>
        <w:rPr>
          <w:sz w:val="20"/>
          <w:szCs w:val="20"/>
          <w:color w:val="auto"/>
        </w:rPr>
      </w:pPr>
      <w:r>
        <w:rPr>
          <w:rFonts w:ascii="Times New Roman" w:cs="Times New Roman" w:eastAsia="Times New Roman" w:hAnsi="Times New Roman"/>
          <w:sz w:val="17"/>
          <w:szCs w:val="17"/>
          <w:color w:val="auto"/>
        </w:rPr>
        <w:t>The forward sale agreements require the Company to, at its election prior to one year from the commencement of each forward sale agreement, physically settle the transactions by issuing shares of its common stock to the forward counterparty in exchange for net proceeds at the then applicable forward sale price specified by the forward sale agreements. The forward sale</w:t>
      </w:r>
    </w:p>
    <w:p>
      <w:pPr>
        <w:spacing w:after="0" w:line="1" w:lineRule="exact"/>
        <w:rPr>
          <w:sz w:val="20"/>
          <w:szCs w:val="20"/>
          <w:color w:val="auto"/>
        </w:rPr>
      </w:pPr>
    </w:p>
    <w:p>
      <w:pPr>
        <w:ind w:right="2580"/>
        <w:spacing w:after="0" w:line="250" w:lineRule="auto"/>
        <w:rPr>
          <w:sz w:val="20"/>
          <w:szCs w:val="20"/>
          <w:color w:val="auto"/>
        </w:rPr>
      </w:pPr>
      <w:r>
        <w:rPr>
          <w:rFonts w:ascii="Times New Roman" w:cs="Times New Roman" w:eastAsia="Times New Roman" w:hAnsi="Times New Roman"/>
          <w:sz w:val="17"/>
          <w:szCs w:val="17"/>
          <w:color w:val="auto"/>
        </w:rPr>
        <w:t>price is subject to adjustment on a daily basis based on a floating interest rate factor and will decrease by other specified fixed amounts.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Non-controlling interests</w:t>
      </w:r>
    </w:p>
    <w:p>
      <w:pPr>
        <w:spacing w:after="0" w:line="247" w:lineRule="exact"/>
        <w:rPr>
          <w:sz w:val="20"/>
          <w:szCs w:val="20"/>
          <w:color w:val="auto"/>
        </w:rPr>
      </w:pPr>
    </w:p>
    <w:p>
      <w:pPr>
        <w:jc w:val="both"/>
        <w:ind w:firstLine="619"/>
        <w:spacing w:after="0" w:line="244" w:lineRule="auto"/>
        <w:rPr>
          <w:sz w:val="20"/>
          <w:szCs w:val="20"/>
          <w:color w:val="auto"/>
        </w:rPr>
      </w:pPr>
      <w:r>
        <w:rPr>
          <w:rFonts w:ascii="Times New Roman" w:cs="Times New Roman" w:eastAsia="Times New Roman" w:hAnsi="Times New Roman"/>
          <w:sz w:val="17"/>
          <w:szCs w:val="17"/>
          <w:color w:val="auto"/>
        </w:rPr>
        <w:t>As partial consideration for the closing of various real property assets over the past few years, the Company's operating partnership has issued OP Units. The OP Units are exchangeable for common shares of the Company on a one-for-one basis, subject to certain terms and conditions. As partial consideration for the closing of the real property assets under the Bally's Master Lease II that occurred on February 11, 2026, the Company's operating partnership issued 332,890 newly-issued OP Units to affiliates of Bally's which were valued at $15.4 million. As of March 31, 2026, the Company holds a 96.8% controlling financial interest in the operating partnership. The operating partnership is a VIE in which the Company is the primary beneficiary because it has the power to direct the activities of the VIE that most significantly impact the partnership's economic performance and has the obligation to absorb losses of the VIE that could be potentially significant to the VIE and the right to receive benefits from the VIE that could potentially be significant to the VIE. Therefore, the Company consolidates the accounts of the operating partnership, and reflects the third party ownership in this entity as a non-controlling interest in the Condensed Consolidated Balance Sheets. The Company paid $6.9 million and $6.3 million in distributions to the non-controlling interest holders concurrently with the dividends paid to the Company's common shareholders, during the three month periods ended March 31, 2026 and March 31, 2025, respectively.</w:t>
      </w:r>
    </w:p>
    <w:p>
      <w:pPr>
        <w:spacing w:after="0" w:line="217" w:lineRule="exact"/>
        <w:rPr>
          <w:sz w:val="20"/>
          <w:szCs w:val="20"/>
          <w:color w:val="auto"/>
        </w:rPr>
      </w:pPr>
    </w:p>
    <w:p>
      <w:pPr>
        <w:jc w:val="both"/>
        <w:ind w:firstLine="619"/>
        <w:spacing w:after="0" w:line="254" w:lineRule="auto"/>
        <w:rPr>
          <w:sz w:val="20"/>
          <w:szCs w:val="20"/>
          <w:color w:val="auto"/>
        </w:rPr>
      </w:pPr>
      <w:r>
        <w:rPr>
          <w:rFonts w:ascii="Times New Roman" w:cs="Times New Roman" w:eastAsia="Times New Roman" w:hAnsi="Times New Roman"/>
          <w:sz w:val="17"/>
          <w:szCs w:val="17"/>
          <w:color w:val="auto"/>
        </w:rPr>
        <w:t>The Company’s net income or loss is allocated to noncontrolling interests based on the respective ownership or voting percentage in the Operating Partnership associated with such noncontrolling interests and is removed from consolidated income or loss on the Condensed Consolidated Statements of Operations in order to derive net income or loss attributable to common stockholders. The noncontrolling ownership percentage is calculated by dividing the aggregate number of LTIP Units and OP Units by the total number of units and shares outstanding.</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7"/>
          <w:szCs w:val="17"/>
          <w:b w:val="1"/>
          <w:bCs w:val="1"/>
          <w:color w:val="auto"/>
        </w:rPr>
        <w:t>Accumulated Other Comprehensive Income (Loss)</w:t>
      </w:r>
    </w:p>
    <w:p>
      <w:pPr>
        <w:spacing w:after="0" w:line="234" w:lineRule="exact"/>
        <w:rPr>
          <w:sz w:val="20"/>
          <w:szCs w:val="20"/>
          <w:color w:val="auto"/>
        </w:rPr>
      </w:pPr>
    </w:p>
    <w:p>
      <w:pPr>
        <w:ind w:right="160" w:firstLine="619"/>
        <w:spacing w:after="0" w:line="264" w:lineRule="auto"/>
        <w:rPr>
          <w:sz w:val="20"/>
          <w:szCs w:val="20"/>
          <w:color w:val="auto"/>
        </w:rPr>
      </w:pPr>
      <w:r>
        <w:rPr>
          <w:rFonts w:ascii="Times New Roman" w:cs="Times New Roman" w:eastAsia="Times New Roman" w:hAnsi="Times New Roman"/>
          <w:sz w:val="17"/>
          <w:szCs w:val="17"/>
          <w:color w:val="auto"/>
        </w:rPr>
        <w:t>As discussed in Note 2 in the Company's 10-K, the Company had derivative instruments designated as cash flow hedges which it terminated in connection with the August 2025 issuance of Senior Notes. The amount in other comprehensive income before reclassifications is being amortized as a reduction in interest expense over ten years, which was the life of the derivative instruments. The amount expected to be amortized out of other comprehensive income to interest expense over the next 12 months is $0.1 million.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Dividends</w:t>
      </w:r>
    </w:p>
    <w:p>
      <w:pPr>
        <w:spacing w:after="0" w:line="24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lists the dividends declared and paid by the Company during the three months ended March 31, 2026 and 2025:</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1680" w:type="dxa"/>
            <w:vAlign w:val="bottom"/>
            <w:gridSpan w:val="3"/>
            <w:vMerge w:val="restart"/>
          </w:tcPr>
          <w:p>
            <w:pPr>
              <w:ind w:left="220"/>
              <w:spacing w:after="0"/>
              <w:rPr>
                <w:sz w:val="20"/>
                <w:szCs w:val="20"/>
                <w:color w:val="auto"/>
              </w:rPr>
            </w:pPr>
            <w:r>
              <w:rPr>
                <w:rFonts w:ascii="Times New Roman" w:cs="Times New Roman" w:eastAsia="Times New Roman" w:hAnsi="Times New Roman"/>
                <w:sz w:val="15"/>
                <w:szCs w:val="15"/>
                <w:b w:val="1"/>
                <w:bCs w:val="1"/>
                <w:color w:val="auto"/>
              </w:rPr>
              <w:t>Declaration Date</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Shareholder Record</w:t>
            </w:r>
          </w:p>
        </w:tc>
        <w:tc>
          <w:tcPr>
            <w:tcW w:w="15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Securities Class</w:t>
            </w: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Dividend Per</w:t>
            </w:r>
          </w:p>
        </w:tc>
        <w:tc>
          <w:tcPr>
            <w:tcW w:w="1920" w:type="dxa"/>
            <w:vAlign w:val="bottom"/>
            <w:gridSpan w:val="2"/>
            <w:vMerge w:val="restart"/>
          </w:tcPr>
          <w:p>
            <w:pPr>
              <w:ind w:left="400"/>
              <w:spacing w:after="0"/>
              <w:rPr>
                <w:sz w:val="20"/>
                <w:szCs w:val="20"/>
                <w:color w:val="auto"/>
              </w:rPr>
            </w:pPr>
            <w:r>
              <w:rPr>
                <w:rFonts w:ascii="Times New Roman" w:cs="Times New Roman" w:eastAsia="Times New Roman" w:hAnsi="Times New Roman"/>
                <w:sz w:val="15"/>
                <w:szCs w:val="15"/>
                <w:b w:val="1"/>
                <w:bCs w:val="1"/>
                <w:color w:val="auto"/>
              </w:rPr>
              <w:t>Period Covered</w:t>
            </w:r>
          </w:p>
        </w:tc>
        <w:tc>
          <w:tcPr>
            <w:tcW w:w="16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5"/>
                <w:szCs w:val="15"/>
                <w:b w:val="1"/>
                <w:bCs w:val="1"/>
                <w:color w:val="auto"/>
              </w:rPr>
              <w:t>Distribution Date</w:t>
            </w:r>
          </w:p>
        </w:tc>
        <w:tc>
          <w:tcPr>
            <w:tcW w:w="1360" w:type="dxa"/>
            <w:vAlign w:val="bottom"/>
            <w:vMerge w:val="restart"/>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Dividend Amount</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680" w:type="dxa"/>
            <w:vAlign w:val="bottom"/>
            <w:gridSpan w:val="3"/>
            <w:vMerge w:val="continue"/>
          </w:tcPr>
          <w:p>
            <w:pPr>
              <w:spacing w:after="0"/>
              <w:rPr>
                <w:sz w:val="17"/>
                <w:szCs w:val="17"/>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w w:val="99"/>
              </w:rPr>
              <w:t>Date</w:t>
            </w:r>
          </w:p>
        </w:tc>
        <w:tc>
          <w:tcPr>
            <w:tcW w:w="1520" w:type="dxa"/>
            <w:vAlign w:val="bottom"/>
            <w:gridSpan w:val="2"/>
            <w:vMerge w:val="continue"/>
          </w:tcPr>
          <w:p>
            <w:pPr>
              <w:spacing w:after="0"/>
              <w:rPr>
                <w:sz w:val="17"/>
                <w:szCs w:val="17"/>
                <w:color w:val="auto"/>
              </w:rPr>
            </w:pPr>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Share</w:t>
            </w:r>
          </w:p>
        </w:tc>
        <w:tc>
          <w:tcPr>
            <w:tcW w:w="1920" w:type="dxa"/>
            <w:vAlign w:val="bottom"/>
            <w:gridSpan w:val="2"/>
            <w:vMerge w:val="continue"/>
          </w:tcPr>
          <w:p>
            <w:pPr>
              <w:spacing w:after="0"/>
              <w:rPr>
                <w:sz w:val="17"/>
                <w:szCs w:val="17"/>
                <w:color w:val="auto"/>
              </w:rPr>
            </w:pPr>
          </w:p>
        </w:tc>
        <w:tc>
          <w:tcPr>
            <w:tcW w:w="1680" w:type="dxa"/>
            <w:vAlign w:val="bottom"/>
            <w:gridSpan w:val="2"/>
            <w:vMerge w:val="continue"/>
          </w:tcPr>
          <w:p>
            <w:pPr>
              <w:spacing w:after="0"/>
              <w:rPr>
                <w:sz w:val="17"/>
                <w:szCs w:val="17"/>
                <w:color w:val="auto"/>
              </w:rPr>
            </w:pPr>
          </w:p>
        </w:tc>
        <w:tc>
          <w:tcPr>
            <w:tcW w:w="13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Borders>
              <w:top w:val="single" w:sz="8" w:color="auto"/>
            </w:tcBorders>
          </w:tcPr>
          <w:p>
            <w:pPr>
              <w:jc w:val="right"/>
              <w:ind w:right="143"/>
              <w:spacing w:after="0"/>
              <w:rPr>
                <w:sz w:val="20"/>
                <w:szCs w:val="20"/>
                <w:color w:val="auto"/>
              </w:rPr>
            </w:pPr>
            <w:r>
              <w:rPr>
                <w:rFonts w:ascii="Times New Roman" w:cs="Times New Roman" w:eastAsia="Times New Roman" w:hAnsi="Times New Roman"/>
                <w:sz w:val="15"/>
                <w:szCs w:val="15"/>
                <w:b w:val="1"/>
                <w:bCs w:val="1"/>
                <w:color w:val="auto"/>
              </w:rPr>
              <w:t>(in thousands)</w:t>
            </w:r>
          </w:p>
        </w:tc>
        <w:tc>
          <w:tcPr>
            <w:tcW w:w="0" w:type="dxa"/>
            <w:vAlign w:val="bottom"/>
          </w:tcPr>
          <w:p>
            <w:pPr>
              <w:spacing w:after="0"/>
              <w:rPr>
                <w:sz w:val="1"/>
                <w:szCs w:val="1"/>
                <w:color w:val="auto"/>
              </w:rPr>
            </w:pPr>
          </w:p>
        </w:tc>
      </w:tr>
      <w:tr>
        <w:trPr>
          <w:trHeight w:val="187"/>
        </w:trPr>
        <w:tc>
          <w:tcPr>
            <w:tcW w:w="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line="169" w:lineRule="exact"/>
              <w:rPr>
                <w:sz w:val="20"/>
                <w:szCs w:val="20"/>
                <w:color w:val="auto"/>
              </w:rPr>
            </w:pPr>
            <w:r>
              <w:rPr>
                <w:rFonts w:ascii="Times New Roman" w:cs="Times New Roman" w:eastAsia="Times New Roman" w:hAnsi="Times New Roman"/>
                <w:sz w:val="15"/>
                <w:szCs w:val="15"/>
                <w:b w:val="1"/>
                <w:bCs w:val="1"/>
                <w:color w:val="auto"/>
                <w:w w:val="93"/>
              </w:rPr>
              <w:t>2026</w:t>
            </w:r>
          </w:p>
        </w:tc>
        <w:tc>
          <w:tcPr>
            <w:tcW w:w="12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8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5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700" w:type="dxa"/>
            <w:vAlign w:val="bottom"/>
            <w:gridSpan w:val="4"/>
          </w:tcPr>
          <w:p>
            <w:pPr>
              <w:ind w:left="20"/>
              <w:spacing w:after="0"/>
              <w:rPr>
                <w:sz w:val="20"/>
                <w:szCs w:val="20"/>
                <w:color w:val="auto"/>
              </w:rPr>
            </w:pPr>
            <w:r>
              <w:rPr>
                <w:rFonts w:ascii="Times New Roman" w:cs="Times New Roman" w:eastAsia="Times New Roman" w:hAnsi="Times New Roman"/>
                <w:sz w:val="15"/>
                <w:szCs w:val="15"/>
                <w:color w:val="auto"/>
              </w:rPr>
              <w:t>February 18, 2026</w:t>
            </w:r>
          </w:p>
        </w:tc>
        <w:tc>
          <w:tcPr>
            <w:tcW w:w="15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March 13, 2026</w:t>
            </w: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color w:val="auto"/>
              </w:rPr>
              <w:t>Common Stock</w:t>
            </w: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$0.78</w:t>
            </w:r>
          </w:p>
        </w:tc>
        <w:tc>
          <w:tcPr>
            <w:tcW w:w="100" w:type="dxa"/>
            <w:vAlign w:val="bottom"/>
          </w:tcPr>
          <w:p>
            <w:pPr>
              <w:spacing w:after="0"/>
              <w:rPr>
                <w:sz w:val="17"/>
                <w:szCs w:val="17"/>
                <w:color w:val="auto"/>
              </w:rPr>
            </w:pPr>
          </w:p>
        </w:tc>
        <w:tc>
          <w:tcPr>
            <w:tcW w:w="19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First Quarter 2026</w:t>
            </w:r>
          </w:p>
        </w:tc>
        <w:tc>
          <w:tcPr>
            <w:tcW w:w="16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March 27, 2026</w:t>
            </w: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$220,913</w:t>
            </w:r>
          </w:p>
        </w:tc>
        <w:tc>
          <w:tcPr>
            <w:tcW w:w="0" w:type="dxa"/>
            <w:vAlign w:val="bottom"/>
          </w:tcPr>
          <w:p>
            <w:pPr>
              <w:spacing w:after="0"/>
              <w:rPr>
                <w:sz w:val="1"/>
                <w:szCs w:val="1"/>
                <w:color w:val="auto"/>
              </w:rPr>
            </w:pPr>
          </w:p>
        </w:tc>
      </w:tr>
      <w:tr>
        <w:trPr>
          <w:trHeight w:val="248"/>
        </w:trPr>
        <w:tc>
          <w:tcPr>
            <w:tcW w:w="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300" w:type="dxa"/>
            <w:vAlign w:val="bottom"/>
            <w:tcBorders>
              <w:bottom w:val="single" w:sz="8" w:color="auto"/>
            </w:tcBorders>
          </w:tcPr>
          <w:p>
            <w:pPr>
              <w:spacing w:after="0" w:line="168" w:lineRule="exact"/>
              <w:rPr>
                <w:sz w:val="20"/>
                <w:szCs w:val="20"/>
                <w:color w:val="auto"/>
              </w:rPr>
            </w:pPr>
            <w:r>
              <w:rPr>
                <w:rFonts w:ascii="Times New Roman" w:cs="Times New Roman" w:eastAsia="Times New Roman" w:hAnsi="Times New Roman"/>
                <w:sz w:val="15"/>
                <w:szCs w:val="15"/>
                <w:b w:val="1"/>
                <w:bCs w:val="1"/>
                <w:color w:val="auto"/>
                <w:w w:val="93"/>
              </w:rPr>
              <w:t>2025</w:t>
            </w: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7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February 13, 2025</w:t>
            </w:r>
          </w:p>
        </w:tc>
        <w:tc>
          <w:tcPr>
            <w:tcW w:w="1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March 14, 2025</w:t>
            </w:r>
          </w:p>
        </w:tc>
        <w:tc>
          <w:tcPr>
            <w:tcW w:w="15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5"/>
                <w:szCs w:val="15"/>
                <w:color w:val="auto"/>
              </w:rPr>
              <w:t>Common Stock</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$0.76</w:t>
            </w:r>
          </w:p>
        </w:tc>
        <w:tc>
          <w:tcPr>
            <w:tcW w:w="10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First Quarter 2025</w:t>
            </w:r>
          </w:p>
        </w:tc>
        <w:tc>
          <w:tcPr>
            <w:tcW w:w="1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March 28, 2025</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$208,873</w:t>
            </w: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In addition, for the three months ended March 31, 2026 and March 31, 2025, dividend payments were made to GLPI restricted stock award holders in the amount of $0.2 million and $0.2 million, respectively.</w:t>
      </w:r>
    </w:p>
    <w:p>
      <w:pPr>
        <w:spacing w:after="0" w:line="173"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7"/>
          <w:szCs w:val="17"/>
          <w:b w:val="1"/>
          <w:bCs w:val="1"/>
          <w:color w:val="auto"/>
        </w:rPr>
        <w:t>13.</w:t>
        <w:tab/>
        <w:t>Stock-Based Compensation</w:t>
      </w:r>
    </w:p>
    <w:p>
      <w:pPr>
        <w:spacing w:after="0" w:line="217" w:lineRule="exact"/>
        <w:rPr>
          <w:sz w:val="20"/>
          <w:szCs w:val="20"/>
          <w:color w:val="auto"/>
        </w:rPr>
      </w:pPr>
    </w:p>
    <w:p>
      <w:pPr>
        <w:jc w:val="both"/>
        <w:ind w:firstLine="619"/>
        <w:spacing w:after="0" w:line="262" w:lineRule="auto"/>
        <w:rPr>
          <w:sz w:val="20"/>
          <w:szCs w:val="20"/>
          <w:color w:val="auto"/>
        </w:rPr>
      </w:pPr>
      <w:r>
        <w:rPr>
          <w:rFonts w:ascii="Times New Roman" w:cs="Times New Roman" w:eastAsia="Times New Roman" w:hAnsi="Times New Roman"/>
          <w:sz w:val="17"/>
          <w:szCs w:val="17"/>
          <w:color w:val="auto"/>
        </w:rPr>
        <w:t xml:space="preserve">The Company accounts for stock compensation under ASC 718 - </w:t>
      </w:r>
      <w:r>
        <w:rPr>
          <w:rFonts w:ascii="Times New Roman" w:cs="Times New Roman" w:eastAsia="Times New Roman" w:hAnsi="Times New Roman"/>
          <w:sz w:val="17"/>
          <w:szCs w:val="17"/>
          <w:i w:val="1"/>
          <w:iCs w:val="1"/>
          <w:color w:val="auto"/>
        </w:rPr>
        <w:t>Compensation - Stock Compensation,</w:t>
      </w:r>
      <w:r>
        <w:rPr>
          <w:rFonts w:ascii="Times New Roman" w:cs="Times New Roman" w:eastAsia="Times New Roman" w:hAnsi="Times New Roman"/>
          <w:sz w:val="17"/>
          <w:szCs w:val="17"/>
          <w:color w:val="auto"/>
        </w:rPr>
        <w:t xml:space="preserve"> which requires the Company to expense the cost of employee services received in exchange for an award of equity instruments based on the grant-date fair value of the award. This expense is recognized ratably over the requisite service period following the date of grant. The fair value of the Company's time-based restricted stock and time-based LTIP awards are equivalent to the closing stock price on the day prior to grant. The Company utilizes a third party valuation firm to measure the fair value of performance-based restricted stock awards and performance-based LTIP awards at the grant date using a Monte Carlo simulation model.</w:t>
      </w:r>
    </w:p>
    <w:p>
      <w:pPr>
        <w:spacing w:after="0" w:line="175"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As of March 31, 2026, there was $5.1 million of total unrecognized compensation cost for time based restricted stock awards that will be recognized over the grants' remaining weighted average vesting period of 1.68 years. For the three months ended March 31, 2026, the Company recognized $2.1 million of compensation expense associated with these awards, compared to $2.2 million for the three months ended March 31, 2025, within general and administrative expenses on the Company's Condensed Consolidated Statements of Operations and Comprehensive Income.</w:t>
      </w:r>
    </w:p>
    <w:p>
      <w:pPr>
        <w:spacing w:after="0" w:line="19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contains information on time based restricted stock award activity for the three months ended March 31, 2026:</w:t>
      </w:r>
    </w:p>
    <w:p>
      <w:pPr>
        <w:spacing w:after="0" w:line="22" w:lineRule="exact"/>
        <w:rPr>
          <w:sz w:val="20"/>
          <w:szCs w:val="20"/>
          <w:color w:val="auto"/>
        </w:rPr>
      </w:pPr>
    </w:p>
    <w:tbl>
      <w:tblPr>
        <w:tblLayout w:type="fixed"/>
        <w:tblInd w:w="2380" w:type="dxa"/>
        <w:tblCellMar>
          <w:top w:w="0" w:type="dxa"/>
          <w:left w:w="0" w:type="dxa"/>
          <w:bottom w:w="0" w:type="dxa"/>
          <w:right w:w="0" w:type="dxa"/>
        </w:tblCellMar>
      </w:tblPr>
      <w:tr>
        <w:trPr>
          <w:trHeight w:val="161"/>
        </w:trPr>
        <w:tc>
          <w:tcPr>
            <w:tcW w:w="4640" w:type="dxa"/>
            <w:vAlign w:val="bottom"/>
          </w:tcPr>
          <w:p>
            <w:pPr>
              <w:spacing w:after="0"/>
              <w:rPr>
                <w:sz w:val="13"/>
                <w:szCs w:val="13"/>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Number of Award</w:t>
            </w:r>
          </w:p>
        </w:tc>
      </w:tr>
      <w:tr>
        <w:trPr>
          <w:trHeight w:val="187"/>
        </w:trPr>
        <w:tc>
          <w:tcPr>
            <w:tcW w:w="4640" w:type="dxa"/>
            <w:vAlign w:val="bottom"/>
            <w:tcBorders>
              <w:bottom w:val="single" w:sz="8" w:color="CCEEFF"/>
            </w:tcBorders>
          </w:tcPr>
          <w:p>
            <w:pPr>
              <w:spacing w:after="0"/>
              <w:rPr>
                <w:sz w:val="16"/>
                <w:szCs w:val="16"/>
                <w:color w:val="auto"/>
              </w:rPr>
            </w:pPr>
          </w:p>
        </w:tc>
        <w:tc>
          <w:tcPr>
            <w:tcW w:w="1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Shares</w:t>
            </w:r>
          </w:p>
        </w:tc>
      </w:tr>
      <w:tr>
        <w:trPr>
          <w:trHeight w:val="217"/>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Outstanding at December 31, 2025</w:t>
            </w:r>
          </w:p>
        </w:tc>
        <w:tc>
          <w:tcPr>
            <w:tcW w:w="1860" w:type="dxa"/>
            <w:vAlign w:val="bottom"/>
            <w:shd w:val="clear" w:color="auto" w:fill="CCEEFF"/>
          </w:tcPr>
          <w:p>
            <w:pPr>
              <w:jc w:val="center"/>
              <w:ind w:left="1060"/>
              <w:spacing w:after="0"/>
              <w:rPr>
                <w:sz w:val="20"/>
                <w:szCs w:val="20"/>
                <w:color w:val="auto"/>
              </w:rPr>
            </w:pPr>
            <w:r>
              <w:rPr>
                <w:rFonts w:ascii="Times New Roman" w:cs="Times New Roman" w:eastAsia="Times New Roman" w:hAnsi="Times New Roman"/>
                <w:sz w:val="17"/>
                <w:szCs w:val="17"/>
                <w:color w:val="auto"/>
              </w:rPr>
              <w:t>217,234</w:t>
            </w:r>
          </w:p>
        </w:tc>
      </w:tr>
      <w:tr>
        <w:trPr>
          <w:trHeight w:val="219"/>
        </w:trPr>
        <w:tc>
          <w:tcPr>
            <w:tcW w:w="4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Granted</w:t>
            </w:r>
          </w:p>
        </w:tc>
        <w:tc>
          <w:tcPr>
            <w:tcW w:w="1860" w:type="dxa"/>
            <w:vAlign w:val="bottom"/>
          </w:tcPr>
          <w:p>
            <w:pPr>
              <w:jc w:val="center"/>
              <w:ind w:left="1060"/>
              <w:spacing w:after="0"/>
              <w:rPr>
                <w:sz w:val="20"/>
                <w:szCs w:val="20"/>
                <w:color w:val="auto"/>
              </w:rPr>
            </w:pPr>
            <w:r>
              <w:rPr>
                <w:rFonts w:ascii="Times New Roman" w:cs="Times New Roman" w:eastAsia="Times New Roman" w:hAnsi="Times New Roman"/>
                <w:sz w:val="17"/>
                <w:szCs w:val="17"/>
                <w:color w:val="auto"/>
              </w:rPr>
              <w:t>126,946</w:t>
            </w:r>
          </w:p>
        </w:tc>
      </w:tr>
      <w:tr>
        <w:trPr>
          <w:trHeight w:val="219"/>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Released</w:t>
            </w:r>
          </w:p>
        </w:tc>
        <w:tc>
          <w:tcPr>
            <w:tcW w:w="1860" w:type="dxa"/>
            <w:vAlign w:val="bottom"/>
            <w:tcBorders>
              <w:bottom w:val="single" w:sz="8" w:color="auto"/>
            </w:tcBorders>
            <w:shd w:val="clear" w:color="auto" w:fill="CCEEFF"/>
          </w:tcPr>
          <w:p>
            <w:pPr>
              <w:jc w:val="center"/>
              <w:ind w:left="1040"/>
              <w:spacing w:after="0"/>
              <w:rPr>
                <w:sz w:val="20"/>
                <w:szCs w:val="20"/>
                <w:color w:val="auto"/>
              </w:rPr>
            </w:pPr>
            <w:r>
              <w:rPr>
                <w:rFonts w:ascii="Times New Roman" w:cs="Times New Roman" w:eastAsia="Times New Roman" w:hAnsi="Times New Roman"/>
                <w:sz w:val="17"/>
                <w:szCs w:val="17"/>
                <w:color w:val="auto"/>
                <w:w w:val="99"/>
              </w:rPr>
              <w:t>(145,195)</w:t>
            </w:r>
          </w:p>
        </w:tc>
      </w:tr>
      <w:tr>
        <w:trPr>
          <w:trHeight w:val="212"/>
        </w:trPr>
        <w:tc>
          <w:tcPr>
            <w:tcW w:w="4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Outstanding at March 31, 2026</w:t>
            </w:r>
          </w:p>
        </w:tc>
        <w:tc>
          <w:tcPr>
            <w:tcW w:w="1860" w:type="dxa"/>
            <w:vAlign w:val="bottom"/>
            <w:tcBorders>
              <w:bottom w:val="single" w:sz="8" w:color="auto"/>
            </w:tcBorders>
          </w:tcPr>
          <w:p>
            <w:pPr>
              <w:jc w:val="center"/>
              <w:ind w:left="1060"/>
              <w:spacing w:after="0"/>
              <w:rPr>
                <w:sz w:val="20"/>
                <w:szCs w:val="20"/>
                <w:color w:val="auto"/>
              </w:rPr>
            </w:pPr>
            <w:r>
              <w:rPr>
                <w:rFonts w:ascii="Times New Roman" w:cs="Times New Roman" w:eastAsia="Times New Roman" w:hAnsi="Times New Roman"/>
                <w:sz w:val="17"/>
                <w:szCs w:val="17"/>
                <w:color w:val="auto"/>
              </w:rPr>
              <w:t>198,985</w:t>
            </w:r>
          </w:p>
        </w:tc>
      </w:tr>
      <w:tr>
        <w:trPr>
          <w:trHeight w:val="20"/>
        </w:trPr>
        <w:tc>
          <w:tcPr>
            <w:tcW w:w="464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Performance-based restricted stock awards have a three-year cliff vesting with the amount of restricted shares vesting at the end of the three-year period determined based upon the Company’s performance as measured against its peers. More specifically, the percentage of shares vesting at the end of the measurement period will be based on the Company’s three-year total shareholder return measured against the three-year total shareholder return of the companies included in the MSCI US REIT index and the Company's stock performance ranking among a group of triple-net REIT peer companies. As of March 31, 2026, there was $10.6 million of total unrecognized compensation cost, which will be recognized over the performance-based restricted stock awards' remaining weighted average vesting period of 1.74 years. For the three months ended March 31, 2026,</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sectPr>
      </w:pPr>
    </w:p>
    <w:bookmarkStart w:id="29" w:name="page30"/>
    <w:bookmarkEnd w:id="29"/>
    <w:p>
      <w:pPr>
        <w:jc w:val="both"/>
        <w:spacing w:after="0" w:line="287" w:lineRule="auto"/>
        <w:rPr>
          <w:sz w:val="20"/>
          <w:szCs w:val="20"/>
          <w:color w:val="auto"/>
        </w:rPr>
      </w:pPr>
      <w:r>
        <w:rPr>
          <w:rFonts w:ascii="Times New Roman" w:cs="Times New Roman" w:eastAsia="Times New Roman" w:hAnsi="Times New Roman"/>
          <w:sz w:val="17"/>
          <w:szCs w:val="17"/>
          <w:color w:val="auto"/>
        </w:rPr>
        <w:t>the Company recognized $2.0 million of compensation expense associated with these awards within general and administrative expenses on the Company's Condensed Consolidated Statements of Operations and Comprehensive Income compared to $3.1 million for the corresponding periods in the prior year.</w:t>
      </w:r>
    </w:p>
    <w:p>
      <w:pPr>
        <w:spacing w:after="0" w:line="17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contains information on performance-based restricted stock award activity for the three months ended March 31, 2026:</w:t>
      </w:r>
    </w:p>
    <w:p>
      <w:pPr>
        <w:spacing w:after="0" w:line="200" w:lineRule="exact"/>
        <w:rPr>
          <w:sz w:val="20"/>
          <w:szCs w:val="20"/>
          <w:color w:val="auto"/>
        </w:rPr>
      </w:pPr>
    </w:p>
    <w:p>
      <w:pPr>
        <w:spacing w:after="0" w:line="286" w:lineRule="exact"/>
        <w:rPr>
          <w:sz w:val="20"/>
          <w:szCs w:val="20"/>
          <w:color w:val="auto"/>
        </w:rPr>
      </w:pPr>
    </w:p>
    <w:tbl>
      <w:tblPr>
        <w:tblLayout w:type="fixed"/>
        <w:tblInd w:w="2100" w:type="dxa"/>
        <w:tblCellMar>
          <w:top w:w="0" w:type="dxa"/>
          <w:left w:w="0" w:type="dxa"/>
          <w:bottom w:w="0" w:type="dxa"/>
          <w:right w:w="0" w:type="dxa"/>
        </w:tblCellMar>
      </w:tblPr>
      <w:tr>
        <w:trPr>
          <w:trHeight w:val="161"/>
        </w:trPr>
        <w:tc>
          <w:tcPr>
            <w:tcW w:w="4640" w:type="dxa"/>
            <w:vAlign w:val="bottom"/>
          </w:tcPr>
          <w:p>
            <w:pPr>
              <w:spacing w:after="0"/>
              <w:rPr>
                <w:sz w:val="13"/>
                <w:szCs w:val="13"/>
                <w:color w:val="auto"/>
              </w:rPr>
            </w:pPr>
          </w:p>
        </w:tc>
        <w:tc>
          <w:tcPr>
            <w:tcW w:w="24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Number of Performance-Based Award</w:t>
            </w:r>
          </w:p>
        </w:tc>
      </w:tr>
      <w:tr>
        <w:trPr>
          <w:trHeight w:val="187"/>
        </w:trPr>
        <w:tc>
          <w:tcPr>
            <w:tcW w:w="4640" w:type="dxa"/>
            <w:vAlign w:val="bottom"/>
            <w:tcBorders>
              <w:bottom w:val="single" w:sz="8" w:color="CCEEFF"/>
            </w:tcBorders>
          </w:tcPr>
          <w:p>
            <w:pPr>
              <w:spacing w:after="0"/>
              <w:rPr>
                <w:sz w:val="16"/>
                <w:szCs w:val="16"/>
                <w:color w:val="auto"/>
              </w:rPr>
            </w:pPr>
          </w:p>
        </w:tc>
        <w:tc>
          <w:tcPr>
            <w:tcW w:w="2420" w:type="dxa"/>
            <w:vAlign w:val="bottom"/>
            <w:tcBorders>
              <w:bottom w:val="single" w:sz="8" w:color="auto"/>
            </w:tcBorders>
          </w:tcPr>
          <w:p>
            <w:pPr>
              <w:jc w:val="right"/>
              <w:ind w:right="939"/>
              <w:spacing w:after="0"/>
              <w:rPr>
                <w:sz w:val="20"/>
                <w:szCs w:val="20"/>
                <w:color w:val="auto"/>
              </w:rPr>
            </w:pPr>
            <w:r>
              <w:rPr>
                <w:rFonts w:ascii="Times New Roman" w:cs="Times New Roman" w:eastAsia="Times New Roman" w:hAnsi="Times New Roman"/>
                <w:sz w:val="14"/>
                <w:szCs w:val="14"/>
                <w:b w:val="1"/>
                <w:bCs w:val="1"/>
                <w:color w:val="auto"/>
              </w:rPr>
              <w:t>Shares</w:t>
            </w:r>
          </w:p>
        </w:tc>
      </w:tr>
      <w:tr>
        <w:trPr>
          <w:trHeight w:val="217"/>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Outstanding at December 31, 2025</w:t>
            </w: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1,162,000</w:t>
            </w:r>
          </w:p>
        </w:tc>
      </w:tr>
      <w:tr>
        <w:trPr>
          <w:trHeight w:val="219"/>
        </w:trPr>
        <w:tc>
          <w:tcPr>
            <w:tcW w:w="4640" w:type="dxa"/>
            <w:vAlign w:val="bottom"/>
          </w:tcPr>
          <w:p>
            <w:pPr>
              <w:spacing w:after="0"/>
              <w:rPr>
                <w:sz w:val="20"/>
                <w:szCs w:val="20"/>
                <w:color w:val="auto"/>
              </w:rPr>
            </w:pPr>
            <w:r>
              <w:rPr>
                <w:rFonts w:ascii="Times New Roman" w:cs="Times New Roman" w:eastAsia="Times New Roman" w:hAnsi="Times New Roman"/>
                <w:sz w:val="17"/>
                <w:szCs w:val="17"/>
                <w:color w:val="auto"/>
              </w:rPr>
              <w:t>Granted</w:t>
            </w:r>
          </w:p>
        </w:tc>
        <w:tc>
          <w:tcPr>
            <w:tcW w:w="2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141,000</w:t>
            </w:r>
          </w:p>
        </w:tc>
      </w:tr>
      <w:tr>
        <w:trPr>
          <w:trHeight w:val="219"/>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Released</w:t>
            </w: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(179,557)</w:t>
            </w:r>
          </w:p>
        </w:tc>
      </w:tr>
      <w:tr>
        <w:trPr>
          <w:trHeight w:val="219"/>
        </w:trPr>
        <w:tc>
          <w:tcPr>
            <w:tcW w:w="46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Canceled</w:t>
            </w:r>
          </w:p>
        </w:tc>
        <w:tc>
          <w:tcPr>
            <w:tcW w:w="2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(274,443)</w:t>
            </w:r>
          </w:p>
        </w:tc>
      </w:tr>
      <w:tr>
        <w:trPr>
          <w:trHeight w:val="237"/>
        </w:trPr>
        <w:tc>
          <w:tcPr>
            <w:tcW w:w="4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Outstanding at March 31, 2026</w:t>
            </w:r>
          </w:p>
        </w:tc>
        <w:tc>
          <w:tcPr>
            <w:tcW w:w="2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849,000</w:t>
            </w: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242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As of March 31, 2026, there was $2.1 million of total unrecognized compensation cost for time based LTIP awards that will be recognized over the grants' remaining weighted average vesting period of 2.56 years. For the three months ended March 31, 2026 and March 31, 2025, the Company recognized $2.7 million and $2.8 million, respectively, of compensation expense associated with these awards within general and administrative expenses on the Company's Condensed Consolidated Statements of Operations and Comprehensive Income.</w:t>
      </w:r>
    </w:p>
    <w:p>
      <w:pPr>
        <w:spacing w:after="0" w:line="19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contains information on time based LTIP award activity for the three months ended March 31, 2026:</w:t>
      </w:r>
    </w:p>
    <w:p>
      <w:pPr>
        <w:spacing w:after="0" w:line="21" w:lineRule="exact"/>
        <w:rPr>
          <w:sz w:val="20"/>
          <w:szCs w:val="20"/>
          <w:color w:val="auto"/>
        </w:rPr>
      </w:pPr>
    </w:p>
    <w:tbl>
      <w:tblPr>
        <w:tblLayout w:type="fixed"/>
        <w:tblInd w:w="1860" w:type="dxa"/>
        <w:tblCellMar>
          <w:top w:w="0" w:type="dxa"/>
          <w:left w:w="0" w:type="dxa"/>
          <w:bottom w:w="0" w:type="dxa"/>
          <w:right w:w="0" w:type="dxa"/>
        </w:tblCellMar>
      </w:tblPr>
      <w:tr>
        <w:trPr>
          <w:trHeight w:val="161"/>
        </w:trPr>
        <w:tc>
          <w:tcPr>
            <w:tcW w:w="4140" w:type="dxa"/>
            <w:vAlign w:val="bottom"/>
          </w:tcPr>
          <w:p>
            <w:pPr>
              <w:spacing w:after="0"/>
              <w:rPr>
                <w:sz w:val="13"/>
                <w:szCs w:val="13"/>
                <w:color w:val="auto"/>
              </w:rPr>
            </w:pPr>
          </w:p>
        </w:tc>
        <w:tc>
          <w:tcPr>
            <w:tcW w:w="2160" w:type="dxa"/>
            <w:vAlign w:val="bottom"/>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Number of Time-Based LTIP</w:t>
            </w:r>
          </w:p>
        </w:tc>
      </w:tr>
      <w:tr>
        <w:trPr>
          <w:trHeight w:val="188"/>
        </w:trPr>
        <w:tc>
          <w:tcPr>
            <w:tcW w:w="4140" w:type="dxa"/>
            <w:vAlign w:val="bottom"/>
            <w:tcBorders>
              <w:bottom w:val="single" w:sz="8" w:color="CCEEFF"/>
            </w:tcBorders>
          </w:tcPr>
          <w:p>
            <w:pPr>
              <w:spacing w:after="0"/>
              <w:rPr>
                <w:sz w:val="16"/>
                <w:szCs w:val="16"/>
                <w:color w:val="auto"/>
              </w:rPr>
            </w:pPr>
          </w:p>
        </w:tc>
        <w:tc>
          <w:tcPr>
            <w:tcW w:w="2160" w:type="dxa"/>
            <w:vAlign w:val="bottom"/>
            <w:tcBorders>
              <w:bottom w:val="single" w:sz="8" w:color="auto"/>
            </w:tcBorders>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Awards</w:t>
            </w:r>
          </w:p>
        </w:tc>
      </w:tr>
      <w:tr>
        <w:trPr>
          <w:trHeight w:val="218"/>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Outstanding at December 31, 2025</w:t>
            </w: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70,000</w:t>
            </w:r>
          </w:p>
        </w:tc>
      </w:tr>
      <w:tr>
        <w:trPr>
          <w:trHeight w:val="219"/>
        </w:trPr>
        <w:tc>
          <w:tcPr>
            <w:tcW w:w="4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Granted</w:t>
            </w:r>
          </w:p>
        </w:tc>
        <w:tc>
          <w:tcPr>
            <w:tcW w:w="2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96,000</w:t>
            </w:r>
          </w:p>
        </w:tc>
      </w:tr>
      <w:tr>
        <w:trPr>
          <w:trHeight w:val="219"/>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Released</w:t>
            </w:r>
          </w:p>
        </w:tc>
        <w:tc>
          <w:tcPr>
            <w:tcW w:w="2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(23,334)</w:t>
            </w:r>
          </w:p>
        </w:tc>
      </w:tr>
      <w:tr>
        <w:trPr>
          <w:trHeight w:val="212"/>
        </w:trPr>
        <w:tc>
          <w:tcPr>
            <w:tcW w:w="4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Outstanding at March 31, 2026</w:t>
            </w:r>
          </w:p>
        </w:tc>
        <w:tc>
          <w:tcPr>
            <w:tcW w:w="2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142,666</w:t>
            </w:r>
          </w:p>
        </w:tc>
      </w:tr>
      <w:tr>
        <w:trPr>
          <w:trHeight w:val="20"/>
        </w:trPr>
        <w:tc>
          <w:tcPr>
            <w:tcW w:w="414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r>
    </w:tbl>
    <w:p>
      <w:pPr>
        <w:spacing w:after="0" w:line="293"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Performance-based LTIP awards have a three-year cliff vesting schedule with the amount of LTIP awards vesting at the end of the three-year period determined based upon the Company’s performance as measured against its peers. More specifically, the percentage of shares vesting at the end of the measurement period will be based on the Company’s three-year total shareholder return measured against the three-year total shareholder return of the companies included in the MSCI US REIT index and the Company's stock performance ranking among a group of triple-net REIT peer companies. As of March 31, 2026, there was $13.1 million of total unrecognized compensation cost, which will be recognized over the performance-based LTIP awards' remaining weighted average vesting period of 2.42 years. For the three months ended March 31, 2026 and March 31, 2025, the Company recognized $1.4 million and $0.8 million of compensation expense associated with these awards within general and administrative expenses on the Company's Condensed Consolidated Statements of Operations and Comprehensive Income.</w:t>
      </w:r>
    </w:p>
    <w:p>
      <w:pPr>
        <w:spacing w:after="0" w:line="20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contains information on performance-based LTIP award activity for the three months ended March 31, 2026:</w:t>
      </w:r>
    </w:p>
    <w:p>
      <w:pPr>
        <w:spacing w:after="0" w:line="200" w:lineRule="exact"/>
        <w:rPr>
          <w:sz w:val="20"/>
          <w:szCs w:val="20"/>
          <w:color w:val="auto"/>
        </w:rPr>
      </w:pPr>
    </w:p>
    <w:p>
      <w:pPr>
        <w:spacing w:after="0" w:line="286" w:lineRule="exact"/>
        <w:rPr>
          <w:sz w:val="20"/>
          <w:szCs w:val="20"/>
          <w:color w:val="auto"/>
        </w:rPr>
      </w:pPr>
    </w:p>
    <w:tbl>
      <w:tblPr>
        <w:tblLayout w:type="fixed"/>
        <w:tblInd w:w="2100" w:type="dxa"/>
        <w:tblCellMar>
          <w:top w:w="0" w:type="dxa"/>
          <w:left w:w="0" w:type="dxa"/>
          <w:bottom w:w="0" w:type="dxa"/>
          <w:right w:w="0" w:type="dxa"/>
        </w:tblCellMar>
      </w:tblPr>
      <w:tr>
        <w:trPr>
          <w:trHeight w:val="161"/>
        </w:trPr>
        <w:tc>
          <w:tcPr>
            <w:tcW w:w="4640" w:type="dxa"/>
            <w:vAlign w:val="bottom"/>
          </w:tcPr>
          <w:p>
            <w:pPr>
              <w:spacing w:after="0"/>
              <w:rPr>
                <w:sz w:val="13"/>
                <w:szCs w:val="13"/>
                <w:color w:val="auto"/>
              </w:rPr>
            </w:pPr>
          </w:p>
        </w:tc>
        <w:tc>
          <w:tcPr>
            <w:tcW w:w="2420" w:type="dxa"/>
            <w:vAlign w:val="bottom"/>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Number of Performance-Based LTIP</w:t>
            </w:r>
          </w:p>
        </w:tc>
      </w:tr>
      <w:tr>
        <w:trPr>
          <w:trHeight w:val="187"/>
        </w:trPr>
        <w:tc>
          <w:tcPr>
            <w:tcW w:w="4640" w:type="dxa"/>
            <w:vAlign w:val="bottom"/>
            <w:tcBorders>
              <w:bottom w:val="single" w:sz="8" w:color="CCEEFF"/>
            </w:tcBorders>
          </w:tcPr>
          <w:p>
            <w:pPr>
              <w:spacing w:after="0"/>
              <w:rPr>
                <w:sz w:val="16"/>
                <w:szCs w:val="16"/>
                <w:color w:val="auto"/>
              </w:rPr>
            </w:pPr>
          </w:p>
        </w:tc>
        <w:tc>
          <w:tcPr>
            <w:tcW w:w="2420" w:type="dxa"/>
            <w:vAlign w:val="bottom"/>
            <w:tcBorders>
              <w:bottom w:val="single" w:sz="8" w:color="auto"/>
            </w:tcBorders>
          </w:tcPr>
          <w:p>
            <w:pPr>
              <w:jc w:val="right"/>
              <w:ind w:right="901"/>
              <w:spacing w:after="0"/>
              <w:rPr>
                <w:sz w:val="20"/>
                <w:szCs w:val="20"/>
                <w:color w:val="auto"/>
              </w:rPr>
            </w:pPr>
            <w:r>
              <w:rPr>
                <w:rFonts w:ascii="Times New Roman" w:cs="Times New Roman" w:eastAsia="Times New Roman" w:hAnsi="Times New Roman"/>
                <w:sz w:val="14"/>
                <w:szCs w:val="14"/>
                <w:b w:val="1"/>
                <w:bCs w:val="1"/>
                <w:color w:val="auto"/>
              </w:rPr>
              <w:t>Awards</w:t>
            </w:r>
          </w:p>
        </w:tc>
      </w:tr>
      <w:tr>
        <w:trPr>
          <w:trHeight w:val="217"/>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Outstanding at December 31, 2025</w:t>
            </w: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280,000</w:t>
            </w:r>
          </w:p>
        </w:tc>
      </w:tr>
      <w:tr>
        <w:trPr>
          <w:trHeight w:val="219"/>
        </w:trPr>
        <w:tc>
          <w:tcPr>
            <w:tcW w:w="46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Granted</w:t>
            </w:r>
          </w:p>
        </w:tc>
        <w:tc>
          <w:tcPr>
            <w:tcW w:w="2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384,000</w:t>
            </w:r>
          </w:p>
        </w:tc>
      </w:tr>
      <w:tr>
        <w:trPr>
          <w:trHeight w:val="237"/>
        </w:trPr>
        <w:tc>
          <w:tcPr>
            <w:tcW w:w="4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Outstanding at March 31, 2026</w:t>
            </w:r>
          </w:p>
        </w:tc>
        <w:tc>
          <w:tcPr>
            <w:tcW w:w="2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664,000</w:t>
            </w: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24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30" w:name="page31"/>
    <w:bookmarkEnd w:id="30"/>
    <w:p>
      <w:pPr>
        <w:spacing w:after="0"/>
        <w:tabs>
          <w:tab w:leader="none" w:pos="360" w:val="left"/>
        </w:tabs>
        <w:rPr>
          <w:sz w:val="20"/>
          <w:szCs w:val="20"/>
          <w:color w:val="auto"/>
        </w:rPr>
      </w:pPr>
      <w:r>
        <w:rPr>
          <w:rFonts w:ascii="Times New Roman" w:cs="Times New Roman" w:eastAsia="Times New Roman" w:hAnsi="Times New Roman"/>
          <w:sz w:val="17"/>
          <w:szCs w:val="17"/>
          <w:b w:val="1"/>
          <w:bCs w:val="1"/>
          <w:color w:val="auto"/>
        </w:rPr>
        <w:t>14.</w:t>
        <w:tab/>
        <w:t>Supplemental Disclosures of Cash Flow Information and Noncash Activities</w:t>
      </w:r>
    </w:p>
    <w:p>
      <w:pPr>
        <w:spacing w:after="0" w:line="24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Supplemental disclosures of cash flow information are as follows:</w:t>
      </w:r>
    </w:p>
    <w:p>
      <w:pPr>
        <w:spacing w:after="0" w:line="41" w:lineRule="exact"/>
        <w:rPr>
          <w:sz w:val="20"/>
          <w:szCs w:val="20"/>
          <w:color w:val="auto"/>
        </w:rPr>
      </w:pPr>
    </w:p>
    <w:p>
      <w:pPr>
        <w:jc w:val="center"/>
        <w:ind w:left="17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3284855</wp:posOffset>
            </wp:positionH>
            <wp:positionV relativeFrom="paragraph">
              <wp:posOffset>27940</wp:posOffset>
            </wp:positionV>
            <wp:extent cx="168656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686560" cy="8255"/>
                    </a:xfrm>
                    <a:prstGeom prst="rect">
                      <a:avLst/>
                    </a:prstGeom>
                    <a:noFill/>
                  </pic:spPr>
                </pic:pic>
              </a:graphicData>
            </a:graphic>
          </wp:anchor>
        </w:drawing>
      </w:r>
    </w:p>
    <w:p>
      <w:pPr>
        <w:spacing w:after="0" w:line="25" w:lineRule="exact"/>
        <w:rPr>
          <w:sz w:val="20"/>
          <w:szCs w:val="20"/>
          <w:color w:val="auto"/>
        </w:rPr>
      </w:pPr>
    </w:p>
    <w:p>
      <w:pPr>
        <w:ind w:left="5660"/>
        <w:spacing w:after="0"/>
        <w:tabs>
          <w:tab w:leader="none" w:pos="7040" w:val="left"/>
        </w:tabs>
        <w:rPr>
          <w:sz w:val="20"/>
          <w:szCs w:val="20"/>
          <w:color w:val="auto"/>
        </w:rPr>
      </w:pPr>
      <w:r>
        <w:rPr>
          <w:rFonts w:ascii="Times New Roman" w:cs="Times New Roman" w:eastAsia="Times New Roman" w:hAnsi="Times New Roman"/>
          <w:sz w:val="14"/>
          <w:szCs w:val="14"/>
          <w:b w:val="1"/>
          <w:bCs w:val="1"/>
          <w:color w:val="auto"/>
        </w:rPr>
        <w:t>2026</w:t>
      </w:r>
      <w:r>
        <w:rPr>
          <w:sz w:val="20"/>
          <w:szCs w:val="20"/>
          <w:color w:val="auto"/>
        </w:rPr>
        <w:tab/>
      </w:r>
      <w:r>
        <w:rPr>
          <w:rFonts w:ascii="Times New Roman" w:cs="Times New Roman" w:eastAsia="Times New Roman" w:hAnsi="Times New Roman"/>
          <w:sz w:val="14"/>
          <w:szCs w:val="14"/>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3284855</wp:posOffset>
            </wp:positionH>
            <wp:positionV relativeFrom="paragraph">
              <wp:posOffset>27940</wp:posOffset>
            </wp:positionV>
            <wp:extent cx="17602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760220" cy="8255"/>
                    </a:xfrm>
                    <a:prstGeom prst="rect">
                      <a:avLst/>
                    </a:prstGeom>
                    <a:noFill/>
                  </pic:spPr>
                </pic:pic>
              </a:graphicData>
            </a:graphic>
          </wp:anchor>
        </w:drawing>
      </w:r>
    </w:p>
    <w:p>
      <w:pPr>
        <w:spacing w:after="0" w:line="25"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40" w:lineRule="exact"/>
        <w:rPr>
          <w:sz w:val="20"/>
          <w:szCs w:val="20"/>
          <w:color w:val="auto"/>
        </w:rPr>
      </w:pPr>
    </w:p>
    <w:p>
      <w:pPr>
        <w:ind w:left="640"/>
        <w:spacing w:after="0"/>
        <w:tabs>
          <w:tab w:leader="none" w:pos="5180" w:val="left"/>
          <w:tab w:leader="none" w:pos="5800" w:val="left"/>
          <w:tab w:leader="none" w:pos="6540" w:val="left"/>
          <w:tab w:leader="none" w:pos="7180" w:val="left"/>
        </w:tabs>
        <w:rPr>
          <w:sz w:val="20"/>
          <w:szCs w:val="20"/>
          <w:color w:val="auto"/>
        </w:rPr>
      </w:pPr>
      <w:r>
        <w:rPr>
          <w:rFonts w:ascii="Times New Roman" w:cs="Times New Roman" w:eastAsia="Times New Roman" w:hAnsi="Times New Roman"/>
          <w:sz w:val="17"/>
          <w:szCs w:val="17"/>
          <w:color w:val="auto"/>
        </w:rPr>
        <w:t>Cash paid for interest</w:t>
      </w:r>
      <w:r>
        <w:rPr>
          <w:sz w:val="20"/>
          <w:szCs w:val="20"/>
          <w:color w:val="auto"/>
        </w:rPr>
        <w:tab/>
      </w: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7"/>
          <w:szCs w:val="17"/>
          <w:color w:val="auto"/>
        </w:rPr>
        <w:t>116,490</w:t>
        <w:tab/>
        <w:t>$</w:t>
      </w:r>
      <w:r>
        <w:rPr>
          <w:sz w:val="20"/>
          <w:szCs w:val="20"/>
          <w:color w:val="auto"/>
        </w:rPr>
        <w:tab/>
      </w:r>
      <w:r>
        <w:rPr>
          <w:rFonts w:ascii="Times New Roman" w:cs="Times New Roman" w:eastAsia="Times New Roman" w:hAnsi="Times New Roman"/>
          <w:sz w:val="17"/>
          <w:szCs w:val="17"/>
          <w:color w:val="auto"/>
        </w:rPr>
        <w:t>125,872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-121285</wp:posOffset>
            </wp:positionV>
            <wp:extent cx="4650105" cy="13906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650105" cy="139065"/>
                    </a:xfrm>
                    <a:prstGeom prst="rect">
                      <a:avLst/>
                    </a:prstGeom>
                    <a:noFill/>
                  </pic:spPr>
                </pic:pic>
              </a:graphicData>
            </a:graphic>
          </wp:anchor>
        </w:drawing>
      </w:r>
    </w:p>
    <w:p>
      <w:pPr>
        <w:spacing w:after="0" w:line="30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Noncash Investing and Financing Activities</w:t>
      </w:r>
    </w:p>
    <w:p>
      <w:pPr>
        <w:spacing w:after="0" w:line="247" w:lineRule="exact"/>
        <w:rPr>
          <w:sz w:val="20"/>
          <w:szCs w:val="20"/>
          <w:color w:val="auto"/>
        </w:rPr>
      </w:pPr>
    </w:p>
    <w:p>
      <w:pPr>
        <w:jc w:val="both"/>
        <w:ind w:firstLine="619"/>
        <w:spacing w:after="0" w:line="271" w:lineRule="auto"/>
        <w:rPr>
          <w:sz w:val="20"/>
          <w:szCs w:val="20"/>
          <w:color w:val="auto"/>
        </w:rPr>
      </w:pPr>
      <w:r>
        <w:rPr>
          <w:rFonts w:ascii="Times New Roman" w:cs="Times New Roman" w:eastAsia="Times New Roman" w:hAnsi="Times New Roman"/>
          <w:sz w:val="17"/>
          <w:szCs w:val="17"/>
          <w:color w:val="auto"/>
        </w:rPr>
        <w:t>On February 11, 2026, as partial consideration for the acquisition of the real property assets of Bally's Lincoln, the Company’s operating partnership issued 332,890 newly-issued OP units to an affiliate of Bally's which were valued at $15.4 million for accounting purposes at closing.</w:t>
      </w:r>
    </w:p>
    <w:p>
      <w:pPr>
        <w:spacing w:after="0" w:line="200" w:lineRule="exact"/>
        <w:rPr>
          <w:sz w:val="20"/>
          <w:szCs w:val="20"/>
          <w:color w:val="auto"/>
        </w:rPr>
      </w:pPr>
    </w:p>
    <w:p>
      <w:pPr>
        <w:spacing w:after="0" w:line="205"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7"/>
          <w:szCs w:val="17"/>
          <w:b w:val="1"/>
          <w:bCs w:val="1"/>
          <w:color w:val="auto"/>
        </w:rPr>
        <w:t>15.</w:t>
        <w:tab/>
        <w:t>Acquisitions</w:t>
      </w:r>
    </w:p>
    <w:p>
      <w:pPr>
        <w:spacing w:after="0" w:line="243" w:lineRule="exact"/>
        <w:rPr>
          <w:sz w:val="20"/>
          <w:szCs w:val="20"/>
          <w:color w:val="auto"/>
        </w:rPr>
      </w:pPr>
    </w:p>
    <w:p>
      <w:pPr>
        <w:jc w:val="both"/>
        <w:ind w:firstLine="619"/>
        <w:spacing w:after="0" w:line="292" w:lineRule="auto"/>
        <w:rPr>
          <w:sz w:val="20"/>
          <w:szCs w:val="20"/>
          <w:color w:val="auto"/>
        </w:rPr>
      </w:pPr>
      <w:r>
        <w:rPr>
          <w:rFonts w:ascii="Times New Roman" w:cs="Times New Roman" w:eastAsia="Times New Roman" w:hAnsi="Times New Roman"/>
          <w:sz w:val="17"/>
          <w:szCs w:val="17"/>
          <w:color w:val="auto"/>
        </w:rPr>
        <w:t xml:space="preserve">The Company accounts for its acquisitions of real estate assets as asset acquisitions under ASC 805 - </w:t>
      </w:r>
      <w:r>
        <w:rPr>
          <w:rFonts w:ascii="Times New Roman" w:cs="Times New Roman" w:eastAsia="Times New Roman" w:hAnsi="Times New Roman"/>
          <w:sz w:val="17"/>
          <w:szCs w:val="17"/>
          <w:i w:val="1"/>
          <w:iCs w:val="1"/>
          <w:color w:val="auto"/>
        </w:rPr>
        <w:t>Business Combinations</w:t>
      </w:r>
      <w:r>
        <w:rPr>
          <w:rFonts w:ascii="Times New Roman" w:cs="Times New Roman" w:eastAsia="Times New Roman" w:hAnsi="Times New Roman"/>
          <w:sz w:val="17"/>
          <w:szCs w:val="17"/>
          <w:color w:val="auto"/>
        </w:rPr>
        <w:t>. Under asset acquisition accounting, incremental transaction costs incurred to acquire the purchased assets are also included as part of the asset cost.</w:t>
      </w:r>
    </w:p>
    <w:p>
      <w:pPr>
        <w:spacing w:after="0" w:line="160" w:lineRule="exact"/>
        <w:rPr>
          <w:sz w:val="20"/>
          <w:szCs w:val="20"/>
          <w:color w:val="auto"/>
        </w:rPr>
      </w:pPr>
    </w:p>
    <w:p>
      <w:pPr>
        <w:jc w:val="both"/>
        <w:ind w:firstLine="619"/>
        <w:spacing w:after="0" w:line="254" w:lineRule="auto"/>
        <w:rPr>
          <w:sz w:val="20"/>
          <w:szCs w:val="20"/>
          <w:color w:val="auto"/>
        </w:rPr>
      </w:pPr>
      <w:r>
        <w:rPr>
          <w:rFonts w:ascii="Times New Roman" w:cs="Times New Roman" w:eastAsia="Times New Roman" w:hAnsi="Times New Roman"/>
          <w:sz w:val="17"/>
          <w:szCs w:val="17"/>
          <w:color w:val="auto"/>
        </w:rPr>
        <w:t>As discussed in Note 1, the Company completed the purchase of the real property assets of Bally’s Lincoln and the properties were leased back to Bally's subject to the terms of the Bally's Master Lease II. The Company paid cash of $688.0 million and issued 332,890 OP Units valued at $15.4 million based on the Company's closing stock price at the acquisition date. The purchase price allocation of these assets based on their fair values at the acquisition date are summarized below (in thousands).</w:t>
      </w:r>
    </w:p>
    <w:p>
      <w:pPr>
        <w:spacing w:after="0" w:line="233" w:lineRule="exact"/>
        <w:rPr>
          <w:sz w:val="20"/>
          <w:szCs w:val="20"/>
          <w:color w:val="auto"/>
        </w:rPr>
      </w:pPr>
    </w:p>
    <w:tbl>
      <w:tblPr>
        <w:tblLayout w:type="fixed"/>
        <w:tblInd w:w="1860" w:type="dxa"/>
        <w:tblCellMar>
          <w:top w:w="0" w:type="dxa"/>
          <w:left w:w="0" w:type="dxa"/>
          <w:bottom w:w="0" w:type="dxa"/>
          <w:right w:w="0" w:type="dxa"/>
        </w:tblCellMar>
      </w:tblPr>
      <w:tr>
        <w:trPr>
          <w:trHeight w:val="219"/>
        </w:trPr>
        <w:tc>
          <w:tcPr>
            <w:tcW w:w="2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Land and improvements</w:t>
            </w:r>
          </w:p>
        </w:tc>
        <w:tc>
          <w:tcPr>
            <w:tcW w:w="980" w:type="dxa"/>
            <w:vAlign w:val="bottom"/>
            <w:shd w:val="clear" w:color="auto" w:fill="CCEEFF"/>
          </w:tcPr>
          <w:p>
            <w:pPr>
              <w:jc w:val="right"/>
              <w:ind w:right="794"/>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443,587</w:t>
            </w:r>
          </w:p>
        </w:tc>
      </w:tr>
      <w:tr>
        <w:trPr>
          <w:trHeight w:val="219"/>
        </w:trPr>
        <w:tc>
          <w:tcPr>
            <w:tcW w:w="2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Building and improvements</w:t>
            </w:r>
          </w:p>
        </w:tc>
        <w:tc>
          <w:tcPr>
            <w:tcW w:w="9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259,810</w:t>
            </w:r>
          </w:p>
        </w:tc>
      </w:tr>
      <w:tr>
        <w:trPr>
          <w:trHeight w:val="237"/>
        </w:trPr>
        <w:tc>
          <w:tcPr>
            <w:tcW w:w="2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purchase price</w:t>
            </w:r>
          </w:p>
        </w:tc>
        <w:tc>
          <w:tcPr>
            <w:tcW w:w="980" w:type="dxa"/>
            <w:vAlign w:val="bottom"/>
            <w:tcBorders>
              <w:bottom w:val="single" w:sz="8" w:color="auto"/>
            </w:tcBorders>
            <w:shd w:val="clear" w:color="auto" w:fill="CCEEFF"/>
          </w:tcPr>
          <w:p>
            <w:pPr>
              <w:jc w:val="right"/>
              <w:ind w:right="794"/>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703,397</w:t>
            </w:r>
          </w:p>
        </w:tc>
      </w:tr>
      <w:tr>
        <w:trPr>
          <w:trHeight w:val="20"/>
        </w:trPr>
        <w:tc>
          <w:tcPr>
            <w:tcW w:w="22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7"/>
          <w:szCs w:val="17"/>
          <w:b w:val="1"/>
          <w:bCs w:val="1"/>
          <w:color w:val="auto"/>
        </w:rPr>
        <w:t>ITEM 2. MANAGEMENT’S DISCUSSION AND ANALYSIS OF FINANCIAL CONDITION AND RESULTS OF OPERATIONS</w:t>
      </w:r>
    </w:p>
    <w:p>
      <w:pPr>
        <w:spacing w:after="0" w:line="2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i w:val="1"/>
          <w:iCs w:val="1"/>
          <w:color w:val="auto"/>
        </w:rPr>
        <w:t>The following discussion and analysis of the financial position and operating results of Gaming and Leisure Properties, Inc. for the three months ended March 31, 2026 should be read in conjunction with the Financial Statements and related notes thereto and other financial information contained elsewhere in this Quarterly Report on Form 10-Q and the audited consolidated financial statements and related notes for the year ended December 31, 2025. All defined terms included herein have the same meaning as those set forth in the Notes to the Consolidated Financial Statements contained within this Quarterly Report on Form 10-Q.</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Cautionary Note Regarding Forward-Looking Statements</w:t>
      </w:r>
    </w:p>
    <w:p>
      <w:pPr>
        <w:spacing w:after="0" w:line="247"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Forward-looking statements in this document are subject to known and unknown risks, uncertainties and other factors that may cause actual results, performance or achievements of Gaming and Leisure Properties, Inc. ("GLPI") and its subsidiaries (collectively with GLPI, the "Company") to be materially different from any future results, performance or achievements expressed or implied by such forward-looking statements. Forward-looking statements include information concerning the Company’s business strategy, plans, goals and objectives.</w:t>
      </w:r>
    </w:p>
    <w:p>
      <w:pPr>
        <w:spacing w:after="0" w:line="171"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Forward-looking statements in this document include, but are not limited to, statements regarding our ability to grow our portfolio of gaming facilities. In addition, statements preceded by, followed by or that otherwise include the words "believes," "expects," "anticipates," "intends," "projects," "estimates," "plans," "may increase," "may fluctuate," and similar expressions or future or conditional verbs such as "will," "should," "would," "may" and "could" are generally forward-looking in nature and not historical facts. You should understand that the following important factors could affect future results and could cause actual results to differ materially from those expressed in such forward-looking statements:</w:t>
      </w:r>
    </w:p>
    <w:p>
      <w:pPr>
        <w:spacing w:after="0" w:line="239" w:lineRule="exact"/>
        <w:rPr>
          <w:sz w:val="20"/>
          <w:szCs w:val="20"/>
          <w:color w:val="auto"/>
        </w:rPr>
      </w:pPr>
    </w:p>
    <w:p>
      <w:pPr>
        <w:jc w:val="both"/>
        <w:ind w:left="620" w:hanging="307"/>
        <w:spacing w:after="0" w:line="241" w:lineRule="auto"/>
        <w:tabs>
          <w:tab w:leader="none" w:pos="615" w:val="left"/>
        </w:tabs>
        <w:numPr>
          <w:ilvl w:val="0"/>
          <w:numId w:val="12"/>
        </w:numPr>
        <w:rPr>
          <w:rFonts w:ascii="Arial" w:cs="Arial" w:eastAsia="Arial" w:hAnsi="Arial"/>
          <w:sz w:val="21"/>
          <w:szCs w:val="21"/>
          <w:color w:val="auto"/>
        </w:rPr>
      </w:pPr>
      <w:r>
        <w:rPr>
          <w:rFonts w:ascii="Times New Roman" w:cs="Times New Roman" w:eastAsia="Times New Roman" w:hAnsi="Times New Roman"/>
          <w:sz w:val="17"/>
          <w:szCs w:val="17"/>
          <w:color w:val="auto"/>
        </w:rPr>
        <w:t>our or our partner’s ability to successfully complete construction of various casino projects currently under development for which we have agreed to provide construction development funding, including Bally’s Chicago (as defined below), and the ability and willingness of our partners to meet and/or perform their respective obligations under the applicable construction financing and/or development documents;</w:t>
      </w:r>
    </w:p>
    <w:p>
      <w:pPr>
        <w:spacing w:after="0" w:line="215" w:lineRule="exact"/>
        <w:rPr>
          <w:rFonts w:ascii="Arial" w:cs="Arial" w:eastAsia="Arial" w:hAnsi="Arial"/>
          <w:sz w:val="21"/>
          <w:szCs w:val="21"/>
          <w:color w:val="auto"/>
        </w:rPr>
      </w:pPr>
    </w:p>
    <w:p>
      <w:pPr>
        <w:ind w:left="620" w:hanging="307"/>
        <w:spacing w:after="0" w:line="287" w:lineRule="auto"/>
        <w:tabs>
          <w:tab w:leader="none" w:pos="616"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that higher inflation rates and interest rates and uncertainty with respect to the future state of the economy could have on discretionary consumer spending, including the casino operations of our tenants;</w:t>
      </w:r>
    </w:p>
    <w:p>
      <w:pPr>
        <w:spacing w:after="0" w:line="177"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unforeseen consequences related to United States ("U.S.") government, economic, monetary or trade policies and stimulus packages on inflation rates, interest rates and economic growth;</w:t>
      </w:r>
    </w:p>
    <w:p>
      <w:pPr>
        <w:spacing w:after="0" w:line="17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geopolitical events, including recent conflicts in the Middle East, and their potential impact on U.S. Treasury yields and inflation rates;</w:t>
      </w:r>
    </w:p>
    <w:p>
      <w:pPr>
        <w:spacing w:after="0" w:line="242"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ability of our tenants to maintain the financial strength and liquidity necessary to satisfy their respective obligations and liabilities to third parties, including, without limitation, to satisfy obligations under their existing credit facilities and other indebtedness;</w:t>
      </w:r>
    </w:p>
    <w:p>
      <w:pPr>
        <w:spacing w:after="0" w:line="215" w:lineRule="exact"/>
        <w:rPr>
          <w:rFonts w:ascii="Times New Roman" w:cs="Times New Roman" w:eastAsia="Times New Roman" w:hAnsi="Times New Roman"/>
          <w:sz w:val="17"/>
          <w:szCs w:val="17"/>
          <w:color w:val="auto"/>
        </w:rPr>
      </w:pPr>
    </w:p>
    <w:p>
      <w:pPr>
        <w:ind w:left="620" w:hanging="307"/>
        <w:spacing w:after="0" w:line="235" w:lineRule="auto"/>
        <w:tabs>
          <w:tab w:leader="none" w:pos="615" w:val="left"/>
        </w:tabs>
        <w:numPr>
          <w:ilvl w:val="0"/>
          <w:numId w:val="12"/>
        </w:numPr>
        <w:rPr>
          <w:rFonts w:ascii="Arial" w:cs="Arial" w:eastAsia="Arial" w:hAnsi="Arial"/>
          <w:sz w:val="21"/>
          <w:szCs w:val="21"/>
          <w:color w:val="auto"/>
        </w:rPr>
      </w:pPr>
      <w:r>
        <w:rPr>
          <w:rFonts w:ascii="Times New Roman" w:cs="Times New Roman" w:eastAsia="Times New Roman" w:hAnsi="Times New Roman"/>
          <w:sz w:val="17"/>
          <w:szCs w:val="17"/>
          <w:color w:val="auto"/>
        </w:rPr>
        <w:t>the availability of and the ability to identify suitable and attractive acquisition and development opportunities and the ability to acquire and lease the respective properties on favorable terms;</w:t>
      </w:r>
    </w:p>
    <w:p>
      <w:pPr>
        <w:spacing w:after="0" w:line="216" w:lineRule="exact"/>
        <w:rPr>
          <w:rFonts w:ascii="Arial" w:cs="Arial" w:eastAsia="Arial" w:hAnsi="Arial"/>
          <w:sz w:val="21"/>
          <w:szCs w:val="21"/>
          <w:color w:val="auto"/>
        </w:rPr>
      </w:pPr>
    </w:p>
    <w:p>
      <w:pPr>
        <w:ind w:left="620" w:hanging="307"/>
        <w:spacing w:after="0"/>
        <w:tabs>
          <w:tab w:leader="none" w:pos="6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degree and nature of our competition;</w:t>
      </w:r>
    </w:p>
    <w:p>
      <w:pPr>
        <w:spacing w:after="0" w:line="242"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ability to receive, or delays in obtaining, the regulatory approvals required to own and/or operate our properties, or other delays or impediments to completing our planned acquisitions or projects;</w:t>
      </w:r>
    </w:p>
    <w:p>
      <w:pPr>
        <w:spacing w:after="0" w:line="177"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potential of a new pandemic or similar national health crisis, including its effect on the ability or desire of people to gather in large groups (including in casinos), which could impact our financial results, operations, outlooks, plans, goals, growth, cash flows, liquidity, and stock price;</w:t>
      </w:r>
    </w:p>
    <w:p>
      <w:pPr>
        <w:spacing w:after="0" w:line="177"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maintain our status as a real estate investment trust ("REIT"), given the highly technical and complex Internal Revenue Code (the "Code") provisions for which only limited judicial and administrative authorities exist,</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sectPr>
      </w:pPr>
    </w:p>
    <w:bookmarkStart w:id="32" w:name="page33"/>
    <w:bookmarkEnd w:id="32"/>
    <w:p>
      <w:pPr>
        <w:ind w:left="620"/>
        <w:spacing w:after="0" w:line="287" w:lineRule="auto"/>
        <w:rPr>
          <w:sz w:val="20"/>
          <w:szCs w:val="20"/>
          <w:color w:val="auto"/>
        </w:rPr>
      </w:pPr>
      <w:r>
        <w:rPr>
          <w:rFonts w:ascii="Times New Roman" w:cs="Times New Roman" w:eastAsia="Times New Roman" w:hAnsi="Times New Roman"/>
          <w:sz w:val="17"/>
          <w:szCs w:val="17"/>
          <w:color w:val="auto"/>
        </w:rPr>
        <w:t>where even a technical or inadvertent violation could jeopardize REIT qualification and where requirements may depend in part on the actions of third parties over which the Company has no control or only limited influence;</w:t>
      </w:r>
    </w:p>
    <w:p>
      <w:pPr>
        <w:spacing w:after="0" w:line="177" w:lineRule="exact"/>
        <w:rPr>
          <w:sz w:val="20"/>
          <w:szCs w:val="20"/>
          <w:color w:val="auto"/>
        </w:rPr>
      </w:pPr>
    </w:p>
    <w:p>
      <w:pPr>
        <w:ind w:left="620" w:hanging="307"/>
        <w:spacing w:after="0" w:line="287" w:lineRule="auto"/>
        <w:tabs>
          <w:tab w:leader="none" w:pos="616"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satisfaction of certain asset, income, organizational, distribution, shareholder ownership and other requirements on a continuing basis in order for the Company to maintain its REIT status;</w:t>
      </w:r>
    </w:p>
    <w:p>
      <w:pPr>
        <w:spacing w:after="0" w:line="177" w:lineRule="exact"/>
        <w:rPr>
          <w:rFonts w:ascii="Times New Roman" w:cs="Times New Roman" w:eastAsia="Times New Roman" w:hAnsi="Times New Roman"/>
          <w:sz w:val="17"/>
          <w:szCs w:val="17"/>
          <w:color w:val="auto"/>
        </w:rPr>
      </w:pPr>
    </w:p>
    <w:p>
      <w:pPr>
        <w:jc w:val="both"/>
        <w:ind w:left="620" w:hanging="307"/>
        <w:spacing w:after="0" w:line="270" w:lineRule="auto"/>
        <w:tabs>
          <w:tab w:leader="none" w:pos="616"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ability and willingness of our tenants and other third parties to meet and/or perform their obligations under their respective contractual arrangements with us, including lease and note requirements and in some cases, their obligations to indemnify, defend and hold us harmless from and against various claims, litigation and liabilities;</w:t>
      </w:r>
    </w:p>
    <w:p>
      <w:pPr>
        <w:spacing w:after="0" w:line="191"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ability of our tenants to comply with laws, rules and regulations in the operation of our properties, to deliver high quality services, to attract and retain qualified personnel and to attract customers;</w:t>
      </w:r>
    </w:p>
    <w:p>
      <w:pPr>
        <w:spacing w:after="0" w:line="17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ability to generate sufficient cash flows to service and comply with financial covenants under our outstanding indebtedness;</w:t>
      </w:r>
    </w:p>
    <w:p>
      <w:pPr>
        <w:spacing w:after="0" w:line="242"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access capital through debt and equity markets in amounts and at rates and costs acceptable to GLPI, including for the satisfaction of our funding commitments to the extent drawn by our partners, acquisitions or refinancings due to maturities;</w:t>
      </w:r>
    </w:p>
    <w:p>
      <w:pPr>
        <w:spacing w:after="0" w:line="177"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ability of our tenants to decline our funding commitments by seeking alternative financing solutions and/or if our tenants do elect to utilize our funding commitments, the amounts drawn and the timing of these draws may be different than what the Company assumed;</w:t>
      </w:r>
    </w:p>
    <w:p>
      <w:pPr>
        <w:spacing w:after="0" w:line="17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adverse changes in our credit rating;</w:t>
      </w:r>
    </w:p>
    <w:p>
      <w:pPr>
        <w:spacing w:after="0" w:line="24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availability of qualified personnel and our ability to retain our key management personnel;</w:t>
      </w:r>
    </w:p>
    <w:p>
      <w:pPr>
        <w:spacing w:after="0" w:line="242"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the U.S. tax law and other federal, state or local laws, whether or not specific to real estate, REITs or the gaming, lodging or hospitality industries;</w:t>
      </w:r>
    </w:p>
    <w:p>
      <w:pPr>
        <w:spacing w:after="0" w:line="17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accounting standards;</w:t>
      </w:r>
    </w:p>
    <w:p>
      <w:pPr>
        <w:spacing w:after="0" w:line="242"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of weather or climate events or conditions, natural disasters, acts of terrorism and other international hostilities, war (including the current conflict between Russia and Ukraine and conflicts in the Middle East) or political instability;</w:t>
      </w:r>
    </w:p>
    <w:p>
      <w:pPr>
        <w:spacing w:after="0" w:line="177"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risk that the historical financial statements included herein do not reflect what the business, financial position or results of operations of GLPI may be in the future;</w:t>
      </w:r>
    </w:p>
    <w:p>
      <w:pPr>
        <w:spacing w:after="0" w:line="17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risks inherent in the real estate business, including potential liability relating to environmental matters and illiquidity of real estate investments; and</w:t>
      </w:r>
    </w:p>
    <w:p>
      <w:pPr>
        <w:spacing w:after="0" w:line="242"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additional factors as discussed in the Company’s Annual Report on Form 10-K for the year ended December 31, 2025 (the "Annual Report"), in this Quarterly Report on Form 10-Q and Current Reports on Form 8-K as filed with the United States Securities and Exchange Commission.</w:t>
      </w:r>
    </w:p>
    <w:p>
      <w:pPr>
        <w:spacing w:after="0" w:line="151"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You should consider the areas of risk described above, as well as those set forth in the "Risk Factors" section in the Company’s Annual Report and this Quarterly Report on Form 10-Q, in connection with considering any forward-looking statements that may be made by the Company generally. Other unknown or unpredictable factors may also cause actual results to differ materially from those projected by the forward-looking statements. Most of these factors are difficult to anticipate and are generally beyond the control of the Company. Except for the ongoing obligations of the Company to disclose material information under the federal securities laws, the Company does not undertake any obligation to release publicly any revisions to any forward-looking statements, to report events or to report the occurrence of unanticipated events unless required to do so by law.</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7"/>
          <w:szCs w:val="17"/>
          <w:b w:val="1"/>
          <w:bCs w:val="1"/>
          <w:color w:val="auto"/>
        </w:rPr>
        <w:t>Company Overview</w:t>
      </w:r>
    </w:p>
    <w:p>
      <w:pPr>
        <w:spacing w:after="0" w:line="157" w:lineRule="exact"/>
        <w:rPr>
          <w:sz w:val="20"/>
          <w:szCs w:val="20"/>
          <w:color w:val="auto"/>
        </w:rPr>
      </w:pPr>
    </w:p>
    <w:p>
      <w:pPr>
        <w:jc w:val="both"/>
        <w:ind w:firstLine="619"/>
        <w:spacing w:after="0" w:line="263" w:lineRule="auto"/>
        <w:rPr>
          <w:sz w:val="20"/>
          <w:szCs w:val="20"/>
          <w:color w:val="auto"/>
        </w:rPr>
      </w:pPr>
      <w:r>
        <w:rPr>
          <w:rFonts w:ascii="Times New Roman" w:cs="Times New Roman" w:eastAsia="Times New Roman" w:hAnsi="Times New Roman"/>
          <w:sz w:val="17"/>
          <w:szCs w:val="17"/>
          <w:color w:val="auto"/>
        </w:rPr>
        <w:t>GLPI is a self-administered and self-managed REIT headquartered in Wyomissing, Pennsylvania. GLPI was incorporated on February 13, 2013, as a wholly-owned subsidiary of PENN. On November 1, 2013, PENN contributed to GLPI, through a series of internal corporate restructurings, substantially all of the assets and liabilities associated with PENN’s real property interests and real estate development business, as well as the assets and liabilities of Hollywood Casino Baton Rouge and Hollywood Casino Perryville and then spun-off GLPI to holders of PENN's common and preferred stock in a tax-free distribution (the "Spin-Off").</w:t>
      </w:r>
    </w:p>
    <w:p>
      <w:pPr>
        <w:spacing w:after="0" w:line="200" w:lineRule="exact"/>
        <w:rPr>
          <w:sz w:val="20"/>
          <w:szCs w:val="20"/>
          <w:color w:val="auto"/>
        </w:rPr>
      </w:pPr>
    </w:p>
    <w:p>
      <w:pPr>
        <w:spacing w:after="0" w:line="323" w:lineRule="exact"/>
        <w:rPr>
          <w:sz w:val="20"/>
          <w:szCs w:val="20"/>
          <w:color w:val="auto"/>
        </w:rPr>
      </w:pPr>
    </w:p>
    <w:p>
      <w:pPr>
        <w:jc w:val="both"/>
        <w:ind w:firstLine="619"/>
        <w:spacing w:after="0" w:line="248" w:lineRule="auto"/>
        <w:rPr>
          <w:sz w:val="20"/>
          <w:szCs w:val="20"/>
          <w:color w:val="auto"/>
        </w:rPr>
      </w:pPr>
      <w:r>
        <w:rPr>
          <w:rFonts w:ascii="Times New Roman" w:cs="Times New Roman" w:eastAsia="Times New Roman" w:hAnsi="Times New Roman"/>
          <w:sz w:val="17"/>
          <w:szCs w:val="17"/>
          <w:color w:val="auto"/>
        </w:rPr>
        <w:t>Since 2021, the Company has been structured as an umbrella partnership REIT under which substantially all of our business is conducted through GLP Capital, the day-to-day management of which is exclusively controlled by GLPI. GLPI has no material assets other than its investment in GLP Capital. GLPI issues equity from time to time and is obligated to contribute the net proceeds from those offerings to GLP Capital. As of March 31, 2026, GLPI holds a 96.8% controlling financial interest in the operating partnership.</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Business Strategy</w:t>
      </w:r>
    </w:p>
    <w:p>
      <w:pPr>
        <w:spacing w:after="0" w:line="234" w:lineRule="exact"/>
        <w:rPr>
          <w:sz w:val="20"/>
          <w:szCs w:val="20"/>
          <w:color w:val="auto"/>
        </w:rPr>
      </w:pPr>
    </w:p>
    <w:p>
      <w:pPr>
        <w:jc w:val="both"/>
        <w:ind w:firstLine="619"/>
        <w:spacing w:after="0"/>
        <w:rPr>
          <w:sz w:val="20"/>
          <w:szCs w:val="20"/>
          <w:color w:val="auto"/>
        </w:rPr>
      </w:pPr>
      <w:r>
        <w:rPr>
          <w:rFonts w:ascii="Times New Roman" w:cs="Times New Roman" w:eastAsia="Times New Roman" w:hAnsi="Times New Roman"/>
          <w:sz w:val="17"/>
          <w:szCs w:val="17"/>
          <w:color w:val="auto"/>
        </w:rPr>
        <w:t>We seek to provide an opportunity to invest in the growth opportunities afforded by the gaming industry, with the stability and cash flow opportunities of a REIT. Our primary business consists of acquiring, financing, and owning real estate property to be leased to gaming operators in triple-net lease arrangements. Under these arrangements, in addition to rent, the tenants are required to pay the following executory costs: (1) all facility maintenance, (2) all insurance required in connection with the leased properties and the business conducted on the leased properties, including coverage of the landlord's interests, (3) taxes levied on or with respect to the leased properties (other than taxes on the income of the lessor) and (4) all utilities and other services necessary or appropriate for the leased properties and the business conducted on the leased properties. The Company also extends loans that produce fixed or variable returns which may convert into leased rent upon project completion or stabilization.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Property and lease information</w:t>
      </w:r>
    </w:p>
    <w:p>
      <w:pPr>
        <w:spacing w:after="0" w:line="234" w:lineRule="exact"/>
        <w:rPr>
          <w:sz w:val="20"/>
          <w:szCs w:val="20"/>
          <w:color w:val="auto"/>
        </w:rPr>
      </w:pPr>
    </w:p>
    <w:p>
      <w:pPr>
        <w:jc w:val="both"/>
        <w:ind w:firstLine="619"/>
        <w:spacing w:after="0" w:line="271" w:lineRule="auto"/>
        <w:rPr>
          <w:sz w:val="20"/>
          <w:szCs w:val="20"/>
          <w:color w:val="auto"/>
        </w:rPr>
      </w:pPr>
      <w:r>
        <w:rPr>
          <w:rFonts w:ascii="Times New Roman" w:cs="Times New Roman" w:eastAsia="Times New Roman" w:hAnsi="Times New Roman"/>
          <w:sz w:val="17"/>
          <w:szCs w:val="17"/>
          <w:color w:val="auto"/>
        </w:rPr>
        <w:t>The Company has disclosed the following key terms of its Master Leases and Single Property Leases in the tables below, along with the properties within each lease at March 31, 2026. We believe the following key terms are important for users of our financial statements to understand.</w:t>
      </w:r>
    </w:p>
    <w:p>
      <w:pPr>
        <w:spacing w:after="0" w:line="177" w:lineRule="exact"/>
        <w:rPr>
          <w:sz w:val="20"/>
          <w:szCs w:val="20"/>
          <w:color w:val="auto"/>
        </w:rPr>
      </w:pPr>
    </w:p>
    <w:p>
      <w:pPr>
        <w:jc w:val="both"/>
        <w:ind w:left="1240" w:hanging="309"/>
        <w:spacing w:after="0" w:line="248" w:lineRule="auto"/>
        <w:tabs>
          <w:tab w:leader="none" w:pos="1236"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Coverage ratio is a defined term in each respective lease agreement with our tenants and represents the ratio of Adjusted EBITDAR to rent expense for the properties contained within each lease. Adjusted EBITDAR is defined in each respective lease but is generally consistent with the Company's definition of Adjusted EBITDA as described in the </w:t>
      </w:r>
      <w:r>
        <w:rPr>
          <w:rFonts w:ascii="Times New Roman" w:cs="Times New Roman" w:eastAsia="Times New Roman" w:hAnsi="Times New Roman"/>
          <w:sz w:val="17"/>
          <w:szCs w:val="17"/>
          <w:i w:val="1"/>
          <w:iCs w:val="1"/>
          <w:color w:val="auto"/>
        </w:rPr>
        <w:t>Results of Operations</w:t>
      </w:r>
      <w:r>
        <w:rPr>
          <w:rFonts w:ascii="Times New Roman" w:cs="Times New Roman" w:eastAsia="Times New Roman" w:hAnsi="Times New Roman"/>
          <w:sz w:val="17"/>
          <w:szCs w:val="17"/>
          <w:color w:val="auto"/>
        </w:rPr>
        <w:t xml:space="preserve"> section of this </w:t>
      </w:r>
      <w:r>
        <w:rPr>
          <w:rFonts w:ascii="Times New Roman" w:cs="Times New Roman" w:eastAsia="Times New Roman" w:hAnsi="Times New Roman"/>
          <w:sz w:val="17"/>
          <w:szCs w:val="17"/>
          <w:i w:val="1"/>
          <w:iCs w:val="1"/>
          <w:color w:val="auto"/>
        </w:rPr>
        <w:t>Management Discussion and Analysis</w:t>
      </w:r>
      <w:r>
        <w:rPr>
          <w:rFonts w:ascii="Times New Roman" w:cs="Times New Roman" w:eastAsia="Times New Roman" w:hAnsi="Times New Roman"/>
          <w:sz w:val="17"/>
          <w:szCs w:val="17"/>
          <w:color w:val="auto"/>
        </w:rPr>
        <w:t>, plus rent expense paid to GLPI.</w:t>
      </w:r>
    </w:p>
    <w:p>
      <w:pPr>
        <w:spacing w:after="0" w:line="197" w:lineRule="exact"/>
        <w:rPr>
          <w:rFonts w:ascii="Times New Roman" w:cs="Times New Roman" w:eastAsia="Times New Roman" w:hAnsi="Times New Roman"/>
          <w:sz w:val="17"/>
          <w:szCs w:val="17"/>
          <w:color w:val="auto"/>
        </w:rPr>
      </w:pPr>
    </w:p>
    <w:p>
      <w:pPr>
        <w:ind w:left="1240" w:hanging="309"/>
        <w:spacing w:after="0" w:line="271" w:lineRule="auto"/>
        <w:tabs>
          <w:tab w:leader="none" w:pos="1236"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Certain leases have a minimum escalator coverage ratio governor as disclosed below. Before a rent escalation of up to 2% on the building base rent component of each lease can occur, the minimum coverage ratio for these leases needs to be 1.8 to 1 for the applicable lease year.</w:t>
      </w:r>
    </w:p>
    <w:p>
      <w:pPr>
        <w:spacing w:after="0" w:line="177" w:lineRule="exact"/>
        <w:rPr>
          <w:rFonts w:ascii="Times New Roman" w:cs="Times New Roman" w:eastAsia="Times New Roman" w:hAnsi="Times New Roman"/>
          <w:sz w:val="17"/>
          <w:szCs w:val="17"/>
          <w:color w:val="auto"/>
        </w:rPr>
      </w:pPr>
    </w:p>
    <w:p>
      <w:pPr>
        <w:jc w:val="both"/>
        <w:ind w:left="1240" w:hanging="309"/>
        <w:spacing w:after="0" w:line="238" w:lineRule="auto"/>
        <w:tabs>
          <w:tab w:leader="none" w:pos="1236"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reported coverage ratios below with respect to our tenants' rent coverage over the trailing twelve months were provided by our tenants for the most recently available time period. GLPI has not independently verified the accuracy of the tenants' information and therefore makes no representation as to its accuracy. Rent coverage ratios are not reported for ground leases, leases with development projects, or on leases that have been in effect for less than twelve months.</w:t>
      </w:r>
    </w:p>
    <w:p>
      <w:pPr>
        <w:spacing w:after="0" w:line="3" w:lineRule="exact"/>
        <w:rPr>
          <w:rFonts w:ascii="Times New Roman" w:cs="Times New Roman" w:eastAsia="Times New Roman" w:hAnsi="Times New Roman"/>
          <w:sz w:val="17"/>
          <w:szCs w:val="17"/>
          <w:color w:val="auto"/>
        </w:rPr>
      </w:pPr>
    </w:p>
    <w:p>
      <w:pPr>
        <w:jc w:val="both"/>
        <w:ind w:left="1240" w:hanging="309"/>
        <w:spacing w:after="0"/>
        <w:tabs>
          <w:tab w:leader="none" w:pos="1236"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Amended PENN Master Lease, the Amended Pinnacle Master Lease, the Boyd Master Lease, and the Belterra Park Lease each include (i) a fixed rent component, a portion of which escalates annually by up to 2% if specified rent coverage thresholds are met, and (ii) a percentage rent component tied to property performance. The percentage rent component is recalculated periodically, every five years for the Amended PENN Master Lease and every two years for the other leases, based on 4% of the average annual net revenues of the applicable facilities in excess of a contractually defined baseline, subject to certain floors.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sectPr>
      </w:pPr>
    </w:p>
    <w:bookmarkStart w:id="34" w:name="page35"/>
    <w:bookmarkEnd w:id="34"/>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205105</wp:posOffset>
            </wp:positionH>
            <wp:positionV relativeFrom="page">
              <wp:posOffset>890905</wp:posOffset>
            </wp:positionV>
            <wp:extent cx="7146925" cy="13906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6925" cy="139065"/>
                    </a:xfrm>
                    <a:prstGeom prst="rect">
                      <a:avLst/>
                    </a:prstGeom>
                    <a:noFill/>
                  </pic:spPr>
                </pic:pic>
              </a:graphicData>
            </a:graphic>
          </wp:anchor>
        </w:drawing>
        <w:t>Master Leases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720" w:type="dxa"/>
            <w:vAlign w:val="bottom"/>
            <w:gridSpan w:val="3"/>
          </w:tcPr>
          <w:p>
            <w:pPr>
              <w:ind w:left="1340"/>
              <w:spacing w:after="0"/>
              <w:rPr>
                <w:sz w:val="20"/>
                <w:szCs w:val="20"/>
                <w:color w:val="auto"/>
              </w:rPr>
            </w:pPr>
            <w:r>
              <w:rPr>
                <w:rFonts w:ascii="Times New Roman" w:cs="Times New Roman" w:eastAsia="Times New Roman" w:hAnsi="Times New Roman"/>
                <w:sz w:val="14"/>
                <w:szCs w:val="14"/>
                <w:b w:val="1"/>
                <w:bCs w:val="1"/>
                <w:color w:val="auto"/>
              </w:rPr>
              <w:t>Penn 2023 Master Lease</w:t>
            </w:r>
          </w:p>
        </w:tc>
        <w:tc>
          <w:tcPr>
            <w:tcW w:w="4780" w:type="dxa"/>
            <w:vAlign w:val="bottom"/>
            <w:gridSpan w:val="3"/>
          </w:tcPr>
          <w:p>
            <w:pPr>
              <w:ind w:left="1600"/>
              <w:spacing w:after="0"/>
              <w:rPr>
                <w:sz w:val="20"/>
                <w:szCs w:val="20"/>
                <w:color w:val="auto"/>
              </w:rPr>
            </w:pPr>
            <w:r>
              <w:rPr>
                <w:rFonts w:ascii="Times New Roman" w:cs="Times New Roman" w:eastAsia="Times New Roman" w:hAnsi="Times New Roman"/>
                <w:sz w:val="14"/>
                <w:szCs w:val="14"/>
                <w:b w:val="1"/>
                <w:bCs w:val="1"/>
                <w:color w:val="auto"/>
              </w:rPr>
              <w:t>Amended Penn Master Lease</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7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Operator</w:t>
            </w:r>
          </w:p>
        </w:tc>
        <w:tc>
          <w:tcPr>
            <w:tcW w:w="178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PENN</w:t>
            </w:r>
          </w:p>
        </w:tc>
        <w:tc>
          <w:tcPr>
            <w:tcW w:w="1060" w:type="dxa"/>
            <w:vAlign w:val="bottom"/>
            <w:shd w:val="clear" w:color="auto" w:fill="CCEEFF"/>
          </w:tcPr>
          <w:p>
            <w:pPr>
              <w:spacing w:after="0"/>
              <w:rPr>
                <w:sz w:val="16"/>
                <w:szCs w:val="16"/>
                <w:color w:val="auto"/>
              </w:rPr>
            </w:pPr>
          </w:p>
        </w:tc>
        <w:tc>
          <w:tcPr>
            <w:tcW w:w="214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PENN</w:t>
            </w:r>
          </w:p>
        </w:tc>
        <w:tc>
          <w:tcPr>
            <w:tcW w:w="16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74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Properties</w:t>
            </w:r>
          </w:p>
        </w:tc>
        <w:tc>
          <w:tcPr>
            <w:tcW w:w="1780" w:type="dxa"/>
            <w:vAlign w:val="bottom"/>
          </w:tcPr>
          <w:p>
            <w:pPr>
              <w:ind w:left="280"/>
              <w:spacing w:after="0"/>
              <w:rPr>
                <w:sz w:val="20"/>
                <w:szCs w:val="20"/>
                <w:color w:val="auto"/>
              </w:rPr>
            </w:pPr>
            <w:r>
              <w:rPr>
                <w:rFonts w:ascii="Times New Roman" w:cs="Times New Roman" w:eastAsia="Times New Roman" w:hAnsi="Times New Roman"/>
                <w:sz w:val="14"/>
                <w:szCs w:val="14"/>
                <w:color w:val="auto"/>
                <w:w w:val="99"/>
              </w:rPr>
              <w:t>Hollywood Casino Aurora</w:t>
            </w:r>
          </w:p>
        </w:tc>
        <w:tc>
          <w:tcPr>
            <w:tcW w:w="880" w:type="dxa"/>
            <w:vAlign w:val="bottom"/>
          </w:tcPr>
          <w:p>
            <w:pPr>
              <w:spacing w:after="0"/>
              <w:rPr>
                <w:sz w:val="16"/>
                <w:szCs w:val="16"/>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Aurora, IL</w:t>
            </w:r>
          </w:p>
        </w:tc>
        <w:tc>
          <w:tcPr>
            <w:tcW w:w="21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Hollywood Casino Lawrenceburg</w:t>
            </w:r>
          </w:p>
        </w:tc>
        <w:tc>
          <w:tcPr>
            <w:tcW w:w="1000" w:type="dxa"/>
            <w:vAlign w:val="bottom"/>
          </w:tcPr>
          <w:p>
            <w:pPr>
              <w:spacing w:after="0"/>
              <w:rPr>
                <w:sz w:val="16"/>
                <w:szCs w:val="16"/>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Lawrenceburg, IN</w:t>
            </w:r>
          </w:p>
        </w:tc>
        <w:tc>
          <w:tcPr>
            <w:tcW w:w="0" w:type="dxa"/>
            <w:vAlign w:val="bottom"/>
          </w:tcPr>
          <w:p>
            <w:pPr>
              <w:spacing w:after="0"/>
              <w:rPr>
                <w:sz w:val="1"/>
                <w:szCs w:val="1"/>
                <w:color w:val="auto"/>
              </w:rPr>
            </w:pPr>
          </w:p>
        </w:tc>
      </w:tr>
      <w:tr>
        <w:trPr>
          <w:trHeight w:val="201"/>
        </w:trPr>
        <w:tc>
          <w:tcPr>
            <w:tcW w:w="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7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Hollywood Casino Joliet</w:t>
            </w:r>
          </w:p>
        </w:tc>
        <w:tc>
          <w:tcPr>
            <w:tcW w:w="8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Joliet, IL</w:t>
            </w:r>
          </w:p>
        </w:tc>
        <w:tc>
          <w:tcPr>
            <w:tcW w:w="2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Argosy Casino Alton</w:t>
            </w:r>
          </w:p>
        </w:tc>
        <w:tc>
          <w:tcPr>
            <w:tcW w:w="1000" w:type="dxa"/>
            <w:vAlign w:val="bottom"/>
            <w:shd w:val="clear" w:color="auto" w:fill="CCEEFF"/>
          </w:tcPr>
          <w:p>
            <w:pPr>
              <w:spacing w:after="0"/>
              <w:rPr>
                <w:sz w:val="17"/>
                <w:szCs w:val="17"/>
                <w:color w:val="auto"/>
              </w:rPr>
            </w:pPr>
          </w:p>
        </w:tc>
        <w:tc>
          <w:tcPr>
            <w:tcW w:w="1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Alton, IL</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780" w:type="dxa"/>
            <w:vAlign w:val="bottom"/>
          </w:tcPr>
          <w:p>
            <w:pPr>
              <w:ind w:left="280"/>
              <w:spacing w:after="0"/>
              <w:rPr>
                <w:sz w:val="20"/>
                <w:szCs w:val="20"/>
                <w:color w:val="auto"/>
              </w:rPr>
            </w:pPr>
            <w:r>
              <w:rPr>
                <w:rFonts w:ascii="Times New Roman" w:cs="Times New Roman" w:eastAsia="Times New Roman" w:hAnsi="Times New Roman"/>
                <w:sz w:val="14"/>
                <w:szCs w:val="14"/>
                <w:color w:val="auto"/>
                <w:w w:val="99"/>
              </w:rPr>
              <w:t>Hollywood Casino Toledo</w:t>
            </w:r>
          </w:p>
        </w:tc>
        <w:tc>
          <w:tcPr>
            <w:tcW w:w="880" w:type="dxa"/>
            <w:vAlign w:val="bottom"/>
          </w:tcPr>
          <w:p>
            <w:pPr>
              <w:spacing w:after="0"/>
              <w:rPr>
                <w:sz w:val="16"/>
                <w:szCs w:val="16"/>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Toledo, OH</w:t>
            </w:r>
          </w:p>
        </w:tc>
        <w:tc>
          <w:tcPr>
            <w:tcW w:w="31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Hollywood Casino at Charles Town Races</w:t>
            </w:r>
          </w:p>
        </w:tc>
        <w:tc>
          <w:tcPr>
            <w:tcW w:w="1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Charles Town, WV</w:t>
            </w:r>
          </w:p>
        </w:tc>
        <w:tc>
          <w:tcPr>
            <w:tcW w:w="0" w:type="dxa"/>
            <w:vAlign w:val="bottom"/>
          </w:tcPr>
          <w:p>
            <w:pPr>
              <w:spacing w:after="0"/>
              <w:rPr>
                <w:sz w:val="1"/>
                <w:szCs w:val="1"/>
                <w:color w:val="auto"/>
              </w:rPr>
            </w:pPr>
          </w:p>
        </w:tc>
      </w:tr>
      <w:tr>
        <w:trPr>
          <w:trHeight w:val="201"/>
        </w:trPr>
        <w:tc>
          <w:tcPr>
            <w:tcW w:w="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Hollywood Casino Columbus</w:t>
            </w:r>
          </w:p>
        </w:tc>
        <w:tc>
          <w:tcPr>
            <w:tcW w:w="1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Columbus, OH</w:t>
            </w:r>
          </w:p>
        </w:tc>
        <w:tc>
          <w:tcPr>
            <w:tcW w:w="31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Hollywood Casino at Penn National Race Course</w:t>
            </w:r>
          </w:p>
        </w:tc>
        <w:tc>
          <w:tcPr>
            <w:tcW w:w="1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Grantville, PA</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7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M Resort</w:t>
            </w:r>
          </w:p>
        </w:tc>
        <w:tc>
          <w:tcPr>
            <w:tcW w:w="880" w:type="dxa"/>
            <w:vAlign w:val="bottom"/>
          </w:tcPr>
          <w:p>
            <w:pPr>
              <w:spacing w:after="0"/>
              <w:rPr>
                <w:sz w:val="16"/>
                <w:szCs w:val="16"/>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Henderson, NV</w:t>
            </w:r>
          </w:p>
        </w:tc>
        <w:tc>
          <w:tcPr>
            <w:tcW w:w="21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Hollywood Casino Bangor</w:t>
            </w:r>
          </w:p>
        </w:tc>
        <w:tc>
          <w:tcPr>
            <w:tcW w:w="1000" w:type="dxa"/>
            <w:vAlign w:val="bottom"/>
          </w:tcPr>
          <w:p>
            <w:pPr>
              <w:spacing w:after="0"/>
              <w:rPr>
                <w:sz w:val="16"/>
                <w:szCs w:val="16"/>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Bangor, ME</w:t>
            </w:r>
          </w:p>
        </w:tc>
        <w:tc>
          <w:tcPr>
            <w:tcW w:w="0" w:type="dxa"/>
            <w:vAlign w:val="bottom"/>
          </w:tcPr>
          <w:p>
            <w:pPr>
              <w:spacing w:after="0"/>
              <w:rPr>
                <w:sz w:val="1"/>
                <w:szCs w:val="1"/>
                <w:color w:val="auto"/>
              </w:rPr>
            </w:pPr>
          </w:p>
        </w:tc>
      </w:tr>
      <w:tr>
        <w:trPr>
          <w:trHeight w:val="201"/>
        </w:trPr>
        <w:tc>
          <w:tcPr>
            <w:tcW w:w="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Hollywood Casino at the Meadows</w:t>
            </w:r>
          </w:p>
        </w:tc>
        <w:tc>
          <w:tcPr>
            <w:tcW w:w="1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Washington, PA</w:t>
            </w:r>
          </w:p>
        </w:tc>
        <w:tc>
          <w:tcPr>
            <w:tcW w:w="2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Zia Park Casino</w:t>
            </w:r>
          </w:p>
        </w:tc>
        <w:tc>
          <w:tcPr>
            <w:tcW w:w="1000" w:type="dxa"/>
            <w:vAlign w:val="bottom"/>
            <w:shd w:val="clear" w:color="auto" w:fill="CCEEFF"/>
          </w:tcPr>
          <w:p>
            <w:pPr>
              <w:spacing w:after="0"/>
              <w:rPr>
                <w:sz w:val="17"/>
                <w:szCs w:val="17"/>
                <w:color w:val="auto"/>
              </w:rPr>
            </w:pPr>
          </w:p>
        </w:tc>
        <w:tc>
          <w:tcPr>
            <w:tcW w:w="1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Hobbs, NM</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6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Hollywood Casino Perryville</w:t>
            </w:r>
          </w:p>
        </w:tc>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Perryville, MD</w:t>
            </w:r>
          </w:p>
        </w:tc>
        <w:tc>
          <w:tcPr>
            <w:tcW w:w="21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Hollywood Casino Gulf Coast</w:t>
            </w:r>
          </w:p>
        </w:tc>
        <w:tc>
          <w:tcPr>
            <w:tcW w:w="1000" w:type="dxa"/>
            <w:vAlign w:val="bottom"/>
          </w:tcPr>
          <w:p>
            <w:pPr>
              <w:spacing w:after="0"/>
              <w:rPr>
                <w:sz w:val="16"/>
                <w:szCs w:val="16"/>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Bay St. Louis, MS</w:t>
            </w:r>
          </w:p>
        </w:tc>
        <w:tc>
          <w:tcPr>
            <w:tcW w:w="0" w:type="dxa"/>
            <w:vAlign w:val="bottom"/>
          </w:tcPr>
          <w:p>
            <w:pPr>
              <w:spacing w:after="0"/>
              <w:rPr>
                <w:sz w:val="1"/>
                <w:szCs w:val="1"/>
                <w:color w:val="auto"/>
              </w:rPr>
            </w:pPr>
          </w:p>
        </w:tc>
      </w:tr>
      <w:tr>
        <w:trPr>
          <w:trHeight w:val="201"/>
        </w:trPr>
        <w:tc>
          <w:tcPr>
            <w:tcW w:w="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Argosy Casino Riverside</w:t>
            </w:r>
          </w:p>
        </w:tc>
        <w:tc>
          <w:tcPr>
            <w:tcW w:w="1000" w:type="dxa"/>
            <w:vAlign w:val="bottom"/>
            <w:shd w:val="clear" w:color="auto" w:fill="CCEEFF"/>
          </w:tcPr>
          <w:p>
            <w:pPr>
              <w:spacing w:after="0"/>
              <w:rPr>
                <w:sz w:val="17"/>
                <w:szCs w:val="17"/>
                <w:color w:val="auto"/>
              </w:rPr>
            </w:pPr>
          </w:p>
        </w:tc>
        <w:tc>
          <w:tcPr>
            <w:tcW w:w="1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Riverside, MO</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1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Hollywood Casino Tunica</w:t>
            </w:r>
          </w:p>
        </w:tc>
        <w:tc>
          <w:tcPr>
            <w:tcW w:w="1000" w:type="dxa"/>
            <w:vAlign w:val="bottom"/>
          </w:tcPr>
          <w:p>
            <w:pPr>
              <w:spacing w:after="0"/>
              <w:rPr>
                <w:sz w:val="16"/>
                <w:szCs w:val="16"/>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Tunica, MS</w:t>
            </w:r>
          </w:p>
        </w:tc>
        <w:tc>
          <w:tcPr>
            <w:tcW w:w="0" w:type="dxa"/>
            <w:vAlign w:val="bottom"/>
          </w:tcPr>
          <w:p>
            <w:pPr>
              <w:spacing w:after="0"/>
              <w:rPr>
                <w:sz w:val="1"/>
                <w:szCs w:val="1"/>
                <w:color w:val="auto"/>
              </w:rPr>
            </w:pPr>
          </w:p>
        </w:tc>
      </w:tr>
      <w:tr>
        <w:trPr>
          <w:trHeight w:val="201"/>
        </w:trPr>
        <w:tc>
          <w:tcPr>
            <w:tcW w:w="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Boomtown Biloxi</w:t>
            </w:r>
          </w:p>
        </w:tc>
        <w:tc>
          <w:tcPr>
            <w:tcW w:w="1000" w:type="dxa"/>
            <w:vAlign w:val="bottom"/>
            <w:shd w:val="clear" w:color="auto" w:fill="CCEEFF"/>
          </w:tcPr>
          <w:p>
            <w:pPr>
              <w:spacing w:after="0"/>
              <w:rPr>
                <w:sz w:val="17"/>
                <w:szCs w:val="17"/>
                <w:color w:val="auto"/>
              </w:rPr>
            </w:pPr>
          </w:p>
        </w:tc>
        <w:tc>
          <w:tcPr>
            <w:tcW w:w="1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Biloxi, MS</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1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Hollywood Casino St. Louis</w:t>
            </w:r>
          </w:p>
        </w:tc>
        <w:tc>
          <w:tcPr>
            <w:tcW w:w="1000" w:type="dxa"/>
            <w:vAlign w:val="bottom"/>
          </w:tcPr>
          <w:p>
            <w:pPr>
              <w:spacing w:after="0"/>
              <w:rPr>
                <w:sz w:val="16"/>
                <w:szCs w:val="16"/>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Maryland Heights, MO</w:t>
            </w:r>
          </w:p>
        </w:tc>
        <w:tc>
          <w:tcPr>
            <w:tcW w:w="0" w:type="dxa"/>
            <w:vAlign w:val="bottom"/>
          </w:tcPr>
          <w:p>
            <w:pPr>
              <w:spacing w:after="0"/>
              <w:rPr>
                <w:sz w:val="1"/>
                <w:szCs w:val="1"/>
                <w:color w:val="auto"/>
              </w:rPr>
            </w:pPr>
          </w:p>
        </w:tc>
      </w:tr>
      <w:tr>
        <w:trPr>
          <w:trHeight w:val="201"/>
        </w:trPr>
        <w:tc>
          <w:tcPr>
            <w:tcW w:w="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1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Hollywood Gaming Casino at Dayton Raceway</w:t>
            </w:r>
          </w:p>
        </w:tc>
        <w:tc>
          <w:tcPr>
            <w:tcW w:w="1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Dayton, OH</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3140" w:type="dxa"/>
            <w:vAlign w:val="bottom"/>
            <w:gridSpan w:val="2"/>
          </w:tcPr>
          <w:p>
            <w:pPr>
              <w:ind w:left="140"/>
              <w:spacing w:after="0" w:line="135" w:lineRule="exact"/>
              <w:rPr>
                <w:sz w:val="20"/>
                <w:szCs w:val="20"/>
                <w:color w:val="auto"/>
              </w:rPr>
            </w:pPr>
            <w:r>
              <w:rPr>
                <w:rFonts w:ascii="Times New Roman" w:cs="Times New Roman" w:eastAsia="Times New Roman" w:hAnsi="Times New Roman"/>
                <w:sz w:val="14"/>
                <w:szCs w:val="14"/>
                <w:color w:val="auto"/>
                <w:w w:val="98"/>
              </w:rPr>
              <w:t>Hollywood Gaming Casino at Mahoning Valley Race</w:t>
            </w:r>
          </w:p>
        </w:tc>
        <w:tc>
          <w:tcPr>
            <w:tcW w:w="16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Youngstown, OH</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1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Track</w:t>
            </w:r>
          </w:p>
        </w:tc>
        <w:tc>
          <w:tcPr>
            <w:tcW w:w="1000" w:type="dxa"/>
            <w:vAlign w:val="bottom"/>
          </w:tcPr>
          <w:p>
            <w:pPr>
              <w:spacing w:after="0"/>
              <w:rPr>
                <w:sz w:val="15"/>
                <w:szCs w:val="15"/>
                <w:color w:val="auto"/>
              </w:rPr>
            </w:pPr>
          </w:p>
        </w:tc>
        <w:tc>
          <w:tcPr>
            <w:tcW w:w="1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1st Jackpot Casino</w:t>
            </w:r>
          </w:p>
        </w:tc>
        <w:tc>
          <w:tcPr>
            <w:tcW w:w="1000" w:type="dxa"/>
            <w:vAlign w:val="bottom"/>
            <w:shd w:val="clear" w:color="auto" w:fill="CCEEFF"/>
          </w:tcPr>
          <w:p>
            <w:pPr>
              <w:spacing w:after="0"/>
              <w:rPr>
                <w:sz w:val="17"/>
                <w:szCs w:val="17"/>
                <w:color w:val="auto"/>
              </w:rPr>
            </w:pPr>
          </w:p>
        </w:tc>
        <w:tc>
          <w:tcPr>
            <w:tcW w:w="1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Tunica, MS</w:t>
            </w:r>
          </w:p>
        </w:tc>
        <w:tc>
          <w:tcPr>
            <w:tcW w:w="0" w:type="dxa"/>
            <w:vAlign w:val="bottom"/>
          </w:tcPr>
          <w:p>
            <w:pPr>
              <w:spacing w:after="0"/>
              <w:rPr>
                <w:sz w:val="1"/>
                <w:szCs w:val="1"/>
                <w:color w:val="auto"/>
              </w:rPr>
            </w:pPr>
          </w:p>
        </w:tc>
      </w:tr>
      <w:tr>
        <w:trPr>
          <w:trHeight w:val="186"/>
        </w:trPr>
        <w:tc>
          <w:tcPr>
            <w:tcW w:w="274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Commencement Date</w:t>
            </w:r>
          </w:p>
        </w:tc>
        <w:tc>
          <w:tcPr>
            <w:tcW w:w="17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1/1/2023</w:t>
            </w:r>
          </w:p>
        </w:tc>
        <w:tc>
          <w:tcPr>
            <w:tcW w:w="106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11/1/2013</w:t>
            </w:r>
          </w:p>
        </w:tc>
        <w:tc>
          <w:tcPr>
            <w:tcW w:w="1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7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Lease Expiration Date</w:t>
            </w:r>
          </w:p>
        </w:tc>
        <w:tc>
          <w:tcPr>
            <w:tcW w:w="17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10/31/2033</w:t>
            </w:r>
          </w:p>
        </w:tc>
        <w:tc>
          <w:tcPr>
            <w:tcW w:w="1060" w:type="dxa"/>
            <w:vAlign w:val="bottom"/>
            <w:shd w:val="clear" w:color="auto" w:fill="CCEEFF"/>
          </w:tcPr>
          <w:p>
            <w:pPr>
              <w:spacing w:after="0"/>
              <w:rPr>
                <w:sz w:val="17"/>
                <w:szCs w:val="17"/>
                <w:color w:val="auto"/>
              </w:rPr>
            </w:pPr>
          </w:p>
        </w:tc>
        <w:tc>
          <w:tcPr>
            <w:tcW w:w="2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10/31/2033</w:t>
            </w:r>
          </w:p>
        </w:tc>
        <w:tc>
          <w:tcPr>
            <w:tcW w:w="1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74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Remaining Renewal Terms</w:t>
            </w:r>
          </w:p>
        </w:tc>
        <w:tc>
          <w:tcPr>
            <w:tcW w:w="17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 (3x5 years)</w:t>
            </w:r>
          </w:p>
        </w:tc>
        <w:tc>
          <w:tcPr>
            <w:tcW w:w="106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 (3x5 years)</w:t>
            </w:r>
          </w:p>
        </w:tc>
        <w:tc>
          <w:tcPr>
            <w:tcW w:w="1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7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Corporate Guarantee</w:t>
            </w:r>
          </w:p>
        </w:tc>
        <w:tc>
          <w:tcPr>
            <w:tcW w:w="17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Yes</w:t>
            </w:r>
          </w:p>
        </w:tc>
        <w:tc>
          <w:tcPr>
            <w:tcW w:w="1060" w:type="dxa"/>
            <w:vAlign w:val="bottom"/>
            <w:shd w:val="clear" w:color="auto" w:fill="CCEEFF"/>
          </w:tcPr>
          <w:p>
            <w:pPr>
              <w:spacing w:after="0"/>
              <w:rPr>
                <w:sz w:val="17"/>
                <w:szCs w:val="17"/>
                <w:color w:val="auto"/>
              </w:rPr>
            </w:pPr>
          </w:p>
        </w:tc>
        <w:tc>
          <w:tcPr>
            <w:tcW w:w="2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Yes</w:t>
            </w:r>
          </w:p>
        </w:tc>
        <w:tc>
          <w:tcPr>
            <w:tcW w:w="1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74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Master Lease with Cross Collateralization</w:t>
            </w:r>
          </w:p>
        </w:tc>
        <w:tc>
          <w:tcPr>
            <w:tcW w:w="17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Yes</w:t>
            </w:r>
          </w:p>
        </w:tc>
        <w:tc>
          <w:tcPr>
            <w:tcW w:w="106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Yes</w:t>
            </w:r>
          </w:p>
        </w:tc>
        <w:tc>
          <w:tcPr>
            <w:tcW w:w="1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7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Technical Default Landlord Protection</w:t>
            </w:r>
          </w:p>
        </w:tc>
        <w:tc>
          <w:tcPr>
            <w:tcW w:w="17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Yes</w:t>
            </w:r>
          </w:p>
        </w:tc>
        <w:tc>
          <w:tcPr>
            <w:tcW w:w="1060" w:type="dxa"/>
            <w:vAlign w:val="bottom"/>
            <w:shd w:val="clear" w:color="auto" w:fill="CCEEFF"/>
          </w:tcPr>
          <w:p>
            <w:pPr>
              <w:spacing w:after="0"/>
              <w:rPr>
                <w:sz w:val="17"/>
                <w:szCs w:val="17"/>
                <w:color w:val="auto"/>
              </w:rPr>
            </w:pPr>
          </w:p>
        </w:tc>
        <w:tc>
          <w:tcPr>
            <w:tcW w:w="2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Yes</w:t>
            </w:r>
          </w:p>
        </w:tc>
        <w:tc>
          <w:tcPr>
            <w:tcW w:w="1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74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Default Adjusted Revenue to Rent Coverage</w:t>
            </w:r>
          </w:p>
        </w:tc>
        <w:tc>
          <w:tcPr>
            <w:tcW w:w="17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6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7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Competitive Radius Landlord Protection</w:t>
            </w:r>
          </w:p>
        </w:tc>
        <w:tc>
          <w:tcPr>
            <w:tcW w:w="17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Yes</w:t>
            </w:r>
          </w:p>
        </w:tc>
        <w:tc>
          <w:tcPr>
            <w:tcW w:w="1060" w:type="dxa"/>
            <w:vAlign w:val="bottom"/>
            <w:shd w:val="clear" w:color="auto" w:fill="CCEEFF"/>
          </w:tcPr>
          <w:p>
            <w:pPr>
              <w:spacing w:after="0"/>
              <w:rPr>
                <w:sz w:val="17"/>
                <w:szCs w:val="17"/>
                <w:color w:val="auto"/>
              </w:rPr>
            </w:pPr>
          </w:p>
        </w:tc>
        <w:tc>
          <w:tcPr>
            <w:tcW w:w="2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Yes</w:t>
            </w:r>
          </w:p>
        </w:tc>
        <w:tc>
          <w:tcPr>
            <w:tcW w:w="1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2740" w:type="dxa"/>
            <w:vAlign w:val="bottom"/>
            <w:gridSpan w:val="4"/>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Escalator Details</w:t>
            </w:r>
          </w:p>
        </w:tc>
        <w:tc>
          <w:tcPr>
            <w:tcW w:w="17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000" w:type="dxa"/>
            <w:vAlign w:val="bottom"/>
            <w:tcBorders>
              <w:top w:val="single" w:sz="8" w:color="auto"/>
            </w:tcBorders>
          </w:tcPr>
          <w:p>
            <w:pPr>
              <w:spacing w:after="0"/>
              <w:rPr>
                <w:sz w:val="2"/>
                <w:szCs w:val="2"/>
                <w:color w:val="auto"/>
              </w:rPr>
            </w:pPr>
          </w:p>
        </w:tc>
        <w:tc>
          <w:tcPr>
            <w:tcW w:w="7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27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Yearly Base Rent Escalator Maximum</w:t>
            </w:r>
          </w:p>
        </w:tc>
        <w:tc>
          <w:tcPr>
            <w:tcW w:w="17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 (1)</w:t>
            </w:r>
          </w:p>
        </w:tc>
        <w:tc>
          <w:tcPr>
            <w:tcW w:w="1060" w:type="dxa"/>
            <w:vAlign w:val="bottom"/>
            <w:shd w:val="clear" w:color="auto" w:fill="CCEEFF"/>
          </w:tcPr>
          <w:p>
            <w:pPr>
              <w:spacing w:after="0"/>
              <w:rPr>
                <w:sz w:val="16"/>
                <w:szCs w:val="16"/>
                <w:color w:val="auto"/>
              </w:rPr>
            </w:pPr>
          </w:p>
        </w:tc>
        <w:tc>
          <w:tcPr>
            <w:tcW w:w="21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2 %</w:t>
            </w:r>
          </w:p>
        </w:tc>
        <w:tc>
          <w:tcPr>
            <w:tcW w:w="16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74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Coverage ratio at December 31, 2025</w:t>
            </w:r>
          </w:p>
        </w:tc>
        <w:tc>
          <w:tcPr>
            <w:tcW w:w="17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w:t>
            </w:r>
          </w:p>
        </w:tc>
        <w:tc>
          <w:tcPr>
            <w:tcW w:w="106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w:t>
            </w:r>
          </w:p>
        </w:tc>
        <w:tc>
          <w:tcPr>
            <w:tcW w:w="1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7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Minimum Escalator Coverage Governor</w:t>
            </w:r>
          </w:p>
        </w:tc>
        <w:tc>
          <w:tcPr>
            <w:tcW w:w="17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1060" w:type="dxa"/>
            <w:vAlign w:val="bottom"/>
            <w:shd w:val="clear" w:color="auto" w:fill="CCEEFF"/>
          </w:tcPr>
          <w:p>
            <w:pPr>
              <w:spacing w:after="0"/>
              <w:rPr>
                <w:sz w:val="17"/>
                <w:szCs w:val="17"/>
                <w:color w:val="auto"/>
              </w:rPr>
            </w:pPr>
          </w:p>
        </w:tc>
        <w:tc>
          <w:tcPr>
            <w:tcW w:w="2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74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Yearly Anniversary for Realization</w:t>
            </w:r>
          </w:p>
        </w:tc>
        <w:tc>
          <w:tcPr>
            <w:tcW w:w="17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November</w:t>
            </w:r>
          </w:p>
        </w:tc>
        <w:tc>
          <w:tcPr>
            <w:tcW w:w="106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November</w:t>
            </w:r>
          </w:p>
        </w:tc>
        <w:tc>
          <w:tcPr>
            <w:tcW w:w="1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0" w:type="dxa"/>
            <w:vAlign w:val="bottom"/>
            <w:tcBorders>
              <w:bottom w:val="single" w:sz="8" w:color="CCEEFF"/>
            </w:tcBorders>
            <w:shd w:val="clear" w:color="auto" w:fill="CCEEFF"/>
          </w:tcPr>
          <w:p>
            <w:pPr>
              <w:spacing w:after="0"/>
              <w:rPr>
                <w:sz w:val="15"/>
                <w:szCs w:val="15"/>
                <w:color w:val="auto"/>
              </w:rPr>
            </w:pPr>
          </w:p>
        </w:tc>
        <w:tc>
          <w:tcPr>
            <w:tcW w:w="1760" w:type="dxa"/>
            <w:vAlign w:val="bottom"/>
            <w:tcBorders>
              <w:bottom w:val="single" w:sz="8" w:color="auto"/>
            </w:tcBorders>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w w:val="97"/>
              </w:rPr>
              <w:t>Percentage Rent Reset Details</w:t>
            </w:r>
          </w:p>
        </w:tc>
        <w:tc>
          <w:tcPr>
            <w:tcW w:w="960" w:type="dxa"/>
            <w:vAlign w:val="bottom"/>
            <w:tcBorders>
              <w:bottom w:val="single" w:sz="8" w:color="CCEEFF"/>
            </w:tcBorders>
            <w:shd w:val="clear" w:color="auto" w:fill="CCEEFF"/>
          </w:tcPr>
          <w:p>
            <w:pPr>
              <w:spacing w:after="0"/>
              <w:rPr>
                <w:sz w:val="15"/>
                <w:szCs w:val="15"/>
                <w:color w:val="auto"/>
              </w:rPr>
            </w:pPr>
          </w:p>
        </w:tc>
        <w:tc>
          <w:tcPr>
            <w:tcW w:w="178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spacing w:after="0"/>
              <w:rPr>
                <w:sz w:val="15"/>
                <w:szCs w:val="15"/>
                <w:color w:val="auto"/>
              </w:rPr>
            </w:pPr>
          </w:p>
        </w:tc>
        <w:tc>
          <w:tcPr>
            <w:tcW w:w="214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16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74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Reset Frequency</w:t>
            </w:r>
          </w:p>
        </w:tc>
        <w:tc>
          <w:tcPr>
            <w:tcW w:w="17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106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 years</w:t>
            </w:r>
          </w:p>
        </w:tc>
        <w:tc>
          <w:tcPr>
            <w:tcW w:w="1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7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Next Reset</w:t>
            </w:r>
          </w:p>
        </w:tc>
        <w:tc>
          <w:tcPr>
            <w:tcW w:w="17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1060" w:type="dxa"/>
            <w:vAlign w:val="bottom"/>
            <w:shd w:val="clear" w:color="auto" w:fill="CCEEFF"/>
          </w:tcPr>
          <w:p>
            <w:pPr>
              <w:spacing w:after="0"/>
              <w:rPr>
                <w:sz w:val="17"/>
                <w:szCs w:val="17"/>
                <w:color w:val="auto"/>
              </w:rPr>
            </w:pPr>
          </w:p>
        </w:tc>
        <w:tc>
          <w:tcPr>
            <w:tcW w:w="2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Nov-28</w:t>
            </w:r>
          </w:p>
        </w:tc>
        <w:tc>
          <w:tcPr>
            <w:tcW w:w="1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86" w:lineRule="exact"/>
        <w:rPr>
          <w:sz w:val="20"/>
          <w:szCs w:val="20"/>
          <w:color w:val="auto"/>
        </w:rPr>
      </w:pPr>
    </w:p>
    <w:p>
      <w:pPr>
        <w:ind w:left="300" w:hanging="297"/>
        <w:spacing w:after="0"/>
        <w:tabs>
          <w:tab w:leader="none" w:pos="300" w:val="left"/>
        </w:tabs>
        <w:numPr>
          <w:ilvl w:val="0"/>
          <w:numId w:val="1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 addition to the annual escalation, a one-time annualized increase of $1.4 million occurs on November 1, 2027.</w:t>
      </w:r>
    </w:p>
    <w:p>
      <w:pPr>
        <w:spacing w:after="0" w:line="200" w:lineRule="exact"/>
        <w:rPr>
          <w:rFonts w:ascii="Times New Roman" w:cs="Times New Roman" w:eastAsia="Times New Roman" w:hAnsi="Times New Roman"/>
          <w:sz w:val="22"/>
          <w:szCs w:val="22"/>
          <w:color w:val="auto"/>
          <w:vertAlign w:val="superscript"/>
        </w:rPr>
      </w:pPr>
    </w:p>
    <w:p>
      <w:pPr>
        <w:spacing w:after="0" w:line="200" w:lineRule="exact"/>
        <w:rPr>
          <w:rFonts w:ascii="Times New Roman" w:cs="Times New Roman" w:eastAsia="Times New Roman" w:hAnsi="Times New Roman"/>
          <w:sz w:val="22"/>
          <w:szCs w:val="22"/>
          <w:color w:val="auto"/>
          <w:vertAlign w:val="superscript"/>
        </w:rPr>
      </w:pPr>
    </w:p>
    <w:p>
      <w:pPr>
        <w:spacing w:after="0" w:line="200" w:lineRule="exact"/>
        <w:rPr>
          <w:rFonts w:ascii="Times New Roman" w:cs="Times New Roman" w:eastAsia="Times New Roman" w:hAnsi="Times New Roman"/>
          <w:sz w:val="22"/>
          <w:szCs w:val="22"/>
          <w:color w:val="auto"/>
          <w:vertAlign w:val="superscript"/>
        </w:rPr>
      </w:pPr>
    </w:p>
    <w:p>
      <w:pPr>
        <w:spacing w:after="0" w:line="272" w:lineRule="exact"/>
        <w:rPr>
          <w:rFonts w:ascii="Times New Roman" w:cs="Times New Roman" w:eastAsia="Times New Roman" w:hAnsi="Times New Roman"/>
          <w:sz w:val="22"/>
          <w:szCs w:val="22"/>
          <w:color w:val="auto"/>
          <w:vertAlign w:val="superscript"/>
        </w:rPr>
      </w:pPr>
    </w:p>
    <w:p>
      <w:pPr>
        <w:ind w:left="5540"/>
        <w:spacing w:after="0"/>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35" w:name="page36"/>
    <w:bookmarkEnd w:id="35"/>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205105</wp:posOffset>
            </wp:positionH>
            <wp:positionV relativeFrom="page">
              <wp:posOffset>661670</wp:posOffset>
            </wp:positionV>
            <wp:extent cx="7146925" cy="13906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6925" cy="139065"/>
                    </a:xfrm>
                    <a:prstGeom prst="rect">
                      <a:avLst/>
                    </a:prstGeom>
                    <a:noFill/>
                  </pic:spPr>
                </pic:pic>
              </a:graphicData>
            </a:graphic>
          </wp:anchor>
        </w:drawing>
        <w:t>Master Leases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860" w:type="dxa"/>
            <w:vAlign w:val="bottom"/>
            <w:gridSpan w:val="2"/>
          </w:tcPr>
          <w:p>
            <w:pPr>
              <w:ind w:left="1200"/>
              <w:spacing w:after="0"/>
              <w:rPr>
                <w:sz w:val="20"/>
                <w:szCs w:val="20"/>
                <w:color w:val="auto"/>
              </w:rPr>
            </w:pPr>
            <w:r>
              <w:rPr>
                <w:rFonts w:ascii="Times New Roman" w:cs="Times New Roman" w:eastAsia="Times New Roman" w:hAnsi="Times New Roman"/>
                <w:sz w:val="14"/>
                <w:szCs w:val="14"/>
                <w:b w:val="1"/>
                <w:bCs w:val="1"/>
                <w:color w:val="auto"/>
              </w:rPr>
              <w:t>Amended Pinnacle Master Lease</w:t>
            </w:r>
          </w:p>
        </w:tc>
        <w:tc>
          <w:tcPr>
            <w:tcW w:w="324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Bally's Master Lease</w:t>
            </w: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7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Operator</w:t>
            </w:r>
          </w:p>
        </w:tc>
        <w:tc>
          <w:tcPr>
            <w:tcW w:w="266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PENN</w:t>
            </w:r>
          </w:p>
        </w:tc>
        <w:tc>
          <w:tcPr>
            <w:tcW w:w="1200" w:type="dxa"/>
            <w:vAlign w:val="bottom"/>
            <w:shd w:val="clear" w:color="auto" w:fill="CCEEFF"/>
          </w:tcPr>
          <w:p>
            <w:pPr>
              <w:spacing w:after="0"/>
              <w:rPr>
                <w:sz w:val="16"/>
                <w:szCs w:val="16"/>
                <w:color w:val="auto"/>
              </w:rPr>
            </w:pPr>
          </w:p>
        </w:tc>
        <w:tc>
          <w:tcPr>
            <w:tcW w:w="3240" w:type="dxa"/>
            <w:vAlign w:val="bottom"/>
            <w:shd w:val="clear" w:color="auto" w:fill="CCEEFF"/>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Bally's</w:t>
            </w:r>
          </w:p>
        </w:tc>
        <w:tc>
          <w:tcPr>
            <w:tcW w:w="13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78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Properties</w:t>
            </w:r>
          </w:p>
        </w:tc>
        <w:tc>
          <w:tcPr>
            <w:tcW w:w="26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Ameristar Black Hawk</w:t>
            </w:r>
          </w:p>
        </w:tc>
        <w:tc>
          <w:tcPr>
            <w:tcW w:w="1200" w:type="dxa"/>
            <w:vAlign w:val="bottom"/>
          </w:tcPr>
          <w:p>
            <w:pPr>
              <w:spacing w:after="0"/>
              <w:rPr>
                <w:sz w:val="20"/>
                <w:szCs w:val="20"/>
                <w:color w:val="auto"/>
              </w:rPr>
            </w:pPr>
            <w:r>
              <w:rPr>
                <w:rFonts w:ascii="Times New Roman" w:cs="Times New Roman" w:eastAsia="Times New Roman" w:hAnsi="Times New Roman"/>
                <w:sz w:val="14"/>
                <w:szCs w:val="14"/>
                <w:color w:val="auto"/>
              </w:rPr>
              <w:t>Black Hawk, CO</w:t>
            </w:r>
          </w:p>
        </w:tc>
        <w:tc>
          <w:tcPr>
            <w:tcW w:w="32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Bally's Evansville</w:t>
            </w:r>
          </w:p>
        </w:tc>
        <w:tc>
          <w:tcPr>
            <w:tcW w:w="1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Evansville, IN</w:t>
            </w:r>
          </w:p>
        </w:tc>
        <w:tc>
          <w:tcPr>
            <w:tcW w:w="0" w:type="dxa"/>
            <w:vAlign w:val="bottom"/>
          </w:tcPr>
          <w:p>
            <w:pPr>
              <w:spacing w:after="0"/>
              <w:rPr>
                <w:sz w:val="1"/>
                <w:szCs w:val="1"/>
                <w:color w:val="auto"/>
              </w:rPr>
            </w:pPr>
          </w:p>
        </w:tc>
      </w:tr>
      <w:tr>
        <w:trPr>
          <w:trHeight w:val="201"/>
        </w:trPr>
        <w:tc>
          <w:tcPr>
            <w:tcW w:w="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6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Ameristar East Chicago</w:t>
            </w:r>
          </w:p>
        </w:tc>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East Chicago, IN</w:t>
            </w:r>
          </w:p>
        </w:tc>
        <w:tc>
          <w:tcPr>
            <w:tcW w:w="3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Bally's Dover Casino Resort</w:t>
            </w:r>
          </w:p>
        </w:tc>
        <w:tc>
          <w:tcPr>
            <w:tcW w:w="1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Dover, DE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660" w:type="dxa"/>
            <w:vAlign w:val="bottom"/>
            <w:vMerge w:val="restart"/>
          </w:tcPr>
          <w:p>
            <w:pPr>
              <w:ind w:left="300"/>
              <w:spacing w:after="0"/>
              <w:rPr>
                <w:sz w:val="20"/>
                <w:szCs w:val="20"/>
                <w:color w:val="auto"/>
              </w:rPr>
            </w:pPr>
            <w:r>
              <w:rPr>
                <w:rFonts w:ascii="Times New Roman" w:cs="Times New Roman" w:eastAsia="Times New Roman" w:hAnsi="Times New Roman"/>
                <w:sz w:val="14"/>
                <w:szCs w:val="14"/>
                <w:color w:val="auto"/>
              </w:rPr>
              <w:t>Ameristar Council Bluffs</w:t>
            </w:r>
          </w:p>
        </w:tc>
        <w:tc>
          <w:tcPr>
            <w:tcW w:w="12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Council Bluffs, IA</w:t>
            </w:r>
          </w:p>
        </w:tc>
        <w:tc>
          <w:tcPr>
            <w:tcW w:w="3240" w:type="dxa"/>
            <w:vAlign w:val="bottom"/>
          </w:tcPr>
          <w:p>
            <w:pPr>
              <w:ind w:left="180"/>
              <w:spacing w:after="0" w:line="129" w:lineRule="exact"/>
              <w:rPr>
                <w:sz w:val="20"/>
                <w:szCs w:val="20"/>
                <w:color w:val="auto"/>
              </w:rPr>
            </w:pPr>
            <w:r>
              <w:rPr>
                <w:rFonts w:ascii="Times New Roman" w:cs="Times New Roman" w:eastAsia="Times New Roman" w:hAnsi="Times New Roman"/>
                <w:sz w:val="14"/>
                <w:szCs w:val="14"/>
                <w:color w:val="auto"/>
              </w:rPr>
              <w:t>Black Hawk (Black Hawk North, West and East</w:t>
            </w:r>
          </w:p>
        </w:tc>
        <w:tc>
          <w:tcPr>
            <w:tcW w:w="13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Black Hawk, CO</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660" w:type="dxa"/>
            <w:vAlign w:val="bottom"/>
            <w:vMerge w:val="continue"/>
          </w:tcPr>
          <w:p>
            <w:pPr>
              <w:spacing w:after="0"/>
              <w:rPr>
                <w:sz w:val="16"/>
                <w:szCs w:val="16"/>
                <w:color w:val="auto"/>
              </w:rPr>
            </w:pPr>
          </w:p>
        </w:tc>
        <w:tc>
          <w:tcPr>
            <w:tcW w:w="1200" w:type="dxa"/>
            <w:vAlign w:val="bottom"/>
            <w:vMerge w:val="continue"/>
          </w:tcPr>
          <w:p>
            <w:pPr>
              <w:spacing w:after="0"/>
              <w:rPr>
                <w:sz w:val="16"/>
                <w:szCs w:val="16"/>
                <w:color w:val="auto"/>
              </w:rPr>
            </w:pPr>
          </w:p>
        </w:tc>
        <w:tc>
          <w:tcPr>
            <w:tcW w:w="32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casinos)</w:t>
            </w:r>
          </w:p>
        </w:tc>
        <w:tc>
          <w:tcPr>
            <w:tcW w:w="13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6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L'Auberge Baton Rouge</w:t>
            </w:r>
          </w:p>
        </w:tc>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Baton Rouge, LA</w:t>
            </w:r>
          </w:p>
        </w:tc>
        <w:tc>
          <w:tcPr>
            <w:tcW w:w="3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Quad Cities Casino &amp; Hotel</w:t>
            </w:r>
          </w:p>
        </w:tc>
        <w:tc>
          <w:tcPr>
            <w:tcW w:w="1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Rock Island, IL</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6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Boomtown Bossier City</w:t>
            </w:r>
          </w:p>
        </w:tc>
        <w:tc>
          <w:tcPr>
            <w:tcW w:w="1200" w:type="dxa"/>
            <w:vAlign w:val="bottom"/>
          </w:tcPr>
          <w:p>
            <w:pPr>
              <w:spacing w:after="0"/>
              <w:rPr>
                <w:sz w:val="20"/>
                <w:szCs w:val="20"/>
                <w:color w:val="auto"/>
              </w:rPr>
            </w:pPr>
            <w:r>
              <w:rPr>
                <w:rFonts w:ascii="Times New Roman" w:cs="Times New Roman" w:eastAsia="Times New Roman" w:hAnsi="Times New Roman"/>
                <w:sz w:val="14"/>
                <w:szCs w:val="14"/>
                <w:color w:val="auto"/>
              </w:rPr>
              <w:t>Bossier City, LA</w:t>
            </w:r>
          </w:p>
        </w:tc>
        <w:tc>
          <w:tcPr>
            <w:tcW w:w="32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Bally's Tiverton Hotel &amp; Casino</w:t>
            </w:r>
          </w:p>
        </w:tc>
        <w:tc>
          <w:tcPr>
            <w:tcW w:w="1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Tiverton, RI</w:t>
            </w:r>
          </w:p>
        </w:tc>
        <w:tc>
          <w:tcPr>
            <w:tcW w:w="0" w:type="dxa"/>
            <w:vAlign w:val="bottom"/>
          </w:tcPr>
          <w:p>
            <w:pPr>
              <w:spacing w:after="0"/>
              <w:rPr>
                <w:sz w:val="1"/>
                <w:szCs w:val="1"/>
                <w:color w:val="auto"/>
              </w:rPr>
            </w:pPr>
          </w:p>
        </w:tc>
      </w:tr>
      <w:tr>
        <w:trPr>
          <w:trHeight w:val="201"/>
        </w:trPr>
        <w:tc>
          <w:tcPr>
            <w:tcW w:w="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6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L'Auberge Lake Charles</w:t>
            </w:r>
          </w:p>
        </w:tc>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Lake Charles, LA</w:t>
            </w:r>
          </w:p>
        </w:tc>
        <w:tc>
          <w:tcPr>
            <w:tcW w:w="3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Hard Rock Casino and Hotel Biloxi</w:t>
            </w:r>
          </w:p>
        </w:tc>
        <w:tc>
          <w:tcPr>
            <w:tcW w:w="1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Biloxi, MS</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6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Boomtown New Orleans</w:t>
            </w:r>
          </w:p>
        </w:tc>
        <w:tc>
          <w:tcPr>
            <w:tcW w:w="1200" w:type="dxa"/>
            <w:vAlign w:val="bottom"/>
          </w:tcPr>
          <w:p>
            <w:pPr>
              <w:spacing w:after="0"/>
              <w:rPr>
                <w:sz w:val="20"/>
                <w:szCs w:val="20"/>
                <w:color w:val="auto"/>
              </w:rPr>
            </w:pPr>
            <w:r>
              <w:rPr>
                <w:rFonts w:ascii="Times New Roman" w:cs="Times New Roman" w:eastAsia="Times New Roman" w:hAnsi="Times New Roman"/>
                <w:sz w:val="14"/>
                <w:szCs w:val="14"/>
                <w:color w:val="auto"/>
              </w:rPr>
              <w:t>New Orleans, LA</w:t>
            </w:r>
          </w:p>
        </w:tc>
        <w:tc>
          <w:tcPr>
            <w:tcW w:w="32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6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Ameristar Vicksburg</w:t>
            </w:r>
          </w:p>
        </w:tc>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Vicksburg, MS</w:t>
            </w:r>
          </w:p>
        </w:tc>
        <w:tc>
          <w:tcPr>
            <w:tcW w:w="32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6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River City Casino &amp; Hotel</w:t>
            </w:r>
          </w:p>
        </w:tc>
        <w:tc>
          <w:tcPr>
            <w:tcW w:w="1200" w:type="dxa"/>
            <w:vAlign w:val="bottom"/>
          </w:tcPr>
          <w:p>
            <w:pPr>
              <w:spacing w:after="0"/>
              <w:rPr>
                <w:sz w:val="20"/>
                <w:szCs w:val="20"/>
                <w:color w:val="auto"/>
              </w:rPr>
            </w:pPr>
            <w:r>
              <w:rPr>
                <w:rFonts w:ascii="Times New Roman" w:cs="Times New Roman" w:eastAsia="Times New Roman" w:hAnsi="Times New Roman"/>
                <w:sz w:val="14"/>
                <w:szCs w:val="14"/>
                <w:color w:val="auto"/>
              </w:rPr>
              <w:t>St. Louis, MO</w:t>
            </w:r>
          </w:p>
        </w:tc>
        <w:tc>
          <w:tcPr>
            <w:tcW w:w="32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660" w:type="dxa"/>
            <w:vAlign w:val="bottom"/>
            <w:shd w:val="clear" w:color="auto" w:fill="CCEEFF"/>
          </w:tcPr>
          <w:p>
            <w:pPr>
              <w:ind w:left="300"/>
              <w:spacing w:after="0" w:line="137" w:lineRule="exact"/>
              <w:rPr>
                <w:sz w:val="20"/>
                <w:szCs w:val="20"/>
                <w:color w:val="auto"/>
              </w:rPr>
            </w:pPr>
            <w:r>
              <w:rPr>
                <w:rFonts w:ascii="Times New Roman" w:cs="Times New Roman" w:eastAsia="Times New Roman" w:hAnsi="Times New Roman"/>
                <w:sz w:val="14"/>
                <w:szCs w:val="14"/>
                <w:color w:val="auto"/>
              </w:rPr>
              <w:t>Jackpot Properties (Cactus Petes and</w:t>
            </w:r>
          </w:p>
        </w:tc>
        <w:tc>
          <w:tcPr>
            <w:tcW w:w="12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Jackpot, NV</w:t>
            </w:r>
          </w:p>
        </w:tc>
        <w:tc>
          <w:tcPr>
            <w:tcW w:w="324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6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Horseshu)</w:t>
            </w:r>
          </w:p>
        </w:tc>
        <w:tc>
          <w:tcPr>
            <w:tcW w:w="1200" w:type="dxa"/>
            <w:vAlign w:val="bottom"/>
            <w:vMerge w:val="continue"/>
            <w:shd w:val="clear" w:color="auto" w:fill="CCEEFF"/>
          </w:tcPr>
          <w:p>
            <w:pPr>
              <w:spacing w:after="0"/>
              <w:rPr>
                <w:sz w:val="16"/>
                <w:szCs w:val="16"/>
                <w:color w:val="auto"/>
              </w:rPr>
            </w:pPr>
          </w:p>
        </w:tc>
        <w:tc>
          <w:tcPr>
            <w:tcW w:w="324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6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Plainridge Park Casino</w:t>
            </w:r>
          </w:p>
        </w:tc>
        <w:tc>
          <w:tcPr>
            <w:tcW w:w="1200" w:type="dxa"/>
            <w:vAlign w:val="bottom"/>
          </w:tcPr>
          <w:p>
            <w:pPr>
              <w:spacing w:after="0"/>
              <w:rPr>
                <w:sz w:val="20"/>
                <w:szCs w:val="20"/>
                <w:color w:val="auto"/>
              </w:rPr>
            </w:pPr>
            <w:r>
              <w:rPr>
                <w:rFonts w:ascii="Times New Roman" w:cs="Times New Roman" w:eastAsia="Times New Roman" w:hAnsi="Times New Roman"/>
                <w:sz w:val="14"/>
                <w:szCs w:val="14"/>
                <w:color w:val="auto"/>
              </w:rPr>
              <w:t>Plainridge, MA</w:t>
            </w:r>
          </w:p>
        </w:tc>
        <w:tc>
          <w:tcPr>
            <w:tcW w:w="32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7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Commencement Date</w:t>
            </w:r>
          </w:p>
        </w:tc>
        <w:tc>
          <w:tcPr>
            <w:tcW w:w="2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4/28/2016</w:t>
            </w:r>
          </w:p>
        </w:tc>
        <w:tc>
          <w:tcPr>
            <w:tcW w:w="1200" w:type="dxa"/>
            <w:vAlign w:val="bottom"/>
            <w:shd w:val="clear" w:color="auto" w:fill="CCEEFF"/>
          </w:tcPr>
          <w:p>
            <w:pPr>
              <w:spacing w:after="0"/>
              <w:rPr>
                <w:sz w:val="17"/>
                <w:szCs w:val="17"/>
                <w:color w:val="auto"/>
              </w:rPr>
            </w:pPr>
          </w:p>
        </w:tc>
        <w:tc>
          <w:tcPr>
            <w:tcW w:w="3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6/3/2021</w:t>
            </w:r>
          </w:p>
        </w:tc>
        <w:tc>
          <w:tcPr>
            <w:tcW w:w="1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78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Lease Expiration Date</w:t>
            </w:r>
          </w:p>
        </w:tc>
        <w:tc>
          <w:tcPr>
            <w:tcW w:w="2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4/30/2031</w:t>
            </w:r>
          </w:p>
        </w:tc>
        <w:tc>
          <w:tcPr>
            <w:tcW w:w="1200" w:type="dxa"/>
            <w:vAlign w:val="bottom"/>
          </w:tcPr>
          <w:p>
            <w:pPr>
              <w:spacing w:after="0"/>
              <w:rPr>
                <w:sz w:val="16"/>
                <w:szCs w:val="16"/>
                <w:color w:val="auto"/>
              </w:rPr>
            </w:pPr>
          </w:p>
        </w:tc>
        <w:tc>
          <w:tcPr>
            <w:tcW w:w="3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6/2/2036</w:t>
            </w: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7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Remaining Renewal Terms</w:t>
            </w:r>
          </w:p>
        </w:tc>
        <w:tc>
          <w:tcPr>
            <w:tcW w:w="2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 (4x5 years)</w:t>
            </w:r>
          </w:p>
        </w:tc>
        <w:tc>
          <w:tcPr>
            <w:tcW w:w="1200" w:type="dxa"/>
            <w:vAlign w:val="bottom"/>
            <w:shd w:val="clear" w:color="auto" w:fill="CCEEFF"/>
          </w:tcPr>
          <w:p>
            <w:pPr>
              <w:spacing w:after="0"/>
              <w:rPr>
                <w:sz w:val="17"/>
                <w:szCs w:val="17"/>
                <w:color w:val="auto"/>
              </w:rPr>
            </w:pPr>
          </w:p>
        </w:tc>
        <w:tc>
          <w:tcPr>
            <w:tcW w:w="3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 (4x5 years)</w:t>
            </w:r>
          </w:p>
        </w:tc>
        <w:tc>
          <w:tcPr>
            <w:tcW w:w="1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78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Corporate Guarantee</w:t>
            </w:r>
          </w:p>
        </w:tc>
        <w:tc>
          <w:tcPr>
            <w:tcW w:w="2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Yes</w:t>
            </w:r>
          </w:p>
        </w:tc>
        <w:tc>
          <w:tcPr>
            <w:tcW w:w="1200" w:type="dxa"/>
            <w:vAlign w:val="bottom"/>
          </w:tcPr>
          <w:p>
            <w:pPr>
              <w:spacing w:after="0"/>
              <w:rPr>
                <w:sz w:val="16"/>
                <w:szCs w:val="16"/>
                <w:color w:val="auto"/>
              </w:rPr>
            </w:pPr>
          </w:p>
        </w:tc>
        <w:tc>
          <w:tcPr>
            <w:tcW w:w="3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Yes</w:t>
            </w: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7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Master Lease with Cross Collateralization</w:t>
            </w:r>
          </w:p>
        </w:tc>
        <w:tc>
          <w:tcPr>
            <w:tcW w:w="2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Yes</w:t>
            </w:r>
          </w:p>
        </w:tc>
        <w:tc>
          <w:tcPr>
            <w:tcW w:w="1200" w:type="dxa"/>
            <w:vAlign w:val="bottom"/>
            <w:shd w:val="clear" w:color="auto" w:fill="CCEEFF"/>
          </w:tcPr>
          <w:p>
            <w:pPr>
              <w:spacing w:after="0"/>
              <w:rPr>
                <w:sz w:val="17"/>
                <w:szCs w:val="17"/>
                <w:color w:val="auto"/>
              </w:rPr>
            </w:pPr>
          </w:p>
        </w:tc>
        <w:tc>
          <w:tcPr>
            <w:tcW w:w="3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Yes</w:t>
            </w:r>
          </w:p>
        </w:tc>
        <w:tc>
          <w:tcPr>
            <w:tcW w:w="1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78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Technical Default Landlord Protection</w:t>
            </w:r>
          </w:p>
        </w:tc>
        <w:tc>
          <w:tcPr>
            <w:tcW w:w="2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Yes</w:t>
            </w:r>
          </w:p>
        </w:tc>
        <w:tc>
          <w:tcPr>
            <w:tcW w:w="1200" w:type="dxa"/>
            <w:vAlign w:val="bottom"/>
          </w:tcPr>
          <w:p>
            <w:pPr>
              <w:spacing w:after="0"/>
              <w:rPr>
                <w:sz w:val="16"/>
                <w:szCs w:val="16"/>
                <w:color w:val="auto"/>
              </w:rPr>
            </w:pPr>
          </w:p>
        </w:tc>
        <w:tc>
          <w:tcPr>
            <w:tcW w:w="3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Yes</w:t>
            </w: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7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Default Adjusted Revenue to Rent Coverage</w:t>
            </w:r>
          </w:p>
        </w:tc>
        <w:tc>
          <w:tcPr>
            <w:tcW w:w="2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200" w:type="dxa"/>
            <w:vAlign w:val="bottom"/>
            <w:shd w:val="clear" w:color="auto" w:fill="CCEEFF"/>
          </w:tcPr>
          <w:p>
            <w:pPr>
              <w:spacing w:after="0"/>
              <w:rPr>
                <w:sz w:val="17"/>
                <w:szCs w:val="17"/>
                <w:color w:val="auto"/>
              </w:rPr>
            </w:pPr>
          </w:p>
        </w:tc>
        <w:tc>
          <w:tcPr>
            <w:tcW w:w="3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 (1)</w:t>
            </w:r>
          </w:p>
        </w:tc>
        <w:tc>
          <w:tcPr>
            <w:tcW w:w="1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78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Competitive Radius Landlord Protection</w:t>
            </w:r>
          </w:p>
        </w:tc>
        <w:tc>
          <w:tcPr>
            <w:tcW w:w="2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Yes</w:t>
            </w:r>
          </w:p>
        </w:tc>
        <w:tc>
          <w:tcPr>
            <w:tcW w:w="1200" w:type="dxa"/>
            <w:vAlign w:val="bottom"/>
          </w:tcPr>
          <w:p>
            <w:pPr>
              <w:spacing w:after="0"/>
              <w:rPr>
                <w:sz w:val="16"/>
                <w:szCs w:val="16"/>
                <w:color w:val="auto"/>
              </w:rPr>
            </w:pPr>
          </w:p>
        </w:tc>
        <w:tc>
          <w:tcPr>
            <w:tcW w:w="3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Yes</w:t>
            </w: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w w:val="96"/>
              </w:rPr>
              <w:t>Escalator Details</w:t>
            </w:r>
          </w:p>
        </w:tc>
        <w:tc>
          <w:tcPr>
            <w:tcW w:w="1760" w:type="dxa"/>
            <w:vAlign w:val="bottom"/>
            <w:tcBorders>
              <w:bottom w:val="single" w:sz="8" w:color="CCEEFF"/>
            </w:tcBorders>
            <w:gridSpan w:val="2"/>
            <w:shd w:val="clear" w:color="auto" w:fill="CCEEFF"/>
          </w:tcPr>
          <w:p>
            <w:pPr>
              <w:spacing w:after="0"/>
              <w:rPr>
                <w:sz w:val="15"/>
                <w:szCs w:val="15"/>
                <w:color w:val="auto"/>
              </w:rPr>
            </w:pPr>
          </w:p>
        </w:tc>
        <w:tc>
          <w:tcPr>
            <w:tcW w:w="266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spacing w:after="0"/>
              <w:rPr>
                <w:sz w:val="15"/>
                <w:szCs w:val="15"/>
                <w:color w:val="auto"/>
              </w:rPr>
            </w:pPr>
          </w:p>
        </w:tc>
        <w:tc>
          <w:tcPr>
            <w:tcW w:w="324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78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Yearly Base Rent Escalator Maximum</w:t>
            </w:r>
          </w:p>
        </w:tc>
        <w:tc>
          <w:tcPr>
            <w:tcW w:w="2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2 %</w:t>
            </w:r>
          </w:p>
        </w:tc>
        <w:tc>
          <w:tcPr>
            <w:tcW w:w="1200" w:type="dxa"/>
            <w:vAlign w:val="bottom"/>
          </w:tcPr>
          <w:p>
            <w:pPr>
              <w:spacing w:after="0"/>
              <w:rPr>
                <w:sz w:val="16"/>
                <w:szCs w:val="16"/>
                <w:color w:val="auto"/>
              </w:rPr>
            </w:pPr>
          </w:p>
        </w:tc>
        <w:tc>
          <w:tcPr>
            <w:tcW w:w="3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7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Coverage ratio at December 31, 2025</w:t>
            </w:r>
          </w:p>
        </w:tc>
        <w:tc>
          <w:tcPr>
            <w:tcW w:w="2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 (3)</w:t>
            </w:r>
          </w:p>
        </w:tc>
        <w:tc>
          <w:tcPr>
            <w:tcW w:w="1200" w:type="dxa"/>
            <w:vAlign w:val="bottom"/>
            <w:shd w:val="clear" w:color="auto" w:fill="CCEEFF"/>
          </w:tcPr>
          <w:p>
            <w:pPr>
              <w:spacing w:after="0"/>
              <w:rPr>
                <w:sz w:val="17"/>
                <w:szCs w:val="17"/>
                <w:color w:val="auto"/>
              </w:rPr>
            </w:pPr>
          </w:p>
        </w:tc>
        <w:tc>
          <w:tcPr>
            <w:tcW w:w="3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w:t>
            </w:r>
          </w:p>
        </w:tc>
        <w:tc>
          <w:tcPr>
            <w:tcW w:w="1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78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Minimum Escalator Coverage Governor</w:t>
            </w:r>
          </w:p>
        </w:tc>
        <w:tc>
          <w:tcPr>
            <w:tcW w:w="2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200" w:type="dxa"/>
            <w:vAlign w:val="bottom"/>
          </w:tcPr>
          <w:p>
            <w:pPr>
              <w:spacing w:after="0"/>
              <w:rPr>
                <w:sz w:val="16"/>
                <w:szCs w:val="16"/>
                <w:color w:val="auto"/>
              </w:rPr>
            </w:pPr>
          </w:p>
        </w:tc>
        <w:tc>
          <w:tcPr>
            <w:tcW w:w="3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7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Yearly Anniversary for Realization</w:t>
            </w:r>
          </w:p>
        </w:tc>
        <w:tc>
          <w:tcPr>
            <w:tcW w:w="2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May</w:t>
            </w:r>
          </w:p>
        </w:tc>
        <w:tc>
          <w:tcPr>
            <w:tcW w:w="1200" w:type="dxa"/>
            <w:vAlign w:val="bottom"/>
            <w:shd w:val="clear" w:color="auto" w:fill="CCEEFF"/>
          </w:tcPr>
          <w:p>
            <w:pPr>
              <w:spacing w:after="0"/>
              <w:rPr>
                <w:sz w:val="17"/>
                <w:szCs w:val="17"/>
                <w:color w:val="auto"/>
              </w:rPr>
            </w:pPr>
          </w:p>
        </w:tc>
        <w:tc>
          <w:tcPr>
            <w:tcW w:w="3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June</w:t>
            </w:r>
          </w:p>
        </w:tc>
        <w:tc>
          <w:tcPr>
            <w:tcW w:w="1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2780" w:type="dxa"/>
            <w:vAlign w:val="bottom"/>
            <w:gridSpan w:val="4"/>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Percentage Rent Reset Details</w:t>
            </w:r>
          </w:p>
        </w:tc>
        <w:tc>
          <w:tcPr>
            <w:tcW w:w="26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000" w:type="dxa"/>
            <w:vAlign w:val="bottom"/>
            <w:tcBorders>
              <w:top w:val="single" w:sz="8" w:color="auto"/>
            </w:tcBorders>
          </w:tcPr>
          <w:p>
            <w:pPr>
              <w:spacing w:after="0"/>
              <w:rPr>
                <w:sz w:val="2"/>
                <w:szCs w:val="2"/>
                <w:color w:val="auto"/>
              </w:rPr>
            </w:pPr>
          </w:p>
        </w:tc>
        <w:tc>
          <w:tcPr>
            <w:tcW w:w="760" w:type="dxa"/>
            <w:vAlign w:val="bottom"/>
            <w:tcBorders>
              <w:top w:val="single" w:sz="8" w:color="auto"/>
            </w:tcBorders>
          </w:tcPr>
          <w:p>
            <w:pPr>
              <w:spacing w:after="0"/>
              <w:rPr>
                <w:sz w:val="2"/>
                <w:szCs w:val="2"/>
                <w:color w:val="auto"/>
              </w:rPr>
            </w:pPr>
          </w:p>
        </w:tc>
        <w:tc>
          <w:tcPr>
            <w:tcW w:w="10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27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Reset Frequency</w:t>
            </w:r>
          </w:p>
        </w:tc>
        <w:tc>
          <w:tcPr>
            <w:tcW w:w="2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 years</w:t>
            </w:r>
          </w:p>
        </w:tc>
        <w:tc>
          <w:tcPr>
            <w:tcW w:w="1200" w:type="dxa"/>
            <w:vAlign w:val="bottom"/>
            <w:shd w:val="clear" w:color="auto" w:fill="CCEEFF"/>
          </w:tcPr>
          <w:p>
            <w:pPr>
              <w:spacing w:after="0"/>
              <w:rPr>
                <w:sz w:val="16"/>
                <w:szCs w:val="16"/>
                <w:color w:val="auto"/>
              </w:rPr>
            </w:pPr>
          </w:p>
        </w:tc>
        <w:tc>
          <w:tcPr>
            <w:tcW w:w="3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13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78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Next Reset</w:t>
            </w:r>
          </w:p>
        </w:tc>
        <w:tc>
          <w:tcPr>
            <w:tcW w:w="2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May-26</w:t>
            </w:r>
          </w:p>
        </w:tc>
        <w:tc>
          <w:tcPr>
            <w:tcW w:w="1200" w:type="dxa"/>
            <w:vAlign w:val="bottom"/>
          </w:tcPr>
          <w:p>
            <w:pPr>
              <w:spacing w:after="0"/>
              <w:rPr>
                <w:sz w:val="15"/>
                <w:szCs w:val="15"/>
                <w:color w:val="auto"/>
              </w:rPr>
            </w:pPr>
          </w:p>
        </w:tc>
        <w:tc>
          <w:tcPr>
            <w:tcW w:w="3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18" w:lineRule="exact"/>
        <w:rPr>
          <w:sz w:val="20"/>
          <w:szCs w:val="20"/>
          <w:color w:val="auto"/>
        </w:rPr>
      </w:pPr>
    </w:p>
    <w:p>
      <w:pPr>
        <w:ind w:left="620" w:hanging="617"/>
        <w:spacing w:after="0" w:line="222" w:lineRule="auto"/>
        <w:tabs>
          <w:tab w:leader="none" w:pos="256" w:val="left"/>
        </w:tabs>
        <w:numPr>
          <w:ilvl w:val="0"/>
          <w:numId w:val="1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If the tenant's parent's net leverage is greater than 5.5 to 1, then the adjusted revenue to rent coverage for the last two consecutive test periods must be at least 1.35. If the tenant's parent's net leverage is equal to or less than 5.5 to 1, then the ratio shall be reduced to 1.2.</w:t>
      </w:r>
    </w:p>
    <w:p>
      <w:pPr>
        <w:spacing w:after="0" w:line="113" w:lineRule="exact"/>
        <w:rPr>
          <w:rFonts w:ascii="Times New Roman" w:cs="Times New Roman" w:eastAsia="Times New Roman" w:hAnsi="Times New Roman"/>
          <w:sz w:val="22"/>
          <w:szCs w:val="22"/>
          <w:color w:val="auto"/>
          <w:vertAlign w:val="superscript"/>
        </w:rPr>
      </w:pPr>
    </w:p>
    <w:p>
      <w:pPr>
        <w:ind w:left="620" w:hanging="617"/>
        <w:spacing w:after="0" w:line="229" w:lineRule="auto"/>
        <w:tabs>
          <w:tab w:leader="none" w:pos="243" w:val="left"/>
        </w:tabs>
        <w:numPr>
          <w:ilvl w:val="0"/>
          <w:numId w:val="1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If the CPI increase is at least 0.5% for any lease year, then the rent shall increase by the greater of 1% of the rent as of the immediately preceding lease year and the CPI increase capped at 2%. If the CPI is less than 0.5% for such lease year, then the rent shall not increase for such lease year.</w:t>
      </w:r>
    </w:p>
    <w:p>
      <w:pPr>
        <w:spacing w:after="0" w:line="173" w:lineRule="exact"/>
        <w:rPr>
          <w:rFonts w:ascii="Times New Roman" w:cs="Times New Roman" w:eastAsia="Times New Roman" w:hAnsi="Times New Roman"/>
          <w:sz w:val="22"/>
          <w:szCs w:val="22"/>
          <w:color w:val="auto"/>
          <w:vertAlign w:val="superscript"/>
        </w:rPr>
      </w:pPr>
    </w:p>
    <w:p>
      <w:pPr>
        <w:ind w:left="240" w:hanging="237"/>
        <w:spacing w:after="0"/>
        <w:tabs>
          <w:tab w:leader="none" w:pos="240" w:val="left"/>
        </w:tabs>
        <w:numPr>
          <w:ilvl w:val="0"/>
          <w:numId w:val="1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Coverage ratio for escalation purposes excludes adjusted revenue and rent attributable to the Plainridge Park facility as well as certain other fixed rent amounts.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36" w:name="page37"/>
    <w:bookmarkEnd w:id="36"/>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205105</wp:posOffset>
            </wp:positionH>
            <wp:positionV relativeFrom="page">
              <wp:posOffset>890905</wp:posOffset>
            </wp:positionV>
            <wp:extent cx="7146925" cy="13906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6925" cy="139065"/>
                    </a:xfrm>
                    <a:prstGeom prst="rect">
                      <a:avLst/>
                    </a:prstGeom>
                    <a:noFill/>
                  </pic:spPr>
                </pic:pic>
              </a:graphicData>
            </a:graphic>
          </wp:anchor>
        </w:drawing>
        <w:t>Master Leases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60" w:type="dxa"/>
            <w:vAlign w:val="bottom"/>
            <w:gridSpan w:val="2"/>
          </w:tcPr>
          <w:p>
            <w:pPr>
              <w:ind w:left="1660"/>
              <w:spacing w:after="0"/>
              <w:rPr>
                <w:sz w:val="20"/>
                <w:szCs w:val="20"/>
                <w:color w:val="auto"/>
              </w:rPr>
            </w:pPr>
            <w:r>
              <w:rPr>
                <w:rFonts w:ascii="Times New Roman" w:cs="Times New Roman" w:eastAsia="Times New Roman" w:hAnsi="Times New Roman"/>
                <w:sz w:val="14"/>
                <w:szCs w:val="14"/>
                <w:b w:val="1"/>
                <w:bCs w:val="1"/>
                <w:color w:val="auto"/>
              </w:rPr>
              <w:t>Bally's Master Lease II</w:t>
            </w:r>
          </w:p>
        </w:tc>
        <w:tc>
          <w:tcPr>
            <w:tcW w:w="1520" w:type="dxa"/>
            <w:vAlign w:val="bottom"/>
          </w:tcPr>
          <w:p>
            <w:pPr>
              <w:spacing w:after="0"/>
              <w:rPr>
                <w:sz w:val="15"/>
                <w:szCs w:val="15"/>
                <w:color w:val="auto"/>
              </w:rPr>
            </w:pPr>
          </w:p>
        </w:tc>
        <w:tc>
          <w:tcPr>
            <w:tcW w:w="2900" w:type="dxa"/>
            <w:vAlign w:val="bottom"/>
          </w:tcPr>
          <w:p>
            <w:pPr>
              <w:jc w:val="right"/>
              <w:ind w:right="1151"/>
              <w:spacing w:after="0"/>
              <w:rPr>
                <w:sz w:val="20"/>
                <w:szCs w:val="20"/>
                <w:color w:val="auto"/>
              </w:rPr>
            </w:pPr>
            <w:r>
              <w:rPr>
                <w:rFonts w:ascii="Times New Roman" w:cs="Times New Roman" w:eastAsia="Times New Roman" w:hAnsi="Times New Roman"/>
                <w:sz w:val="14"/>
                <w:szCs w:val="14"/>
                <w:b w:val="1"/>
                <w:bCs w:val="1"/>
                <w:color w:val="auto"/>
                <w:w w:val="99"/>
              </w:rPr>
              <w:t>Casino Queen Master Lease</w:t>
            </w:r>
          </w:p>
        </w:tc>
      </w:tr>
      <w:tr>
        <w:trPr>
          <w:trHeight w:val="22"/>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r>
      <w:tr>
        <w:trPr>
          <w:trHeight w:val="193"/>
        </w:trPr>
        <w:tc>
          <w:tcPr>
            <w:tcW w:w="27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Operator</w:t>
            </w:r>
          </w:p>
        </w:tc>
        <w:tc>
          <w:tcPr>
            <w:tcW w:w="27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Bally's</w:t>
            </w:r>
          </w:p>
        </w:tc>
        <w:tc>
          <w:tcPr>
            <w:tcW w:w="132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2900" w:type="dxa"/>
            <w:vAlign w:val="bottom"/>
            <w:shd w:val="clear" w:color="auto" w:fill="CCEEFF"/>
          </w:tcPr>
          <w:p>
            <w:pPr>
              <w:jc w:val="right"/>
              <w:ind w:right="1771"/>
              <w:spacing w:after="0"/>
              <w:rPr>
                <w:sz w:val="20"/>
                <w:szCs w:val="20"/>
                <w:color w:val="auto"/>
              </w:rPr>
            </w:pPr>
            <w:r>
              <w:rPr>
                <w:rFonts w:ascii="Times New Roman" w:cs="Times New Roman" w:eastAsia="Times New Roman" w:hAnsi="Times New Roman"/>
                <w:sz w:val="14"/>
                <w:szCs w:val="14"/>
                <w:b w:val="1"/>
                <w:bCs w:val="1"/>
                <w:color w:val="auto"/>
              </w:rPr>
              <w:t>Bally's</w:t>
            </w:r>
          </w:p>
        </w:tc>
      </w:tr>
      <w:tr>
        <w:trPr>
          <w:trHeight w:val="186"/>
        </w:trPr>
        <w:tc>
          <w:tcPr>
            <w:tcW w:w="276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Properties</w:t>
            </w:r>
          </w:p>
        </w:tc>
        <w:tc>
          <w:tcPr>
            <w:tcW w:w="27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Bally's Kansas City</w:t>
            </w:r>
          </w:p>
        </w:tc>
        <w:tc>
          <w:tcPr>
            <w:tcW w:w="1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Kansas City, MO</w:t>
            </w:r>
          </w:p>
        </w:tc>
        <w:tc>
          <w:tcPr>
            <w:tcW w:w="15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Bally's Marquette</w:t>
            </w:r>
          </w:p>
        </w:tc>
        <w:tc>
          <w:tcPr>
            <w:tcW w:w="2900" w:type="dxa"/>
            <w:vAlign w:val="bottom"/>
          </w:tcPr>
          <w:p>
            <w:pPr>
              <w:ind w:left="1280"/>
              <w:spacing w:after="0"/>
              <w:rPr>
                <w:sz w:val="20"/>
                <w:szCs w:val="20"/>
                <w:color w:val="auto"/>
              </w:rPr>
            </w:pPr>
            <w:r>
              <w:rPr>
                <w:rFonts w:ascii="Times New Roman" w:cs="Times New Roman" w:eastAsia="Times New Roman" w:hAnsi="Times New Roman"/>
                <w:sz w:val="14"/>
                <w:szCs w:val="14"/>
                <w:color w:val="auto"/>
              </w:rPr>
              <w:t>Marquette, IA</w:t>
            </w:r>
          </w:p>
        </w:tc>
      </w:tr>
      <w:tr>
        <w:trPr>
          <w:trHeight w:val="201"/>
        </w:trPr>
        <w:tc>
          <w:tcPr>
            <w:tcW w:w="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7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Bally's Shreveport Casino &amp; Hotel</w:t>
            </w:r>
          </w:p>
        </w:tc>
        <w:tc>
          <w:tcPr>
            <w:tcW w:w="1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Shreveport, LA</w:t>
            </w:r>
          </w:p>
        </w:tc>
        <w:tc>
          <w:tcPr>
            <w:tcW w:w="1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Bally's Baton Rouge</w:t>
            </w:r>
          </w:p>
        </w:tc>
        <w:tc>
          <w:tcPr>
            <w:tcW w:w="290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4"/>
                <w:szCs w:val="14"/>
                <w:color w:val="auto"/>
              </w:rPr>
              <w:t>Baton Rouge, LA</w:t>
            </w:r>
          </w:p>
        </w:tc>
      </w:tr>
      <w:tr>
        <w:trPr>
          <w:trHeight w:val="186"/>
        </w:trPr>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7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Draft Kings at Casino Queen (4)</w:t>
            </w:r>
          </w:p>
        </w:tc>
        <w:tc>
          <w:tcPr>
            <w:tcW w:w="1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East St. Louis, IL</w:t>
            </w:r>
          </w:p>
        </w:tc>
        <w:tc>
          <w:tcPr>
            <w:tcW w:w="1520" w:type="dxa"/>
            <w:vAlign w:val="bottom"/>
          </w:tcPr>
          <w:p>
            <w:pPr>
              <w:spacing w:after="0"/>
              <w:rPr>
                <w:sz w:val="16"/>
                <w:szCs w:val="16"/>
                <w:color w:val="auto"/>
              </w:rPr>
            </w:pPr>
          </w:p>
        </w:tc>
        <w:tc>
          <w:tcPr>
            <w:tcW w:w="2900" w:type="dxa"/>
            <w:vAlign w:val="bottom"/>
          </w:tcPr>
          <w:p>
            <w:pPr>
              <w:spacing w:after="0"/>
              <w:rPr>
                <w:sz w:val="16"/>
                <w:szCs w:val="16"/>
                <w:color w:val="auto"/>
              </w:rPr>
            </w:pPr>
          </w:p>
        </w:tc>
      </w:tr>
      <w:tr>
        <w:trPr>
          <w:trHeight w:val="201"/>
        </w:trPr>
        <w:tc>
          <w:tcPr>
            <w:tcW w:w="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7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The Queen Baton Rouge (4)</w:t>
            </w:r>
          </w:p>
        </w:tc>
        <w:tc>
          <w:tcPr>
            <w:tcW w:w="1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Baton Rouge, LA</w:t>
            </w:r>
          </w:p>
        </w:tc>
        <w:tc>
          <w:tcPr>
            <w:tcW w:w="1520" w:type="dxa"/>
            <w:vAlign w:val="bottom"/>
            <w:shd w:val="clear" w:color="auto" w:fill="CCEEFF"/>
          </w:tcPr>
          <w:p>
            <w:pPr>
              <w:spacing w:after="0"/>
              <w:rPr>
                <w:sz w:val="17"/>
                <w:szCs w:val="17"/>
                <w:color w:val="auto"/>
              </w:rPr>
            </w:pPr>
          </w:p>
        </w:tc>
        <w:tc>
          <w:tcPr>
            <w:tcW w:w="2900" w:type="dxa"/>
            <w:vAlign w:val="bottom"/>
            <w:shd w:val="clear" w:color="auto" w:fill="CCEEFF"/>
          </w:tcPr>
          <w:p>
            <w:pPr>
              <w:spacing w:after="0"/>
              <w:rPr>
                <w:sz w:val="17"/>
                <w:szCs w:val="17"/>
                <w:color w:val="auto"/>
              </w:rPr>
            </w:pPr>
          </w:p>
        </w:tc>
      </w:tr>
      <w:tr>
        <w:trPr>
          <w:trHeight w:val="186"/>
        </w:trPr>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7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Bally's Twin River Lincoln Casino Resort</w:t>
            </w:r>
          </w:p>
        </w:tc>
        <w:tc>
          <w:tcPr>
            <w:tcW w:w="1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Lincoln, RI</w:t>
            </w:r>
          </w:p>
        </w:tc>
        <w:tc>
          <w:tcPr>
            <w:tcW w:w="1520" w:type="dxa"/>
            <w:vAlign w:val="bottom"/>
          </w:tcPr>
          <w:p>
            <w:pPr>
              <w:spacing w:after="0"/>
              <w:rPr>
                <w:sz w:val="16"/>
                <w:szCs w:val="16"/>
                <w:color w:val="auto"/>
              </w:rPr>
            </w:pPr>
          </w:p>
        </w:tc>
        <w:tc>
          <w:tcPr>
            <w:tcW w:w="2900" w:type="dxa"/>
            <w:vAlign w:val="bottom"/>
          </w:tcPr>
          <w:p>
            <w:pPr>
              <w:spacing w:after="0"/>
              <w:rPr>
                <w:sz w:val="16"/>
                <w:szCs w:val="16"/>
                <w:color w:val="auto"/>
              </w:rPr>
            </w:pPr>
          </w:p>
        </w:tc>
      </w:tr>
      <w:tr>
        <w:trPr>
          <w:trHeight w:val="201"/>
        </w:trPr>
        <w:tc>
          <w:tcPr>
            <w:tcW w:w="27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Commencement Date</w:t>
            </w:r>
          </w:p>
        </w:tc>
        <w:tc>
          <w:tcPr>
            <w:tcW w:w="2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12/16/2024</w:t>
            </w:r>
          </w:p>
        </w:tc>
        <w:tc>
          <w:tcPr>
            <w:tcW w:w="132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2900" w:type="dxa"/>
            <w:vAlign w:val="bottom"/>
            <w:shd w:val="clear" w:color="auto" w:fill="CCEEFF"/>
          </w:tcPr>
          <w:p>
            <w:pPr>
              <w:jc w:val="right"/>
              <w:ind w:right="1591"/>
              <w:spacing w:after="0"/>
              <w:rPr>
                <w:sz w:val="20"/>
                <w:szCs w:val="20"/>
                <w:color w:val="auto"/>
              </w:rPr>
            </w:pPr>
            <w:r>
              <w:rPr>
                <w:rFonts w:ascii="Times New Roman" w:cs="Times New Roman" w:eastAsia="Times New Roman" w:hAnsi="Times New Roman"/>
                <w:sz w:val="14"/>
                <w:szCs w:val="14"/>
                <w:color w:val="auto"/>
              </w:rPr>
              <w:t>12/17/2021</w:t>
            </w:r>
          </w:p>
        </w:tc>
      </w:tr>
      <w:tr>
        <w:trPr>
          <w:trHeight w:val="186"/>
        </w:trPr>
        <w:tc>
          <w:tcPr>
            <w:tcW w:w="276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Lease Expiration Date</w:t>
            </w:r>
          </w:p>
        </w:tc>
        <w:tc>
          <w:tcPr>
            <w:tcW w:w="2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12/15/2039</w:t>
            </w:r>
          </w:p>
        </w:tc>
        <w:tc>
          <w:tcPr>
            <w:tcW w:w="13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900" w:type="dxa"/>
            <w:vAlign w:val="bottom"/>
          </w:tcPr>
          <w:p>
            <w:pPr>
              <w:jc w:val="right"/>
              <w:ind w:right="1591"/>
              <w:spacing w:after="0"/>
              <w:rPr>
                <w:sz w:val="20"/>
                <w:szCs w:val="20"/>
                <w:color w:val="auto"/>
              </w:rPr>
            </w:pPr>
            <w:r>
              <w:rPr>
                <w:rFonts w:ascii="Times New Roman" w:cs="Times New Roman" w:eastAsia="Times New Roman" w:hAnsi="Times New Roman"/>
                <w:sz w:val="14"/>
                <w:szCs w:val="14"/>
                <w:color w:val="auto"/>
              </w:rPr>
              <w:t>12/31/2036</w:t>
            </w:r>
          </w:p>
        </w:tc>
      </w:tr>
      <w:tr>
        <w:trPr>
          <w:trHeight w:val="201"/>
        </w:trPr>
        <w:tc>
          <w:tcPr>
            <w:tcW w:w="27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Remaining Renewal Terms</w:t>
            </w:r>
          </w:p>
        </w:tc>
        <w:tc>
          <w:tcPr>
            <w:tcW w:w="2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 (4x5 years)</w:t>
            </w:r>
          </w:p>
        </w:tc>
        <w:tc>
          <w:tcPr>
            <w:tcW w:w="132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2900" w:type="dxa"/>
            <w:vAlign w:val="bottom"/>
            <w:shd w:val="clear" w:color="auto" w:fill="CCEEFF"/>
          </w:tcPr>
          <w:p>
            <w:pPr>
              <w:jc w:val="right"/>
              <w:ind w:right="1591"/>
              <w:spacing w:after="0"/>
              <w:rPr>
                <w:sz w:val="20"/>
                <w:szCs w:val="20"/>
                <w:color w:val="auto"/>
              </w:rPr>
            </w:pPr>
            <w:r>
              <w:rPr>
                <w:rFonts w:ascii="Times New Roman" w:cs="Times New Roman" w:eastAsia="Times New Roman" w:hAnsi="Times New Roman"/>
                <w:sz w:val="14"/>
                <w:szCs w:val="14"/>
                <w:color w:val="auto"/>
              </w:rPr>
              <w:t>20 (4x5 years)</w:t>
            </w:r>
          </w:p>
        </w:tc>
      </w:tr>
      <w:tr>
        <w:trPr>
          <w:trHeight w:val="186"/>
        </w:trPr>
        <w:tc>
          <w:tcPr>
            <w:tcW w:w="276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Corporate Guarantee</w:t>
            </w:r>
          </w:p>
        </w:tc>
        <w:tc>
          <w:tcPr>
            <w:tcW w:w="2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Yes</w:t>
            </w:r>
          </w:p>
        </w:tc>
        <w:tc>
          <w:tcPr>
            <w:tcW w:w="13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900" w:type="dxa"/>
            <w:vAlign w:val="bottom"/>
          </w:tcPr>
          <w:p>
            <w:pPr>
              <w:jc w:val="right"/>
              <w:ind w:right="1591"/>
              <w:spacing w:after="0"/>
              <w:rPr>
                <w:sz w:val="20"/>
                <w:szCs w:val="20"/>
                <w:color w:val="auto"/>
              </w:rPr>
            </w:pPr>
            <w:r>
              <w:rPr>
                <w:rFonts w:ascii="Times New Roman" w:cs="Times New Roman" w:eastAsia="Times New Roman" w:hAnsi="Times New Roman"/>
                <w:sz w:val="14"/>
                <w:szCs w:val="14"/>
                <w:color w:val="auto"/>
              </w:rPr>
              <w:t>(5)</w:t>
            </w:r>
          </w:p>
        </w:tc>
      </w:tr>
      <w:tr>
        <w:trPr>
          <w:trHeight w:val="201"/>
        </w:trPr>
        <w:tc>
          <w:tcPr>
            <w:tcW w:w="27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Master Lease with Cross Collateralization</w:t>
            </w:r>
          </w:p>
        </w:tc>
        <w:tc>
          <w:tcPr>
            <w:tcW w:w="2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Yes</w:t>
            </w:r>
          </w:p>
        </w:tc>
        <w:tc>
          <w:tcPr>
            <w:tcW w:w="132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2900" w:type="dxa"/>
            <w:vAlign w:val="bottom"/>
            <w:shd w:val="clear" w:color="auto" w:fill="CCEEFF"/>
          </w:tcPr>
          <w:p>
            <w:pPr>
              <w:jc w:val="right"/>
              <w:ind w:right="1591"/>
              <w:spacing w:after="0"/>
              <w:rPr>
                <w:sz w:val="20"/>
                <w:szCs w:val="20"/>
                <w:color w:val="auto"/>
              </w:rPr>
            </w:pPr>
            <w:r>
              <w:rPr>
                <w:rFonts w:ascii="Times New Roman" w:cs="Times New Roman" w:eastAsia="Times New Roman" w:hAnsi="Times New Roman"/>
                <w:sz w:val="14"/>
                <w:szCs w:val="14"/>
                <w:color w:val="auto"/>
              </w:rPr>
              <w:t>Yes</w:t>
            </w:r>
          </w:p>
        </w:tc>
      </w:tr>
      <w:tr>
        <w:trPr>
          <w:trHeight w:val="186"/>
        </w:trPr>
        <w:tc>
          <w:tcPr>
            <w:tcW w:w="276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Technical Default Landlord Protection</w:t>
            </w:r>
          </w:p>
        </w:tc>
        <w:tc>
          <w:tcPr>
            <w:tcW w:w="2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Yes</w:t>
            </w:r>
          </w:p>
        </w:tc>
        <w:tc>
          <w:tcPr>
            <w:tcW w:w="13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900" w:type="dxa"/>
            <w:vAlign w:val="bottom"/>
          </w:tcPr>
          <w:p>
            <w:pPr>
              <w:jc w:val="right"/>
              <w:ind w:right="1591"/>
              <w:spacing w:after="0"/>
              <w:rPr>
                <w:sz w:val="20"/>
                <w:szCs w:val="20"/>
                <w:color w:val="auto"/>
              </w:rPr>
            </w:pPr>
            <w:r>
              <w:rPr>
                <w:rFonts w:ascii="Times New Roman" w:cs="Times New Roman" w:eastAsia="Times New Roman" w:hAnsi="Times New Roman"/>
                <w:sz w:val="14"/>
                <w:szCs w:val="14"/>
                <w:color w:val="auto"/>
              </w:rPr>
              <w:t>Yes</w:t>
            </w:r>
          </w:p>
        </w:tc>
      </w:tr>
      <w:tr>
        <w:trPr>
          <w:trHeight w:val="201"/>
        </w:trPr>
        <w:tc>
          <w:tcPr>
            <w:tcW w:w="27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Default Adjusted Revenue to Rent Coverage</w:t>
            </w:r>
          </w:p>
        </w:tc>
        <w:tc>
          <w:tcPr>
            <w:tcW w:w="2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 (1)</w:t>
            </w:r>
          </w:p>
        </w:tc>
        <w:tc>
          <w:tcPr>
            <w:tcW w:w="132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2900" w:type="dxa"/>
            <w:vAlign w:val="bottom"/>
            <w:shd w:val="clear" w:color="auto" w:fill="CCEEFF"/>
          </w:tcPr>
          <w:p>
            <w:pPr>
              <w:jc w:val="right"/>
              <w:ind w:right="1591"/>
              <w:spacing w:after="0"/>
              <w:rPr>
                <w:sz w:val="20"/>
                <w:szCs w:val="20"/>
                <w:color w:val="auto"/>
              </w:rPr>
            </w:pPr>
            <w:r>
              <w:rPr>
                <w:rFonts w:ascii="Times New Roman" w:cs="Times New Roman" w:eastAsia="Times New Roman" w:hAnsi="Times New Roman"/>
                <w:sz w:val="14"/>
                <w:szCs w:val="14"/>
                <w:color w:val="auto"/>
              </w:rPr>
              <w:t>1.35 (1)</w:t>
            </w:r>
          </w:p>
        </w:tc>
      </w:tr>
      <w:tr>
        <w:trPr>
          <w:trHeight w:val="186"/>
        </w:trPr>
        <w:tc>
          <w:tcPr>
            <w:tcW w:w="276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Competitive Radius Landlord Protection</w:t>
            </w:r>
          </w:p>
        </w:tc>
        <w:tc>
          <w:tcPr>
            <w:tcW w:w="2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Yes</w:t>
            </w:r>
          </w:p>
        </w:tc>
        <w:tc>
          <w:tcPr>
            <w:tcW w:w="13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900" w:type="dxa"/>
            <w:vAlign w:val="bottom"/>
          </w:tcPr>
          <w:p>
            <w:pPr>
              <w:jc w:val="right"/>
              <w:ind w:right="1591"/>
              <w:spacing w:after="0"/>
              <w:rPr>
                <w:sz w:val="20"/>
                <w:szCs w:val="20"/>
                <w:color w:val="auto"/>
              </w:rPr>
            </w:pPr>
            <w:r>
              <w:rPr>
                <w:rFonts w:ascii="Times New Roman" w:cs="Times New Roman" w:eastAsia="Times New Roman" w:hAnsi="Times New Roman"/>
                <w:sz w:val="14"/>
                <w:szCs w:val="14"/>
                <w:color w:val="auto"/>
              </w:rPr>
              <w:t>Yes</w:t>
            </w:r>
          </w:p>
        </w:tc>
      </w:tr>
      <w:tr>
        <w:trPr>
          <w:trHeight w:val="181"/>
        </w:trPr>
        <w:tc>
          <w:tcPr>
            <w:tcW w:w="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w w:val="96"/>
              </w:rPr>
              <w:t>Escalator Details</w:t>
            </w:r>
          </w:p>
        </w:tc>
        <w:tc>
          <w:tcPr>
            <w:tcW w:w="1740" w:type="dxa"/>
            <w:vAlign w:val="bottom"/>
            <w:tcBorders>
              <w:bottom w:val="single" w:sz="8" w:color="CCEEFF"/>
            </w:tcBorders>
            <w:gridSpan w:val="2"/>
            <w:shd w:val="clear" w:color="auto" w:fill="CCEEFF"/>
          </w:tcPr>
          <w:p>
            <w:pPr>
              <w:spacing w:after="0"/>
              <w:rPr>
                <w:sz w:val="15"/>
                <w:szCs w:val="15"/>
                <w:color w:val="auto"/>
              </w:rPr>
            </w:pPr>
          </w:p>
        </w:tc>
        <w:tc>
          <w:tcPr>
            <w:tcW w:w="274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shd w:val="clear" w:color="auto" w:fill="CCEEFF"/>
          </w:tcPr>
          <w:p>
            <w:pPr>
              <w:spacing w:after="0"/>
              <w:rPr>
                <w:sz w:val="15"/>
                <w:szCs w:val="15"/>
                <w:color w:val="auto"/>
              </w:rPr>
            </w:pPr>
          </w:p>
        </w:tc>
        <w:tc>
          <w:tcPr>
            <w:tcW w:w="1520" w:type="dxa"/>
            <w:vAlign w:val="bottom"/>
            <w:tcBorders>
              <w:bottom w:val="single" w:sz="8" w:color="CCEEFF"/>
            </w:tcBorders>
            <w:shd w:val="clear" w:color="auto" w:fill="CCEEFF"/>
          </w:tcPr>
          <w:p>
            <w:pPr>
              <w:spacing w:after="0"/>
              <w:rPr>
                <w:sz w:val="15"/>
                <w:szCs w:val="15"/>
                <w:color w:val="auto"/>
              </w:rPr>
            </w:pPr>
          </w:p>
        </w:tc>
        <w:tc>
          <w:tcPr>
            <w:tcW w:w="2900" w:type="dxa"/>
            <w:vAlign w:val="bottom"/>
            <w:tcBorders>
              <w:bottom w:val="single" w:sz="8" w:color="CCEEFF"/>
            </w:tcBorders>
            <w:shd w:val="clear" w:color="auto" w:fill="CCEEFF"/>
          </w:tcPr>
          <w:p>
            <w:pPr>
              <w:spacing w:after="0"/>
              <w:rPr>
                <w:sz w:val="15"/>
                <w:szCs w:val="15"/>
                <w:color w:val="auto"/>
              </w:rPr>
            </w:pPr>
          </w:p>
        </w:tc>
      </w:tr>
      <w:tr>
        <w:trPr>
          <w:trHeight w:val="186"/>
        </w:trPr>
        <w:tc>
          <w:tcPr>
            <w:tcW w:w="276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Yearly Base Rent Escalator Maximum</w:t>
            </w:r>
          </w:p>
        </w:tc>
        <w:tc>
          <w:tcPr>
            <w:tcW w:w="2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3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900" w:type="dxa"/>
            <w:vAlign w:val="bottom"/>
          </w:tcPr>
          <w:p>
            <w:pPr>
              <w:jc w:val="right"/>
              <w:ind w:right="1591"/>
              <w:spacing w:after="0"/>
              <w:rPr>
                <w:sz w:val="20"/>
                <w:szCs w:val="20"/>
                <w:color w:val="auto"/>
              </w:rPr>
            </w:pPr>
            <w:r>
              <w:rPr>
                <w:rFonts w:ascii="Times New Roman" w:cs="Times New Roman" w:eastAsia="Times New Roman" w:hAnsi="Times New Roman"/>
                <w:sz w:val="14"/>
                <w:szCs w:val="14"/>
                <w:color w:val="auto"/>
              </w:rPr>
              <w:t>(3)</w:t>
            </w:r>
          </w:p>
        </w:tc>
      </w:tr>
      <w:tr>
        <w:trPr>
          <w:trHeight w:val="201"/>
        </w:trPr>
        <w:tc>
          <w:tcPr>
            <w:tcW w:w="27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Coverage ratio at December 31, 2025</w:t>
            </w:r>
          </w:p>
        </w:tc>
        <w:tc>
          <w:tcPr>
            <w:tcW w:w="2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 (6)</w:t>
            </w:r>
          </w:p>
        </w:tc>
        <w:tc>
          <w:tcPr>
            <w:tcW w:w="132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2900" w:type="dxa"/>
            <w:vAlign w:val="bottom"/>
            <w:shd w:val="clear" w:color="auto" w:fill="CCEEFF"/>
          </w:tcPr>
          <w:p>
            <w:pPr>
              <w:jc w:val="right"/>
              <w:ind w:right="1591"/>
              <w:spacing w:after="0"/>
              <w:rPr>
                <w:sz w:val="20"/>
                <w:szCs w:val="20"/>
                <w:color w:val="auto"/>
              </w:rPr>
            </w:pPr>
            <w:r>
              <w:rPr>
                <w:rFonts w:ascii="Times New Roman" w:cs="Times New Roman" w:eastAsia="Times New Roman" w:hAnsi="Times New Roman"/>
                <w:sz w:val="14"/>
                <w:szCs w:val="14"/>
                <w:color w:val="auto"/>
              </w:rPr>
              <w:t>N/A</w:t>
            </w:r>
          </w:p>
        </w:tc>
      </w:tr>
      <w:tr>
        <w:trPr>
          <w:trHeight w:val="186"/>
        </w:trPr>
        <w:tc>
          <w:tcPr>
            <w:tcW w:w="276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Minimum Escalator Coverage Governor</w:t>
            </w:r>
          </w:p>
        </w:tc>
        <w:tc>
          <w:tcPr>
            <w:tcW w:w="2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13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900" w:type="dxa"/>
            <w:vAlign w:val="bottom"/>
          </w:tcPr>
          <w:p>
            <w:pPr>
              <w:jc w:val="right"/>
              <w:ind w:right="1591"/>
              <w:spacing w:after="0"/>
              <w:rPr>
                <w:sz w:val="20"/>
                <w:szCs w:val="20"/>
                <w:color w:val="auto"/>
              </w:rPr>
            </w:pPr>
            <w:r>
              <w:rPr>
                <w:rFonts w:ascii="Times New Roman" w:cs="Times New Roman" w:eastAsia="Times New Roman" w:hAnsi="Times New Roman"/>
                <w:sz w:val="14"/>
                <w:szCs w:val="14"/>
                <w:color w:val="auto"/>
              </w:rPr>
              <w:t>N/A</w:t>
            </w:r>
          </w:p>
        </w:tc>
      </w:tr>
      <w:tr>
        <w:trPr>
          <w:trHeight w:val="201"/>
        </w:trPr>
        <w:tc>
          <w:tcPr>
            <w:tcW w:w="27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Yearly Anniversary for Realization</w:t>
            </w:r>
          </w:p>
        </w:tc>
        <w:tc>
          <w:tcPr>
            <w:tcW w:w="2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December</w:t>
            </w:r>
          </w:p>
        </w:tc>
        <w:tc>
          <w:tcPr>
            <w:tcW w:w="132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2900" w:type="dxa"/>
            <w:vAlign w:val="bottom"/>
            <w:shd w:val="clear" w:color="auto" w:fill="CCEEFF"/>
          </w:tcPr>
          <w:p>
            <w:pPr>
              <w:jc w:val="right"/>
              <w:ind w:right="1591"/>
              <w:spacing w:after="0"/>
              <w:rPr>
                <w:sz w:val="20"/>
                <w:szCs w:val="20"/>
                <w:color w:val="auto"/>
              </w:rPr>
            </w:pPr>
            <w:r>
              <w:rPr>
                <w:rFonts w:ascii="Times New Roman" w:cs="Times New Roman" w:eastAsia="Times New Roman" w:hAnsi="Times New Roman"/>
                <w:sz w:val="14"/>
                <w:szCs w:val="14"/>
                <w:color w:val="auto"/>
              </w:rPr>
              <w:t>December</w:t>
            </w:r>
          </w:p>
        </w:tc>
      </w:tr>
      <w:tr>
        <w:trPr>
          <w:trHeight w:val="142"/>
        </w:trPr>
        <w:tc>
          <w:tcPr>
            <w:tcW w:w="2760" w:type="dxa"/>
            <w:vAlign w:val="bottom"/>
            <w:gridSpan w:val="4"/>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Percentage Rent Reset Details</w:t>
            </w:r>
          </w:p>
        </w:tc>
        <w:tc>
          <w:tcPr>
            <w:tcW w:w="27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900" w:type="dxa"/>
            <w:vAlign w:val="bottom"/>
          </w:tcPr>
          <w:p>
            <w:pPr>
              <w:spacing w:after="0"/>
              <w:rPr>
                <w:sz w:val="12"/>
                <w:szCs w:val="12"/>
                <w:color w:val="auto"/>
              </w:rPr>
            </w:pPr>
          </w:p>
        </w:tc>
      </w:tr>
      <w:tr>
        <w:trPr>
          <w:trHeight w:val="32"/>
        </w:trPr>
        <w:tc>
          <w:tcPr>
            <w:tcW w:w="20" w:type="dxa"/>
            <w:vAlign w:val="bottom"/>
          </w:tcPr>
          <w:p>
            <w:pPr>
              <w:spacing w:after="0"/>
              <w:rPr>
                <w:sz w:val="2"/>
                <w:szCs w:val="2"/>
                <w:color w:val="auto"/>
              </w:rPr>
            </w:pPr>
          </w:p>
        </w:tc>
        <w:tc>
          <w:tcPr>
            <w:tcW w:w="1000" w:type="dxa"/>
            <w:vAlign w:val="bottom"/>
            <w:tcBorders>
              <w:top w:val="single" w:sz="8" w:color="auto"/>
            </w:tcBorders>
          </w:tcPr>
          <w:p>
            <w:pPr>
              <w:spacing w:after="0"/>
              <w:rPr>
                <w:sz w:val="2"/>
                <w:szCs w:val="2"/>
                <w:color w:val="auto"/>
              </w:rPr>
            </w:pPr>
          </w:p>
        </w:tc>
        <w:tc>
          <w:tcPr>
            <w:tcW w:w="760" w:type="dxa"/>
            <w:vAlign w:val="bottom"/>
            <w:tcBorders>
              <w:top w:val="single" w:sz="8" w:color="auto"/>
            </w:tcBorders>
          </w:tcPr>
          <w:p>
            <w:pPr>
              <w:spacing w:after="0"/>
              <w:rPr>
                <w:sz w:val="2"/>
                <w:szCs w:val="2"/>
                <w:color w:val="auto"/>
              </w:rPr>
            </w:pPr>
          </w:p>
        </w:tc>
        <w:tc>
          <w:tcPr>
            <w:tcW w:w="98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900" w:type="dxa"/>
            <w:vAlign w:val="bottom"/>
          </w:tcPr>
          <w:p>
            <w:pPr>
              <w:spacing w:after="0"/>
              <w:rPr>
                <w:sz w:val="2"/>
                <w:szCs w:val="2"/>
                <w:color w:val="auto"/>
              </w:rPr>
            </w:pPr>
          </w:p>
        </w:tc>
      </w:tr>
      <w:tr>
        <w:trPr>
          <w:trHeight w:val="193"/>
        </w:trPr>
        <w:tc>
          <w:tcPr>
            <w:tcW w:w="27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Reset Frequency</w:t>
            </w:r>
          </w:p>
        </w:tc>
        <w:tc>
          <w:tcPr>
            <w:tcW w:w="2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132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2900" w:type="dxa"/>
            <w:vAlign w:val="bottom"/>
            <w:shd w:val="clear" w:color="auto" w:fill="CCEEFF"/>
          </w:tcPr>
          <w:p>
            <w:pPr>
              <w:jc w:val="right"/>
              <w:ind w:right="1591"/>
              <w:spacing w:after="0"/>
              <w:rPr>
                <w:sz w:val="20"/>
                <w:szCs w:val="20"/>
                <w:color w:val="auto"/>
              </w:rPr>
            </w:pPr>
            <w:r>
              <w:rPr>
                <w:rFonts w:ascii="Times New Roman" w:cs="Times New Roman" w:eastAsia="Times New Roman" w:hAnsi="Times New Roman"/>
                <w:sz w:val="14"/>
                <w:szCs w:val="14"/>
                <w:color w:val="auto"/>
              </w:rPr>
              <w:t>N/A</w:t>
            </w:r>
          </w:p>
        </w:tc>
      </w:tr>
      <w:tr>
        <w:trPr>
          <w:trHeight w:val="178"/>
        </w:trPr>
        <w:tc>
          <w:tcPr>
            <w:tcW w:w="276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Next Reset</w:t>
            </w:r>
          </w:p>
        </w:tc>
        <w:tc>
          <w:tcPr>
            <w:tcW w:w="2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13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900" w:type="dxa"/>
            <w:vAlign w:val="bottom"/>
          </w:tcPr>
          <w:p>
            <w:pPr>
              <w:jc w:val="right"/>
              <w:ind w:right="1591"/>
              <w:spacing w:after="0"/>
              <w:rPr>
                <w:sz w:val="20"/>
                <w:szCs w:val="20"/>
                <w:color w:val="auto"/>
              </w:rPr>
            </w:pPr>
            <w:r>
              <w:rPr>
                <w:rFonts w:ascii="Times New Roman" w:cs="Times New Roman" w:eastAsia="Times New Roman" w:hAnsi="Times New Roman"/>
                <w:sz w:val="14"/>
                <w:szCs w:val="14"/>
                <w:color w:val="auto"/>
              </w:rPr>
              <w:t>N/A</w:t>
            </w:r>
          </w:p>
        </w:tc>
      </w:tr>
    </w:tbl>
    <w:p>
      <w:pPr>
        <w:spacing w:after="0" w:line="200" w:lineRule="exact"/>
        <w:rPr>
          <w:sz w:val="20"/>
          <w:szCs w:val="20"/>
          <w:color w:val="auto"/>
        </w:rPr>
      </w:pPr>
    </w:p>
    <w:p>
      <w:pPr>
        <w:spacing w:after="0" w:line="392" w:lineRule="exact"/>
        <w:rPr>
          <w:sz w:val="20"/>
          <w:szCs w:val="20"/>
          <w:color w:val="auto"/>
        </w:rPr>
      </w:pPr>
    </w:p>
    <w:p>
      <w:pPr>
        <w:ind w:left="620" w:hanging="617"/>
        <w:spacing w:after="0" w:line="232" w:lineRule="auto"/>
        <w:tabs>
          <w:tab w:leader="none" w:pos="256" w:val="left"/>
        </w:tabs>
        <w:numPr>
          <w:ilvl w:val="0"/>
          <w:numId w:val="1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If the tenant's parent's net leverage is greater than 5.5 to 1, then the adjusted revenue to rent coverage for the last two consecutive test periods must be at least 1.35. If the tenant's parent's net leverage is equal to or less than 5.5 to 1, then the ratio shall be reduced to 1.2. For the Casino Queen Master Lease the test begins on the first anniversary after both development projects are completed and open to the public.</w:t>
      </w:r>
    </w:p>
    <w:p>
      <w:pPr>
        <w:spacing w:after="0" w:line="112" w:lineRule="exact"/>
        <w:rPr>
          <w:rFonts w:ascii="Times New Roman" w:cs="Times New Roman" w:eastAsia="Times New Roman" w:hAnsi="Times New Roman"/>
          <w:sz w:val="22"/>
          <w:szCs w:val="22"/>
          <w:color w:val="auto"/>
          <w:vertAlign w:val="superscript"/>
        </w:rPr>
      </w:pPr>
    </w:p>
    <w:p>
      <w:pPr>
        <w:ind w:left="620" w:hanging="617"/>
        <w:spacing w:after="0" w:line="222" w:lineRule="auto"/>
        <w:tabs>
          <w:tab w:leader="none" w:pos="243" w:val="left"/>
        </w:tabs>
        <w:numPr>
          <w:ilvl w:val="0"/>
          <w:numId w:val="1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If the CPI increase is at least 0.5% for any lease year, then the rent shall increase by the greater of 1% of the rent as of the immediately preceding lease year and the CPI increase capped at 2%. If the CPI is less than 0.5% for such lease year, then the rent shall not increase for such lease year.</w:t>
      </w:r>
    </w:p>
    <w:p>
      <w:pPr>
        <w:spacing w:after="0" w:line="216" w:lineRule="exact"/>
        <w:rPr>
          <w:rFonts w:ascii="Times New Roman" w:cs="Times New Roman" w:eastAsia="Times New Roman" w:hAnsi="Times New Roman"/>
          <w:sz w:val="22"/>
          <w:szCs w:val="22"/>
          <w:color w:val="auto"/>
          <w:vertAlign w:val="superscript"/>
        </w:rPr>
      </w:pPr>
    </w:p>
    <w:p>
      <w:pPr>
        <w:ind w:left="620" w:hanging="617"/>
        <w:spacing w:after="0"/>
        <w:tabs>
          <w:tab w:leader="none" w:pos="294" w:val="left"/>
        </w:tabs>
        <w:numPr>
          <w:ilvl w:val="0"/>
          <w:numId w:val="1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Rent increases by 0.5% for the first six years. Beginning in the seventh lease year through the remainder of the lease term, if the CPI increases by at least 0.25% for any lease year then annual rent shall be increased by 1.25%, and if the CPI is less than 0.25% then rent will remain unchanged for such lease year.</w:t>
      </w:r>
    </w:p>
    <w:p>
      <w:pPr>
        <w:spacing w:after="0" w:line="200" w:lineRule="exact"/>
        <w:rPr>
          <w:rFonts w:ascii="Times New Roman" w:cs="Times New Roman" w:eastAsia="Times New Roman" w:hAnsi="Times New Roman"/>
          <w:sz w:val="22"/>
          <w:szCs w:val="22"/>
          <w:color w:val="auto"/>
          <w:vertAlign w:val="superscript"/>
        </w:rPr>
      </w:pPr>
    </w:p>
    <w:p>
      <w:pPr>
        <w:spacing w:after="0" w:line="202" w:lineRule="exact"/>
        <w:rPr>
          <w:rFonts w:ascii="Times New Roman" w:cs="Times New Roman" w:eastAsia="Times New Roman" w:hAnsi="Times New Roman"/>
          <w:sz w:val="22"/>
          <w:szCs w:val="22"/>
          <w:color w:val="auto"/>
          <w:vertAlign w:val="superscript"/>
        </w:rPr>
      </w:pPr>
    </w:p>
    <w:p>
      <w:pPr>
        <w:ind w:left="620" w:hanging="617"/>
        <w:spacing w:after="0" w:line="229" w:lineRule="auto"/>
        <w:tabs>
          <w:tab w:leader="none" w:pos="281" w:val="left"/>
        </w:tabs>
        <w:numPr>
          <w:ilvl w:val="0"/>
          <w:numId w:val="1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Effective July 1, 2025, these properties were transferred to Bally's Master Lease II and the associated annual rental income of $28.9 million was reallocated from the Casino Queen Master Lease to Bally's Master Lease II. The Bally's Master Lease II rent coverage ratio has been restated on a proforma basis.</w:t>
      </w:r>
    </w:p>
    <w:p>
      <w:pPr>
        <w:spacing w:after="0" w:line="203" w:lineRule="exact"/>
        <w:rPr>
          <w:rFonts w:ascii="Times New Roman" w:cs="Times New Roman" w:eastAsia="Times New Roman" w:hAnsi="Times New Roman"/>
          <w:sz w:val="22"/>
          <w:szCs w:val="22"/>
          <w:color w:val="auto"/>
          <w:vertAlign w:val="superscript"/>
        </w:rPr>
      </w:pPr>
    </w:p>
    <w:p>
      <w:pPr>
        <w:ind w:left="620" w:hanging="617"/>
        <w:spacing w:after="0" w:line="222" w:lineRule="auto"/>
        <w:tabs>
          <w:tab w:leader="none" w:pos="243" w:val="left"/>
        </w:tabs>
        <w:numPr>
          <w:ilvl w:val="0"/>
          <w:numId w:val="1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If a default were to occur under the Casino Queen Master Lease, the Company has the right under the terms of the lease to elect to amend Bally’s Master Lease II and place the assets into it, which carries a corporate guarantee.</w:t>
      </w:r>
    </w:p>
    <w:p>
      <w:pPr>
        <w:spacing w:after="0" w:line="161" w:lineRule="exact"/>
        <w:rPr>
          <w:rFonts w:ascii="Times New Roman" w:cs="Times New Roman" w:eastAsia="Times New Roman" w:hAnsi="Times New Roman"/>
          <w:sz w:val="22"/>
          <w:szCs w:val="22"/>
          <w:color w:val="auto"/>
          <w:vertAlign w:val="superscript"/>
        </w:rPr>
      </w:pPr>
    </w:p>
    <w:p>
      <w:pPr>
        <w:ind w:left="240" w:hanging="237"/>
        <w:spacing w:after="0"/>
        <w:tabs>
          <w:tab w:leader="none" w:pos="240" w:val="left"/>
        </w:tabs>
        <w:numPr>
          <w:ilvl w:val="0"/>
          <w:numId w:val="1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Coverage ratio above is proforma for the acquisition of the real estate assets of Bally's Twin River Lincoln Casino Resort which closed on February 11,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37" w:name="page38"/>
    <w:bookmarkEnd w:id="37"/>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205105</wp:posOffset>
            </wp:positionH>
            <wp:positionV relativeFrom="page">
              <wp:posOffset>890905</wp:posOffset>
            </wp:positionV>
            <wp:extent cx="7146925" cy="13906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6925" cy="139065"/>
                    </a:xfrm>
                    <a:prstGeom prst="rect">
                      <a:avLst/>
                    </a:prstGeom>
                    <a:noFill/>
                  </pic:spPr>
                </pic:pic>
              </a:graphicData>
            </a:graphic>
          </wp:anchor>
        </w:drawing>
        <w:t>Master Leases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420" w:type="dxa"/>
            <w:vAlign w:val="bottom"/>
          </w:tcPr>
          <w:p>
            <w:pPr>
              <w:jc w:val="right"/>
              <w:ind w:right="1111"/>
              <w:spacing w:after="0"/>
              <w:rPr>
                <w:sz w:val="20"/>
                <w:szCs w:val="20"/>
                <w:color w:val="auto"/>
              </w:rPr>
            </w:pPr>
            <w:r>
              <w:rPr>
                <w:rFonts w:ascii="Times New Roman" w:cs="Times New Roman" w:eastAsia="Times New Roman" w:hAnsi="Times New Roman"/>
                <w:sz w:val="14"/>
                <w:szCs w:val="14"/>
                <w:b w:val="1"/>
                <w:bCs w:val="1"/>
                <w:color w:val="auto"/>
              </w:rPr>
              <w:t>Boyd Master Lease</w:t>
            </w:r>
          </w:p>
        </w:tc>
        <w:tc>
          <w:tcPr>
            <w:tcW w:w="4460" w:type="dxa"/>
            <w:vAlign w:val="bottom"/>
            <w:gridSpan w:val="2"/>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Caesars Amended and Restated Master Lease</w:t>
            </w:r>
          </w:p>
        </w:tc>
      </w:tr>
      <w:tr>
        <w:trPr>
          <w:trHeight w:val="22"/>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193"/>
        </w:trPr>
        <w:tc>
          <w:tcPr>
            <w:tcW w:w="27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Operator</w:t>
            </w:r>
          </w:p>
        </w:tc>
        <w:tc>
          <w:tcPr>
            <w:tcW w:w="1640" w:type="dxa"/>
            <w:vAlign w:val="bottom"/>
            <w:shd w:val="clear" w:color="auto" w:fill="CCEEFF"/>
          </w:tcPr>
          <w:p>
            <w:pPr>
              <w:spacing w:after="0"/>
              <w:rPr>
                <w:sz w:val="16"/>
                <w:szCs w:val="16"/>
                <w:color w:val="auto"/>
              </w:rPr>
            </w:pPr>
          </w:p>
        </w:tc>
        <w:tc>
          <w:tcPr>
            <w:tcW w:w="2420" w:type="dxa"/>
            <w:vAlign w:val="bottom"/>
            <w:shd w:val="clear" w:color="auto" w:fill="CCEEFF"/>
          </w:tcPr>
          <w:p>
            <w:pPr>
              <w:jc w:val="right"/>
              <w:ind w:right="1511"/>
              <w:spacing w:after="0"/>
              <w:rPr>
                <w:sz w:val="20"/>
                <w:szCs w:val="20"/>
                <w:color w:val="auto"/>
              </w:rPr>
            </w:pPr>
            <w:r>
              <w:rPr>
                <w:rFonts w:ascii="Times New Roman" w:cs="Times New Roman" w:eastAsia="Times New Roman" w:hAnsi="Times New Roman"/>
                <w:sz w:val="14"/>
                <w:szCs w:val="14"/>
                <w:b w:val="1"/>
                <w:bCs w:val="1"/>
                <w:color w:val="auto"/>
              </w:rPr>
              <w:t>Boyd</w:t>
            </w:r>
          </w:p>
        </w:tc>
        <w:tc>
          <w:tcPr>
            <w:tcW w:w="1980" w:type="dxa"/>
            <w:vAlign w:val="bottom"/>
            <w:shd w:val="clear" w:color="auto" w:fill="CCEEFF"/>
          </w:tcPr>
          <w:p>
            <w:pPr>
              <w:spacing w:after="0"/>
              <w:rPr>
                <w:sz w:val="16"/>
                <w:szCs w:val="16"/>
                <w:color w:val="auto"/>
              </w:rPr>
            </w:pPr>
          </w:p>
        </w:tc>
        <w:tc>
          <w:tcPr>
            <w:tcW w:w="2480" w:type="dxa"/>
            <w:vAlign w:val="bottom"/>
            <w:shd w:val="clear" w:color="auto" w:fill="CCEEFF"/>
          </w:tcPr>
          <w:p>
            <w:pPr>
              <w:jc w:val="right"/>
              <w:ind w:right="1771"/>
              <w:spacing w:after="0"/>
              <w:rPr>
                <w:sz w:val="20"/>
                <w:szCs w:val="20"/>
                <w:color w:val="auto"/>
              </w:rPr>
            </w:pPr>
            <w:r>
              <w:rPr>
                <w:rFonts w:ascii="Times New Roman" w:cs="Times New Roman" w:eastAsia="Times New Roman" w:hAnsi="Times New Roman"/>
                <w:sz w:val="14"/>
                <w:szCs w:val="14"/>
                <w:b w:val="1"/>
                <w:bCs w:val="1"/>
                <w:color w:val="auto"/>
              </w:rPr>
              <w:t>Caesars</w:t>
            </w:r>
          </w:p>
        </w:tc>
      </w:tr>
      <w:tr>
        <w:trPr>
          <w:trHeight w:val="186"/>
        </w:trPr>
        <w:tc>
          <w:tcPr>
            <w:tcW w:w="272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Properties</w:t>
            </w:r>
          </w:p>
        </w:tc>
        <w:tc>
          <w:tcPr>
            <w:tcW w:w="16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Belterra Casino Resort</w:t>
            </w:r>
          </w:p>
        </w:tc>
        <w:tc>
          <w:tcPr>
            <w:tcW w:w="2420" w:type="dxa"/>
            <w:vAlign w:val="bottom"/>
          </w:tcPr>
          <w:p>
            <w:pPr>
              <w:ind w:left="1140"/>
              <w:spacing w:after="0"/>
              <w:rPr>
                <w:sz w:val="20"/>
                <w:szCs w:val="20"/>
                <w:color w:val="auto"/>
              </w:rPr>
            </w:pPr>
            <w:r>
              <w:rPr>
                <w:rFonts w:ascii="Times New Roman" w:cs="Times New Roman" w:eastAsia="Times New Roman" w:hAnsi="Times New Roman"/>
                <w:sz w:val="14"/>
                <w:szCs w:val="14"/>
                <w:color w:val="auto"/>
              </w:rPr>
              <w:t>Florence, IN</w:t>
            </w:r>
          </w:p>
        </w:tc>
        <w:tc>
          <w:tcPr>
            <w:tcW w:w="19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Tropicana Atlantic City</w:t>
            </w:r>
          </w:p>
        </w:tc>
        <w:tc>
          <w:tcPr>
            <w:tcW w:w="2480" w:type="dxa"/>
            <w:vAlign w:val="bottom"/>
          </w:tcPr>
          <w:p>
            <w:pPr>
              <w:ind w:left="880"/>
              <w:spacing w:after="0"/>
              <w:rPr>
                <w:sz w:val="20"/>
                <w:szCs w:val="20"/>
                <w:color w:val="auto"/>
              </w:rPr>
            </w:pPr>
            <w:r>
              <w:rPr>
                <w:rFonts w:ascii="Times New Roman" w:cs="Times New Roman" w:eastAsia="Times New Roman" w:hAnsi="Times New Roman"/>
                <w:sz w:val="14"/>
                <w:szCs w:val="14"/>
                <w:color w:val="auto"/>
              </w:rPr>
              <w:t>Atlantic City, NJ</w:t>
            </w:r>
          </w:p>
        </w:tc>
      </w:tr>
      <w:tr>
        <w:trPr>
          <w:trHeight w:val="201"/>
        </w:trPr>
        <w:tc>
          <w:tcPr>
            <w:tcW w:w="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Ameristar Kansas City</w:t>
            </w:r>
          </w:p>
        </w:tc>
        <w:tc>
          <w:tcPr>
            <w:tcW w:w="242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4"/>
                <w:szCs w:val="14"/>
                <w:color w:val="auto"/>
              </w:rPr>
              <w:t>Kansas City, MO</w:t>
            </w:r>
          </w:p>
        </w:tc>
        <w:tc>
          <w:tcPr>
            <w:tcW w:w="1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Tropicana Laughlin</w:t>
            </w:r>
          </w:p>
        </w:tc>
        <w:tc>
          <w:tcPr>
            <w:tcW w:w="248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Laughlin, NV</w:t>
            </w:r>
          </w:p>
        </w:tc>
      </w:tr>
      <w:tr>
        <w:trPr>
          <w:trHeight w:val="186"/>
        </w:trPr>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Ameristar St. Charles</w:t>
            </w:r>
          </w:p>
        </w:tc>
        <w:tc>
          <w:tcPr>
            <w:tcW w:w="2420" w:type="dxa"/>
            <w:vAlign w:val="bottom"/>
          </w:tcPr>
          <w:p>
            <w:pPr>
              <w:ind w:left="1140"/>
              <w:spacing w:after="0"/>
              <w:rPr>
                <w:sz w:val="20"/>
                <w:szCs w:val="20"/>
                <w:color w:val="auto"/>
              </w:rPr>
            </w:pPr>
            <w:r>
              <w:rPr>
                <w:rFonts w:ascii="Times New Roman" w:cs="Times New Roman" w:eastAsia="Times New Roman" w:hAnsi="Times New Roman"/>
                <w:sz w:val="14"/>
                <w:szCs w:val="14"/>
                <w:color w:val="auto"/>
              </w:rPr>
              <w:t>St. Charles, MO</w:t>
            </w:r>
          </w:p>
        </w:tc>
        <w:tc>
          <w:tcPr>
            <w:tcW w:w="19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Trop Casino Greenville</w:t>
            </w:r>
          </w:p>
        </w:tc>
        <w:tc>
          <w:tcPr>
            <w:tcW w:w="2480" w:type="dxa"/>
            <w:vAlign w:val="bottom"/>
          </w:tcPr>
          <w:p>
            <w:pPr>
              <w:ind w:left="880"/>
              <w:spacing w:after="0"/>
              <w:rPr>
                <w:sz w:val="20"/>
                <w:szCs w:val="20"/>
                <w:color w:val="auto"/>
              </w:rPr>
            </w:pPr>
            <w:r>
              <w:rPr>
                <w:rFonts w:ascii="Times New Roman" w:cs="Times New Roman" w:eastAsia="Times New Roman" w:hAnsi="Times New Roman"/>
                <w:sz w:val="14"/>
                <w:szCs w:val="14"/>
                <w:color w:val="auto"/>
              </w:rPr>
              <w:t>Greenville, MS</w:t>
            </w:r>
          </w:p>
        </w:tc>
      </w:tr>
      <w:tr>
        <w:trPr>
          <w:trHeight w:val="201"/>
        </w:trPr>
        <w:tc>
          <w:tcPr>
            <w:tcW w:w="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2420" w:type="dxa"/>
            <w:vAlign w:val="bottom"/>
            <w:shd w:val="clear" w:color="auto" w:fill="CCEEFF"/>
          </w:tcPr>
          <w:p>
            <w:pPr>
              <w:spacing w:after="0"/>
              <w:rPr>
                <w:sz w:val="17"/>
                <w:szCs w:val="17"/>
                <w:color w:val="auto"/>
              </w:rPr>
            </w:pPr>
          </w:p>
        </w:tc>
        <w:tc>
          <w:tcPr>
            <w:tcW w:w="1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Isle Casino Hotel Bettendorf</w:t>
            </w:r>
          </w:p>
        </w:tc>
        <w:tc>
          <w:tcPr>
            <w:tcW w:w="248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Bettendorf, IA</w:t>
            </w:r>
          </w:p>
        </w:tc>
      </w:tr>
      <w:tr>
        <w:trPr>
          <w:trHeight w:val="186"/>
        </w:trPr>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19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Isle Casino Hotel Waterloo</w:t>
            </w:r>
          </w:p>
        </w:tc>
        <w:tc>
          <w:tcPr>
            <w:tcW w:w="2480" w:type="dxa"/>
            <w:vAlign w:val="bottom"/>
          </w:tcPr>
          <w:p>
            <w:pPr>
              <w:ind w:left="880"/>
              <w:spacing w:after="0"/>
              <w:rPr>
                <w:sz w:val="20"/>
                <w:szCs w:val="20"/>
                <w:color w:val="auto"/>
              </w:rPr>
            </w:pPr>
            <w:r>
              <w:rPr>
                <w:rFonts w:ascii="Times New Roman" w:cs="Times New Roman" w:eastAsia="Times New Roman" w:hAnsi="Times New Roman"/>
                <w:sz w:val="14"/>
                <w:szCs w:val="14"/>
                <w:color w:val="auto"/>
              </w:rPr>
              <w:t>Waterloo, IA</w:t>
            </w:r>
          </w:p>
        </w:tc>
      </w:tr>
      <w:tr>
        <w:trPr>
          <w:trHeight w:val="201"/>
        </w:trPr>
        <w:tc>
          <w:tcPr>
            <w:tcW w:w="27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Commencement Date</w:t>
            </w:r>
          </w:p>
        </w:tc>
        <w:tc>
          <w:tcPr>
            <w:tcW w:w="1640" w:type="dxa"/>
            <w:vAlign w:val="bottom"/>
            <w:shd w:val="clear" w:color="auto" w:fill="CCEEFF"/>
          </w:tcPr>
          <w:p>
            <w:pPr>
              <w:spacing w:after="0"/>
              <w:rPr>
                <w:sz w:val="17"/>
                <w:szCs w:val="17"/>
                <w:color w:val="auto"/>
              </w:rPr>
            </w:pPr>
          </w:p>
        </w:tc>
        <w:tc>
          <w:tcPr>
            <w:tcW w:w="2420" w:type="dxa"/>
            <w:vAlign w:val="bottom"/>
            <w:shd w:val="clear" w:color="auto" w:fill="CCEEFF"/>
          </w:tcPr>
          <w:p>
            <w:pPr>
              <w:jc w:val="right"/>
              <w:ind w:right="1251"/>
              <w:spacing w:after="0"/>
              <w:rPr>
                <w:sz w:val="20"/>
                <w:szCs w:val="20"/>
                <w:color w:val="auto"/>
              </w:rPr>
            </w:pPr>
            <w:r>
              <w:rPr>
                <w:rFonts w:ascii="Times New Roman" w:cs="Times New Roman" w:eastAsia="Times New Roman" w:hAnsi="Times New Roman"/>
                <w:sz w:val="14"/>
                <w:szCs w:val="14"/>
                <w:color w:val="auto"/>
              </w:rPr>
              <w:t>10/15/2018</w:t>
            </w:r>
          </w:p>
        </w:tc>
        <w:tc>
          <w:tcPr>
            <w:tcW w:w="1980" w:type="dxa"/>
            <w:vAlign w:val="bottom"/>
            <w:shd w:val="clear" w:color="auto" w:fill="CCEEFF"/>
          </w:tcPr>
          <w:p>
            <w:pPr>
              <w:spacing w:after="0"/>
              <w:rPr>
                <w:sz w:val="17"/>
                <w:szCs w:val="17"/>
                <w:color w:val="auto"/>
              </w:rPr>
            </w:pPr>
          </w:p>
        </w:tc>
        <w:tc>
          <w:tcPr>
            <w:tcW w:w="2480" w:type="dxa"/>
            <w:vAlign w:val="bottom"/>
            <w:shd w:val="clear" w:color="auto" w:fill="CCEEFF"/>
          </w:tcPr>
          <w:p>
            <w:pPr>
              <w:jc w:val="right"/>
              <w:ind w:right="1571"/>
              <w:spacing w:after="0"/>
              <w:rPr>
                <w:sz w:val="20"/>
                <w:szCs w:val="20"/>
                <w:color w:val="auto"/>
              </w:rPr>
            </w:pPr>
            <w:r>
              <w:rPr>
                <w:rFonts w:ascii="Times New Roman" w:cs="Times New Roman" w:eastAsia="Times New Roman" w:hAnsi="Times New Roman"/>
                <w:sz w:val="14"/>
                <w:szCs w:val="14"/>
                <w:color w:val="auto"/>
              </w:rPr>
              <w:t>10/1/2018</w:t>
            </w:r>
          </w:p>
        </w:tc>
      </w:tr>
      <w:tr>
        <w:trPr>
          <w:trHeight w:val="186"/>
        </w:trPr>
        <w:tc>
          <w:tcPr>
            <w:tcW w:w="272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Lease Expiration Date</w:t>
            </w:r>
          </w:p>
        </w:tc>
        <w:tc>
          <w:tcPr>
            <w:tcW w:w="1640" w:type="dxa"/>
            <w:vAlign w:val="bottom"/>
          </w:tcPr>
          <w:p>
            <w:pPr>
              <w:spacing w:after="0"/>
              <w:rPr>
                <w:sz w:val="16"/>
                <w:szCs w:val="16"/>
                <w:color w:val="auto"/>
              </w:rPr>
            </w:pPr>
          </w:p>
        </w:tc>
        <w:tc>
          <w:tcPr>
            <w:tcW w:w="2420" w:type="dxa"/>
            <w:vAlign w:val="bottom"/>
          </w:tcPr>
          <w:p>
            <w:pPr>
              <w:jc w:val="right"/>
              <w:ind w:right="1251"/>
              <w:spacing w:after="0"/>
              <w:rPr>
                <w:sz w:val="20"/>
                <w:szCs w:val="20"/>
                <w:color w:val="auto"/>
              </w:rPr>
            </w:pPr>
            <w:r>
              <w:rPr>
                <w:rFonts w:ascii="Times New Roman" w:cs="Times New Roman" w:eastAsia="Times New Roman" w:hAnsi="Times New Roman"/>
                <w:sz w:val="14"/>
                <w:szCs w:val="14"/>
                <w:color w:val="auto"/>
              </w:rPr>
              <w:t>4/30/2031</w:t>
            </w:r>
          </w:p>
        </w:tc>
        <w:tc>
          <w:tcPr>
            <w:tcW w:w="1980" w:type="dxa"/>
            <w:vAlign w:val="bottom"/>
          </w:tcPr>
          <w:p>
            <w:pPr>
              <w:spacing w:after="0"/>
              <w:rPr>
                <w:sz w:val="16"/>
                <w:szCs w:val="16"/>
                <w:color w:val="auto"/>
              </w:rPr>
            </w:pPr>
          </w:p>
        </w:tc>
        <w:tc>
          <w:tcPr>
            <w:tcW w:w="2480" w:type="dxa"/>
            <w:vAlign w:val="bottom"/>
          </w:tcPr>
          <w:p>
            <w:pPr>
              <w:jc w:val="right"/>
              <w:ind w:right="1571"/>
              <w:spacing w:after="0"/>
              <w:rPr>
                <w:sz w:val="20"/>
                <w:szCs w:val="20"/>
                <w:color w:val="auto"/>
              </w:rPr>
            </w:pPr>
            <w:r>
              <w:rPr>
                <w:rFonts w:ascii="Times New Roman" w:cs="Times New Roman" w:eastAsia="Times New Roman" w:hAnsi="Times New Roman"/>
                <w:sz w:val="14"/>
                <w:szCs w:val="14"/>
                <w:color w:val="auto"/>
              </w:rPr>
              <w:t>9/30/2038</w:t>
            </w:r>
          </w:p>
        </w:tc>
      </w:tr>
      <w:tr>
        <w:trPr>
          <w:trHeight w:val="201"/>
        </w:trPr>
        <w:tc>
          <w:tcPr>
            <w:tcW w:w="27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Remaining Renewal Terms</w:t>
            </w:r>
          </w:p>
        </w:tc>
        <w:tc>
          <w:tcPr>
            <w:tcW w:w="1640" w:type="dxa"/>
            <w:vAlign w:val="bottom"/>
            <w:shd w:val="clear" w:color="auto" w:fill="CCEEFF"/>
          </w:tcPr>
          <w:p>
            <w:pPr>
              <w:spacing w:after="0"/>
              <w:rPr>
                <w:sz w:val="17"/>
                <w:szCs w:val="17"/>
                <w:color w:val="auto"/>
              </w:rPr>
            </w:pPr>
          </w:p>
        </w:tc>
        <w:tc>
          <w:tcPr>
            <w:tcW w:w="2420" w:type="dxa"/>
            <w:vAlign w:val="bottom"/>
            <w:shd w:val="clear" w:color="auto" w:fill="CCEEFF"/>
          </w:tcPr>
          <w:p>
            <w:pPr>
              <w:jc w:val="right"/>
              <w:ind w:right="1251"/>
              <w:spacing w:after="0"/>
              <w:rPr>
                <w:sz w:val="20"/>
                <w:szCs w:val="20"/>
                <w:color w:val="auto"/>
              </w:rPr>
            </w:pPr>
            <w:r>
              <w:rPr>
                <w:rFonts w:ascii="Times New Roman" w:cs="Times New Roman" w:eastAsia="Times New Roman" w:hAnsi="Times New Roman"/>
                <w:sz w:val="14"/>
                <w:szCs w:val="14"/>
                <w:color w:val="auto"/>
              </w:rPr>
              <w:t>20 (4x5 years)</w:t>
            </w:r>
          </w:p>
        </w:tc>
        <w:tc>
          <w:tcPr>
            <w:tcW w:w="1980" w:type="dxa"/>
            <w:vAlign w:val="bottom"/>
            <w:shd w:val="clear" w:color="auto" w:fill="CCEEFF"/>
          </w:tcPr>
          <w:p>
            <w:pPr>
              <w:spacing w:after="0"/>
              <w:rPr>
                <w:sz w:val="17"/>
                <w:szCs w:val="17"/>
                <w:color w:val="auto"/>
              </w:rPr>
            </w:pPr>
          </w:p>
        </w:tc>
        <w:tc>
          <w:tcPr>
            <w:tcW w:w="2480" w:type="dxa"/>
            <w:vAlign w:val="bottom"/>
            <w:shd w:val="clear" w:color="auto" w:fill="CCEEFF"/>
          </w:tcPr>
          <w:p>
            <w:pPr>
              <w:jc w:val="right"/>
              <w:ind w:right="1571"/>
              <w:spacing w:after="0"/>
              <w:rPr>
                <w:sz w:val="20"/>
                <w:szCs w:val="20"/>
                <w:color w:val="auto"/>
              </w:rPr>
            </w:pPr>
            <w:r>
              <w:rPr>
                <w:rFonts w:ascii="Times New Roman" w:cs="Times New Roman" w:eastAsia="Times New Roman" w:hAnsi="Times New Roman"/>
                <w:sz w:val="14"/>
                <w:szCs w:val="14"/>
                <w:color w:val="auto"/>
              </w:rPr>
              <w:t>20 (4x5 years)</w:t>
            </w:r>
          </w:p>
        </w:tc>
      </w:tr>
      <w:tr>
        <w:trPr>
          <w:trHeight w:val="186"/>
        </w:trPr>
        <w:tc>
          <w:tcPr>
            <w:tcW w:w="272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Corporate Guarantee</w:t>
            </w:r>
          </w:p>
        </w:tc>
        <w:tc>
          <w:tcPr>
            <w:tcW w:w="1640" w:type="dxa"/>
            <w:vAlign w:val="bottom"/>
          </w:tcPr>
          <w:p>
            <w:pPr>
              <w:spacing w:after="0"/>
              <w:rPr>
                <w:sz w:val="16"/>
                <w:szCs w:val="16"/>
                <w:color w:val="auto"/>
              </w:rPr>
            </w:pPr>
          </w:p>
        </w:tc>
        <w:tc>
          <w:tcPr>
            <w:tcW w:w="2420" w:type="dxa"/>
            <w:vAlign w:val="bottom"/>
          </w:tcPr>
          <w:p>
            <w:pPr>
              <w:jc w:val="right"/>
              <w:ind w:right="1251"/>
              <w:spacing w:after="0"/>
              <w:rPr>
                <w:sz w:val="20"/>
                <w:szCs w:val="20"/>
                <w:color w:val="auto"/>
              </w:rPr>
            </w:pPr>
            <w:r>
              <w:rPr>
                <w:rFonts w:ascii="Times New Roman" w:cs="Times New Roman" w:eastAsia="Times New Roman" w:hAnsi="Times New Roman"/>
                <w:sz w:val="14"/>
                <w:szCs w:val="14"/>
                <w:color w:val="auto"/>
              </w:rPr>
              <w:t>No</w:t>
            </w:r>
          </w:p>
        </w:tc>
        <w:tc>
          <w:tcPr>
            <w:tcW w:w="1980" w:type="dxa"/>
            <w:vAlign w:val="bottom"/>
          </w:tcPr>
          <w:p>
            <w:pPr>
              <w:spacing w:after="0"/>
              <w:rPr>
                <w:sz w:val="16"/>
                <w:szCs w:val="16"/>
                <w:color w:val="auto"/>
              </w:rPr>
            </w:pPr>
          </w:p>
        </w:tc>
        <w:tc>
          <w:tcPr>
            <w:tcW w:w="2480" w:type="dxa"/>
            <w:vAlign w:val="bottom"/>
          </w:tcPr>
          <w:p>
            <w:pPr>
              <w:jc w:val="right"/>
              <w:ind w:right="1571"/>
              <w:spacing w:after="0"/>
              <w:rPr>
                <w:sz w:val="20"/>
                <w:szCs w:val="20"/>
                <w:color w:val="auto"/>
              </w:rPr>
            </w:pPr>
            <w:r>
              <w:rPr>
                <w:rFonts w:ascii="Times New Roman" w:cs="Times New Roman" w:eastAsia="Times New Roman" w:hAnsi="Times New Roman"/>
                <w:sz w:val="14"/>
                <w:szCs w:val="14"/>
                <w:color w:val="auto"/>
              </w:rPr>
              <w:t>Yes</w:t>
            </w:r>
          </w:p>
        </w:tc>
      </w:tr>
      <w:tr>
        <w:trPr>
          <w:trHeight w:val="201"/>
        </w:trPr>
        <w:tc>
          <w:tcPr>
            <w:tcW w:w="27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Master Lease with Cross Collateralization</w:t>
            </w:r>
          </w:p>
        </w:tc>
        <w:tc>
          <w:tcPr>
            <w:tcW w:w="1640" w:type="dxa"/>
            <w:vAlign w:val="bottom"/>
            <w:shd w:val="clear" w:color="auto" w:fill="CCEEFF"/>
          </w:tcPr>
          <w:p>
            <w:pPr>
              <w:spacing w:after="0"/>
              <w:rPr>
                <w:sz w:val="17"/>
                <w:szCs w:val="17"/>
                <w:color w:val="auto"/>
              </w:rPr>
            </w:pPr>
          </w:p>
        </w:tc>
        <w:tc>
          <w:tcPr>
            <w:tcW w:w="2420" w:type="dxa"/>
            <w:vAlign w:val="bottom"/>
            <w:shd w:val="clear" w:color="auto" w:fill="CCEEFF"/>
          </w:tcPr>
          <w:p>
            <w:pPr>
              <w:jc w:val="right"/>
              <w:ind w:right="1251"/>
              <w:spacing w:after="0"/>
              <w:rPr>
                <w:sz w:val="20"/>
                <w:szCs w:val="20"/>
                <w:color w:val="auto"/>
              </w:rPr>
            </w:pPr>
            <w:r>
              <w:rPr>
                <w:rFonts w:ascii="Times New Roman" w:cs="Times New Roman" w:eastAsia="Times New Roman" w:hAnsi="Times New Roman"/>
                <w:sz w:val="14"/>
                <w:szCs w:val="14"/>
                <w:color w:val="auto"/>
              </w:rPr>
              <w:t>Yes</w:t>
            </w:r>
          </w:p>
        </w:tc>
        <w:tc>
          <w:tcPr>
            <w:tcW w:w="1980" w:type="dxa"/>
            <w:vAlign w:val="bottom"/>
            <w:shd w:val="clear" w:color="auto" w:fill="CCEEFF"/>
          </w:tcPr>
          <w:p>
            <w:pPr>
              <w:spacing w:after="0"/>
              <w:rPr>
                <w:sz w:val="17"/>
                <w:szCs w:val="17"/>
                <w:color w:val="auto"/>
              </w:rPr>
            </w:pPr>
          </w:p>
        </w:tc>
        <w:tc>
          <w:tcPr>
            <w:tcW w:w="2480" w:type="dxa"/>
            <w:vAlign w:val="bottom"/>
            <w:shd w:val="clear" w:color="auto" w:fill="CCEEFF"/>
          </w:tcPr>
          <w:p>
            <w:pPr>
              <w:jc w:val="right"/>
              <w:ind w:right="1571"/>
              <w:spacing w:after="0"/>
              <w:rPr>
                <w:sz w:val="20"/>
                <w:szCs w:val="20"/>
                <w:color w:val="auto"/>
              </w:rPr>
            </w:pPr>
            <w:r>
              <w:rPr>
                <w:rFonts w:ascii="Times New Roman" w:cs="Times New Roman" w:eastAsia="Times New Roman" w:hAnsi="Times New Roman"/>
                <w:sz w:val="14"/>
                <w:szCs w:val="14"/>
                <w:color w:val="auto"/>
              </w:rPr>
              <w:t>Yes</w:t>
            </w:r>
          </w:p>
        </w:tc>
      </w:tr>
      <w:tr>
        <w:trPr>
          <w:trHeight w:val="186"/>
        </w:trPr>
        <w:tc>
          <w:tcPr>
            <w:tcW w:w="272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Technical Default Landlord Protection</w:t>
            </w:r>
          </w:p>
        </w:tc>
        <w:tc>
          <w:tcPr>
            <w:tcW w:w="1640" w:type="dxa"/>
            <w:vAlign w:val="bottom"/>
          </w:tcPr>
          <w:p>
            <w:pPr>
              <w:spacing w:after="0"/>
              <w:rPr>
                <w:sz w:val="16"/>
                <w:szCs w:val="16"/>
                <w:color w:val="auto"/>
              </w:rPr>
            </w:pPr>
          </w:p>
        </w:tc>
        <w:tc>
          <w:tcPr>
            <w:tcW w:w="2420" w:type="dxa"/>
            <w:vAlign w:val="bottom"/>
          </w:tcPr>
          <w:p>
            <w:pPr>
              <w:jc w:val="right"/>
              <w:ind w:right="1251"/>
              <w:spacing w:after="0"/>
              <w:rPr>
                <w:sz w:val="20"/>
                <w:szCs w:val="20"/>
                <w:color w:val="auto"/>
              </w:rPr>
            </w:pPr>
            <w:r>
              <w:rPr>
                <w:rFonts w:ascii="Times New Roman" w:cs="Times New Roman" w:eastAsia="Times New Roman" w:hAnsi="Times New Roman"/>
                <w:sz w:val="14"/>
                <w:szCs w:val="14"/>
                <w:color w:val="auto"/>
              </w:rPr>
              <w:t>Yes</w:t>
            </w:r>
          </w:p>
        </w:tc>
        <w:tc>
          <w:tcPr>
            <w:tcW w:w="1980" w:type="dxa"/>
            <w:vAlign w:val="bottom"/>
          </w:tcPr>
          <w:p>
            <w:pPr>
              <w:spacing w:after="0"/>
              <w:rPr>
                <w:sz w:val="16"/>
                <w:szCs w:val="16"/>
                <w:color w:val="auto"/>
              </w:rPr>
            </w:pPr>
          </w:p>
        </w:tc>
        <w:tc>
          <w:tcPr>
            <w:tcW w:w="2480" w:type="dxa"/>
            <w:vAlign w:val="bottom"/>
          </w:tcPr>
          <w:p>
            <w:pPr>
              <w:jc w:val="right"/>
              <w:ind w:right="1571"/>
              <w:spacing w:after="0"/>
              <w:rPr>
                <w:sz w:val="20"/>
                <w:szCs w:val="20"/>
                <w:color w:val="auto"/>
              </w:rPr>
            </w:pPr>
            <w:r>
              <w:rPr>
                <w:rFonts w:ascii="Times New Roman" w:cs="Times New Roman" w:eastAsia="Times New Roman" w:hAnsi="Times New Roman"/>
                <w:sz w:val="14"/>
                <w:szCs w:val="14"/>
                <w:color w:val="auto"/>
              </w:rPr>
              <w:t>Yes</w:t>
            </w:r>
          </w:p>
        </w:tc>
      </w:tr>
      <w:tr>
        <w:trPr>
          <w:trHeight w:val="201"/>
        </w:trPr>
        <w:tc>
          <w:tcPr>
            <w:tcW w:w="27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Default Adjusted Revenue to Rent Coverage</w:t>
            </w:r>
          </w:p>
        </w:tc>
        <w:tc>
          <w:tcPr>
            <w:tcW w:w="1640" w:type="dxa"/>
            <w:vAlign w:val="bottom"/>
            <w:shd w:val="clear" w:color="auto" w:fill="CCEEFF"/>
          </w:tcPr>
          <w:p>
            <w:pPr>
              <w:spacing w:after="0"/>
              <w:rPr>
                <w:sz w:val="17"/>
                <w:szCs w:val="17"/>
                <w:color w:val="auto"/>
              </w:rPr>
            </w:pPr>
          </w:p>
        </w:tc>
        <w:tc>
          <w:tcPr>
            <w:tcW w:w="2420" w:type="dxa"/>
            <w:vAlign w:val="bottom"/>
            <w:shd w:val="clear" w:color="auto" w:fill="CCEEFF"/>
          </w:tcPr>
          <w:p>
            <w:pPr>
              <w:jc w:val="right"/>
              <w:ind w:right="1251"/>
              <w:spacing w:after="0"/>
              <w:rPr>
                <w:sz w:val="20"/>
                <w:szCs w:val="20"/>
                <w:color w:val="auto"/>
              </w:rPr>
            </w:pPr>
            <w:r>
              <w:rPr>
                <w:rFonts w:ascii="Times New Roman" w:cs="Times New Roman" w:eastAsia="Times New Roman" w:hAnsi="Times New Roman"/>
                <w:sz w:val="14"/>
                <w:szCs w:val="14"/>
                <w:color w:val="auto"/>
              </w:rPr>
              <w:t>1.4</w:t>
            </w:r>
          </w:p>
        </w:tc>
        <w:tc>
          <w:tcPr>
            <w:tcW w:w="1980" w:type="dxa"/>
            <w:vAlign w:val="bottom"/>
            <w:shd w:val="clear" w:color="auto" w:fill="CCEEFF"/>
          </w:tcPr>
          <w:p>
            <w:pPr>
              <w:spacing w:after="0"/>
              <w:rPr>
                <w:sz w:val="17"/>
                <w:szCs w:val="17"/>
                <w:color w:val="auto"/>
              </w:rPr>
            </w:pPr>
          </w:p>
        </w:tc>
        <w:tc>
          <w:tcPr>
            <w:tcW w:w="2480" w:type="dxa"/>
            <w:vAlign w:val="bottom"/>
            <w:shd w:val="clear" w:color="auto" w:fill="CCEEFF"/>
          </w:tcPr>
          <w:p>
            <w:pPr>
              <w:jc w:val="right"/>
              <w:ind w:right="1571"/>
              <w:spacing w:after="0"/>
              <w:rPr>
                <w:sz w:val="20"/>
                <w:szCs w:val="20"/>
                <w:color w:val="auto"/>
              </w:rPr>
            </w:pPr>
            <w:r>
              <w:rPr>
                <w:rFonts w:ascii="Times New Roman" w:cs="Times New Roman" w:eastAsia="Times New Roman" w:hAnsi="Times New Roman"/>
                <w:sz w:val="14"/>
                <w:szCs w:val="14"/>
                <w:color w:val="auto"/>
              </w:rPr>
              <w:t>1.2</w:t>
            </w:r>
          </w:p>
        </w:tc>
      </w:tr>
      <w:tr>
        <w:trPr>
          <w:trHeight w:val="186"/>
        </w:trPr>
        <w:tc>
          <w:tcPr>
            <w:tcW w:w="272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Competitive Radius Landlord Protection</w:t>
            </w:r>
          </w:p>
        </w:tc>
        <w:tc>
          <w:tcPr>
            <w:tcW w:w="1640" w:type="dxa"/>
            <w:vAlign w:val="bottom"/>
          </w:tcPr>
          <w:p>
            <w:pPr>
              <w:spacing w:after="0"/>
              <w:rPr>
                <w:sz w:val="16"/>
                <w:szCs w:val="16"/>
                <w:color w:val="auto"/>
              </w:rPr>
            </w:pPr>
          </w:p>
        </w:tc>
        <w:tc>
          <w:tcPr>
            <w:tcW w:w="2420" w:type="dxa"/>
            <w:vAlign w:val="bottom"/>
          </w:tcPr>
          <w:p>
            <w:pPr>
              <w:jc w:val="right"/>
              <w:ind w:right="1251"/>
              <w:spacing w:after="0"/>
              <w:rPr>
                <w:sz w:val="20"/>
                <w:szCs w:val="20"/>
                <w:color w:val="auto"/>
              </w:rPr>
            </w:pPr>
            <w:r>
              <w:rPr>
                <w:rFonts w:ascii="Times New Roman" w:cs="Times New Roman" w:eastAsia="Times New Roman" w:hAnsi="Times New Roman"/>
                <w:sz w:val="14"/>
                <w:szCs w:val="14"/>
                <w:color w:val="auto"/>
              </w:rPr>
              <w:t>Yes</w:t>
            </w:r>
          </w:p>
        </w:tc>
        <w:tc>
          <w:tcPr>
            <w:tcW w:w="1980" w:type="dxa"/>
            <w:vAlign w:val="bottom"/>
          </w:tcPr>
          <w:p>
            <w:pPr>
              <w:spacing w:after="0"/>
              <w:rPr>
                <w:sz w:val="16"/>
                <w:szCs w:val="16"/>
                <w:color w:val="auto"/>
              </w:rPr>
            </w:pPr>
          </w:p>
        </w:tc>
        <w:tc>
          <w:tcPr>
            <w:tcW w:w="2480" w:type="dxa"/>
            <w:vAlign w:val="bottom"/>
          </w:tcPr>
          <w:p>
            <w:pPr>
              <w:jc w:val="right"/>
              <w:ind w:right="1571"/>
              <w:spacing w:after="0"/>
              <w:rPr>
                <w:sz w:val="20"/>
                <w:szCs w:val="20"/>
                <w:color w:val="auto"/>
              </w:rPr>
            </w:pPr>
            <w:r>
              <w:rPr>
                <w:rFonts w:ascii="Times New Roman" w:cs="Times New Roman" w:eastAsia="Times New Roman" w:hAnsi="Times New Roman"/>
                <w:sz w:val="14"/>
                <w:szCs w:val="14"/>
                <w:color w:val="auto"/>
              </w:rPr>
              <w:t>Yes</w:t>
            </w:r>
          </w:p>
        </w:tc>
      </w:tr>
      <w:tr>
        <w:trPr>
          <w:trHeight w:val="181"/>
        </w:trPr>
        <w:tc>
          <w:tcPr>
            <w:tcW w:w="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w w:val="96"/>
              </w:rPr>
              <w:t>Escalator Details</w:t>
            </w:r>
          </w:p>
        </w:tc>
        <w:tc>
          <w:tcPr>
            <w:tcW w:w="1700" w:type="dxa"/>
            <w:vAlign w:val="bottom"/>
            <w:tcBorders>
              <w:bottom w:val="single" w:sz="8" w:color="CCEEFF"/>
            </w:tcBorders>
            <w:gridSpan w:val="2"/>
            <w:shd w:val="clear" w:color="auto" w:fill="CCEEFF"/>
          </w:tcPr>
          <w:p>
            <w:pPr>
              <w:spacing w:after="0"/>
              <w:rPr>
                <w:sz w:val="15"/>
                <w:szCs w:val="15"/>
                <w:color w:val="auto"/>
              </w:rPr>
            </w:pPr>
          </w:p>
        </w:tc>
        <w:tc>
          <w:tcPr>
            <w:tcW w:w="1640" w:type="dxa"/>
            <w:vAlign w:val="bottom"/>
            <w:tcBorders>
              <w:bottom w:val="single" w:sz="8" w:color="CCEEFF"/>
            </w:tcBorders>
            <w:shd w:val="clear" w:color="auto" w:fill="CCEEFF"/>
          </w:tcPr>
          <w:p>
            <w:pPr>
              <w:spacing w:after="0"/>
              <w:rPr>
                <w:sz w:val="15"/>
                <w:szCs w:val="15"/>
                <w:color w:val="auto"/>
              </w:rPr>
            </w:pPr>
          </w:p>
        </w:tc>
        <w:tc>
          <w:tcPr>
            <w:tcW w:w="2420" w:type="dxa"/>
            <w:vAlign w:val="bottom"/>
            <w:tcBorders>
              <w:bottom w:val="single" w:sz="8" w:color="CCEEFF"/>
            </w:tcBorders>
            <w:shd w:val="clear" w:color="auto" w:fill="CCEEFF"/>
          </w:tcPr>
          <w:p>
            <w:pPr>
              <w:spacing w:after="0"/>
              <w:rPr>
                <w:sz w:val="15"/>
                <w:szCs w:val="15"/>
                <w:color w:val="auto"/>
              </w:rPr>
            </w:pPr>
          </w:p>
        </w:tc>
        <w:tc>
          <w:tcPr>
            <w:tcW w:w="1980" w:type="dxa"/>
            <w:vAlign w:val="bottom"/>
            <w:tcBorders>
              <w:bottom w:val="single" w:sz="8" w:color="CCEEFF"/>
            </w:tcBorders>
            <w:shd w:val="clear" w:color="auto" w:fill="CCEEFF"/>
          </w:tcPr>
          <w:p>
            <w:pPr>
              <w:spacing w:after="0"/>
              <w:rPr>
                <w:sz w:val="15"/>
                <w:szCs w:val="15"/>
                <w:color w:val="auto"/>
              </w:rPr>
            </w:pPr>
          </w:p>
        </w:tc>
        <w:tc>
          <w:tcPr>
            <w:tcW w:w="2480" w:type="dxa"/>
            <w:vAlign w:val="bottom"/>
            <w:tcBorders>
              <w:bottom w:val="single" w:sz="8" w:color="CCEEFF"/>
            </w:tcBorders>
            <w:shd w:val="clear" w:color="auto" w:fill="CCEEFF"/>
          </w:tcPr>
          <w:p>
            <w:pPr>
              <w:spacing w:after="0"/>
              <w:rPr>
                <w:sz w:val="15"/>
                <w:szCs w:val="15"/>
                <w:color w:val="auto"/>
              </w:rPr>
            </w:pPr>
          </w:p>
        </w:tc>
      </w:tr>
      <w:tr>
        <w:trPr>
          <w:trHeight w:val="186"/>
        </w:trPr>
        <w:tc>
          <w:tcPr>
            <w:tcW w:w="272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Yearly Base Rent Escalator Maximum</w:t>
            </w:r>
          </w:p>
        </w:tc>
        <w:tc>
          <w:tcPr>
            <w:tcW w:w="1640" w:type="dxa"/>
            <w:vAlign w:val="bottom"/>
          </w:tcPr>
          <w:p>
            <w:pPr>
              <w:spacing w:after="0"/>
              <w:rPr>
                <w:sz w:val="16"/>
                <w:szCs w:val="16"/>
                <w:color w:val="auto"/>
              </w:rPr>
            </w:pPr>
          </w:p>
        </w:tc>
        <w:tc>
          <w:tcPr>
            <w:tcW w:w="2420" w:type="dxa"/>
            <w:vAlign w:val="bottom"/>
          </w:tcPr>
          <w:p>
            <w:pPr>
              <w:jc w:val="right"/>
              <w:ind w:right="1251"/>
              <w:spacing w:after="0"/>
              <w:rPr>
                <w:sz w:val="20"/>
                <w:szCs w:val="20"/>
                <w:color w:val="auto"/>
              </w:rPr>
            </w:pPr>
            <w:r>
              <w:rPr>
                <w:rFonts w:ascii="Times New Roman" w:cs="Times New Roman" w:eastAsia="Times New Roman" w:hAnsi="Times New Roman"/>
                <w:sz w:val="14"/>
                <w:szCs w:val="14"/>
                <w:color w:val="auto"/>
              </w:rPr>
              <w:t>2 %</w:t>
            </w:r>
          </w:p>
        </w:tc>
        <w:tc>
          <w:tcPr>
            <w:tcW w:w="1980" w:type="dxa"/>
            <w:vAlign w:val="bottom"/>
          </w:tcPr>
          <w:p>
            <w:pPr>
              <w:spacing w:after="0"/>
              <w:rPr>
                <w:sz w:val="16"/>
                <w:szCs w:val="16"/>
                <w:color w:val="auto"/>
              </w:rPr>
            </w:pPr>
          </w:p>
        </w:tc>
        <w:tc>
          <w:tcPr>
            <w:tcW w:w="2480" w:type="dxa"/>
            <w:vAlign w:val="bottom"/>
          </w:tcPr>
          <w:p>
            <w:pPr>
              <w:jc w:val="right"/>
              <w:ind w:right="1571"/>
              <w:spacing w:after="0"/>
              <w:rPr>
                <w:sz w:val="20"/>
                <w:szCs w:val="20"/>
                <w:color w:val="auto"/>
              </w:rPr>
            </w:pPr>
            <w:r>
              <w:rPr>
                <w:rFonts w:ascii="Times New Roman" w:cs="Times New Roman" w:eastAsia="Times New Roman" w:hAnsi="Times New Roman"/>
                <w:sz w:val="14"/>
                <w:szCs w:val="14"/>
                <w:color w:val="auto"/>
              </w:rPr>
              <w:t>2 %</w:t>
            </w:r>
          </w:p>
        </w:tc>
      </w:tr>
      <w:tr>
        <w:trPr>
          <w:trHeight w:val="201"/>
        </w:trPr>
        <w:tc>
          <w:tcPr>
            <w:tcW w:w="27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Coverage ratio at December 31, 2025</w:t>
            </w:r>
          </w:p>
        </w:tc>
        <w:tc>
          <w:tcPr>
            <w:tcW w:w="1640" w:type="dxa"/>
            <w:vAlign w:val="bottom"/>
            <w:shd w:val="clear" w:color="auto" w:fill="CCEEFF"/>
          </w:tcPr>
          <w:p>
            <w:pPr>
              <w:spacing w:after="0"/>
              <w:rPr>
                <w:sz w:val="17"/>
                <w:szCs w:val="17"/>
                <w:color w:val="auto"/>
              </w:rPr>
            </w:pPr>
          </w:p>
        </w:tc>
        <w:tc>
          <w:tcPr>
            <w:tcW w:w="2420" w:type="dxa"/>
            <w:vAlign w:val="bottom"/>
            <w:shd w:val="clear" w:color="auto" w:fill="CCEEFF"/>
          </w:tcPr>
          <w:p>
            <w:pPr>
              <w:jc w:val="right"/>
              <w:ind w:right="1251"/>
              <w:spacing w:after="0"/>
              <w:rPr>
                <w:sz w:val="20"/>
                <w:szCs w:val="20"/>
                <w:color w:val="auto"/>
              </w:rPr>
            </w:pPr>
            <w:r>
              <w:rPr>
                <w:rFonts w:ascii="Times New Roman" w:cs="Times New Roman" w:eastAsia="Times New Roman" w:hAnsi="Times New Roman"/>
                <w:sz w:val="14"/>
                <w:szCs w:val="14"/>
                <w:color w:val="auto"/>
              </w:rPr>
              <w:t>2.47</w:t>
            </w:r>
          </w:p>
        </w:tc>
        <w:tc>
          <w:tcPr>
            <w:tcW w:w="1980" w:type="dxa"/>
            <w:vAlign w:val="bottom"/>
            <w:shd w:val="clear" w:color="auto" w:fill="CCEEFF"/>
          </w:tcPr>
          <w:p>
            <w:pPr>
              <w:spacing w:after="0"/>
              <w:rPr>
                <w:sz w:val="17"/>
                <w:szCs w:val="17"/>
                <w:color w:val="auto"/>
              </w:rPr>
            </w:pPr>
          </w:p>
        </w:tc>
        <w:tc>
          <w:tcPr>
            <w:tcW w:w="2480" w:type="dxa"/>
            <w:vAlign w:val="bottom"/>
            <w:shd w:val="clear" w:color="auto" w:fill="CCEEFF"/>
          </w:tcPr>
          <w:p>
            <w:pPr>
              <w:jc w:val="right"/>
              <w:ind w:right="1571"/>
              <w:spacing w:after="0"/>
              <w:rPr>
                <w:sz w:val="20"/>
                <w:szCs w:val="20"/>
                <w:color w:val="auto"/>
              </w:rPr>
            </w:pPr>
            <w:r>
              <w:rPr>
                <w:rFonts w:ascii="Times New Roman" w:cs="Times New Roman" w:eastAsia="Times New Roman" w:hAnsi="Times New Roman"/>
                <w:sz w:val="14"/>
                <w:szCs w:val="14"/>
                <w:color w:val="auto"/>
              </w:rPr>
              <w:t>1.59</w:t>
            </w:r>
          </w:p>
        </w:tc>
      </w:tr>
      <w:tr>
        <w:trPr>
          <w:trHeight w:val="186"/>
        </w:trPr>
        <w:tc>
          <w:tcPr>
            <w:tcW w:w="272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Minimum Escalator Coverage Governor</w:t>
            </w:r>
          </w:p>
        </w:tc>
        <w:tc>
          <w:tcPr>
            <w:tcW w:w="1640" w:type="dxa"/>
            <w:vAlign w:val="bottom"/>
          </w:tcPr>
          <w:p>
            <w:pPr>
              <w:spacing w:after="0"/>
              <w:rPr>
                <w:sz w:val="16"/>
                <w:szCs w:val="16"/>
                <w:color w:val="auto"/>
              </w:rPr>
            </w:pPr>
          </w:p>
        </w:tc>
        <w:tc>
          <w:tcPr>
            <w:tcW w:w="2420" w:type="dxa"/>
            <w:vAlign w:val="bottom"/>
          </w:tcPr>
          <w:p>
            <w:pPr>
              <w:jc w:val="right"/>
              <w:ind w:right="1251"/>
              <w:spacing w:after="0"/>
              <w:rPr>
                <w:sz w:val="20"/>
                <w:szCs w:val="20"/>
                <w:color w:val="auto"/>
              </w:rPr>
            </w:pPr>
            <w:r>
              <w:rPr>
                <w:rFonts w:ascii="Times New Roman" w:cs="Times New Roman" w:eastAsia="Times New Roman" w:hAnsi="Times New Roman"/>
                <w:sz w:val="14"/>
                <w:szCs w:val="14"/>
                <w:color w:val="auto"/>
              </w:rPr>
              <w:t>1.8</w:t>
            </w:r>
          </w:p>
        </w:tc>
        <w:tc>
          <w:tcPr>
            <w:tcW w:w="1980" w:type="dxa"/>
            <w:vAlign w:val="bottom"/>
          </w:tcPr>
          <w:p>
            <w:pPr>
              <w:spacing w:after="0"/>
              <w:rPr>
                <w:sz w:val="16"/>
                <w:szCs w:val="16"/>
                <w:color w:val="auto"/>
              </w:rPr>
            </w:pPr>
          </w:p>
        </w:tc>
        <w:tc>
          <w:tcPr>
            <w:tcW w:w="2480" w:type="dxa"/>
            <w:vAlign w:val="bottom"/>
          </w:tcPr>
          <w:p>
            <w:pPr>
              <w:jc w:val="right"/>
              <w:ind w:right="1571"/>
              <w:spacing w:after="0"/>
              <w:rPr>
                <w:sz w:val="20"/>
                <w:szCs w:val="20"/>
                <w:color w:val="auto"/>
              </w:rPr>
            </w:pPr>
            <w:r>
              <w:rPr>
                <w:rFonts w:ascii="Times New Roman" w:cs="Times New Roman" w:eastAsia="Times New Roman" w:hAnsi="Times New Roman"/>
                <w:sz w:val="14"/>
                <w:szCs w:val="14"/>
                <w:color w:val="auto"/>
              </w:rPr>
              <w:t>N/A</w:t>
            </w:r>
          </w:p>
        </w:tc>
      </w:tr>
      <w:tr>
        <w:trPr>
          <w:trHeight w:val="201"/>
        </w:trPr>
        <w:tc>
          <w:tcPr>
            <w:tcW w:w="27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Yearly Anniversary for Realization</w:t>
            </w:r>
          </w:p>
        </w:tc>
        <w:tc>
          <w:tcPr>
            <w:tcW w:w="1640" w:type="dxa"/>
            <w:vAlign w:val="bottom"/>
            <w:shd w:val="clear" w:color="auto" w:fill="CCEEFF"/>
          </w:tcPr>
          <w:p>
            <w:pPr>
              <w:spacing w:after="0"/>
              <w:rPr>
                <w:sz w:val="17"/>
                <w:szCs w:val="17"/>
                <w:color w:val="auto"/>
              </w:rPr>
            </w:pPr>
          </w:p>
        </w:tc>
        <w:tc>
          <w:tcPr>
            <w:tcW w:w="2420" w:type="dxa"/>
            <w:vAlign w:val="bottom"/>
            <w:shd w:val="clear" w:color="auto" w:fill="CCEEFF"/>
          </w:tcPr>
          <w:p>
            <w:pPr>
              <w:jc w:val="right"/>
              <w:ind w:right="1251"/>
              <w:spacing w:after="0"/>
              <w:rPr>
                <w:sz w:val="20"/>
                <w:szCs w:val="20"/>
                <w:color w:val="auto"/>
              </w:rPr>
            </w:pPr>
            <w:r>
              <w:rPr>
                <w:rFonts w:ascii="Times New Roman" w:cs="Times New Roman" w:eastAsia="Times New Roman" w:hAnsi="Times New Roman"/>
                <w:sz w:val="14"/>
                <w:szCs w:val="14"/>
                <w:color w:val="auto"/>
              </w:rPr>
              <w:t>May</w:t>
            </w:r>
          </w:p>
        </w:tc>
        <w:tc>
          <w:tcPr>
            <w:tcW w:w="1980" w:type="dxa"/>
            <w:vAlign w:val="bottom"/>
            <w:shd w:val="clear" w:color="auto" w:fill="CCEEFF"/>
          </w:tcPr>
          <w:p>
            <w:pPr>
              <w:spacing w:after="0"/>
              <w:rPr>
                <w:sz w:val="17"/>
                <w:szCs w:val="17"/>
                <w:color w:val="auto"/>
              </w:rPr>
            </w:pPr>
          </w:p>
        </w:tc>
        <w:tc>
          <w:tcPr>
            <w:tcW w:w="2480" w:type="dxa"/>
            <w:vAlign w:val="bottom"/>
            <w:shd w:val="clear" w:color="auto" w:fill="CCEEFF"/>
          </w:tcPr>
          <w:p>
            <w:pPr>
              <w:jc w:val="right"/>
              <w:ind w:right="1571"/>
              <w:spacing w:after="0"/>
              <w:rPr>
                <w:sz w:val="20"/>
                <w:szCs w:val="20"/>
                <w:color w:val="auto"/>
              </w:rPr>
            </w:pPr>
            <w:r>
              <w:rPr>
                <w:rFonts w:ascii="Times New Roman" w:cs="Times New Roman" w:eastAsia="Times New Roman" w:hAnsi="Times New Roman"/>
                <w:sz w:val="14"/>
                <w:szCs w:val="14"/>
                <w:color w:val="auto"/>
              </w:rPr>
              <w:t>October</w:t>
            </w:r>
          </w:p>
        </w:tc>
      </w:tr>
      <w:tr>
        <w:trPr>
          <w:trHeight w:val="142"/>
        </w:trPr>
        <w:tc>
          <w:tcPr>
            <w:tcW w:w="2720" w:type="dxa"/>
            <w:vAlign w:val="bottom"/>
            <w:gridSpan w:val="4"/>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Percentage Rent Reset Details</w:t>
            </w:r>
          </w:p>
        </w:tc>
        <w:tc>
          <w:tcPr>
            <w:tcW w:w="164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2480" w:type="dxa"/>
            <w:vAlign w:val="bottom"/>
          </w:tcPr>
          <w:p>
            <w:pPr>
              <w:spacing w:after="0"/>
              <w:rPr>
                <w:sz w:val="12"/>
                <w:szCs w:val="12"/>
                <w:color w:val="auto"/>
              </w:rPr>
            </w:pPr>
          </w:p>
        </w:tc>
      </w:tr>
      <w:tr>
        <w:trPr>
          <w:trHeight w:val="32"/>
        </w:trPr>
        <w:tc>
          <w:tcPr>
            <w:tcW w:w="20" w:type="dxa"/>
            <w:vAlign w:val="bottom"/>
          </w:tcPr>
          <w:p>
            <w:pPr>
              <w:spacing w:after="0"/>
              <w:rPr>
                <w:sz w:val="2"/>
                <w:szCs w:val="2"/>
                <w:color w:val="auto"/>
              </w:rPr>
            </w:pPr>
          </w:p>
        </w:tc>
        <w:tc>
          <w:tcPr>
            <w:tcW w:w="1000" w:type="dxa"/>
            <w:vAlign w:val="bottom"/>
            <w:tcBorders>
              <w:top w:val="single" w:sz="8" w:color="auto"/>
            </w:tcBorders>
          </w:tcPr>
          <w:p>
            <w:pPr>
              <w:spacing w:after="0"/>
              <w:rPr>
                <w:sz w:val="2"/>
                <w:szCs w:val="2"/>
                <w:color w:val="auto"/>
              </w:rPr>
            </w:pPr>
          </w:p>
        </w:tc>
        <w:tc>
          <w:tcPr>
            <w:tcW w:w="760" w:type="dxa"/>
            <w:vAlign w:val="bottom"/>
            <w:tcBorders>
              <w:top w:val="single" w:sz="8" w:color="auto"/>
            </w:tcBorders>
          </w:tcPr>
          <w:p>
            <w:pPr>
              <w:spacing w:after="0"/>
              <w:rPr>
                <w:sz w:val="2"/>
                <w:szCs w:val="2"/>
                <w:color w:val="auto"/>
              </w:rPr>
            </w:pPr>
          </w:p>
        </w:tc>
        <w:tc>
          <w:tcPr>
            <w:tcW w:w="9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480" w:type="dxa"/>
            <w:vAlign w:val="bottom"/>
          </w:tcPr>
          <w:p>
            <w:pPr>
              <w:spacing w:after="0"/>
              <w:rPr>
                <w:sz w:val="2"/>
                <w:szCs w:val="2"/>
                <w:color w:val="auto"/>
              </w:rPr>
            </w:pPr>
          </w:p>
        </w:tc>
      </w:tr>
      <w:tr>
        <w:trPr>
          <w:trHeight w:val="193"/>
        </w:trPr>
        <w:tc>
          <w:tcPr>
            <w:tcW w:w="27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Reset Frequency</w:t>
            </w:r>
          </w:p>
        </w:tc>
        <w:tc>
          <w:tcPr>
            <w:tcW w:w="1640" w:type="dxa"/>
            <w:vAlign w:val="bottom"/>
            <w:shd w:val="clear" w:color="auto" w:fill="CCEEFF"/>
          </w:tcPr>
          <w:p>
            <w:pPr>
              <w:spacing w:after="0"/>
              <w:rPr>
                <w:sz w:val="16"/>
                <w:szCs w:val="16"/>
                <w:color w:val="auto"/>
              </w:rPr>
            </w:pPr>
          </w:p>
        </w:tc>
        <w:tc>
          <w:tcPr>
            <w:tcW w:w="2420" w:type="dxa"/>
            <w:vAlign w:val="bottom"/>
            <w:shd w:val="clear" w:color="auto" w:fill="CCEEFF"/>
          </w:tcPr>
          <w:p>
            <w:pPr>
              <w:jc w:val="right"/>
              <w:ind w:right="1251"/>
              <w:spacing w:after="0"/>
              <w:rPr>
                <w:sz w:val="20"/>
                <w:szCs w:val="20"/>
                <w:color w:val="auto"/>
              </w:rPr>
            </w:pPr>
            <w:r>
              <w:rPr>
                <w:rFonts w:ascii="Times New Roman" w:cs="Times New Roman" w:eastAsia="Times New Roman" w:hAnsi="Times New Roman"/>
                <w:sz w:val="14"/>
                <w:szCs w:val="14"/>
                <w:color w:val="auto"/>
              </w:rPr>
              <w:t>2 years</w:t>
            </w:r>
          </w:p>
        </w:tc>
        <w:tc>
          <w:tcPr>
            <w:tcW w:w="1980" w:type="dxa"/>
            <w:vAlign w:val="bottom"/>
            <w:shd w:val="clear" w:color="auto" w:fill="CCEEFF"/>
          </w:tcPr>
          <w:p>
            <w:pPr>
              <w:spacing w:after="0"/>
              <w:rPr>
                <w:sz w:val="16"/>
                <w:szCs w:val="16"/>
                <w:color w:val="auto"/>
              </w:rPr>
            </w:pPr>
          </w:p>
        </w:tc>
        <w:tc>
          <w:tcPr>
            <w:tcW w:w="2480" w:type="dxa"/>
            <w:vAlign w:val="bottom"/>
            <w:shd w:val="clear" w:color="auto" w:fill="CCEEFF"/>
          </w:tcPr>
          <w:p>
            <w:pPr>
              <w:jc w:val="right"/>
              <w:ind w:right="1571"/>
              <w:spacing w:after="0"/>
              <w:rPr>
                <w:sz w:val="20"/>
                <w:szCs w:val="20"/>
                <w:color w:val="auto"/>
              </w:rPr>
            </w:pPr>
            <w:r>
              <w:rPr>
                <w:rFonts w:ascii="Times New Roman" w:cs="Times New Roman" w:eastAsia="Times New Roman" w:hAnsi="Times New Roman"/>
                <w:sz w:val="14"/>
                <w:szCs w:val="14"/>
                <w:color w:val="auto"/>
              </w:rPr>
              <w:t>N/A</w:t>
            </w:r>
          </w:p>
        </w:tc>
      </w:tr>
      <w:tr>
        <w:trPr>
          <w:trHeight w:val="178"/>
        </w:trPr>
        <w:tc>
          <w:tcPr>
            <w:tcW w:w="272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Next Reset</w:t>
            </w:r>
          </w:p>
        </w:tc>
        <w:tc>
          <w:tcPr>
            <w:tcW w:w="1640" w:type="dxa"/>
            <w:vAlign w:val="bottom"/>
          </w:tcPr>
          <w:p>
            <w:pPr>
              <w:spacing w:after="0"/>
              <w:rPr>
                <w:sz w:val="15"/>
                <w:szCs w:val="15"/>
                <w:color w:val="auto"/>
              </w:rPr>
            </w:pPr>
          </w:p>
        </w:tc>
        <w:tc>
          <w:tcPr>
            <w:tcW w:w="2420" w:type="dxa"/>
            <w:vAlign w:val="bottom"/>
          </w:tcPr>
          <w:p>
            <w:pPr>
              <w:jc w:val="right"/>
              <w:ind w:right="1251"/>
              <w:spacing w:after="0"/>
              <w:rPr>
                <w:sz w:val="20"/>
                <w:szCs w:val="20"/>
                <w:color w:val="auto"/>
              </w:rPr>
            </w:pPr>
            <w:r>
              <w:rPr>
                <w:rFonts w:ascii="Times New Roman" w:cs="Times New Roman" w:eastAsia="Times New Roman" w:hAnsi="Times New Roman"/>
                <w:sz w:val="14"/>
                <w:szCs w:val="14"/>
                <w:color w:val="auto"/>
              </w:rPr>
              <w:t>May-26</w:t>
            </w:r>
          </w:p>
        </w:tc>
        <w:tc>
          <w:tcPr>
            <w:tcW w:w="1980" w:type="dxa"/>
            <w:vAlign w:val="bottom"/>
          </w:tcPr>
          <w:p>
            <w:pPr>
              <w:spacing w:after="0"/>
              <w:rPr>
                <w:sz w:val="15"/>
                <w:szCs w:val="15"/>
                <w:color w:val="auto"/>
              </w:rPr>
            </w:pPr>
          </w:p>
        </w:tc>
        <w:tc>
          <w:tcPr>
            <w:tcW w:w="2480" w:type="dxa"/>
            <w:vAlign w:val="bottom"/>
          </w:tcPr>
          <w:p>
            <w:pPr>
              <w:jc w:val="right"/>
              <w:ind w:right="1571"/>
              <w:spacing w:after="0"/>
              <w:rPr>
                <w:sz w:val="20"/>
                <w:szCs w:val="20"/>
                <w:color w:val="auto"/>
              </w:rPr>
            </w:pPr>
            <w:r>
              <w:rPr>
                <w:rFonts w:ascii="Times New Roman" w:cs="Times New Roman" w:eastAsia="Times New Roman" w:hAnsi="Times New Roman"/>
                <w:sz w:val="14"/>
                <w:szCs w:val="14"/>
                <w:color w:val="auto"/>
              </w:rPr>
              <w:t>N/A</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38" w:name="page39"/>
    <w:bookmarkEnd w:id="38"/>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205105</wp:posOffset>
            </wp:positionH>
            <wp:positionV relativeFrom="page">
              <wp:posOffset>890905</wp:posOffset>
            </wp:positionV>
            <wp:extent cx="7146925" cy="13906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6925" cy="139065"/>
                    </a:xfrm>
                    <a:prstGeom prst="rect">
                      <a:avLst/>
                    </a:prstGeom>
                    <a:noFill/>
                  </pic:spPr>
                </pic:pic>
              </a:graphicData>
            </a:graphic>
          </wp:anchor>
        </w:drawing>
        <w:t>Master Leases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100" w:type="dxa"/>
            <w:vAlign w:val="bottom"/>
            <w:gridSpan w:val="2"/>
          </w:tcPr>
          <w:p>
            <w:pPr>
              <w:ind w:left="1380"/>
              <w:spacing w:after="0"/>
              <w:rPr>
                <w:sz w:val="20"/>
                <w:szCs w:val="20"/>
                <w:color w:val="auto"/>
              </w:rPr>
            </w:pPr>
            <w:r>
              <w:rPr>
                <w:rFonts w:ascii="Times New Roman" w:cs="Times New Roman" w:eastAsia="Times New Roman" w:hAnsi="Times New Roman"/>
                <w:sz w:val="14"/>
                <w:szCs w:val="14"/>
                <w:b w:val="1"/>
                <w:bCs w:val="1"/>
                <w:color w:val="auto"/>
              </w:rPr>
              <w:t>Pennsylvania Live! Master Lease</w:t>
            </w:r>
          </w:p>
        </w:tc>
        <w:tc>
          <w:tcPr>
            <w:tcW w:w="4400" w:type="dxa"/>
            <w:vAlign w:val="bottom"/>
            <w:gridSpan w:val="2"/>
          </w:tcPr>
          <w:p>
            <w:pPr>
              <w:ind w:left="1540"/>
              <w:spacing w:after="0"/>
              <w:rPr>
                <w:sz w:val="20"/>
                <w:szCs w:val="20"/>
                <w:color w:val="auto"/>
              </w:rPr>
            </w:pPr>
            <w:r>
              <w:rPr>
                <w:rFonts w:ascii="Times New Roman" w:cs="Times New Roman" w:eastAsia="Times New Roman" w:hAnsi="Times New Roman"/>
                <w:sz w:val="14"/>
                <w:szCs w:val="14"/>
                <w:b w:val="1"/>
                <w:bCs w:val="1"/>
                <w:color w:val="auto"/>
              </w:rPr>
              <w:t>Strategic Gaming Leases (1)</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7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Operator</w:t>
            </w:r>
          </w:p>
        </w:tc>
        <w:tc>
          <w:tcPr>
            <w:tcW w:w="28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Cordish</w:t>
            </w:r>
          </w:p>
        </w:tc>
        <w:tc>
          <w:tcPr>
            <w:tcW w:w="1300" w:type="dxa"/>
            <w:vAlign w:val="bottom"/>
            <w:shd w:val="clear" w:color="auto" w:fill="CCEEFF"/>
          </w:tcPr>
          <w:p>
            <w:pPr>
              <w:spacing w:after="0"/>
              <w:rPr>
                <w:sz w:val="16"/>
                <w:szCs w:val="16"/>
                <w:color w:val="auto"/>
              </w:rPr>
            </w:pPr>
          </w:p>
        </w:tc>
        <w:tc>
          <w:tcPr>
            <w:tcW w:w="27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Strategic</w:t>
            </w:r>
          </w:p>
        </w:tc>
        <w:tc>
          <w:tcPr>
            <w:tcW w:w="16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274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color w:val="auto"/>
              </w:rPr>
              <w:t>Properties</w:t>
            </w:r>
          </w:p>
        </w:tc>
        <w:tc>
          <w:tcPr>
            <w:tcW w:w="2800" w:type="dxa"/>
            <w:vAlign w:val="bottom"/>
            <w:vMerge w:val="restart"/>
          </w:tcPr>
          <w:p>
            <w:pPr>
              <w:ind w:left="280"/>
              <w:spacing w:after="0"/>
              <w:rPr>
                <w:sz w:val="20"/>
                <w:szCs w:val="20"/>
                <w:color w:val="auto"/>
              </w:rPr>
            </w:pPr>
            <w:r>
              <w:rPr>
                <w:rFonts w:ascii="Times New Roman" w:cs="Times New Roman" w:eastAsia="Times New Roman" w:hAnsi="Times New Roman"/>
                <w:sz w:val="14"/>
                <w:szCs w:val="14"/>
                <w:color w:val="auto"/>
              </w:rPr>
              <w:t>Live! Casino &amp; Hotel Philadelphia</w:t>
            </w:r>
          </w:p>
        </w:tc>
        <w:tc>
          <w:tcPr>
            <w:tcW w:w="13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Philadelphia, PA</w:t>
            </w:r>
          </w:p>
        </w:tc>
        <w:tc>
          <w:tcPr>
            <w:tcW w:w="2760" w:type="dxa"/>
            <w:vAlign w:val="bottom"/>
          </w:tcPr>
          <w:p>
            <w:pPr>
              <w:ind w:left="360"/>
              <w:spacing w:after="0" w:line="135" w:lineRule="exact"/>
              <w:rPr>
                <w:sz w:val="20"/>
                <w:szCs w:val="20"/>
                <w:color w:val="auto"/>
              </w:rPr>
            </w:pPr>
            <w:r>
              <w:rPr>
                <w:rFonts w:ascii="Times New Roman" w:cs="Times New Roman" w:eastAsia="Times New Roman" w:hAnsi="Times New Roman"/>
                <w:sz w:val="14"/>
                <w:szCs w:val="14"/>
                <w:color w:val="auto"/>
              </w:rPr>
              <w:t>Silverado Franklin Hotel &amp; Gaming</w:t>
            </w:r>
          </w:p>
        </w:tc>
        <w:tc>
          <w:tcPr>
            <w:tcW w:w="16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Deadwood, SD</w:t>
            </w:r>
          </w:p>
        </w:tc>
        <w:tc>
          <w:tcPr>
            <w:tcW w:w="0" w:type="dxa"/>
            <w:vAlign w:val="bottom"/>
          </w:tcPr>
          <w:p>
            <w:pPr>
              <w:spacing w:after="0"/>
              <w:rPr>
                <w:sz w:val="1"/>
                <w:szCs w:val="1"/>
                <w:color w:val="auto"/>
              </w:rPr>
            </w:pPr>
          </w:p>
        </w:tc>
      </w:tr>
      <w:tr>
        <w:trPr>
          <w:trHeight w:val="183"/>
        </w:trPr>
        <w:tc>
          <w:tcPr>
            <w:tcW w:w="2740" w:type="dxa"/>
            <w:vAlign w:val="bottom"/>
            <w:gridSpan w:val="4"/>
            <w:vMerge w:val="continue"/>
          </w:tcPr>
          <w:p>
            <w:pPr>
              <w:spacing w:after="0"/>
              <w:rPr>
                <w:sz w:val="15"/>
                <w:szCs w:val="15"/>
                <w:color w:val="auto"/>
              </w:rPr>
            </w:pPr>
          </w:p>
        </w:tc>
        <w:tc>
          <w:tcPr>
            <w:tcW w:w="2800" w:type="dxa"/>
            <w:vAlign w:val="bottom"/>
            <w:vMerge w:val="continue"/>
          </w:tcPr>
          <w:p>
            <w:pPr>
              <w:spacing w:after="0"/>
              <w:rPr>
                <w:sz w:val="15"/>
                <w:szCs w:val="15"/>
                <w:color w:val="auto"/>
              </w:rPr>
            </w:pPr>
          </w:p>
        </w:tc>
        <w:tc>
          <w:tcPr>
            <w:tcW w:w="1300" w:type="dxa"/>
            <w:vAlign w:val="bottom"/>
            <w:vMerge w:val="continue"/>
          </w:tcPr>
          <w:p>
            <w:pPr>
              <w:spacing w:after="0"/>
              <w:rPr>
                <w:sz w:val="15"/>
                <w:szCs w:val="15"/>
                <w:color w:val="auto"/>
              </w:rPr>
            </w:pPr>
          </w:p>
        </w:tc>
        <w:tc>
          <w:tcPr>
            <w:tcW w:w="27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Complex</w:t>
            </w:r>
          </w:p>
        </w:tc>
        <w:tc>
          <w:tcPr>
            <w:tcW w:w="1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8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Live! Casino Pittsburgh</w:t>
            </w:r>
          </w:p>
        </w:tc>
        <w:tc>
          <w:tcPr>
            <w:tcW w:w="1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Greensburg, PA</w:t>
            </w:r>
          </w:p>
        </w:tc>
        <w:tc>
          <w:tcPr>
            <w:tcW w:w="2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Deadwood Mountain Grand Casino</w:t>
            </w:r>
          </w:p>
        </w:tc>
        <w:tc>
          <w:tcPr>
            <w:tcW w:w="1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Deadwood, SD</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7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Baldini's Casino</w:t>
            </w:r>
          </w:p>
        </w:tc>
        <w:tc>
          <w:tcPr>
            <w:tcW w:w="1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Sparks, NV</w:t>
            </w:r>
          </w:p>
        </w:tc>
        <w:tc>
          <w:tcPr>
            <w:tcW w:w="0" w:type="dxa"/>
            <w:vAlign w:val="bottom"/>
          </w:tcPr>
          <w:p>
            <w:pPr>
              <w:spacing w:after="0"/>
              <w:rPr>
                <w:sz w:val="1"/>
                <w:szCs w:val="1"/>
                <w:color w:val="auto"/>
              </w:rPr>
            </w:pPr>
          </w:p>
        </w:tc>
      </w:tr>
      <w:tr>
        <w:trPr>
          <w:trHeight w:val="201"/>
        </w:trPr>
        <w:tc>
          <w:tcPr>
            <w:tcW w:w="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8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Sunland Park Race Track &amp; Casino</w:t>
            </w:r>
          </w:p>
        </w:tc>
        <w:tc>
          <w:tcPr>
            <w:tcW w:w="1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Sunland Park, NM</w:t>
            </w:r>
          </w:p>
        </w:tc>
        <w:tc>
          <w:tcPr>
            <w:tcW w:w="0" w:type="dxa"/>
            <w:vAlign w:val="bottom"/>
          </w:tcPr>
          <w:p>
            <w:pPr>
              <w:spacing w:after="0"/>
              <w:rPr>
                <w:sz w:val="1"/>
                <w:szCs w:val="1"/>
                <w:color w:val="auto"/>
              </w:rPr>
            </w:pPr>
          </w:p>
        </w:tc>
      </w:tr>
      <w:tr>
        <w:trPr>
          <w:trHeight w:val="186"/>
        </w:trPr>
        <w:tc>
          <w:tcPr>
            <w:tcW w:w="274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Commencement Date</w:t>
            </w:r>
          </w:p>
        </w:tc>
        <w:tc>
          <w:tcPr>
            <w:tcW w:w="2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3/1/2022</w:t>
            </w:r>
          </w:p>
        </w:tc>
        <w:tc>
          <w:tcPr>
            <w:tcW w:w="1300" w:type="dxa"/>
            <w:vAlign w:val="bottom"/>
          </w:tcPr>
          <w:p>
            <w:pPr>
              <w:spacing w:after="0"/>
              <w:rPr>
                <w:sz w:val="16"/>
                <w:szCs w:val="16"/>
                <w:color w:val="auto"/>
              </w:rPr>
            </w:pPr>
          </w:p>
        </w:tc>
        <w:tc>
          <w:tcPr>
            <w:tcW w:w="2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5/16/2024</w:t>
            </w:r>
          </w:p>
        </w:tc>
        <w:tc>
          <w:tcPr>
            <w:tcW w:w="1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7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Lease Expiration Date</w:t>
            </w:r>
          </w:p>
        </w:tc>
        <w:tc>
          <w:tcPr>
            <w:tcW w:w="2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2/28/2061</w:t>
            </w:r>
          </w:p>
        </w:tc>
        <w:tc>
          <w:tcPr>
            <w:tcW w:w="1300" w:type="dxa"/>
            <w:vAlign w:val="bottom"/>
            <w:shd w:val="clear" w:color="auto" w:fill="CCEEFF"/>
          </w:tcPr>
          <w:p>
            <w:pPr>
              <w:spacing w:after="0"/>
              <w:rPr>
                <w:sz w:val="17"/>
                <w:szCs w:val="17"/>
                <w:color w:val="auto"/>
              </w:rPr>
            </w:pPr>
          </w:p>
        </w:tc>
        <w:tc>
          <w:tcPr>
            <w:tcW w:w="2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5/31/2049</w:t>
            </w:r>
          </w:p>
        </w:tc>
        <w:tc>
          <w:tcPr>
            <w:tcW w:w="1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74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Remaining Renewal Terms</w:t>
            </w:r>
          </w:p>
        </w:tc>
        <w:tc>
          <w:tcPr>
            <w:tcW w:w="2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 (1x11 years, 1x10 years)</w:t>
            </w:r>
          </w:p>
        </w:tc>
        <w:tc>
          <w:tcPr>
            <w:tcW w:w="1300" w:type="dxa"/>
            <w:vAlign w:val="bottom"/>
          </w:tcPr>
          <w:p>
            <w:pPr>
              <w:spacing w:after="0"/>
              <w:rPr>
                <w:sz w:val="16"/>
                <w:szCs w:val="16"/>
                <w:color w:val="auto"/>
              </w:rPr>
            </w:pPr>
          </w:p>
        </w:tc>
        <w:tc>
          <w:tcPr>
            <w:tcW w:w="2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 (2x10 years)</w:t>
            </w:r>
          </w:p>
        </w:tc>
        <w:tc>
          <w:tcPr>
            <w:tcW w:w="1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7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Corporate Guarantee</w:t>
            </w:r>
          </w:p>
        </w:tc>
        <w:tc>
          <w:tcPr>
            <w:tcW w:w="2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No</w:t>
            </w:r>
          </w:p>
        </w:tc>
        <w:tc>
          <w:tcPr>
            <w:tcW w:w="1300" w:type="dxa"/>
            <w:vAlign w:val="bottom"/>
            <w:shd w:val="clear" w:color="auto" w:fill="CCEEFF"/>
          </w:tcPr>
          <w:p>
            <w:pPr>
              <w:spacing w:after="0"/>
              <w:rPr>
                <w:sz w:val="17"/>
                <w:szCs w:val="17"/>
                <w:color w:val="auto"/>
              </w:rPr>
            </w:pPr>
          </w:p>
        </w:tc>
        <w:tc>
          <w:tcPr>
            <w:tcW w:w="2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Yes</w:t>
            </w:r>
          </w:p>
        </w:tc>
        <w:tc>
          <w:tcPr>
            <w:tcW w:w="1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74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Master Lease with Cross Collateralization</w:t>
            </w:r>
          </w:p>
        </w:tc>
        <w:tc>
          <w:tcPr>
            <w:tcW w:w="2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Yes</w:t>
            </w:r>
          </w:p>
        </w:tc>
        <w:tc>
          <w:tcPr>
            <w:tcW w:w="1300" w:type="dxa"/>
            <w:vAlign w:val="bottom"/>
          </w:tcPr>
          <w:p>
            <w:pPr>
              <w:spacing w:after="0"/>
              <w:rPr>
                <w:sz w:val="16"/>
                <w:szCs w:val="16"/>
                <w:color w:val="auto"/>
              </w:rPr>
            </w:pPr>
          </w:p>
        </w:tc>
        <w:tc>
          <w:tcPr>
            <w:tcW w:w="2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Yes</w:t>
            </w:r>
          </w:p>
        </w:tc>
        <w:tc>
          <w:tcPr>
            <w:tcW w:w="1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7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Technical Default Landlord Protection</w:t>
            </w:r>
          </w:p>
        </w:tc>
        <w:tc>
          <w:tcPr>
            <w:tcW w:w="2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Yes</w:t>
            </w:r>
          </w:p>
        </w:tc>
        <w:tc>
          <w:tcPr>
            <w:tcW w:w="1300" w:type="dxa"/>
            <w:vAlign w:val="bottom"/>
            <w:shd w:val="clear" w:color="auto" w:fill="CCEEFF"/>
          </w:tcPr>
          <w:p>
            <w:pPr>
              <w:spacing w:after="0"/>
              <w:rPr>
                <w:sz w:val="17"/>
                <w:szCs w:val="17"/>
                <w:color w:val="auto"/>
              </w:rPr>
            </w:pPr>
          </w:p>
        </w:tc>
        <w:tc>
          <w:tcPr>
            <w:tcW w:w="2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Yes</w:t>
            </w:r>
          </w:p>
        </w:tc>
        <w:tc>
          <w:tcPr>
            <w:tcW w:w="1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74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Default Adjusted Revenue to Rent Coverage</w:t>
            </w:r>
          </w:p>
        </w:tc>
        <w:tc>
          <w:tcPr>
            <w:tcW w:w="2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300" w:type="dxa"/>
            <w:vAlign w:val="bottom"/>
          </w:tcPr>
          <w:p>
            <w:pPr>
              <w:spacing w:after="0"/>
              <w:rPr>
                <w:sz w:val="16"/>
                <w:szCs w:val="16"/>
                <w:color w:val="auto"/>
              </w:rPr>
            </w:pPr>
          </w:p>
        </w:tc>
        <w:tc>
          <w:tcPr>
            <w:tcW w:w="2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 (2)</w:t>
            </w:r>
          </w:p>
        </w:tc>
        <w:tc>
          <w:tcPr>
            <w:tcW w:w="1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7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Competitive Radius Landlord Protection</w:t>
            </w:r>
          </w:p>
        </w:tc>
        <w:tc>
          <w:tcPr>
            <w:tcW w:w="2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Yes</w:t>
            </w:r>
          </w:p>
        </w:tc>
        <w:tc>
          <w:tcPr>
            <w:tcW w:w="1300" w:type="dxa"/>
            <w:vAlign w:val="bottom"/>
            <w:shd w:val="clear" w:color="auto" w:fill="CCEEFF"/>
          </w:tcPr>
          <w:p>
            <w:pPr>
              <w:spacing w:after="0"/>
              <w:rPr>
                <w:sz w:val="17"/>
                <w:szCs w:val="17"/>
                <w:color w:val="auto"/>
              </w:rPr>
            </w:pPr>
          </w:p>
        </w:tc>
        <w:tc>
          <w:tcPr>
            <w:tcW w:w="2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Yes</w:t>
            </w:r>
          </w:p>
        </w:tc>
        <w:tc>
          <w:tcPr>
            <w:tcW w:w="1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2740" w:type="dxa"/>
            <w:vAlign w:val="bottom"/>
            <w:gridSpan w:val="4"/>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Escalator Details</w:t>
            </w:r>
          </w:p>
        </w:tc>
        <w:tc>
          <w:tcPr>
            <w:tcW w:w="28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000" w:type="dxa"/>
            <w:vAlign w:val="bottom"/>
            <w:tcBorders>
              <w:top w:val="single" w:sz="8" w:color="auto"/>
            </w:tcBorders>
          </w:tcPr>
          <w:p>
            <w:pPr>
              <w:spacing w:after="0"/>
              <w:rPr>
                <w:sz w:val="2"/>
                <w:szCs w:val="2"/>
                <w:color w:val="auto"/>
              </w:rPr>
            </w:pPr>
          </w:p>
        </w:tc>
        <w:tc>
          <w:tcPr>
            <w:tcW w:w="7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27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Yearly Base Rent Escalator Maximum</w:t>
            </w:r>
          </w:p>
        </w:tc>
        <w:tc>
          <w:tcPr>
            <w:tcW w:w="2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1.75 %</w:t>
            </w:r>
          </w:p>
        </w:tc>
        <w:tc>
          <w:tcPr>
            <w:tcW w:w="1300" w:type="dxa"/>
            <w:vAlign w:val="bottom"/>
            <w:shd w:val="clear" w:color="auto" w:fill="CCEEFF"/>
          </w:tcPr>
          <w:p>
            <w:pPr>
              <w:spacing w:after="0"/>
              <w:rPr>
                <w:sz w:val="16"/>
                <w:szCs w:val="16"/>
                <w:color w:val="auto"/>
              </w:rPr>
            </w:pPr>
          </w:p>
        </w:tc>
        <w:tc>
          <w:tcPr>
            <w:tcW w:w="2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 (2)</w:t>
            </w:r>
          </w:p>
        </w:tc>
        <w:tc>
          <w:tcPr>
            <w:tcW w:w="16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74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Coverage ratio at December 31, 2025</w:t>
            </w:r>
          </w:p>
        </w:tc>
        <w:tc>
          <w:tcPr>
            <w:tcW w:w="2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w:t>
            </w:r>
          </w:p>
        </w:tc>
        <w:tc>
          <w:tcPr>
            <w:tcW w:w="1300" w:type="dxa"/>
            <w:vAlign w:val="bottom"/>
          </w:tcPr>
          <w:p>
            <w:pPr>
              <w:spacing w:after="0"/>
              <w:rPr>
                <w:sz w:val="16"/>
                <w:szCs w:val="16"/>
                <w:color w:val="auto"/>
              </w:rPr>
            </w:pPr>
          </w:p>
        </w:tc>
        <w:tc>
          <w:tcPr>
            <w:tcW w:w="2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 (3)</w:t>
            </w:r>
          </w:p>
        </w:tc>
        <w:tc>
          <w:tcPr>
            <w:tcW w:w="1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7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Minimum Escalator Coverage Governor</w:t>
            </w:r>
          </w:p>
        </w:tc>
        <w:tc>
          <w:tcPr>
            <w:tcW w:w="2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1300" w:type="dxa"/>
            <w:vAlign w:val="bottom"/>
            <w:shd w:val="clear" w:color="auto" w:fill="CCEEFF"/>
          </w:tcPr>
          <w:p>
            <w:pPr>
              <w:spacing w:after="0"/>
              <w:rPr>
                <w:sz w:val="17"/>
                <w:szCs w:val="17"/>
                <w:color w:val="auto"/>
              </w:rPr>
            </w:pPr>
          </w:p>
        </w:tc>
        <w:tc>
          <w:tcPr>
            <w:tcW w:w="2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1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74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Yearly Anniversary for Realization</w:t>
            </w:r>
          </w:p>
        </w:tc>
        <w:tc>
          <w:tcPr>
            <w:tcW w:w="2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March</w:t>
            </w:r>
          </w:p>
        </w:tc>
        <w:tc>
          <w:tcPr>
            <w:tcW w:w="1300" w:type="dxa"/>
            <w:vAlign w:val="bottom"/>
          </w:tcPr>
          <w:p>
            <w:pPr>
              <w:spacing w:after="0"/>
              <w:rPr>
                <w:sz w:val="16"/>
                <w:szCs w:val="16"/>
                <w:color w:val="auto"/>
              </w:rPr>
            </w:pPr>
          </w:p>
        </w:tc>
        <w:tc>
          <w:tcPr>
            <w:tcW w:w="2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June</w:t>
            </w:r>
          </w:p>
        </w:tc>
        <w:tc>
          <w:tcPr>
            <w:tcW w:w="1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0" w:type="dxa"/>
            <w:vAlign w:val="bottom"/>
            <w:tcBorders>
              <w:bottom w:val="single" w:sz="8" w:color="CCEEFF"/>
            </w:tcBorders>
            <w:shd w:val="clear" w:color="auto" w:fill="CCEEFF"/>
          </w:tcPr>
          <w:p>
            <w:pPr>
              <w:spacing w:after="0"/>
              <w:rPr>
                <w:sz w:val="15"/>
                <w:szCs w:val="15"/>
                <w:color w:val="auto"/>
              </w:rPr>
            </w:pPr>
          </w:p>
        </w:tc>
        <w:tc>
          <w:tcPr>
            <w:tcW w:w="1760" w:type="dxa"/>
            <w:vAlign w:val="bottom"/>
            <w:tcBorders>
              <w:bottom w:val="single" w:sz="8" w:color="auto"/>
            </w:tcBorders>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w w:val="97"/>
              </w:rPr>
              <w:t>Percentage Rent Reset Details</w:t>
            </w:r>
          </w:p>
        </w:tc>
        <w:tc>
          <w:tcPr>
            <w:tcW w:w="960" w:type="dxa"/>
            <w:vAlign w:val="bottom"/>
            <w:tcBorders>
              <w:bottom w:val="single" w:sz="8" w:color="CCEEFF"/>
            </w:tcBorders>
            <w:shd w:val="clear" w:color="auto" w:fill="CCEEFF"/>
          </w:tcPr>
          <w:p>
            <w:pPr>
              <w:spacing w:after="0"/>
              <w:rPr>
                <w:sz w:val="15"/>
                <w:szCs w:val="15"/>
                <w:color w:val="auto"/>
              </w:rPr>
            </w:pPr>
          </w:p>
        </w:tc>
        <w:tc>
          <w:tcPr>
            <w:tcW w:w="280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spacing w:after="0"/>
              <w:rPr>
                <w:sz w:val="15"/>
                <w:szCs w:val="15"/>
                <w:color w:val="auto"/>
              </w:rPr>
            </w:pPr>
          </w:p>
        </w:tc>
        <w:tc>
          <w:tcPr>
            <w:tcW w:w="2760" w:type="dxa"/>
            <w:vAlign w:val="bottom"/>
            <w:tcBorders>
              <w:bottom w:val="single" w:sz="8" w:color="CCEEFF"/>
            </w:tcBorders>
            <w:shd w:val="clear" w:color="auto" w:fill="CCEEFF"/>
          </w:tcPr>
          <w:p>
            <w:pPr>
              <w:spacing w:after="0"/>
              <w:rPr>
                <w:sz w:val="15"/>
                <w:szCs w:val="15"/>
                <w:color w:val="auto"/>
              </w:rPr>
            </w:pPr>
          </w:p>
        </w:tc>
        <w:tc>
          <w:tcPr>
            <w:tcW w:w="16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74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Reset Frequency</w:t>
            </w:r>
          </w:p>
        </w:tc>
        <w:tc>
          <w:tcPr>
            <w:tcW w:w="2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1300" w:type="dxa"/>
            <w:vAlign w:val="bottom"/>
          </w:tcPr>
          <w:p>
            <w:pPr>
              <w:spacing w:after="0"/>
              <w:rPr>
                <w:sz w:val="16"/>
                <w:szCs w:val="16"/>
                <w:color w:val="auto"/>
              </w:rPr>
            </w:pPr>
          </w:p>
        </w:tc>
        <w:tc>
          <w:tcPr>
            <w:tcW w:w="2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1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7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Next Reset</w:t>
            </w:r>
          </w:p>
        </w:tc>
        <w:tc>
          <w:tcPr>
            <w:tcW w:w="2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1300" w:type="dxa"/>
            <w:vAlign w:val="bottom"/>
            <w:shd w:val="clear" w:color="auto" w:fill="CCEEFF"/>
          </w:tcPr>
          <w:p>
            <w:pPr>
              <w:spacing w:after="0"/>
              <w:rPr>
                <w:sz w:val="17"/>
                <w:szCs w:val="17"/>
                <w:color w:val="auto"/>
              </w:rPr>
            </w:pPr>
          </w:p>
        </w:tc>
        <w:tc>
          <w:tcPr>
            <w:tcW w:w="2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1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86" w:lineRule="exact"/>
        <w:rPr>
          <w:sz w:val="20"/>
          <w:szCs w:val="20"/>
          <w:color w:val="auto"/>
        </w:rPr>
      </w:pPr>
    </w:p>
    <w:p>
      <w:pPr>
        <w:ind w:left="300" w:hanging="297"/>
        <w:spacing w:after="0"/>
        <w:tabs>
          <w:tab w:leader="none" w:pos="300" w:val="left"/>
        </w:tabs>
        <w:numPr>
          <w:ilvl w:val="0"/>
          <w:numId w:val="1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Consists of two leases that are cross collateralized and co-terminus with each other.</w:t>
      </w:r>
    </w:p>
    <w:p>
      <w:pPr>
        <w:spacing w:after="0" w:line="112" w:lineRule="exact"/>
        <w:rPr>
          <w:rFonts w:ascii="Times New Roman" w:cs="Times New Roman" w:eastAsia="Times New Roman" w:hAnsi="Times New Roman"/>
          <w:sz w:val="22"/>
          <w:szCs w:val="22"/>
          <w:color w:val="auto"/>
          <w:vertAlign w:val="superscript"/>
        </w:rPr>
      </w:pPr>
    </w:p>
    <w:p>
      <w:pPr>
        <w:ind w:left="620" w:hanging="617"/>
        <w:spacing w:after="0" w:line="222" w:lineRule="auto"/>
        <w:tabs>
          <w:tab w:leader="none" w:pos="243" w:val="left"/>
        </w:tabs>
        <w:numPr>
          <w:ilvl w:val="0"/>
          <w:numId w:val="1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The default adjusted revenue to rent coverage declines to 1.25 if the tenant's adjusted revenues total $75 million or more. Annual rent escalates at 2% beginning in year three of the lease and in year 11 escalates based on the greater of 2% or CPI, capped at 2.5%.</w:t>
      </w:r>
    </w:p>
    <w:p>
      <w:pPr>
        <w:spacing w:after="0" w:line="83" w:lineRule="exact"/>
        <w:rPr>
          <w:rFonts w:ascii="Times New Roman" w:cs="Times New Roman" w:eastAsia="Times New Roman" w:hAnsi="Times New Roman"/>
          <w:sz w:val="22"/>
          <w:szCs w:val="22"/>
          <w:color w:val="auto"/>
          <w:vertAlign w:val="superscript"/>
        </w:rPr>
      </w:pPr>
    </w:p>
    <w:p>
      <w:pPr>
        <w:ind w:left="240" w:hanging="237"/>
        <w:spacing w:after="0"/>
        <w:tabs>
          <w:tab w:leader="none" w:pos="240" w:val="left"/>
        </w:tabs>
        <w:numPr>
          <w:ilvl w:val="0"/>
          <w:numId w:val="1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Coverage ratio above is proforma for the acquisition of the real estate assets of Sunland Park which closed on October 15,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39" w:name="page40"/>
    <w:bookmarkEnd w:id="39"/>
    <w:p>
      <w:pPr>
        <w:ind w:left="4077"/>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991235</wp:posOffset>
            </wp:positionH>
            <wp:positionV relativeFrom="page">
              <wp:posOffset>572135</wp:posOffset>
            </wp:positionV>
            <wp:extent cx="4461510" cy="13906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4461510" cy="139065"/>
                    </a:xfrm>
                    <a:prstGeom prst="rect">
                      <a:avLst/>
                    </a:prstGeom>
                    <a:noFill/>
                  </pic:spPr>
                </pic:pic>
              </a:graphicData>
            </a:graphic>
          </wp:anchor>
        </w:drawing>
        <w:t>Single Property Leases</w:t>
      </w:r>
    </w:p>
    <w:p>
      <w:pPr>
        <w:spacing w:after="0" w:line="26" w:lineRule="exact"/>
        <w:rPr>
          <w:sz w:val="20"/>
          <w:szCs w:val="20"/>
          <w:color w:val="auto"/>
        </w:rPr>
      </w:pPr>
    </w:p>
    <w:tbl>
      <w:tblPr>
        <w:tblLayout w:type="fixed"/>
        <w:tblInd w:w="1237"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Belterra Park Lease</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Horseshoe St Louis</w:t>
            </w: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Morgantown Lease</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0" w:type="dxa"/>
            <w:vAlign w:val="bottom"/>
            <w:vMerge w:val="continue"/>
          </w:tcPr>
          <w:p>
            <w:pPr>
              <w:spacing w:after="0"/>
              <w:rPr>
                <w:sz w:val="16"/>
                <w:szCs w:val="16"/>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Lease</w:t>
            </w:r>
          </w:p>
        </w:tc>
        <w:tc>
          <w:tcPr>
            <w:tcW w:w="1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6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Operator</w:t>
            </w: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Boyd</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Caesars</w:t>
            </w: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PENN</w:t>
            </w:r>
          </w:p>
        </w:tc>
        <w:tc>
          <w:tcPr>
            <w:tcW w:w="0" w:type="dxa"/>
            <w:vAlign w:val="bottom"/>
          </w:tcPr>
          <w:p>
            <w:pPr>
              <w:spacing w:after="0"/>
              <w:rPr>
                <w:sz w:val="1"/>
                <w:szCs w:val="1"/>
                <w:color w:val="auto"/>
              </w:rPr>
            </w:pPr>
          </w:p>
        </w:tc>
      </w:tr>
      <w:tr>
        <w:trPr>
          <w:trHeight w:val="134"/>
        </w:trPr>
        <w:tc>
          <w:tcPr>
            <w:tcW w:w="264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color w:val="auto"/>
              </w:rPr>
              <w:t>Properties</w:t>
            </w:r>
          </w:p>
        </w:tc>
        <w:tc>
          <w:tcPr>
            <w:tcW w:w="160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color w:val="auto"/>
                <w:w w:val="97"/>
              </w:rPr>
              <w:t>Belterra Park Gaming &amp;</w:t>
            </w: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7"/>
              </w:rPr>
              <w:t>Horseshoe St. Louis</w:t>
            </w:r>
          </w:p>
        </w:tc>
        <w:tc>
          <w:tcPr>
            <w:tcW w:w="142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color w:val="auto"/>
                <w:w w:val="98"/>
              </w:rPr>
              <w:t>Hollywood Casino</w:t>
            </w:r>
          </w:p>
        </w:tc>
        <w:tc>
          <w:tcPr>
            <w:tcW w:w="0" w:type="dxa"/>
            <w:vAlign w:val="bottom"/>
          </w:tcPr>
          <w:p>
            <w:pPr>
              <w:spacing w:after="0"/>
              <w:rPr>
                <w:sz w:val="1"/>
                <w:szCs w:val="1"/>
                <w:color w:val="auto"/>
              </w:rPr>
            </w:pPr>
          </w:p>
        </w:tc>
      </w:tr>
      <w:tr>
        <w:trPr>
          <w:trHeight w:val="183"/>
        </w:trPr>
        <w:tc>
          <w:tcPr>
            <w:tcW w:w="2640" w:type="dxa"/>
            <w:vAlign w:val="bottom"/>
            <w:gridSpan w:val="4"/>
            <w:vMerge w:val="continue"/>
          </w:tcPr>
          <w:p>
            <w:pPr>
              <w:spacing w:after="0"/>
              <w:rPr>
                <w:sz w:val="15"/>
                <w:szCs w:val="15"/>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Entertainment Center</w:t>
            </w:r>
          </w:p>
        </w:tc>
        <w:tc>
          <w:tcPr>
            <w:tcW w:w="1360" w:type="dxa"/>
            <w:vAlign w:val="bottom"/>
            <w:vMerge w:val="continue"/>
          </w:tcPr>
          <w:p>
            <w:pPr>
              <w:spacing w:after="0"/>
              <w:rPr>
                <w:sz w:val="15"/>
                <w:szCs w:val="15"/>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Morgantown</w:t>
            </w:r>
          </w:p>
        </w:tc>
        <w:tc>
          <w:tcPr>
            <w:tcW w:w="0" w:type="dxa"/>
            <w:vAlign w:val="bottom"/>
          </w:tcPr>
          <w:p>
            <w:pPr>
              <w:spacing w:after="0"/>
              <w:rPr>
                <w:sz w:val="1"/>
                <w:szCs w:val="1"/>
                <w:color w:val="auto"/>
              </w:rPr>
            </w:pPr>
          </w:p>
        </w:tc>
      </w:tr>
      <w:tr>
        <w:trPr>
          <w:trHeight w:val="198"/>
        </w:trPr>
        <w:tc>
          <w:tcPr>
            <w:tcW w:w="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Cincinnati, OH</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St. Louis, MO</w:t>
            </w: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Morgantown, PA</w:t>
            </w:r>
          </w:p>
        </w:tc>
        <w:tc>
          <w:tcPr>
            <w:tcW w:w="0" w:type="dxa"/>
            <w:vAlign w:val="bottom"/>
          </w:tcPr>
          <w:p>
            <w:pPr>
              <w:spacing w:after="0"/>
              <w:rPr>
                <w:sz w:val="1"/>
                <w:szCs w:val="1"/>
                <w:color w:val="auto"/>
              </w:rPr>
            </w:pPr>
          </w:p>
        </w:tc>
      </w:tr>
      <w:tr>
        <w:trPr>
          <w:trHeight w:val="186"/>
        </w:trPr>
        <w:tc>
          <w:tcPr>
            <w:tcW w:w="264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Commencement Date</w:t>
            </w: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10/15/2018</w:t>
            </w:r>
          </w:p>
        </w:tc>
        <w:tc>
          <w:tcPr>
            <w:tcW w:w="1360" w:type="dxa"/>
            <w:vAlign w:val="bottom"/>
          </w:tcPr>
          <w:p>
            <w:pPr>
              <w:jc w:val="center"/>
              <w:ind w:right="11"/>
              <w:spacing w:after="0"/>
              <w:rPr>
                <w:sz w:val="20"/>
                <w:szCs w:val="20"/>
                <w:color w:val="auto"/>
              </w:rPr>
            </w:pPr>
            <w:r>
              <w:rPr>
                <w:rFonts w:ascii="Times New Roman" w:cs="Times New Roman" w:eastAsia="Times New Roman" w:hAnsi="Times New Roman"/>
                <w:sz w:val="14"/>
                <w:szCs w:val="14"/>
                <w:color w:val="auto"/>
                <w:w w:val="98"/>
              </w:rPr>
              <w:t>9/29/2020</w:t>
            </w: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10/1/2020</w:t>
            </w:r>
          </w:p>
        </w:tc>
        <w:tc>
          <w:tcPr>
            <w:tcW w:w="0" w:type="dxa"/>
            <w:vAlign w:val="bottom"/>
          </w:tcPr>
          <w:p>
            <w:pPr>
              <w:spacing w:after="0"/>
              <w:rPr>
                <w:sz w:val="1"/>
                <w:szCs w:val="1"/>
                <w:color w:val="auto"/>
              </w:rPr>
            </w:pPr>
          </w:p>
        </w:tc>
      </w:tr>
      <w:tr>
        <w:trPr>
          <w:trHeight w:val="201"/>
        </w:trPr>
        <w:tc>
          <w:tcPr>
            <w:tcW w:w="26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Lease Expiration Date</w:t>
            </w: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04/30/2031</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10/31/2033</w:t>
            </w: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10/31/2040</w:t>
            </w:r>
          </w:p>
        </w:tc>
        <w:tc>
          <w:tcPr>
            <w:tcW w:w="0" w:type="dxa"/>
            <w:vAlign w:val="bottom"/>
          </w:tcPr>
          <w:p>
            <w:pPr>
              <w:spacing w:after="0"/>
              <w:rPr>
                <w:sz w:val="1"/>
                <w:szCs w:val="1"/>
                <w:color w:val="auto"/>
              </w:rPr>
            </w:pPr>
          </w:p>
        </w:tc>
      </w:tr>
      <w:tr>
        <w:trPr>
          <w:trHeight w:val="186"/>
        </w:trPr>
        <w:tc>
          <w:tcPr>
            <w:tcW w:w="264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Remaining Renewal Terms</w:t>
            </w: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20 (4x5 years)</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20 (4x5 years)</w:t>
            </w: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30 (6x5 years)</w:t>
            </w:r>
          </w:p>
        </w:tc>
        <w:tc>
          <w:tcPr>
            <w:tcW w:w="0" w:type="dxa"/>
            <w:vAlign w:val="bottom"/>
          </w:tcPr>
          <w:p>
            <w:pPr>
              <w:spacing w:after="0"/>
              <w:rPr>
                <w:sz w:val="1"/>
                <w:szCs w:val="1"/>
                <w:color w:val="auto"/>
              </w:rPr>
            </w:pPr>
          </w:p>
        </w:tc>
      </w:tr>
      <w:tr>
        <w:trPr>
          <w:trHeight w:val="201"/>
        </w:trPr>
        <w:tc>
          <w:tcPr>
            <w:tcW w:w="26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Corporate Guarantee</w:t>
            </w: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No</w:t>
            </w:r>
          </w:p>
        </w:tc>
        <w:tc>
          <w:tcPr>
            <w:tcW w:w="1360" w:type="dxa"/>
            <w:vAlign w:val="bottom"/>
            <w:shd w:val="clear" w:color="auto" w:fill="CCEEFF"/>
          </w:tcPr>
          <w:p>
            <w:pPr>
              <w:jc w:val="center"/>
              <w:ind w:right="11"/>
              <w:spacing w:after="0"/>
              <w:rPr>
                <w:sz w:val="20"/>
                <w:szCs w:val="20"/>
                <w:color w:val="auto"/>
              </w:rPr>
            </w:pPr>
            <w:r>
              <w:rPr>
                <w:rFonts w:ascii="Times New Roman" w:cs="Times New Roman" w:eastAsia="Times New Roman" w:hAnsi="Times New Roman"/>
                <w:sz w:val="14"/>
                <w:szCs w:val="14"/>
                <w:color w:val="auto"/>
                <w:w w:val="91"/>
              </w:rPr>
              <w:t>Yes</w:t>
            </w: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1"/>
              </w:rPr>
              <w:t>Yes</w:t>
            </w:r>
          </w:p>
        </w:tc>
        <w:tc>
          <w:tcPr>
            <w:tcW w:w="0" w:type="dxa"/>
            <w:vAlign w:val="bottom"/>
          </w:tcPr>
          <w:p>
            <w:pPr>
              <w:spacing w:after="0"/>
              <w:rPr>
                <w:sz w:val="1"/>
                <w:szCs w:val="1"/>
                <w:color w:val="auto"/>
              </w:rPr>
            </w:pPr>
          </w:p>
        </w:tc>
      </w:tr>
      <w:tr>
        <w:trPr>
          <w:trHeight w:val="186"/>
        </w:trPr>
        <w:tc>
          <w:tcPr>
            <w:tcW w:w="264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Technical Default Landlord Protection</w:t>
            </w: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1"/>
              </w:rPr>
              <w:t>Yes</w:t>
            </w:r>
          </w:p>
        </w:tc>
        <w:tc>
          <w:tcPr>
            <w:tcW w:w="1360" w:type="dxa"/>
            <w:vAlign w:val="bottom"/>
          </w:tcPr>
          <w:p>
            <w:pPr>
              <w:jc w:val="center"/>
              <w:ind w:right="11"/>
              <w:spacing w:after="0"/>
              <w:rPr>
                <w:sz w:val="20"/>
                <w:szCs w:val="20"/>
                <w:color w:val="auto"/>
              </w:rPr>
            </w:pPr>
            <w:r>
              <w:rPr>
                <w:rFonts w:ascii="Times New Roman" w:cs="Times New Roman" w:eastAsia="Times New Roman" w:hAnsi="Times New Roman"/>
                <w:sz w:val="14"/>
                <w:szCs w:val="14"/>
                <w:color w:val="auto"/>
                <w:w w:val="91"/>
              </w:rPr>
              <w:t>Yes</w:t>
            </w: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1"/>
              </w:rPr>
              <w:t>Yes</w:t>
            </w:r>
          </w:p>
        </w:tc>
        <w:tc>
          <w:tcPr>
            <w:tcW w:w="0" w:type="dxa"/>
            <w:vAlign w:val="bottom"/>
          </w:tcPr>
          <w:p>
            <w:pPr>
              <w:spacing w:after="0"/>
              <w:rPr>
                <w:sz w:val="1"/>
                <w:szCs w:val="1"/>
                <w:color w:val="auto"/>
              </w:rPr>
            </w:pPr>
          </w:p>
        </w:tc>
      </w:tr>
      <w:tr>
        <w:trPr>
          <w:trHeight w:val="201"/>
        </w:trPr>
        <w:tc>
          <w:tcPr>
            <w:tcW w:w="26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Default Adjusted Revenue to Rent Coverage</w:t>
            </w: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1.4</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w:t>
            </w: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c>
          <w:tcPr>
            <w:tcW w:w="0" w:type="dxa"/>
            <w:vAlign w:val="bottom"/>
          </w:tcPr>
          <w:p>
            <w:pPr>
              <w:spacing w:after="0"/>
              <w:rPr>
                <w:sz w:val="1"/>
                <w:szCs w:val="1"/>
                <w:color w:val="auto"/>
              </w:rPr>
            </w:pPr>
          </w:p>
        </w:tc>
      </w:tr>
      <w:tr>
        <w:trPr>
          <w:trHeight w:val="186"/>
        </w:trPr>
        <w:tc>
          <w:tcPr>
            <w:tcW w:w="264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Competitive Radius Landlord Protection</w:t>
            </w: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1"/>
              </w:rPr>
              <w:t>Yes</w:t>
            </w:r>
          </w:p>
        </w:tc>
        <w:tc>
          <w:tcPr>
            <w:tcW w:w="1360" w:type="dxa"/>
            <w:vAlign w:val="bottom"/>
          </w:tcPr>
          <w:p>
            <w:pPr>
              <w:jc w:val="center"/>
              <w:ind w:right="11"/>
              <w:spacing w:after="0"/>
              <w:rPr>
                <w:sz w:val="20"/>
                <w:szCs w:val="20"/>
                <w:color w:val="auto"/>
              </w:rPr>
            </w:pPr>
            <w:r>
              <w:rPr>
                <w:rFonts w:ascii="Times New Roman" w:cs="Times New Roman" w:eastAsia="Times New Roman" w:hAnsi="Times New Roman"/>
                <w:sz w:val="14"/>
                <w:szCs w:val="14"/>
                <w:color w:val="auto"/>
                <w:w w:val="91"/>
              </w:rPr>
              <w:t>Yes</w:t>
            </w: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c>
          <w:tcPr>
            <w:tcW w:w="0" w:type="dxa"/>
            <w:vAlign w:val="bottom"/>
          </w:tcPr>
          <w:p>
            <w:pPr>
              <w:spacing w:after="0"/>
              <w:rPr>
                <w:sz w:val="1"/>
                <w:szCs w:val="1"/>
                <w:color w:val="auto"/>
              </w:rPr>
            </w:pPr>
          </w:p>
        </w:tc>
      </w:tr>
      <w:tr>
        <w:trPr>
          <w:trHeight w:val="149"/>
        </w:trPr>
        <w:tc>
          <w:tcPr>
            <w:tcW w:w="2640" w:type="dxa"/>
            <w:vAlign w:val="bottom"/>
            <w:gridSpan w:val="4"/>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Escalator Details</w:t>
            </w:r>
          </w:p>
        </w:tc>
        <w:tc>
          <w:tcPr>
            <w:tcW w:w="160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2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auto"/>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860" w:type="dxa"/>
            <w:vAlign w:val="bottom"/>
            <w:tcBorders>
              <w:top w:val="single" w:sz="8" w:color="CCEEFF"/>
            </w:tcBorders>
            <w:shd w:val="clear" w:color="auto" w:fill="CCEEFF"/>
          </w:tcPr>
          <w:p>
            <w:pPr>
              <w:spacing w:after="0"/>
              <w:rPr>
                <w:sz w:val="2"/>
                <w:szCs w:val="2"/>
                <w:color w:val="auto"/>
              </w:rPr>
            </w:pPr>
          </w:p>
        </w:tc>
        <w:tc>
          <w:tcPr>
            <w:tcW w:w="1600" w:type="dxa"/>
            <w:vAlign w:val="bottom"/>
            <w:tcBorders>
              <w:top w:val="single" w:sz="8" w:color="CCEEFF"/>
            </w:tcBorders>
            <w:shd w:val="clear" w:color="auto" w:fill="CCEEFF"/>
          </w:tcPr>
          <w:p>
            <w:pPr>
              <w:spacing w:after="0"/>
              <w:rPr>
                <w:sz w:val="2"/>
                <w:szCs w:val="2"/>
                <w:color w:val="auto"/>
              </w:rPr>
            </w:pPr>
          </w:p>
        </w:tc>
        <w:tc>
          <w:tcPr>
            <w:tcW w:w="1360" w:type="dxa"/>
            <w:vAlign w:val="bottom"/>
            <w:tcBorders>
              <w:top w:val="single" w:sz="8" w:color="CCEEFF"/>
            </w:tcBorders>
            <w:shd w:val="clear" w:color="auto" w:fill="CCEEFF"/>
          </w:tcPr>
          <w:p>
            <w:pPr>
              <w:spacing w:after="0"/>
              <w:rPr>
                <w:sz w:val="2"/>
                <w:szCs w:val="2"/>
                <w:color w:val="auto"/>
              </w:rPr>
            </w:pPr>
          </w:p>
        </w:tc>
        <w:tc>
          <w:tcPr>
            <w:tcW w:w="14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264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Yearly Base Rent Escalator Maximum</w:t>
            </w: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2%</w:t>
            </w:r>
          </w:p>
        </w:tc>
        <w:tc>
          <w:tcPr>
            <w:tcW w:w="1360" w:type="dxa"/>
            <w:vAlign w:val="bottom"/>
          </w:tcPr>
          <w:p>
            <w:pPr>
              <w:jc w:val="center"/>
              <w:spacing w:after="0" w:line="194" w:lineRule="exact"/>
              <w:rPr>
                <w:sz w:val="20"/>
                <w:szCs w:val="20"/>
                <w:color w:val="auto"/>
              </w:rPr>
            </w:pPr>
            <w:r>
              <w:rPr>
                <w:rFonts w:ascii="Times New Roman" w:cs="Times New Roman" w:eastAsia="Times New Roman" w:hAnsi="Times New Roman"/>
                <w:sz w:val="14"/>
                <w:szCs w:val="14"/>
                <w:color w:val="auto"/>
                <w:w w:val="94"/>
              </w:rPr>
              <w:t xml:space="preserve">1.75% </w:t>
            </w:r>
            <w:r>
              <w:rPr>
                <w:rFonts w:ascii="Times New Roman" w:cs="Times New Roman" w:eastAsia="Times New Roman" w:hAnsi="Times New Roman"/>
                <w:sz w:val="17"/>
                <w:szCs w:val="17"/>
                <w:color w:val="auto"/>
                <w:w w:val="94"/>
                <w:vertAlign w:val="superscript"/>
              </w:rPr>
              <w:t>(1)</w:t>
            </w:r>
          </w:p>
        </w:tc>
        <w:tc>
          <w:tcPr>
            <w:tcW w:w="1420" w:type="dxa"/>
            <w:vAlign w:val="bottom"/>
          </w:tcPr>
          <w:p>
            <w:pPr>
              <w:jc w:val="center"/>
              <w:spacing w:after="0" w:line="194" w:lineRule="exact"/>
              <w:rPr>
                <w:sz w:val="20"/>
                <w:szCs w:val="20"/>
                <w:color w:val="auto"/>
              </w:rPr>
            </w:pPr>
            <w:r>
              <w:rPr>
                <w:rFonts w:ascii="Times New Roman" w:cs="Times New Roman" w:eastAsia="Times New Roman" w:hAnsi="Times New Roman"/>
                <w:sz w:val="14"/>
                <w:szCs w:val="14"/>
                <w:color w:val="auto"/>
                <w:w w:val="94"/>
              </w:rPr>
              <w:t xml:space="preserve">1.25% </w:t>
            </w:r>
            <w:r>
              <w:rPr>
                <w:rFonts w:ascii="Times New Roman" w:cs="Times New Roman" w:eastAsia="Times New Roman" w:hAnsi="Times New Roman"/>
                <w:sz w:val="17"/>
                <w:szCs w:val="17"/>
                <w:color w:val="auto"/>
                <w:w w:val="94"/>
                <w:vertAlign w:val="superscript"/>
              </w:rPr>
              <w:t>(2)</w:t>
            </w:r>
          </w:p>
        </w:tc>
        <w:tc>
          <w:tcPr>
            <w:tcW w:w="0" w:type="dxa"/>
            <w:vAlign w:val="bottom"/>
          </w:tcPr>
          <w:p>
            <w:pPr>
              <w:spacing w:after="0"/>
              <w:rPr>
                <w:sz w:val="1"/>
                <w:szCs w:val="1"/>
                <w:color w:val="auto"/>
              </w:rPr>
            </w:pPr>
          </w:p>
        </w:tc>
      </w:tr>
      <w:tr>
        <w:trPr>
          <w:trHeight w:val="193"/>
        </w:trPr>
        <w:tc>
          <w:tcPr>
            <w:tcW w:w="26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Coverage ratio at December 31, 2025</w:t>
            </w: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2.93</w:t>
            </w:r>
          </w:p>
        </w:tc>
        <w:tc>
          <w:tcPr>
            <w:tcW w:w="1360" w:type="dxa"/>
            <w:vAlign w:val="bottom"/>
            <w:shd w:val="clear" w:color="auto" w:fill="CCEEFF"/>
          </w:tcPr>
          <w:p>
            <w:pPr>
              <w:jc w:val="center"/>
              <w:ind w:right="11"/>
              <w:spacing w:after="0"/>
              <w:rPr>
                <w:sz w:val="20"/>
                <w:szCs w:val="20"/>
                <w:color w:val="auto"/>
              </w:rPr>
            </w:pPr>
            <w:r>
              <w:rPr>
                <w:rFonts w:ascii="Times New Roman" w:cs="Times New Roman" w:eastAsia="Times New Roman" w:hAnsi="Times New Roman"/>
                <w:sz w:val="14"/>
                <w:szCs w:val="14"/>
                <w:color w:val="auto"/>
                <w:w w:val="97"/>
              </w:rPr>
              <w:t>2.04</w:t>
            </w: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c>
          <w:tcPr>
            <w:tcW w:w="0" w:type="dxa"/>
            <w:vAlign w:val="bottom"/>
          </w:tcPr>
          <w:p>
            <w:pPr>
              <w:spacing w:after="0"/>
              <w:rPr>
                <w:sz w:val="1"/>
                <w:szCs w:val="1"/>
                <w:color w:val="auto"/>
              </w:rPr>
            </w:pPr>
          </w:p>
        </w:tc>
      </w:tr>
      <w:tr>
        <w:trPr>
          <w:trHeight w:val="186"/>
        </w:trPr>
        <w:tc>
          <w:tcPr>
            <w:tcW w:w="264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Minimum Escalator Coverage Governor</w:t>
            </w: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1.8</w:t>
            </w:r>
          </w:p>
        </w:tc>
        <w:tc>
          <w:tcPr>
            <w:tcW w:w="1360" w:type="dxa"/>
            <w:vAlign w:val="bottom"/>
          </w:tcPr>
          <w:p>
            <w:pPr>
              <w:jc w:val="center"/>
              <w:ind w:right="11"/>
              <w:spacing w:after="0"/>
              <w:rPr>
                <w:sz w:val="20"/>
                <w:szCs w:val="20"/>
                <w:color w:val="auto"/>
              </w:rPr>
            </w:pPr>
            <w:r>
              <w:rPr>
                <w:rFonts w:ascii="Times New Roman" w:cs="Times New Roman" w:eastAsia="Times New Roman" w:hAnsi="Times New Roman"/>
                <w:sz w:val="14"/>
                <w:szCs w:val="14"/>
                <w:color w:val="auto"/>
                <w:w w:val="99"/>
              </w:rPr>
              <w:t>N/A</w:t>
            </w: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c>
          <w:tcPr>
            <w:tcW w:w="0" w:type="dxa"/>
            <w:vAlign w:val="bottom"/>
          </w:tcPr>
          <w:p>
            <w:pPr>
              <w:spacing w:after="0"/>
              <w:rPr>
                <w:sz w:val="1"/>
                <w:szCs w:val="1"/>
                <w:color w:val="auto"/>
              </w:rPr>
            </w:pPr>
          </w:p>
        </w:tc>
      </w:tr>
      <w:tr>
        <w:trPr>
          <w:trHeight w:val="201"/>
        </w:trPr>
        <w:tc>
          <w:tcPr>
            <w:tcW w:w="26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Yearly Anniversary for Realization</w:t>
            </w: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May</w:t>
            </w:r>
          </w:p>
        </w:tc>
        <w:tc>
          <w:tcPr>
            <w:tcW w:w="1360" w:type="dxa"/>
            <w:vAlign w:val="bottom"/>
            <w:shd w:val="clear" w:color="auto" w:fill="CCEEFF"/>
          </w:tcPr>
          <w:p>
            <w:pPr>
              <w:jc w:val="center"/>
              <w:ind w:right="11"/>
              <w:spacing w:after="0"/>
              <w:rPr>
                <w:sz w:val="20"/>
                <w:szCs w:val="20"/>
                <w:color w:val="auto"/>
              </w:rPr>
            </w:pPr>
            <w:r>
              <w:rPr>
                <w:rFonts w:ascii="Times New Roman" w:cs="Times New Roman" w:eastAsia="Times New Roman" w:hAnsi="Times New Roman"/>
                <w:sz w:val="14"/>
                <w:szCs w:val="14"/>
                <w:color w:val="auto"/>
                <w:w w:val="97"/>
              </w:rPr>
              <w:t>October</w:t>
            </w: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December</w:t>
            </w:r>
          </w:p>
        </w:tc>
        <w:tc>
          <w:tcPr>
            <w:tcW w:w="0" w:type="dxa"/>
            <w:vAlign w:val="bottom"/>
          </w:tcPr>
          <w:p>
            <w:pPr>
              <w:spacing w:after="0"/>
              <w:rPr>
                <w:sz w:val="1"/>
                <w:szCs w:val="1"/>
                <w:color w:val="auto"/>
              </w:rPr>
            </w:pPr>
          </w:p>
        </w:tc>
      </w:tr>
      <w:tr>
        <w:trPr>
          <w:trHeight w:val="142"/>
        </w:trPr>
        <w:tc>
          <w:tcPr>
            <w:tcW w:w="2640" w:type="dxa"/>
            <w:vAlign w:val="bottom"/>
            <w:gridSpan w:val="4"/>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Percentage Rent Reset Details</w:t>
            </w:r>
          </w:p>
        </w:tc>
        <w:tc>
          <w:tcPr>
            <w:tcW w:w="16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000" w:type="dxa"/>
            <w:vAlign w:val="bottom"/>
            <w:tcBorders>
              <w:top w:val="single" w:sz="8" w:color="auto"/>
            </w:tcBorders>
          </w:tcPr>
          <w:p>
            <w:pPr>
              <w:spacing w:after="0"/>
              <w:rPr>
                <w:sz w:val="2"/>
                <w:szCs w:val="2"/>
                <w:color w:val="auto"/>
              </w:rPr>
            </w:pPr>
          </w:p>
        </w:tc>
        <w:tc>
          <w:tcPr>
            <w:tcW w:w="760" w:type="dxa"/>
            <w:vAlign w:val="bottom"/>
            <w:tcBorders>
              <w:top w:val="single" w:sz="8" w:color="auto"/>
            </w:tcBorders>
          </w:tcPr>
          <w:p>
            <w:pPr>
              <w:spacing w:after="0"/>
              <w:rPr>
                <w:sz w:val="2"/>
                <w:szCs w:val="2"/>
                <w:color w:val="auto"/>
              </w:rPr>
            </w:pPr>
          </w:p>
        </w:tc>
        <w:tc>
          <w:tcPr>
            <w:tcW w:w="8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26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Reset Frequency</w:t>
            </w: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4"/>
              </w:rPr>
              <w:t>2 years</w:t>
            </w:r>
          </w:p>
        </w:tc>
        <w:tc>
          <w:tcPr>
            <w:tcW w:w="1360" w:type="dxa"/>
            <w:vAlign w:val="bottom"/>
            <w:shd w:val="clear" w:color="auto" w:fill="CCEEFF"/>
          </w:tcPr>
          <w:p>
            <w:pPr>
              <w:jc w:val="center"/>
              <w:ind w:right="11"/>
              <w:spacing w:after="0"/>
              <w:rPr>
                <w:sz w:val="20"/>
                <w:szCs w:val="20"/>
                <w:color w:val="auto"/>
              </w:rPr>
            </w:pPr>
            <w:r>
              <w:rPr>
                <w:rFonts w:ascii="Times New Roman" w:cs="Times New Roman" w:eastAsia="Times New Roman" w:hAnsi="Times New Roman"/>
                <w:sz w:val="14"/>
                <w:szCs w:val="14"/>
                <w:color w:val="auto"/>
                <w:w w:val="99"/>
              </w:rPr>
              <w:t>N/A</w:t>
            </w: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c>
          <w:tcPr>
            <w:tcW w:w="0" w:type="dxa"/>
            <w:vAlign w:val="bottom"/>
          </w:tcPr>
          <w:p>
            <w:pPr>
              <w:spacing w:after="0"/>
              <w:rPr>
                <w:sz w:val="1"/>
                <w:szCs w:val="1"/>
                <w:color w:val="auto"/>
              </w:rPr>
            </w:pPr>
          </w:p>
        </w:tc>
      </w:tr>
      <w:tr>
        <w:trPr>
          <w:trHeight w:val="178"/>
        </w:trPr>
        <w:tc>
          <w:tcPr>
            <w:tcW w:w="264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Next Reset</w:t>
            </w: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May 2026</w:t>
            </w:r>
          </w:p>
        </w:tc>
        <w:tc>
          <w:tcPr>
            <w:tcW w:w="1360" w:type="dxa"/>
            <w:vAlign w:val="bottom"/>
          </w:tcPr>
          <w:p>
            <w:pPr>
              <w:jc w:val="center"/>
              <w:ind w:right="11"/>
              <w:spacing w:after="0"/>
              <w:rPr>
                <w:sz w:val="20"/>
                <w:szCs w:val="20"/>
                <w:color w:val="auto"/>
              </w:rPr>
            </w:pPr>
            <w:r>
              <w:rPr>
                <w:rFonts w:ascii="Times New Roman" w:cs="Times New Roman" w:eastAsia="Times New Roman" w:hAnsi="Times New Roman"/>
                <w:sz w:val="14"/>
                <w:szCs w:val="14"/>
                <w:color w:val="auto"/>
                <w:w w:val="99"/>
              </w:rPr>
              <w:t>N/A</w:t>
            </w: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c>
          <w:tcPr>
            <w:tcW w:w="0" w:type="dxa"/>
            <w:vAlign w:val="bottom"/>
          </w:tcPr>
          <w:p>
            <w:pPr>
              <w:spacing w:after="0"/>
              <w:rPr>
                <w:sz w:val="1"/>
                <w:szCs w:val="1"/>
                <w:color w:val="auto"/>
              </w:rPr>
            </w:pPr>
          </w:p>
        </w:tc>
      </w:tr>
    </w:tbl>
    <w:p>
      <w:pPr>
        <w:spacing w:after="0" w:line="291" w:lineRule="exact"/>
        <w:rPr>
          <w:sz w:val="20"/>
          <w:szCs w:val="20"/>
          <w:color w:val="auto"/>
        </w:rPr>
      </w:pPr>
    </w:p>
    <w:p>
      <w:pPr>
        <w:ind w:left="237" w:hanging="237"/>
        <w:spacing w:after="0"/>
        <w:tabs>
          <w:tab w:leader="none" w:pos="237" w:val="left"/>
        </w:tabs>
        <w:numPr>
          <w:ilvl w:val="0"/>
          <w:numId w:val="1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For the sixth and seventh lease years, after which time the annual escalation becomes 2% for the remaining term of the lease.</w:t>
      </w:r>
    </w:p>
    <w:p>
      <w:pPr>
        <w:spacing w:after="0" w:line="215" w:lineRule="exact"/>
        <w:rPr>
          <w:rFonts w:ascii="Times New Roman" w:cs="Times New Roman" w:eastAsia="Times New Roman" w:hAnsi="Times New Roman"/>
          <w:sz w:val="22"/>
          <w:szCs w:val="22"/>
          <w:color w:val="auto"/>
          <w:vertAlign w:val="superscript"/>
        </w:rPr>
      </w:pPr>
    </w:p>
    <w:p>
      <w:pPr>
        <w:ind w:left="617" w:hanging="617"/>
        <w:spacing w:after="0" w:line="229" w:lineRule="auto"/>
        <w:tabs>
          <w:tab w:leader="none" w:pos="265" w:val="left"/>
        </w:tabs>
        <w:numPr>
          <w:ilvl w:val="0"/>
          <w:numId w:val="1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If the CPI increase is at least 0.5% for any lease year, the rent for such lease year shall increase by 1.25% of rent as of the immediately preceding lease year, and if the CPI increase is less than 0.5% for such lease year, then the rent shall not increase for such lease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69850</wp:posOffset>
            </wp:positionV>
            <wp:extent cx="716407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37"/>
          </w:cols>
          <w:pgMar w:left="323" w:top="901" w:right="339" w:bottom="1440" w:gutter="0" w:footer="0" w:header="0"/>
        </w:sectPr>
      </w:pPr>
    </w:p>
    <w:bookmarkStart w:id="40" w:name="page41"/>
    <w:bookmarkEnd w:id="40"/>
    <w:p>
      <w:pPr>
        <w:ind w:left="408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991235</wp:posOffset>
            </wp:positionH>
            <wp:positionV relativeFrom="page">
              <wp:posOffset>572135</wp:posOffset>
            </wp:positionV>
            <wp:extent cx="4461510" cy="13906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4461510" cy="139065"/>
                    </a:xfrm>
                    <a:prstGeom prst="rect">
                      <a:avLst/>
                    </a:prstGeom>
                    <a:noFill/>
                  </pic:spPr>
                </pic:pic>
              </a:graphicData>
            </a:graphic>
          </wp:anchor>
        </w:drawing>
        <w:t>Single Property Leases</w:t>
      </w:r>
    </w:p>
    <w:p>
      <w:pPr>
        <w:spacing w:after="0" w:line="45" w:lineRule="exact"/>
        <w:rPr>
          <w:sz w:val="20"/>
          <w:szCs w:val="20"/>
          <w:color w:val="auto"/>
        </w:rPr>
      </w:pPr>
    </w:p>
    <w:tbl>
      <w:tblPr>
        <w:tblLayout w:type="fixed"/>
        <w:tblInd w:w="124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80" w:type="dxa"/>
            <w:vAlign w:val="bottom"/>
          </w:tcPr>
          <w:p>
            <w:pPr>
              <w:jc w:val="center"/>
              <w:ind w:left="31"/>
              <w:spacing w:after="0"/>
              <w:rPr>
                <w:sz w:val="20"/>
                <w:szCs w:val="20"/>
                <w:color w:val="auto"/>
              </w:rPr>
            </w:pPr>
            <w:r>
              <w:rPr>
                <w:rFonts w:ascii="Times New Roman" w:cs="Times New Roman" w:eastAsia="Times New Roman" w:hAnsi="Times New Roman"/>
                <w:sz w:val="14"/>
                <w:szCs w:val="14"/>
                <w:b w:val="1"/>
                <w:bCs w:val="1"/>
                <w:color w:val="auto"/>
                <w:w w:val="98"/>
              </w:rPr>
              <w:t>MD Live! Lease</w:t>
            </w: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Tropicana Lease</w:t>
            </w: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Tioga Downs Lease</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2680" w:type="dxa"/>
            <w:vAlign w:val="bottom"/>
            <w:gridSpan w:val="4"/>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Operator</w:t>
            </w:r>
          </w:p>
        </w:tc>
        <w:tc>
          <w:tcPr>
            <w:tcW w:w="1480" w:type="dxa"/>
            <w:vAlign w:val="bottom"/>
            <w:vMerge w:val="restart"/>
            <w:shd w:val="clear" w:color="auto" w:fill="CCEEFF"/>
          </w:tcPr>
          <w:p>
            <w:pPr>
              <w:jc w:val="center"/>
              <w:ind w:left="51"/>
              <w:spacing w:after="0"/>
              <w:rPr>
                <w:sz w:val="20"/>
                <w:szCs w:val="20"/>
                <w:color w:val="auto"/>
              </w:rPr>
            </w:pPr>
            <w:r>
              <w:rPr>
                <w:rFonts w:ascii="Times New Roman" w:cs="Times New Roman" w:eastAsia="Times New Roman" w:hAnsi="Times New Roman"/>
                <w:sz w:val="14"/>
                <w:szCs w:val="14"/>
                <w:b w:val="1"/>
                <w:bCs w:val="1"/>
                <w:color w:val="auto"/>
                <w:w w:val="99"/>
              </w:rPr>
              <w:t>Cordish</w:t>
            </w:r>
          </w:p>
        </w:tc>
        <w:tc>
          <w:tcPr>
            <w:tcW w:w="14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Bally's</w:t>
            </w:r>
          </w:p>
        </w:tc>
        <w:tc>
          <w:tcPr>
            <w:tcW w:w="1420" w:type="dxa"/>
            <w:vAlign w:val="bottom"/>
            <w:shd w:val="clear" w:color="auto" w:fill="CCEEFF"/>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w w:val="97"/>
              </w:rPr>
              <w:t>American Racing and</w:t>
            </w:r>
          </w:p>
        </w:tc>
        <w:tc>
          <w:tcPr>
            <w:tcW w:w="0" w:type="dxa"/>
            <w:vAlign w:val="bottom"/>
          </w:tcPr>
          <w:p>
            <w:pPr>
              <w:spacing w:after="0"/>
              <w:rPr>
                <w:sz w:val="1"/>
                <w:szCs w:val="1"/>
                <w:color w:val="auto"/>
              </w:rPr>
            </w:pPr>
          </w:p>
        </w:tc>
      </w:tr>
      <w:tr>
        <w:trPr>
          <w:trHeight w:val="192"/>
        </w:trPr>
        <w:tc>
          <w:tcPr>
            <w:tcW w:w="2680" w:type="dxa"/>
            <w:vAlign w:val="bottom"/>
            <w:gridSpan w:val="4"/>
            <w:vMerge w:val="continue"/>
            <w:shd w:val="clear" w:color="auto" w:fill="CCEEFF"/>
          </w:tcPr>
          <w:p>
            <w:pPr>
              <w:spacing w:after="0"/>
              <w:rPr>
                <w:sz w:val="16"/>
                <w:szCs w:val="16"/>
                <w:color w:val="auto"/>
              </w:rPr>
            </w:pPr>
          </w:p>
        </w:tc>
        <w:tc>
          <w:tcPr>
            <w:tcW w:w="1480" w:type="dxa"/>
            <w:vAlign w:val="bottom"/>
            <w:vMerge w:val="continue"/>
            <w:shd w:val="clear" w:color="auto" w:fill="CCEEFF"/>
          </w:tcPr>
          <w:p>
            <w:pPr>
              <w:spacing w:after="0"/>
              <w:rPr>
                <w:sz w:val="16"/>
                <w:szCs w:val="16"/>
                <w:color w:val="auto"/>
              </w:rPr>
            </w:pPr>
          </w:p>
        </w:tc>
        <w:tc>
          <w:tcPr>
            <w:tcW w:w="1440" w:type="dxa"/>
            <w:vAlign w:val="bottom"/>
            <w:vMerge w:val="continue"/>
            <w:shd w:val="clear" w:color="auto" w:fill="CCEEFF"/>
          </w:tcPr>
          <w:p>
            <w:pPr>
              <w:spacing w:after="0"/>
              <w:rPr>
                <w:sz w:val="16"/>
                <w:szCs w:val="16"/>
                <w:color w:val="auto"/>
              </w:rPr>
            </w:pP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Entertainment</w:t>
            </w:r>
          </w:p>
        </w:tc>
        <w:tc>
          <w:tcPr>
            <w:tcW w:w="0" w:type="dxa"/>
            <w:vAlign w:val="bottom"/>
          </w:tcPr>
          <w:p>
            <w:pPr>
              <w:spacing w:after="0"/>
              <w:rPr>
                <w:sz w:val="1"/>
                <w:szCs w:val="1"/>
                <w:color w:val="auto"/>
              </w:rPr>
            </w:pPr>
          </w:p>
        </w:tc>
      </w:tr>
      <w:tr>
        <w:trPr>
          <w:trHeight w:val="134"/>
        </w:trPr>
        <w:tc>
          <w:tcPr>
            <w:tcW w:w="268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color w:val="auto"/>
              </w:rPr>
              <w:t>Properties</w:t>
            </w:r>
          </w:p>
        </w:tc>
        <w:tc>
          <w:tcPr>
            <w:tcW w:w="1480" w:type="dxa"/>
            <w:vAlign w:val="bottom"/>
          </w:tcPr>
          <w:p>
            <w:pPr>
              <w:jc w:val="center"/>
              <w:ind w:left="51"/>
              <w:spacing w:after="0" w:line="135" w:lineRule="exact"/>
              <w:rPr>
                <w:sz w:val="20"/>
                <w:szCs w:val="20"/>
                <w:color w:val="auto"/>
              </w:rPr>
            </w:pPr>
            <w:r>
              <w:rPr>
                <w:rFonts w:ascii="Times New Roman" w:cs="Times New Roman" w:eastAsia="Times New Roman" w:hAnsi="Times New Roman"/>
                <w:sz w:val="14"/>
                <w:szCs w:val="14"/>
                <w:color w:val="auto"/>
                <w:w w:val="98"/>
              </w:rPr>
              <w:t>Live! Casino &amp; Hotel</w:t>
            </w:r>
          </w:p>
        </w:tc>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5"/>
              </w:rPr>
              <w:t>Tropicana Las Vegas</w:t>
            </w: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7"/>
              </w:rPr>
              <w:t>Tioga Downs</w:t>
            </w:r>
          </w:p>
        </w:tc>
        <w:tc>
          <w:tcPr>
            <w:tcW w:w="0" w:type="dxa"/>
            <w:vAlign w:val="bottom"/>
          </w:tcPr>
          <w:p>
            <w:pPr>
              <w:spacing w:after="0"/>
              <w:rPr>
                <w:sz w:val="1"/>
                <w:szCs w:val="1"/>
                <w:color w:val="auto"/>
              </w:rPr>
            </w:pPr>
          </w:p>
        </w:tc>
      </w:tr>
      <w:tr>
        <w:trPr>
          <w:trHeight w:val="183"/>
        </w:trPr>
        <w:tc>
          <w:tcPr>
            <w:tcW w:w="2680" w:type="dxa"/>
            <w:vAlign w:val="bottom"/>
            <w:gridSpan w:val="4"/>
            <w:vMerge w:val="continue"/>
          </w:tcPr>
          <w:p>
            <w:pPr>
              <w:spacing w:after="0"/>
              <w:rPr>
                <w:sz w:val="15"/>
                <w:szCs w:val="15"/>
                <w:color w:val="auto"/>
              </w:rPr>
            </w:pPr>
          </w:p>
        </w:tc>
        <w:tc>
          <w:tcPr>
            <w:tcW w:w="1480" w:type="dxa"/>
            <w:vAlign w:val="bottom"/>
          </w:tcPr>
          <w:p>
            <w:pPr>
              <w:jc w:val="center"/>
              <w:ind w:left="31"/>
              <w:spacing w:after="0"/>
              <w:rPr>
                <w:sz w:val="20"/>
                <w:szCs w:val="20"/>
                <w:color w:val="auto"/>
              </w:rPr>
            </w:pPr>
            <w:r>
              <w:rPr>
                <w:rFonts w:ascii="Times New Roman" w:cs="Times New Roman" w:eastAsia="Times New Roman" w:hAnsi="Times New Roman"/>
                <w:sz w:val="14"/>
                <w:szCs w:val="14"/>
                <w:color w:val="auto"/>
                <w:w w:val="99"/>
              </w:rPr>
              <w:t>Maryland</w:t>
            </w:r>
          </w:p>
        </w:tc>
        <w:tc>
          <w:tcPr>
            <w:tcW w:w="1440" w:type="dxa"/>
            <w:vAlign w:val="bottom"/>
            <w:vMerge w:val="continue"/>
          </w:tcPr>
          <w:p>
            <w:pPr>
              <w:spacing w:after="0"/>
              <w:rPr>
                <w:sz w:val="15"/>
                <w:szCs w:val="15"/>
                <w:color w:val="auto"/>
              </w:rPr>
            </w:pPr>
          </w:p>
        </w:tc>
        <w:tc>
          <w:tcPr>
            <w:tcW w:w="14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80" w:type="dxa"/>
            <w:vAlign w:val="bottom"/>
            <w:shd w:val="clear" w:color="auto" w:fill="CCEEFF"/>
          </w:tcPr>
          <w:p>
            <w:pPr>
              <w:jc w:val="center"/>
              <w:ind w:left="51"/>
              <w:spacing w:after="0"/>
              <w:rPr>
                <w:sz w:val="20"/>
                <w:szCs w:val="20"/>
                <w:color w:val="auto"/>
              </w:rPr>
            </w:pPr>
            <w:r>
              <w:rPr>
                <w:rFonts w:ascii="Times New Roman" w:cs="Times New Roman" w:eastAsia="Times New Roman" w:hAnsi="Times New Roman"/>
                <w:sz w:val="14"/>
                <w:szCs w:val="14"/>
                <w:color w:val="auto"/>
                <w:w w:val="97"/>
              </w:rPr>
              <w:t>Hanover, MD</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5"/>
              </w:rPr>
              <w:t>Las Vegas, NV</w:t>
            </w: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Nichols, NY</w:t>
            </w:r>
          </w:p>
        </w:tc>
        <w:tc>
          <w:tcPr>
            <w:tcW w:w="0" w:type="dxa"/>
            <w:vAlign w:val="bottom"/>
          </w:tcPr>
          <w:p>
            <w:pPr>
              <w:spacing w:after="0"/>
              <w:rPr>
                <w:sz w:val="1"/>
                <w:szCs w:val="1"/>
                <w:color w:val="auto"/>
              </w:rPr>
            </w:pPr>
          </w:p>
        </w:tc>
      </w:tr>
      <w:tr>
        <w:trPr>
          <w:trHeight w:val="186"/>
        </w:trPr>
        <w:tc>
          <w:tcPr>
            <w:tcW w:w="268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Commencement Date</w:t>
            </w:r>
          </w:p>
        </w:tc>
        <w:tc>
          <w:tcPr>
            <w:tcW w:w="1480" w:type="dxa"/>
            <w:vAlign w:val="bottom"/>
          </w:tcPr>
          <w:p>
            <w:pPr>
              <w:jc w:val="center"/>
              <w:ind w:left="31"/>
              <w:spacing w:after="0"/>
              <w:rPr>
                <w:sz w:val="20"/>
                <w:szCs w:val="20"/>
                <w:color w:val="auto"/>
              </w:rPr>
            </w:pPr>
            <w:r>
              <w:rPr>
                <w:rFonts w:ascii="Times New Roman" w:cs="Times New Roman" w:eastAsia="Times New Roman" w:hAnsi="Times New Roman"/>
                <w:sz w:val="14"/>
                <w:szCs w:val="14"/>
                <w:color w:val="auto"/>
                <w:w w:val="97"/>
              </w:rPr>
              <w:t>12/29/2021</w:t>
            </w: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9/26/2022</w:t>
            </w: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2/6/2024</w:t>
            </w:r>
          </w:p>
        </w:tc>
        <w:tc>
          <w:tcPr>
            <w:tcW w:w="0" w:type="dxa"/>
            <w:vAlign w:val="bottom"/>
          </w:tcPr>
          <w:p>
            <w:pPr>
              <w:spacing w:after="0"/>
              <w:rPr>
                <w:sz w:val="1"/>
                <w:szCs w:val="1"/>
                <w:color w:val="auto"/>
              </w:rPr>
            </w:pPr>
          </w:p>
        </w:tc>
      </w:tr>
      <w:tr>
        <w:trPr>
          <w:trHeight w:val="201"/>
        </w:trPr>
        <w:tc>
          <w:tcPr>
            <w:tcW w:w="26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Lease Expiration Date</w:t>
            </w:r>
          </w:p>
        </w:tc>
        <w:tc>
          <w:tcPr>
            <w:tcW w:w="1480" w:type="dxa"/>
            <w:vAlign w:val="bottom"/>
            <w:shd w:val="clear" w:color="auto" w:fill="CCEEFF"/>
          </w:tcPr>
          <w:p>
            <w:pPr>
              <w:jc w:val="center"/>
              <w:ind w:left="31"/>
              <w:spacing w:after="0"/>
              <w:rPr>
                <w:sz w:val="20"/>
                <w:szCs w:val="20"/>
                <w:color w:val="auto"/>
              </w:rPr>
            </w:pPr>
            <w:r>
              <w:rPr>
                <w:rFonts w:ascii="Times New Roman" w:cs="Times New Roman" w:eastAsia="Times New Roman" w:hAnsi="Times New Roman"/>
                <w:sz w:val="14"/>
                <w:szCs w:val="14"/>
                <w:color w:val="auto"/>
                <w:w w:val="97"/>
              </w:rPr>
              <w:t>12/31/2060</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9/25/2072</w:t>
            </w: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2/28/2054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80" w:type="dxa"/>
            <w:vAlign w:val="bottom"/>
            <w:vMerge w:val="restart"/>
          </w:tcPr>
          <w:p>
            <w:pPr>
              <w:jc w:val="center"/>
              <w:ind w:left="51"/>
              <w:spacing w:after="0"/>
              <w:rPr>
                <w:sz w:val="20"/>
                <w:szCs w:val="20"/>
                <w:color w:val="auto"/>
              </w:rPr>
            </w:pPr>
            <w:r>
              <w:rPr>
                <w:rFonts w:ascii="Times New Roman" w:cs="Times New Roman" w:eastAsia="Times New Roman" w:hAnsi="Times New Roman"/>
                <w:sz w:val="14"/>
                <w:szCs w:val="14"/>
                <w:color w:val="auto"/>
                <w:w w:val="98"/>
              </w:rPr>
              <w:t>21 (1x11 years, 1x10</w:t>
            </w:r>
          </w:p>
        </w:tc>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8"/>
              </w:rPr>
              <w:t>49 (1 x 24 years, 1 x 25</w:t>
            </w:r>
          </w:p>
        </w:tc>
        <w:tc>
          <w:tcPr>
            <w:tcW w:w="142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color w:val="auto"/>
                <w:w w:val="97"/>
              </w:rPr>
              <w:t>32 years and 10 months</w:t>
            </w:r>
          </w:p>
        </w:tc>
        <w:tc>
          <w:tcPr>
            <w:tcW w:w="0" w:type="dxa"/>
            <w:vAlign w:val="bottom"/>
          </w:tcPr>
          <w:p>
            <w:pPr>
              <w:spacing w:after="0"/>
              <w:rPr>
                <w:sz w:val="1"/>
                <w:szCs w:val="1"/>
                <w:color w:val="auto"/>
              </w:rPr>
            </w:pPr>
          </w:p>
        </w:tc>
      </w:tr>
      <w:tr>
        <w:trPr>
          <w:trHeight w:val="136"/>
        </w:trPr>
        <w:tc>
          <w:tcPr>
            <w:tcW w:w="268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color w:val="auto"/>
              </w:rPr>
              <w:t>Remaining Renewal Terms</w:t>
            </w:r>
          </w:p>
        </w:tc>
        <w:tc>
          <w:tcPr>
            <w:tcW w:w="148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142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color w:val="auto"/>
                <w:w w:val="98"/>
              </w:rPr>
              <w:t>(2x10 years, 1x12 years</w:t>
            </w:r>
          </w:p>
        </w:tc>
        <w:tc>
          <w:tcPr>
            <w:tcW w:w="0" w:type="dxa"/>
            <w:vAlign w:val="bottom"/>
          </w:tcPr>
          <w:p>
            <w:pPr>
              <w:spacing w:after="0"/>
              <w:rPr>
                <w:sz w:val="1"/>
                <w:szCs w:val="1"/>
                <w:color w:val="auto"/>
              </w:rPr>
            </w:pPr>
          </w:p>
        </w:tc>
      </w:tr>
      <w:tr>
        <w:trPr>
          <w:trHeight w:val="189"/>
        </w:trPr>
        <w:tc>
          <w:tcPr>
            <w:tcW w:w="2680" w:type="dxa"/>
            <w:vAlign w:val="bottom"/>
            <w:gridSpan w:val="4"/>
            <w:vMerge w:val="continue"/>
          </w:tcPr>
          <w:p>
            <w:pPr>
              <w:spacing w:after="0"/>
              <w:rPr>
                <w:sz w:val="16"/>
                <w:szCs w:val="16"/>
                <w:color w:val="auto"/>
              </w:rPr>
            </w:pPr>
          </w:p>
        </w:tc>
        <w:tc>
          <w:tcPr>
            <w:tcW w:w="1480" w:type="dxa"/>
            <w:vAlign w:val="bottom"/>
          </w:tcPr>
          <w:p>
            <w:pPr>
              <w:jc w:val="center"/>
              <w:ind w:left="31"/>
              <w:spacing w:after="0"/>
              <w:rPr>
                <w:sz w:val="20"/>
                <w:szCs w:val="20"/>
                <w:color w:val="auto"/>
              </w:rPr>
            </w:pPr>
            <w:r>
              <w:rPr>
                <w:rFonts w:ascii="Times New Roman" w:cs="Times New Roman" w:eastAsia="Times New Roman" w:hAnsi="Times New Roman"/>
                <w:sz w:val="14"/>
                <w:szCs w:val="14"/>
                <w:color w:val="auto"/>
                <w:w w:val="99"/>
              </w:rPr>
              <w:t>years)</w:t>
            </w: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years)</w:t>
            </w: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and 10 months)</w:t>
            </w:r>
          </w:p>
        </w:tc>
        <w:tc>
          <w:tcPr>
            <w:tcW w:w="0" w:type="dxa"/>
            <w:vAlign w:val="bottom"/>
          </w:tcPr>
          <w:p>
            <w:pPr>
              <w:spacing w:after="0"/>
              <w:rPr>
                <w:sz w:val="1"/>
                <w:szCs w:val="1"/>
                <w:color w:val="auto"/>
              </w:rPr>
            </w:pPr>
          </w:p>
        </w:tc>
      </w:tr>
      <w:tr>
        <w:trPr>
          <w:trHeight w:val="198"/>
        </w:trPr>
        <w:tc>
          <w:tcPr>
            <w:tcW w:w="26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Corporate Guarantee</w:t>
            </w:r>
          </w:p>
        </w:tc>
        <w:tc>
          <w:tcPr>
            <w:tcW w:w="1480" w:type="dxa"/>
            <w:vAlign w:val="bottom"/>
            <w:shd w:val="clear" w:color="auto" w:fill="CCEEFF"/>
          </w:tcPr>
          <w:p>
            <w:pPr>
              <w:jc w:val="center"/>
              <w:ind w:left="51"/>
              <w:spacing w:after="0"/>
              <w:rPr>
                <w:sz w:val="20"/>
                <w:szCs w:val="20"/>
                <w:color w:val="auto"/>
              </w:rPr>
            </w:pPr>
            <w:r>
              <w:rPr>
                <w:rFonts w:ascii="Times New Roman" w:cs="Times New Roman" w:eastAsia="Times New Roman" w:hAnsi="Times New Roman"/>
                <w:sz w:val="14"/>
                <w:szCs w:val="14"/>
                <w:color w:val="auto"/>
                <w:w w:val="93"/>
              </w:rPr>
              <w:t>No</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1"/>
              </w:rPr>
              <w:t>Yes</w:t>
            </w: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1"/>
              </w:rPr>
              <w:t>Yes</w:t>
            </w:r>
          </w:p>
        </w:tc>
        <w:tc>
          <w:tcPr>
            <w:tcW w:w="0" w:type="dxa"/>
            <w:vAlign w:val="bottom"/>
          </w:tcPr>
          <w:p>
            <w:pPr>
              <w:spacing w:after="0"/>
              <w:rPr>
                <w:sz w:val="1"/>
                <w:szCs w:val="1"/>
                <w:color w:val="auto"/>
              </w:rPr>
            </w:pPr>
          </w:p>
        </w:tc>
      </w:tr>
      <w:tr>
        <w:trPr>
          <w:trHeight w:val="186"/>
        </w:trPr>
        <w:tc>
          <w:tcPr>
            <w:tcW w:w="268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Technical Default Landlord Protection</w:t>
            </w:r>
          </w:p>
        </w:tc>
        <w:tc>
          <w:tcPr>
            <w:tcW w:w="1480" w:type="dxa"/>
            <w:vAlign w:val="bottom"/>
          </w:tcPr>
          <w:p>
            <w:pPr>
              <w:jc w:val="center"/>
              <w:ind w:left="51"/>
              <w:spacing w:after="0"/>
              <w:rPr>
                <w:sz w:val="20"/>
                <w:szCs w:val="20"/>
                <w:color w:val="auto"/>
              </w:rPr>
            </w:pPr>
            <w:r>
              <w:rPr>
                <w:rFonts w:ascii="Times New Roman" w:cs="Times New Roman" w:eastAsia="Times New Roman" w:hAnsi="Times New Roman"/>
                <w:sz w:val="14"/>
                <w:szCs w:val="14"/>
                <w:color w:val="auto"/>
                <w:w w:val="91"/>
              </w:rPr>
              <w:t>Yes</w:t>
            </w: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1"/>
              </w:rPr>
              <w:t>Yes</w:t>
            </w: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1"/>
              </w:rPr>
              <w:t>Yes</w:t>
            </w:r>
          </w:p>
        </w:tc>
        <w:tc>
          <w:tcPr>
            <w:tcW w:w="0" w:type="dxa"/>
            <w:vAlign w:val="bottom"/>
          </w:tcPr>
          <w:p>
            <w:pPr>
              <w:spacing w:after="0"/>
              <w:rPr>
                <w:sz w:val="1"/>
                <w:szCs w:val="1"/>
                <w:color w:val="auto"/>
              </w:rPr>
            </w:pPr>
          </w:p>
        </w:tc>
      </w:tr>
      <w:tr>
        <w:trPr>
          <w:trHeight w:val="201"/>
        </w:trPr>
        <w:tc>
          <w:tcPr>
            <w:tcW w:w="26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Default Adjusted Revenue to Rent Coverage</w:t>
            </w:r>
          </w:p>
        </w:tc>
        <w:tc>
          <w:tcPr>
            <w:tcW w:w="1480" w:type="dxa"/>
            <w:vAlign w:val="bottom"/>
            <w:shd w:val="clear" w:color="auto" w:fill="CCEEFF"/>
          </w:tcPr>
          <w:p>
            <w:pPr>
              <w:jc w:val="center"/>
              <w:ind w:left="31"/>
              <w:spacing w:after="0"/>
              <w:rPr>
                <w:sz w:val="20"/>
                <w:szCs w:val="20"/>
                <w:color w:val="auto"/>
              </w:rPr>
            </w:pPr>
            <w:r>
              <w:rPr>
                <w:rFonts w:ascii="Times New Roman" w:cs="Times New Roman" w:eastAsia="Times New Roman" w:hAnsi="Times New Roman"/>
                <w:sz w:val="14"/>
                <w:szCs w:val="14"/>
                <w:color w:val="auto"/>
              </w:rPr>
              <w:t>1.4</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1.35 (1)</w:t>
            </w: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186"/>
        </w:trPr>
        <w:tc>
          <w:tcPr>
            <w:tcW w:w="268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Competitive Radius Landlord Protection</w:t>
            </w:r>
          </w:p>
        </w:tc>
        <w:tc>
          <w:tcPr>
            <w:tcW w:w="1480" w:type="dxa"/>
            <w:vAlign w:val="bottom"/>
          </w:tcPr>
          <w:p>
            <w:pPr>
              <w:jc w:val="center"/>
              <w:ind w:left="51"/>
              <w:spacing w:after="0"/>
              <w:rPr>
                <w:sz w:val="20"/>
                <w:szCs w:val="20"/>
                <w:color w:val="auto"/>
              </w:rPr>
            </w:pPr>
            <w:r>
              <w:rPr>
                <w:rFonts w:ascii="Times New Roman" w:cs="Times New Roman" w:eastAsia="Times New Roman" w:hAnsi="Times New Roman"/>
                <w:sz w:val="14"/>
                <w:szCs w:val="14"/>
                <w:color w:val="auto"/>
                <w:w w:val="91"/>
              </w:rPr>
              <w:t>Yes</w:t>
            </w: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1"/>
              </w:rPr>
              <w:t>Yes</w:t>
            </w: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1"/>
              </w:rPr>
              <w:t>Yes</w:t>
            </w:r>
          </w:p>
        </w:tc>
        <w:tc>
          <w:tcPr>
            <w:tcW w:w="0" w:type="dxa"/>
            <w:vAlign w:val="bottom"/>
          </w:tcPr>
          <w:p>
            <w:pPr>
              <w:spacing w:after="0"/>
              <w:rPr>
                <w:sz w:val="1"/>
                <w:szCs w:val="1"/>
                <w:color w:val="auto"/>
              </w:rPr>
            </w:pPr>
          </w:p>
        </w:tc>
      </w:tr>
      <w:tr>
        <w:trPr>
          <w:trHeight w:val="149"/>
        </w:trPr>
        <w:tc>
          <w:tcPr>
            <w:tcW w:w="2680" w:type="dxa"/>
            <w:vAlign w:val="bottom"/>
            <w:gridSpan w:val="4"/>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Escalator Details</w:t>
            </w:r>
          </w:p>
        </w:tc>
        <w:tc>
          <w:tcPr>
            <w:tcW w:w="148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2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auto"/>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1480" w:type="dxa"/>
            <w:vAlign w:val="bottom"/>
            <w:tcBorders>
              <w:top w:val="single" w:sz="8" w:color="CCEEFF"/>
            </w:tcBorders>
            <w:shd w:val="clear" w:color="auto" w:fill="CCEEFF"/>
          </w:tcPr>
          <w:p>
            <w:pPr>
              <w:spacing w:after="0"/>
              <w:rPr>
                <w:sz w:val="2"/>
                <w:szCs w:val="2"/>
                <w:color w:val="auto"/>
              </w:rPr>
            </w:pPr>
          </w:p>
        </w:tc>
        <w:tc>
          <w:tcPr>
            <w:tcW w:w="1440" w:type="dxa"/>
            <w:vAlign w:val="bottom"/>
            <w:tcBorders>
              <w:top w:val="single" w:sz="8" w:color="CCEEFF"/>
            </w:tcBorders>
            <w:shd w:val="clear" w:color="auto" w:fill="CCEEFF"/>
          </w:tcPr>
          <w:p>
            <w:pPr>
              <w:spacing w:after="0"/>
              <w:rPr>
                <w:sz w:val="2"/>
                <w:szCs w:val="2"/>
                <w:color w:val="auto"/>
              </w:rPr>
            </w:pPr>
          </w:p>
        </w:tc>
        <w:tc>
          <w:tcPr>
            <w:tcW w:w="14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268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Yearly Base Rent Escalator Maximum</w:t>
            </w:r>
          </w:p>
        </w:tc>
        <w:tc>
          <w:tcPr>
            <w:tcW w:w="1480" w:type="dxa"/>
            <w:vAlign w:val="bottom"/>
          </w:tcPr>
          <w:p>
            <w:pPr>
              <w:jc w:val="center"/>
              <w:ind w:left="51"/>
              <w:spacing w:after="0"/>
              <w:rPr>
                <w:sz w:val="20"/>
                <w:szCs w:val="20"/>
                <w:color w:val="auto"/>
              </w:rPr>
            </w:pPr>
            <w:r>
              <w:rPr>
                <w:rFonts w:ascii="Times New Roman" w:cs="Times New Roman" w:eastAsia="Times New Roman" w:hAnsi="Times New Roman"/>
                <w:sz w:val="14"/>
                <w:szCs w:val="14"/>
                <w:color w:val="auto"/>
                <w:w w:val="99"/>
              </w:rPr>
              <w:t>1.75%</w:t>
            </w: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(2)</w:t>
            </w:r>
          </w:p>
        </w:tc>
        <w:tc>
          <w:tcPr>
            <w:tcW w:w="1420" w:type="dxa"/>
            <w:vAlign w:val="bottom"/>
          </w:tcPr>
          <w:p>
            <w:pPr>
              <w:jc w:val="center"/>
              <w:spacing w:after="0" w:line="194" w:lineRule="exact"/>
              <w:rPr>
                <w:sz w:val="20"/>
                <w:szCs w:val="20"/>
                <w:color w:val="auto"/>
              </w:rPr>
            </w:pPr>
            <w:r>
              <w:rPr>
                <w:rFonts w:ascii="Times New Roman" w:cs="Times New Roman" w:eastAsia="Times New Roman" w:hAnsi="Times New Roman"/>
                <w:sz w:val="14"/>
                <w:szCs w:val="14"/>
                <w:color w:val="auto"/>
                <w:w w:val="94"/>
              </w:rPr>
              <w:t xml:space="preserve">1.75% </w:t>
            </w:r>
            <w:r>
              <w:rPr>
                <w:rFonts w:ascii="Times New Roman" w:cs="Times New Roman" w:eastAsia="Times New Roman" w:hAnsi="Times New Roman"/>
                <w:sz w:val="17"/>
                <w:szCs w:val="17"/>
                <w:color w:val="auto"/>
                <w:w w:val="94"/>
                <w:vertAlign w:val="superscript"/>
              </w:rPr>
              <w:t>(3)</w:t>
            </w:r>
          </w:p>
        </w:tc>
        <w:tc>
          <w:tcPr>
            <w:tcW w:w="0" w:type="dxa"/>
            <w:vAlign w:val="bottom"/>
          </w:tcPr>
          <w:p>
            <w:pPr>
              <w:spacing w:after="0"/>
              <w:rPr>
                <w:sz w:val="1"/>
                <w:szCs w:val="1"/>
                <w:color w:val="auto"/>
              </w:rPr>
            </w:pPr>
          </w:p>
        </w:tc>
      </w:tr>
      <w:tr>
        <w:trPr>
          <w:trHeight w:val="193"/>
        </w:trPr>
        <w:tc>
          <w:tcPr>
            <w:tcW w:w="26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Coverage ratio at December 31, 2025</w:t>
            </w:r>
          </w:p>
        </w:tc>
        <w:tc>
          <w:tcPr>
            <w:tcW w:w="1480" w:type="dxa"/>
            <w:vAlign w:val="bottom"/>
            <w:shd w:val="clear" w:color="auto" w:fill="CCEEFF"/>
          </w:tcPr>
          <w:p>
            <w:pPr>
              <w:jc w:val="center"/>
              <w:ind w:left="51"/>
              <w:spacing w:after="0"/>
              <w:rPr>
                <w:sz w:val="20"/>
                <w:szCs w:val="20"/>
                <w:color w:val="auto"/>
              </w:rPr>
            </w:pPr>
            <w:r>
              <w:rPr>
                <w:rFonts w:ascii="Times New Roman" w:cs="Times New Roman" w:eastAsia="Times New Roman" w:hAnsi="Times New Roman"/>
                <w:sz w:val="14"/>
                <w:szCs w:val="14"/>
                <w:color w:val="auto"/>
                <w:w w:val="97"/>
              </w:rPr>
              <w:t>3.49</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1.94</w:t>
            </w:r>
          </w:p>
        </w:tc>
        <w:tc>
          <w:tcPr>
            <w:tcW w:w="0" w:type="dxa"/>
            <w:vAlign w:val="bottom"/>
          </w:tcPr>
          <w:p>
            <w:pPr>
              <w:spacing w:after="0"/>
              <w:rPr>
                <w:sz w:val="1"/>
                <w:szCs w:val="1"/>
                <w:color w:val="auto"/>
              </w:rPr>
            </w:pPr>
          </w:p>
        </w:tc>
      </w:tr>
      <w:tr>
        <w:trPr>
          <w:trHeight w:val="186"/>
        </w:trPr>
        <w:tc>
          <w:tcPr>
            <w:tcW w:w="268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Minimum Escalator Coverage Governor</w:t>
            </w:r>
          </w:p>
        </w:tc>
        <w:tc>
          <w:tcPr>
            <w:tcW w:w="1480" w:type="dxa"/>
            <w:vAlign w:val="bottom"/>
          </w:tcPr>
          <w:p>
            <w:pPr>
              <w:jc w:val="center"/>
              <w:ind w:left="51"/>
              <w:spacing w:after="0"/>
              <w:rPr>
                <w:sz w:val="20"/>
                <w:szCs w:val="20"/>
                <w:color w:val="auto"/>
              </w:rPr>
            </w:pPr>
            <w:r>
              <w:rPr>
                <w:rFonts w:ascii="Times New Roman" w:cs="Times New Roman" w:eastAsia="Times New Roman" w:hAnsi="Times New Roman"/>
                <w:sz w:val="14"/>
                <w:szCs w:val="14"/>
                <w:color w:val="auto"/>
                <w:w w:val="99"/>
              </w:rPr>
              <w:t>N/A</w:t>
            </w: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c>
          <w:tcPr>
            <w:tcW w:w="0" w:type="dxa"/>
            <w:vAlign w:val="bottom"/>
          </w:tcPr>
          <w:p>
            <w:pPr>
              <w:spacing w:after="0"/>
              <w:rPr>
                <w:sz w:val="1"/>
                <w:szCs w:val="1"/>
                <w:color w:val="auto"/>
              </w:rPr>
            </w:pPr>
          </w:p>
        </w:tc>
      </w:tr>
      <w:tr>
        <w:trPr>
          <w:trHeight w:val="201"/>
        </w:trPr>
        <w:tc>
          <w:tcPr>
            <w:tcW w:w="26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Yearly Anniversary for Realization</w:t>
            </w:r>
          </w:p>
        </w:tc>
        <w:tc>
          <w:tcPr>
            <w:tcW w:w="1480" w:type="dxa"/>
            <w:vAlign w:val="bottom"/>
            <w:shd w:val="clear" w:color="auto" w:fill="CCEEFF"/>
          </w:tcPr>
          <w:p>
            <w:pPr>
              <w:jc w:val="center"/>
              <w:ind w:left="31"/>
              <w:spacing w:after="0"/>
              <w:rPr>
                <w:sz w:val="20"/>
                <w:szCs w:val="20"/>
                <w:color w:val="auto"/>
              </w:rPr>
            </w:pPr>
            <w:r>
              <w:rPr>
                <w:rFonts w:ascii="Times New Roman" w:cs="Times New Roman" w:eastAsia="Times New Roman" w:hAnsi="Times New Roman"/>
                <w:sz w:val="14"/>
                <w:szCs w:val="14"/>
                <w:color w:val="auto"/>
                <w:w w:val="96"/>
              </w:rPr>
              <w:t>January</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October</w:t>
            </w: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March</w:t>
            </w:r>
          </w:p>
        </w:tc>
        <w:tc>
          <w:tcPr>
            <w:tcW w:w="0" w:type="dxa"/>
            <w:vAlign w:val="bottom"/>
          </w:tcPr>
          <w:p>
            <w:pPr>
              <w:spacing w:after="0"/>
              <w:rPr>
                <w:sz w:val="1"/>
                <w:szCs w:val="1"/>
                <w:color w:val="auto"/>
              </w:rPr>
            </w:pPr>
          </w:p>
        </w:tc>
      </w:tr>
      <w:tr>
        <w:trPr>
          <w:trHeight w:val="142"/>
        </w:trPr>
        <w:tc>
          <w:tcPr>
            <w:tcW w:w="2680" w:type="dxa"/>
            <w:vAlign w:val="bottom"/>
            <w:gridSpan w:val="4"/>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Percentage Rent Reset Details</w:t>
            </w:r>
          </w:p>
        </w:tc>
        <w:tc>
          <w:tcPr>
            <w:tcW w:w="14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000" w:type="dxa"/>
            <w:vAlign w:val="bottom"/>
            <w:tcBorders>
              <w:top w:val="single" w:sz="8" w:color="auto"/>
            </w:tcBorders>
          </w:tcPr>
          <w:p>
            <w:pPr>
              <w:spacing w:after="0"/>
              <w:rPr>
                <w:sz w:val="2"/>
                <w:szCs w:val="2"/>
                <w:color w:val="auto"/>
              </w:rPr>
            </w:pPr>
          </w:p>
        </w:tc>
        <w:tc>
          <w:tcPr>
            <w:tcW w:w="760" w:type="dxa"/>
            <w:vAlign w:val="bottom"/>
            <w:tcBorders>
              <w:top w:val="single" w:sz="8" w:color="auto"/>
            </w:tcBorders>
          </w:tcPr>
          <w:p>
            <w:pPr>
              <w:spacing w:after="0"/>
              <w:rPr>
                <w:sz w:val="2"/>
                <w:szCs w:val="2"/>
                <w:color w:val="auto"/>
              </w:rPr>
            </w:pPr>
          </w:p>
        </w:tc>
        <w:tc>
          <w:tcPr>
            <w:tcW w:w="9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26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Reset Frequency</w:t>
            </w:r>
          </w:p>
        </w:tc>
        <w:tc>
          <w:tcPr>
            <w:tcW w:w="1480" w:type="dxa"/>
            <w:vAlign w:val="bottom"/>
            <w:shd w:val="clear" w:color="auto" w:fill="CCEEFF"/>
          </w:tcPr>
          <w:p>
            <w:pPr>
              <w:jc w:val="center"/>
              <w:ind w:left="51"/>
              <w:spacing w:after="0"/>
              <w:rPr>
                <w:sz w:val="20"/>
                <w:szCs w:val="20"/>
                <w:color w:val="auto"/>
              </w:rPr>
            </w:pPr>
            <w:r>
              <w:rPr>
                <w:rFonts w:ascii="Times New Roman" w:cs="Times New Roman" w:eastAsia="Times New Roman" w:hAnsi="Times New Roman"/>
                <w:sz w:val="14"/>
                <w:szCs w:val="14"/>
                <w:color w:val="auto"/>
                <w:w w:val="99"/>
              </w:rPr>
              <w:t>N/A</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c>
          <w:tcPr>
            <w:tcW w:w="0" w:type="dxa"/>
            <w:vAlign w:val="bottom"/>
          </w:tcPr>
          <w:p>
            <w:pPr>
              <w:spacing w:after="0"/>
              <w:rPr>
                <w:sz w:val="1"/>
                <w:szCs w:val="1"/>
                <w:color w:val="auto"/>
              </w:rPr>
            </w:pPr>
          </w:p>
        </w:tc>
      </w:tr>
      <w:tr>
        <w:trPr>
          <w:trHeight w:val="178"/>
        </w:trPr>
        <w:tc>
          <w:tcPr>
            <w:tcW w:w="268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Next Reset</w:t>
            </w:r>
          </w:p>
        </w:tc>
        <w:tc>
          <w:tcPr>
            <w:tcW w:w="1480" w:type="dxa"/>
            <w:vAlign w:val="bottom"/>
          </w:tcPr>
          <w:p>
            <w:pPr>
              <w:jc w:val="center"/>
              <w:ind w:left="51"/>
              <w:spacing w:after="0"/>
              <w:rPr>
                <w:sz w:val="20"/>
                <w:szCs w:val="20"/>
                <w:color w:val="auto"/>
              </w:rPr>
            </w:pPr>
            <w:r>
              <w:rPr>
                <w:rFonts w:ascii="Times New Roman" w:cs="Times New Roman" w:eastAsia="Times New Roman" w:hAnsi="Times New Roman"/>
                <w:sz w:val="14"/>
                <w:szCs w:val="14"/>
                <w:color w:val="auto"/>
                <w:w w:val="99"/>
              </w:rPr>
              <w:t>N/A</w:t>
            </w: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c>
          <w:tcPr>
            <w:tcW w:w="0" w:type="dxa"/>
            <w:vAlign w:val="bottom"/>
          </w:tcPr>
          <w:p>
            <w:pPr>
              <w:spacing w:after="0"/>
              <w:rPr>
                <w:sz w:val="1"/>
                <w:szCs w:val="1"/>
                <w:color w:val="auto"/>
              </w:rPr>
            </w:pPr>
          </w:p>
        </w:tc>
      </w:tr>
    </w:tbl>
    <w:p>
      <w:pPr>
        <w:spacing w:after="0" w:line="321" w:lineRule="exact"/>
        <w:rPr>
          <w:sz w:val="20"/>
          <w:szCs w:val="20"/>
          <w:color w:val="auto"/>
        </w:rPr>
      </w:pPr>
    </w:p>
    <w:p>
      <w:pPr>
        <w:ind w:left="620" w:hanging="617"/>
        <w:spacing w:after="0" w:line="229" w:lineRule="auto"/>
        <w:tabs>
          <w:tab w:leader="none" w:pos="256" w:val="left"/>
        </w:tabs>
        <w:numPr>
          <w:ilvl w:val="0"/>
          <w:numId w:val="2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If the tenant's parent's net leverage is greater than 5.5 to 1, then the adjusted revenue to rent coverage for the last two consecutive test periods must be at least 1.35. If the tenant's parent's net leverage is equal to or less than 5.5 to 1, then the ratio shall be reduced to 1.2.</w:t>
      </w:r>
    </w:p>
    <w:p>
      <w:pPr>
        <w:spacing w:after="0" w:line="216" w:lineRule="exact"/>
        <w:rPr>
          <w:rFonts w:ascii="Times New Roman" w:cs="Times New Roman" w:eastAsia="Times New Roman" w:hAnsi="Times New Roman"/>
          <w:sz w:val="22"/>
          <w:szCs w:val="22"/>
          <w:color w:val="auto"/>
          <w:vertAlign w:val="superscript"/>
        </w:rPr>
      </w:pPr>
    </w:p>
    <w:p>
      <w:pPr>
        <w:ind w:left="620" w:hanging="617"/>
        <w:spacing w:after="0" w:line="229" w:lineRule="auto"/>
        <w:tabs>
          <w:tab w:leader="none" w:pos="243" w:val="left"/>
        </w:tabs>
        <w:numPr>
          <w:ilvl w:val="0"/>
          <w:numId w:val="2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If the CPI increase is at least 0.5% for any lease year, then the rent shall increase by the greater of 1% of the rent as of the immediately preceding lease year and the CPI increase capped at 2%. If the CPI is less than 0.5% for such lease year, then the rent shall not increase for such lease year.</w:t>
      </w:r>
    </w:p>
    <w:p>
      <w:pPr>
        <w:spacing w:after="0" w:line="229" w:lineRule="exact"/>
        <w:rPr>
          <w:rFonts w:ascii="Times New Roman" w:cs="Times New Roman" w:eastAsia="Times New Roman" w:hAnsi="Times New Roman"/>
          <w:sz w:val="22"/>
          <w:szCs w:val="22"/>
          <w:color w:val="auto"/>
          <w:vertAlign w:val="superscript"/>
        </w:rPr>
      </w:pPr>
    </w:p>
    <w:p>
      <w:pPr>
        <w:ind w:left="620" w:hanging="617"/>
        <w:spacing w:after="0"/>
        <w:tabs>
          <w:tab w:leader="none" w:pos="281" w:val="left"/>
        </w:tabs>
        <w:numPr>
          <w:ilvl w:val="0"/>
          <w:numId w:val="2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Increases by 1.75% beginning with the first anniversary and increases to 2% beginning in year fifteen of the lease through the remainder of the initial lease 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41" w:name="page42"/>
    <w:bookmarkEnd w:id="41"/>
    <w:p>
      <w:pPr>
        <w:ind w:left="414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991235</wp:posOffset>
            </wp:positionH>
            <wp:positionV relativeFrom="page">
              <wp:posOffset>719455</wp:posOffset>
            </wp:positionV>
            <wp:extent cx="4543425" cy="13906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4543425" cy="139065"/>
                    </a:xfrm>
                    <a:prstGeom prst="rect">
                      <a:avLst/>
                    </a:prstGeom>
                    <a:noFill/>
                  </pic:spPr>
                </pic:pic>
              </a:graphicData>
            </a:graphic>
          </wp:anchor>
        </w:drawing>
        <w:t>Single Property Leases</w:t>
      </w:r>
    </w:p>
    <w:p>
      <w:pPr>
        <w:spacing w:after="0" w:line="45" w:lineRule="exact"/>
        <w:rPr>
          <w:sz w:val="20"/>
          <w:szCs w:val="20"/>
          <w:color w:val="auto"/>
        </w:rPr>
      </w:pPr>
    </w:p>
    <w:tbl>
      <w:tblPr>
        <w:tblLayout w:type="fixed"/>
        <w:tblInd w:w="124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40" w:type="dxa"/>
            <w:vAlign w:val="bottom"/>
          </w:tcPr>
          <w:p>
            <w:pPr>
              <w:jc w:val="center"/>
              <w:ind w:left="31"/>
              <w:spacing w:after="0"/>
              <w:rPr>
                <w:sz w:val="20"/>
                <w:szCs w:val="20"/>
                <w:color w:val="auto"/>
              </w:rPr>
            </w:pPr>
            <w:r>
              <w:rPr>
                <w:rFonts w:ascii="Times New Roman" w:cs="Times New Roman" w:eastAsia="Times New Roman" w:hAnsi="Times New Roman"/>
                <w:sz w:val="14"/>
                <w:szCs w:val="14"/>
                <w:b w:val="1"/>
                <w:bCs w:val="1"/>
                <w:color w:val="auto"/>
                <w:w w:val="99"/>
              </w:rPr>
              <w:t>Rockford Lease</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Bally's Chicago Lease</w:t>
            </w: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Virginia Live!</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2720" w:type="dxa"/>
            <w:vAlign w:val="bottom"/>
            <w:gridSpan w:val="4"/>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Operator</w:t>
            </w:r>
          </w:p>
        </w:tc>
        <w:tc>
          <w:tcPr>
            <w:tcW w:w="1440" w:type="dxa"/>
            <w:vAlign w:val="bottom"/>
            <w:shd w:val="clear" w:color="auto" w:fill="CCEEFF"/>
          </w:tcPr>
          <w:p>
            <w:pPr>
              <w:jc w:val="center"/>
              <w:ind w:left="71"/>
              <w:spacing w:after="0" w:line="131" w:lineRule="exact"/>
              <w:rPr>
                <w:sz w:val="20"/>
                <w:szCs w:val="20"/>
                <w:color w:val="auto"/>
              </w:rPr>
            </w:pPr>
            <w:r>
              <w:rPr>
                <w:rFonts w:ascii="Times New Roman" w:cs="Times New Roman" w:eastAsia="Times New Roman" w:hAnsi="Times New Roman"/>
                <w:sz w:val="14"/>
                <w:szCs w:val="14"/>
                <w:b w:val="1"/>
                <w:bCs w:val="1"/>
                <w:color w:val="auto"/>
                <w:w w:val="97"/>
              </w:rPr>
              <w:t>(managed by Hard</w:t>
            </w:r>
          </w:p>
        </w:tc>
        <w:tc>
          <w:tcPr>
            <w:tcW w:w="14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Bally's</w:t>
            </w:r>
          </w:p>
        </w:tc>
        <w:tc>
          <w:tcPr>
            <w:tcW w:w="15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Cordish</w:t>
            </w:r>
          </w:p>
        </w:tc>
        <w:tc>
          <w:tcPr>
            <w:tcW w:w="0" w:type="dxa"/>
            <w:vAlign w:val="bottom"/>
          </w:tcPr>
          <w:p>
            <w:pPr>
              <w:spacing w:after="0"/>
              <w:rPr>
                <w:sz w:val="1"/>
                <w:szCs w:val="1"/>
                <w:color w:val="auto"/>
              </w:rPr>
            </w:pPr>
          </w:p>
        </w:tc>
      </w:tr>
      <w:tr>
        <w:trPr>
          <w:trHeight w:val="192"/>
        </w:trPr>
        <w:tc>
          <w:tcPr>
            <w:tcW w:w="2720" w:type="dxa"/>
            <w:vAlign w:val="bottom"/>
            <w:gridSpan w:val="4"/>
            <w:vMerge w:val="continue"/>
            <w:shd w:val="clear" w:color="auto" w:fill="CCEEFF"/>
          </w:tcPr>
          <w:p>
            <w:pPr>
              <w:spacing w:after="0"/>
              <w:rPr>
                <w:sz w:val="16"/>
                <w:szCs w:val="16"/>
                <w:color w:val="auto"/>
              </w:rPr>
            </w:pPr>
          </w:p>
        </w:tc>
        <w:tc>
          <w:tcPr>
            <w:tcW w:w="1440" w:type="dxa"/>
            <w:vAlign w:val="bottom"/>
            <w:shd w:val="clear" w:color="auto" w:fill="CCEEFF"/>
          </w:tcPr>
          <w:p>
            <w:pPr>
              <w:jc w:val="center"/>
              <w:ind w:left="31"/>
              <w:spacing w:after="0"/>
              <w:rPr>
                <w:sz w:val="20"/>
                <w:szCs w:val="20"/>
                <w:color w:val="auto"/>
              </w:rPr>
            </w:pPr>
            <w:r>
              <w:rPr>
                <w:rFonts w:ascii="Times New Roman" w:cs="Times New Roman" w:eastAsia="Times New Roman" w:hAnsi="Times New Roman"/>
                <w:sz w:val="14"/>
                <w:szCs w:val="14"/>
                <w:b w:val="1"/>
                <w:bCs w:val="1"/>
                <w:color w:val="auto"/>
                <w:w w:val="94"/>
              </w:rPr>
              <w:t>Rock)</w:t>
            </w:r>
          </w:p>
        </w:tc>
        <w:tc>
          <w:tcPr>
            <w:tcW w:w="1480" w:type="dxa"/>
            <w:vAlign w:val="bottom"/>
            <w:vMerge w:val="continue"/>
            <w:shd w:val="clear" w:color="auto" w:fill="CCEEFF"/>
          </w:tcPr>
          <w:p>
            <w:pPr>
              <w:spacing w:after="0"/>
              <w:rPr>
                <w:sz w:val="16"/>
                <w:szCs w:val="16"/>
                <w:color w:val="auto"/>
              </w:rPr>
            </w:pPr>
          </w:p>
        </w:tc>
        <w:tc>
          <w:tcPr>
            <w:tcW w:w="15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272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color w:val="auto"/>
              </w:rPr>
              <w:t>Properties</w:t>
            </w:r>
          </w:p>
        </w:tc>
        <w:tc>
          <w:tcPr>
            <w:tcW w:w="1440" w:type="dxa"/>
            <w:vAlign w:val="bottom"/>
          </w:tcPr>
          <w:p>
            <w:pPr>
              <w:jc w:val="center"/>
              <w:ind w:left="31"/>
              <w:spacing w:after="0" w:line="135" w:lineRule="exact"/>
              <w:rPr>
                <w:sz w:val="20"/>
                <w:szCs w:val="20"/>
                <w:color w:val="auto"/>
              </w:rPr>
            </w:pPr>
            <w:r>
              <w:rPr>
                <w:rFonts w:ascii="Times New Roman" w:cs="Times New Roman" w:eastAsia="Times New Roman" w:hAnsi="Times New Roman"/>
                <w:sz w:val="14"/>
                <w:szCs w:val="14"/>
                <w:color w:val="auto"/>
                <w:w w:val="98"/>
              </w:rPr>
              <w:t>Hard Rock Casino</w:t>
            </w:r>
          </w:p>
        </w:tc>
        <w:tc>
          <w:tcPr>
            <w:tcW w:w="148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color w:val="auto"/>
                <w:w w:val="97"/>
              </w:rPr>
              <w:t>Bally's Chicago</w:t>
            </w:r>
          </w:p>
        </w:tc>
        <w:tc>
          <w:tcPr>
            <w:tcW w:w="150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color w:val="auto"/>
                <w:w w:val="98"/>
              </w:rPr>
              <w:t>Cordish Virginia Live!</w:t>
            </w:r>
          </w:p>
        </w:tc>
        <w:tc>
          <w:tcPr>
            <w:tcW w:w="0" w:type="dxa"/>
            <w:vAlign w:val="bottom"/>
          </w:tcPr>
          <w:p>
            <w:pPr>
              <w:spacing w:after="0"/>
              <w:rPr>
                <w:sz w:val="1"/>
                <w:szCs w:val="1"/>
                <w:color w:val="auto"/>
              </w:rPr>
            </w:pPr>
          </w:p>
        </w:tc>
      </w:tr>
      <w:tr>
        <w:trPr>
          <w:trHeight w:val="183"/>
        </w:trPr>
        <w:tc>
          <w:tcPr>
            <w:tcW w:w="2720" w:type="dxa"/>
            <w:vAlign w:val="bottom"/>
            <w:gridSpan w:val="4"/>
            <w:vMerge w:val="continue"/>
          </w:tcPr>
          <w:p>
            <w:pPr>
              <w:spacing w:after="0"/>
              <w:rPr>
                <w:sz w:val="15"/>
                <w:szCs w:val="15"/>
                <w:color w:val="auto"/>
              </w:rPr>
            </w:pPr>
          </w:p>
        </w:tc>
        <w:tc>
          <w:tcPr>
            <w:tcW w:w="1440" w:type="dxa"/>
            <w:vAlign w:val="bottom"/>
          </w:tcPr>
          <w:p>
            <w:pPr>
              <w:jc w:val="center"/>
              <w:ind w:left="11"/>
              <w:spacing w:after="0"/>
              <w:rPr>
                <w:sz w:val="20"/>
                <w:szCs w:val="20"/>
                <w:color w:val="auto"/>
              </w:rPr>
            </w:pPr>
            <w:r>
              <w:rPr>
                <w:rFonts w:ascii="Times New Roman" w:cs="Times New Roman" w:eastAsia="Times New Roman" w:hAnsi="Times New Roman"/>
                <w:sz w:val="14"/>
                <w:szCs w:val="14"/>
                <w:color w:val="auto"/>
                <w:w w:val="98"/>
              </w:rPr>
              <w:t>Rockford</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Development</w:t>
            </w: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Development</w:t>
            </w:r>
          </w:p>
        </w:tc>
        <w:tc>
          <w:tcPr>
            <w:tcW w:w="0" w:type="dxa"/>
            <w:vAlign w:val="bottom"/>
          </w:tcPr>
          <w:p>
            <w:pPr>
              <w:spacing w:after="0"/>
              <w:rPr>
                <w:sz w:val="1"/>
                <w:szCs w:val="1"/>
                <w:color w:val="auto"/>
              </w:rPr>
            </w:pPr>
          </w:p>
        </w:tc>
      </w:tr>
      <w:tr>
        <w:trPr>
          <w:trHeight w:val="198"/>
        </w:trPr>
        <w:tc>
          <w:tcPr>
            <w:tcW w:w="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40" w:type="dxa"/>
            <w:vAlign w:val="bottom"/>
            <w:shd w:val="clear" w:color="auto" w:fill="CCEEFF"/>
          </w:tcPr>
          <w:p>
            <w:pPr>
              <w:jc w:val="center"/>
              <w:ind w:left="11"/>
              <w:spacing w:after="0"/>
              <w:rPr>
                <w:sz w:val="20"/>
                <w:szCs w:val="20"/>
                <w:color w:val="auto"/>
              </w:rPr>
            </w:pPr>
            <w:r>
              <w:rPr>
                <w:rFonts w:ascii="Times New Roman" w:cs="Times New Roman" w:eastAsia="Times New Roman" w:hAnsi="Times New Roman"/>
                <w:sz w:val="14"/>
                <w:szCs w:val="14"/>
                <w:color w:val="auto"/>
                <w:w w:val="98"/>
              </w:rPr>
              <w:t>Rockford, IL</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Chicago, IL</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Petersburg, Virginia</w:t>
            </w:r>
          </w:p>
        </w:tc>
        <w:tc>
          <w:tcPr>
            <w:tcW w:w="0" w:type="dxa"/>
            <w:vAlign w:val="bottom"/>
          </w:tcPr>
          <w:p>
            <w:pPr>
              <w:spacing w:after="0"/>
              <w:rPr>
                <w:sz w:val="1"/>
                <w:szCs w:val="1"/>
                <w:color w:val="auto"/>
              </w:rPr>
            </w:pPr>
          </w:p>
        </w:tc>
      </w:tr>
      <w:tr>
        <w:trPr>
          <w:trHeight w:val="186"/>
        </w:trPr>
        <w:tc>
          <w:tcPr>
            <w:tcW w:w="272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Commencement Date</w:t>
            </w:r>
          </w:p>
        </w:tc>
        <w:tc>
          <w:tcPr>
            <w:tcW w:w="1440" w:type="dxa"/>
            <w:vAlign w:val="bottom"/>
          </w:tcPr>
          <w:p>
            <w:pPr>
              <w:jc w:val="center"/>
              <w:ind w:left="11"/>
              <w:spacing w:after="0"/>
              <w:rPr>
                <w:sz w:val="20"/>
                <w:szCs w:val="20"/>
                <w:color w:val="auto"/>
              </w:rPr>
            </w:pPr>
            <w:r>
              <w:rPr>
                <w:rFonts w:ascii="Times New Roman" w:cs="Times New Roman" w:eastAsia="Times New Roman" w:hAnsi="Times New Roman"/>
                <w:sz w:val="14"/>
                <w:szCs w:val="14"/>
                <w:color w:val="auto"/>
                <w:w w:val="98"/>
              </w:rPr>
              <w:t>8/29/2023</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7/18/2025</w:t>
            </w: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1/15/2026</w:t>
            </w:r>
          </w:p>
        </w:tc>
        <w:tc>
          <w:tcPr>
            <w:tcW w:w="0" w:type="dxa"/>
            <w:vAlign w:val="bottom"/>
          </w:tcPr>
          <w:p>
            <w:pPr>
              <w:spacing w:after="0"/>
              <w:rPr>
                <w:sz w:val="1"/>
                <w:szCs w:val="1"/>
                <w:color w:val="auto"/>
              </w:rPr>
            </w:pPr>
          </w:p>
        </w:tc>
      </w:tr>
      <w:tr>
        <w:trPr>
          <w:trHeight w:val="201"/>
        </w:trPr>
        <w:tc>
          <w:tcPr>
            <w:tcW w:w="27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Lease Expiration Date</w:t>
            </w:r>
          </w:p>
        </w:tc>
        <w:tc>
          <w:tcPr>
            <w:tcW w:w="1440" w:type="dxa"/>
            <w:vAlign w:val="bottom"/>
            <w:shd w:val="clear" w:color="auto" w:fill="CCEEFF"/>
          </w:tcPr>
          <w:p>
            <w:pPr>
              <w:jc w:val="center"/>
              <w:ind w:left="11"/>
              <w:spacing w:after="0"/>
              <w:rPr>
                <w:sz w:val="20"/>
                <w:szCs w:val="20"/>
                <w:color w:val="auto"/>
              </w:rPr>
            </w:pPr>
            <w:r>
              <w:rPr>
                <w:rFonts w:ascii="Times New Roman" w:cs="Times New Roman" w:eastAsia="Times New Roman" w:hAnsi="Times New Roman"/>
                <w:sz w:val="14"/>
                <w:szCs w:val="14"/>
                <w:color w:val="auto"/>
                <w:w w:val="98"/>
              </w:rPr>
              <w:t>8/31/2122</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7/31/2040</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(3)</w:t>
            </w:r>
          </w:p>
        </w:tc>
        <w:tc>
          <w:tcPr>
            <w:tcW w:w="0" w:type="dxa"/>
            <w:vAlign w:val="bottom"/>
          </w:tcPr>
          <w:p>
            <w:pPr>
              <w:spacing w:after="0"/>
              <w:rPr>
                <w:sz w:val="1"/>
                <w:szCs w:val="1"/>
                <w:color w:val="auto"/>
              </w:rPr>
            </w:pPr>
          </w:p>
        </w:tc>
      </w:tr>
      <w:tr>
        <w:trPr>
          <w:trHeight w:val="134"/>
        </w:trPr>
        <w:tc>
          <w:tcPr>
            <w:tcW w:w="272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color w:val="auto"/>
              </w:rPr>
              <w:t>Remaining Renewal Terms</w:t>
            </w:r>
          </w:p>
        </w:tc>
        <w:tc>
          <w:tcPr>
            <w:tcW w:w="1440" w:type="dxa"/>
            <w:vAlign w:val="bottom"/>
            <w:vMerge w:val="restart"/>
          </w:tcPr>
          <w:p>
            <w:pPr>
              <w:jc w:val="center"/>
              <w:ind w:left="31"/>
              <w:spacing w:after="0"/>
              <w:rPr>
                <w:sz w:val="20"/>
                <w:szCs w:val="20"/>
                <w:color w:val="auto"/>
              </w:rPr>
            </w:pPr>
            <w:r>
              <w:rPr>
                <w:rFonts w:ascii="Times New Roman" w:cs="Times New Roman" w:eastAsia="Times New Roman" w:hAnsi="Times New Roman"/>
                <w:sz w:val="14"/>
                <w:szCs w:val="14"/>
                <w:color w:val="auto"/>
                <w:w w:val="98"/>
              </w:rPr>
              <w:t>None</w:t>
            </w:r>
          </w:p>
        </w:tc>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7"/>
              </w:rPr>
              <w:t>20 (4 x 5 years)</w:t>
            </w:r>
          </w:p>
        </w:tc>
        <w:tc>
          <w:tcPr>
            <w:tcW w:w="150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color w:val="auto"/>
                <w:w w:val="96"/>
              </w:rPr>
              <w:t>21 (1x11 years, 1x10</w:t>
            </w:r>
          </w:p>
        </w:tc>
        <w:tc>
          <w:tcPr>
            <w:tcW w:w="0" w:type="dxa"/>
            <w:vAlign w:val="bottom"/>
          </w:tcPr>
          <w:p>
            <w:pPr>
              <w:spacing w:after="0"/>
              <w:rPr>
                <w:sz w:val="1"/>
                <w:szCs w:val="1"/>
                <w:color w:val="auto"/>
              </w:rPr>
            </w:pPr>
          </w:p>
        </w:tc>
      </w:tr>
      <w:tr>
        <w:trPr>
          <w:trHeight w:val="183"/>
        </w:trPr>
        <w:tc>
          <w:tcPr>
            <w:tcW w:w="2720" w:type="dxa"/>
            <w:vAlign w:val="bottom"/>
            <w:gridSpan w:val="4"/>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1480" w:type="dxa"/>
            <w:vAlign w:val="bottom"/>
            <w:vMerge w:val="continue"/>
          </w:tcPr>
          <w:p>
            <w:pPr>
              <w:spacing w:after="0"/>
              <w:rPr>
                <w:sz w:val="15"/>
                <w:szCs w:val="15"/>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years)</w:t>
            </w:r>
          </w:p>
        </w:tc>
        <w:tc>
          <w:tcPr>
            <w:tcW w:w="0" w:type="dxa"/>
            <w:vAlign w:val="bottom"/>
          </w:tcPr>
          <w:p>
            <w:pPr>
              <w:spacing w:after="0"/>
              <w:rPr>
                <w:sz w:val="1"/>
                <w:szCs w:val="1"/>
                <w:color w:val="auto"/>
              </w:rPr>
            </w:pPr>
          </w:p>
        </w:tc>
      </w:tr>
      <w:tr>
        <w:trPr>
          <w:trHeight w:val="198"/>
        </w:trPr>
        <w:tc>
          <w:tcPr>
            <w:tcW w:w="27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Corporate Guarantee</w:t>
            </w:r>
          </w:p>
        </w:tc>
        <w:tc>
          <w:tcPr>
            <w:tcW w:w="1440" w:type="dxa"/>
            <w:vAlign w:val="bottom"/>
            <w:shd w:val="clear" w:color="auto" w:fill="CCEEFF"/>
          </w:tcPr>
          <w:p>
            <w:pPr>
              <w:jc w:val="center"/>
              <w:ind w:left="31"/>
              <w:spacing w:after="0"/>
              <w:rPr>
                <w:sz w:val="20"/>
                <w:szCs w:val="20"/>
                <w:color w:val="auto"/>
              </w:rPr>
            </w:pPr>
            <w:r>
              <w:rPr>
                <w:rFonts w:ascii="Times New Roman" w:cs="Times New Roman" w:eastAsia="Times New Roman" w:hAnsi="Times New Roman"/>
                <w:sz w:val="14"/>
                <w:szCs w:val="14"/>
                <w:color w:val="auto"/>
              </w:rPr>
              <w:t>No</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1"/>
              </w:rPr>
              <w:t>Yes</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No</w:t>
            </w:r>
          </w:p>
        </w:tc>
        <w:tc>
          <w:tcPr>
            <w:tcW w:w="0" w:type="dxa"/>
            <w:vAlign w:val="bottom"/>
          </w:tcPr>
          <w:p>
            <w:pPr>
              <w:spacing w:after="0"/>
              <w:rPr>
                <w:sz w:val="1"/>
                <w:szCs w:val="1"/>
                <w:color w:val="auto"/>
              </w:rPr>
            </w:pPr>
          </w:p>
        </w:tc>
      </w:tr>
      <w:tr>
        <w:trPr>
          <w:trHeight w:val="186"/>
        </w:trPr>
        <w:tc>
          <w:tcPr>
            <w:tcW w:w="272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Technical Default Landlord Protection</w:t>
            </w:r>
          </w:p>
        </w:tc>
        <w:tc>
          <w:tcPr>
            <w:tcW w:w="1440" w:type="dxa"/>
            <w:vAlign w:val="bottom"/>
          </w:tcPr>
          <w:p>
            <w:pPr>
              <w:jc w:val="center"/>
              <w:ind w:left="11"/>
              <w:spacing w:after="0"/>
              <w:rPr>
                <w:sz w:val="20"/>
                <w:szCs w:val="20"/>
                <w:color w:val="auto"/>
              </w:rPr>
            </w:pPr>
            <w:r>
              <w:rPr>
                <w:rFonts w:ascii="Times New Roman" w:cs="Times New Roman" w:eastAsia="Times New Roman" w:hAnsi="Times New Roman"/>
                <w:sz w:val="14"/>
                <w:szCs w:val="14"/>
                <w:color w:val="auto"/>
                <w:w w:val="91"/>
              </w:rPr>
              <w:t>Yes</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1"/>
              </w:rPr>
              <w:t>Yes</w:t>
            </w: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1"/>
              </w:rPr>
              <w:t>Yes</w:t>
            </w:r>
          </w:p>
        </w:tc>
        <w:tc>
          <w:tcPr>
            <w:tcW w:w="0" w:type="dxa"/>
            <w:vAlign w:val="bottom"/>
          </w:tcPr>
          <w:p>
            <w:pPr>
              <w:spacing w:after="0"/>
              <w:rPr>
                <w:sz w:val="1"/>
                <w:szCs w:val="1"/>
                <w:color w:val="auto"/>
              </w:rPr>
            </w:pPr>
          </w:p>
        </w:tc>
      </w:tr>
      <w:tr>
        <w:trPr>
          <w:trHeight w:val="201"/>
        </w:trPr>
        <w:tc>
          <w:tcPr>
            <w:tcW w:w="27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Default Adjusted Revenue to Rent Coverage</w:t>
            </w:r>
          </w:p>
        </w:tc>
        <w:tc>
          <w:tcPr>
            <w:tcW w:w="1440" w:type="dxa"/>
            <w:vAlign w:val="bottom"/>
            <w:shd w:val="clear" w:color="auto" w:fill="CCEEFF"/>
          </w:tcPr>
          <w:p>
            <w:pPr>
              <w:jc w:val="center"/>
              <w:ind w:left="31"/>
              <w:spacing w:after="0"/>
              <w:rPr>
                <w:sz w:val="20"/>
                <w:szCs w:val="20"/>
                <w:color w:val="auto"/>
              </w:rPr>
            </w:pPr>
            <w:r>
              <w:rPr>
                <w:rFonts w:ascii="Times New Roman" w:cs="Times New Roman" w:eastAsia="Times New Roman" w:hAnsi="Times New Roman"/>
                <w:sz w:val="14"/>
                <w:szCs w:val="14"/>
                <w:color w:val="auto"/>
              </w:rPr>
              <w:t>1.4</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1.35 (1)</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186"/>
        </w:trPr>
        <w:tc>
          <w:tcPr>
            <w:tcW w:w="272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Competitive Radius Landlord Protection</w:t>
            </w:r>
          </w:p>
        </w:tc>
        <w:tc>
          <w:tcPr>
            <w:tcW w:w="1440" w:type="dxa"/>
            <w:vAlign w:val="bottom"/>
          </w:tcPr>
          <w:p>
            <w:pPr>
              <w:jc w:val="center"/>
              <w:ind w:left="11"/>
              <w:spacing w:after="0"/>
              <w:rPr>
                <w:sz w:val="20"/>
                <w:szCs w:val="20"/>
                <w:color w:val="auto"/>
              </w:rPr>
            </w:pPr>
            <w:r>
              <w:rPr>
                <w:rFonts w:ascii="Times New Roman" w:cs="Times New Roman" w:eastAsia="Times New Roman" w:hAnsi="Times New Roman"/>
                <w:sz w:val="14"/>
                <w:szCs w:val="14"/>
                <w:color w:val="auto"/>
                <w:w w:val="91"/>
              </w:rPr>
              <w:t>Yes</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1"/>
              </w:rPr>
              <w:t>Yes</w:t>
            </w: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1"/>
              </w:rPr>
              <w:t>Yes</w:t>
            </w:r>
          </w:p>
        </w:tc>
        <w:tc>
          <w:tcPr>
            <w:tcW w:w="0" w:type="dxa"/>
            <w:vAlign w:val="bottom"/>
          </w:tcPr>
          <w:p>
            <w:pPr>
              <w:spacing w:after="0"/>
              <w:rPr>
                <w:sz w:val="1"/>
                <w:szCs w:val="1"/>
                <w:color w:val="auto"/>
              </w:rPr>
            </w:pPr>
          </w:p>
        </w:tc>
      </w:tr>
      <w:tr>
        <w:trPr>
          <w:trHeight w:val="149"/>
        </w:trPr>
        <w:tc>
          <w:tcPr>
            <w:tcW w:w="2720" w:type="dxa"/>
            <w:vAlign w:val="bottom"/>
            <w:gridSpan w:val="4"/>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Escalator Details</w:t>
            </w:r>
          </w:p>
        </w:tc>
        <w:tc>
          <w:tcPr>
            <w:tcW w:w="144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2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auto"/>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940" w:type="dxa"/>
            <w:vAlign w:val="bottom"/>
            <w:tcBorders>
              <w:top w:val="single" w:sz="8" w:color="CCEEFF"/>
            </w:tcBorders>
            <w:shd w:val="clear" w:color="auto" w:fill="CCEEFF"/>
          </w:tcPr>
          <w:p>
            <w:pPr>
              <w:spacing w:after="0"/>
              <w:rPr>
                <w:sz w:val="2"/>
                <w:szCs w:val="2"/>
                <w:color w:val="auto"/>
              </w:rPr>
            </w:pPr>
          </w:p>
        </w:tc>
        <w:tc>
          <w:tcPr>
            <w:tcW w:w="1440" w:type="dxa"/>
            <w:vAlign w:val="bottom"/>
            <w:tcBorders>
              <w:top w:val="single" w:sz="8" w:color="CCEEFF"/>
            </w:tcBorders>
            <w:shd w:val="clear" w:color="auto" w:fill="CCEEFF"/>
          </w:tcPr>
          <w:p>
            <w:pPr>
              <w:spacing w:after="0"/>
              <w:rPr>
                <w:sz w:val="2"/>
                <w:szCs w:val="2"/>
                <w:color w:val="auto"/>
              </w:rPr>
            </w:pPr>
          </w:p>
        </w:tc>
        <w:tc>
          <w:tcPr>
            <w:tcW w:w="1480" w:type="dxa"/>
            <w:vAlign w:val="bottom"/>
            <w:tcBorders>
              <w:top w:val="single" w:sz="8" w:color="CCEEFF"/>
            </w:tcBorders>
            <w:shd w:val="clear" w:color="auto" w:fill="CCEEFF"/>
          </w:tcPr>
          <w:p>
            <w:pPr>
              <w:spacing w:after="0"/>
              <w:rPr>
                <w:sz w:val="2"/>
                <w:szCs w:val="2"/>
                <w:color w:val="auto"/>
              </w:rPr>
            </w:pPr>
          </w:p>
        </w:tc>
        <w:tc>
          <w:tcPr>
            <w:tcW w:w="15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272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Yearly Base Rent Escalator Maximum</w:t>
            </w:r>
          </w:p>
        </w:tc>
        <w:tc>
          <w:tcPr>
            <w:tcW w:w="1440" w:type="dxa"/>
            <w:vAlign w:val="bottom"/>
          </w:tcPr>
          <w:p>
            <w:pPr>
              <w:jc w:val="center"/>
              <w:ind w:left="31"/>
              <w:spacing w:after="0"/>
              <w:rPr>
                <w:sz w:val="20"/>
                <w:szCs w:val="20"/>
                <w:color w:val="auto"/>
              </w:rPr>
            </w:pPr>
            <w:r>
              <w:rPr>
                <w:rFonts w:ascii="Times New Roman" w:cs="Times New Roman" w:eastAsia="Times New Roman" w:hAnsi="Times New Roman"/>
                <w:sz w:val="14"/>
                <w:szCs w:val="14"/>
                <w:color w:val="auto"/>
                <w:w w:val="96"/>
              </w:rPr>
              <w:t>2%</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(2)</w:t>
            </w: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3"/>
              </w:rPr>
              <w:t>1.75%</w:t>
            </w:r>
          </w:p>
        </w:tc>
        <w:tc>
          <w:tcPr>
            <w:tcW w:w="0" w:type="dxa"/>
            <w:vAlign w:val="bottom"/>
          </w:tcPr>
          <w:p>
            <w:pPr>
              <w:spacing w:after="0"/>
              <w:rPr>
                <w:sz w:val="1"/>
                <w:szCs w:val="1"/>
                <w:color w:val="auto"/>
              </w:rPr>
            </w:pPr>
          </w:p>
        </w:tc>
      </w:tr>
      <w:tr>
        <w:trPr>
          <w:trHeight w:val="201"/>
        </w:trPr>
        <w:tc>
          <w:tcPr>
            <w:tcW w:w="27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Coverage ratio at December 31, 2025</w:t>
            </w:r>
          </w:p>
        </w:tc>
        <w:tc>
          <w:tcPr>
            <w:tcW w:w="1440" w:type="dxa"/>
            <w:vAlign w:val="bottom"/>
            <w:shd w:val="clear" w:color="auto" w:fill="CCEEFF"/>
          </w:tcPr>
          <w:p>
            <w:pPr>
              <w:jc w:val="center"/>
              <w:ind w:left="11"/>
              <w:spacing w:after="0"/>
              <w:rPr>
                <w:sz w:val="20"/>
                <w:szCs w:val="20"/>
                <w:color w:val="auto"/>
              </w:rPr>
            </w:pPr>
            <w:r>
              <w:rPr>
                <w:rFonts w:ascii="Times New Roman" w:cs="Times New Roman" w:eastAsia="Times New Roman" w:hAnsi="Times New Roman"/>
                <w:sz w:val="14"/>
                <w:szCs w:val="14"/>
                <w:color w:val="auto"/>
                <w:w w:val="99"/>
              </w:rPr>
              <w:t>N/A</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1"/>
              </w:rPr>
              <w:t>N/A</w:t>
            </w:r>
          </w:p>
        </w:tc>
        <w:tc>
          <w:tcPr>
            <w:tcW w:w="0" w:type="dxa"/>
            <w:vAlign w:val="bottom"/>
          </w:tcPr>
          <w:p>
            <w:pPr>
              <w:spacing w:after="0"/>
              <w:rPr>
                <w:sz w:val="1"/>
                <w:szCs w:val="1"/>
                <w:color w:val="auto"/>
              </w:rPr>
            </w:pPr>
          </w:p>
        </w:tc>
      </w:tr>
      <w:tr>
        <w:trPr>
          <w:trHeight w:val="186"/>
        </w:trPr>
        <w:tc>
          <w:tcPr>
            <w:tcW w:w="272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Minimum Escalator Coverage Governor</w:t>
            </w:r>
          </w:p>
        </w:tc>
        <w:tc>
          <w:tcPr>
            <w:tcW w:w="1440" w:type="dxa"/>
            <w:vAlign w:val="bottom"/>
          </w:tcPr>
          <w:p>
            <w:pPr>
              <w:jc w:val="center"/>
              <w:ind w:left="11"/>
              <w:spacing w:after="0"/>
              <w:rPr>
                <w:sz w:val="20"/>
                <w:szCs w:val="20"/>
                <w:color w:val="auto"/>
              </w:rPr>
            </w:pPr>
            <w:r>
              <w:rPr>
                <w:rFonts w:ascii="Times New Roman" w:cs="Times New Roman" w:eastAsia="Times New Roman" w:hAnsi="Times New Roman"/>
                <w:sz w:val="14"/>
                <w:szCs w:val="14"/>
                <w:color w:val="auto"/>
                <w:w w:val="99"/>
              </w:rPr>
              <w:t>N/A</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1"/>
              </w:rPr>
              <w:t>N/A</w:t>
            </w:r>
          </w:p>
        </w:tc>
        <w:tc>
          <w:tcPr>
            <w:tcW w:w="0" w:type="dxa"/>
            <w:vAlign w:val="bottom"/>
          </w:tcPr>
          <w:p>
            <w:pPr>
              <w:spacing w:after="0"/>
              <w:rPr>
                <w:sz w:val="1"/>
                <w:szCs w:val="1"/>
                <w:color w:val="auto"/>
              </w:rPr>
            </w:pPr>
          </w:p>
        </w:tc>
      </w:tr>
      <w:tr>
        <w:trPr>
          <w:trHeight w:val="201"/>
        </w:trPr>
        <w:tc>
          <w:tcPr>
            <w:tcW w:w="27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Yearly Anniversary for Realization</w:t>
            </w:r>
          </w:p>
        </w:tc>
        <w:tc>
          <w:tcPr>
            <w:tcW w:w="1440" w:type="dxa"/>
            <w:vAlign w:val="bottom"/>
            <w:shd w:val="clear" w:color="auto" w:fill="CCEEFF"/>
          </w:tcPr>
          <w:p>
            <w:pPr>
              <w:jc w:val="center"/>
              <w:ind w:left="31"/>
              <w:spacing w:after="0"/>
              <w:rPr>
                <w:sz w:val="20"/>
                <w:szCs w:val="20"/>
                <w:color w:val="auto"/>
              </w:rPr>
            </w:pPr>
            <w:r>
              <w:rPr>
                <w:rFonts w:ascii="Times New Roman" w:cs="Times New Roman" w:eastAsia="Times New Roman" w:hAnsi="Times New Roman"/>
                <w:sz w:val="14"/>
                <w:szCs w:val="14"/>
                <w:color w:val="auto"/>
                <w:w w:val="96"/>
              </w:rPr>
              <w:t>September</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August</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(3)</w:t>
            </w:r>
          </w:p>
        </w:tc>
        <w:tc>
          <w:tcPr>
            <w:tcW w:w="0" w:type="dxa"/>
            <w:vAlign w:val="bottom"/>
          </w:tcPr>
          <w:p>
            <w:pPr>
              <w:spacing w:after="0"/>
              <w:rPr>
                <w:sz w:val="1"/>
                <w:szCs w:val="1"/>
                <w:color w:val="auto"/>
              </w:rPr>
            </w:pPr>
          </w:p>
        </w:tc>
      </w:tr>
      <w:tr>
        <w:trPr>
          <w:trHeight w:val="142"/>
        </w:trPr>
        <w:tc>
          <w:tcPr>
            <w:tcW w:w="2720" w:type="dxa"/>
            <w:vAlign w:val="bottom"/>
            <w:gridSpan w:val="4"/>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Percentage Rent Reset Details</w:t>
            </w:r>
          </w:p>
        </w:tc>
        <w:tc>
          <w:tcPr>
            <w:tcW w:w="14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000" w:type="dxa"/>
            <w:vAlign w:val="bottom"/>
            <w:tcBorders>
              <w:top w:val="single" w:sz="8" w:color="auto"/>
            </w:tcBorders>
          </w:tcPr>
          <w:p>
            <w:pPr>
              <w:spacing w:after="0"/>
              <w:rPr>
                <w:sz w:val="2"/>
                <w:szCs w:val="2"/>
                <w:color w:val="auto"/>
              </w:rPr>
            </w:pPr>
          </w:p>
        </w:tc>
        <w:tc>
          <w:tcPr>
            <w:tcW w:w="760" w:type="dxa"/>
            <w:vAlign w:val="bottom"/>
            <w:tcBorders>
              <w:top w:val="single" w:sz="8" w:color="auto"/>
            </w:tcBorders>
          </w:tcPr>
          <w:p>
            <w:pPr>
              <w:spacing w:after="0"/>
              <w:rPr>
                <w:sz w:val="2"/>
                <w:szCs w:val="2"/>
                <w:color w:val="auto"/>
              </w:rPr>
            </w:pPr>
          </w:p>
        </w:tc>
        <w:tc>
          <w:tcPr>
            <w:tcW w:w="9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27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Reset Frequency</w:t>
            </w:r>
          </w:p>
        </w:tc>
        <w:tc>
          <w:tcPr>
            <w:tcW w:w="1440" w:type="dxa"/>
            <w:vAlign w:val="bottom"/>
            <w:shd w:val="clear" w:color="auto" w:fill="CCEEFF"/>
          </w:tcPr>
          <w:p>
            <w:pPr>
              <w:jc w:val="center"/>
              <w:ind w:left="11"/>
              <w:spacing w:after="0"/>
              <w:rPr>
                <w:sz w:val="20"/>
                <w:szCs w:val="20"/>
                <w:color w:val="auto"/>
              </w:rPr>
            </w:pPr>
            <w:r>
              <w:rPr>
                <w:rFonts w:ascii="Times New Roman" w:cs="Times New Roman" w:eastAsia="Times New Roman" w:hAnsi="Times New Roman"/>
                <w:sz w:val="14"/>
                <w:szCs w:val="14"/>
                <w:color w:val="auto"/>
                <w:w w:val="99"/>
              </w:rPr>
              <w:t>N/A</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1"/>
              </w:rPr>
              <w:t>N/A</w:t>
            </w:r>
          </w:p>
        </w:tc>
        <w:tc>
          <w:tcPr>
            <w:tcW w:w="0" w:type="dxa"/>
            <w:vAlign w:val="bottom"/>
          </w:tcPr>
          <w:p>
            <w:pPr>
              <w:spacing w:after="0"/>
              <w:rPr>
                <w:sz w:val="1"/>
                <w:szCs w:val="1"/>
                <w:color w:val="auto"/>
              </w:rPr>
            </w:pPr>
          </w:p>
        </w:tc>
      </w:tr>
      <w:tr>
        <w:trPr>
          <w:trHeight w:val="178"/>
        </w:trPr>
        <w:tc>
          <w:tcPr>
            <w:tcW w:w="272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Next Reset</w:t>
            </w:r>
          </w:p>
        </w:tc>
        <w:tc>
          <w:tcPr>
            <w:tcW w:w="1440" w:type="dxa"/>
            <w:vAlign w:val="bottom"/>
          </w:tcPr>
          <w:p>
            <w:pPr>
              <w:jc w:val="center"/>
              <w:ind w:left="11"/>
              <w:spacing w:after="0"/>
              <w:rPr>
                <w:sz w:val="20"/>
                <w:szCs w:val="20"/>
                <w:color w:val="auto"/>
              </w:rPr>
            </w:pPr>
            <w:r>
              <w:rPr>
                <w:rFonts w:ascii="Times New Roman" w:cs="Times New Roman" w:eastAsia="Times New Roman" w:hAnsi="Times New Roman"/>
                <w:sz w:val="14"/>
                <w:szCs w:val="14"/>
                <w:color w:val="auto"/>
                <w:w w:val="99"/>
              </w:rPr>
              <w:t>N/A</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1"/>
              </w:rPr>
              <w:t>N/A</w:t>
            </w:r>
          </w:p>
        </w:tc>
        <w:tc>
          <w:tcPr>
            <w:tcW w:w="0" w:type="dxa"/>
            <w:vAlign w:val="bottom"/>
          </w:tcPr>
          <w:p>
            <w:pPr>
              <w:spacing w:after="0"/>
              <w:rPr>
                <w:sz w:val="1"/>
                <w:szCs w:val="1"/>
                <w:color w:val="auto"/>
              </w:rPr>
            </w:pPr>
          </w:p>
        </w:tc>
      </w:tr>
    </w:tbl>
    <w:p>
      <w:pPr>
        <w:spacing w:after="0" w:line="321" w:lineRule="exact"/>
        <w:rPr>
          <w:sz w:val="20"/>
          <w:szCs w:val="20"/>
          <w:color w:val="auto"/>
        </w:rPr>
      </w:pPr>
    </w:p>
    <w:p>
      <w:pPr>
        <w:ind w:left="620" w:hanging="617"/>
        <w:spacing w:after="0" w:line="229" w:lineRule="auto"/>
        <w:tabs>
          <w:tab w:leader="none" w:pos="256" w:val="left"/>
        </w:tabs>
        <w:numPr>
          <w:ilvl w:val="0"/>
          <w:numId w:val="2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If the tenant's parent's net leverage is greater than 5.5 to 1, then the adjusted revenue to rent coverage for the last two consecutive test periods must be at least 1.35. If the tenant's parent's net leverage is equal to or less than 5.5 to 1, then the ratio shall be reduced to 1.2.</w:t>
      </w:r>
    </w:p>
    <w:p>
      <w:pPr>
        <w:spacing w:after="0" w:line="216" w:lineRule="exact"/>
        <w:rPr>
          <w:rFonts w:ascii="Times New Roman" w:cs="Times New Roman" w:eastAsia="Times New Roman" w:hAnsi="Times New Roman"/>
          <w:sz w:val="22"/>
          <w:szCs w:val="22"/>
          <w:color w:val="auto"/>
          <w:vertAlign w:val="superscript"/>
        </w:rPr>
      </w:pPr>
    </w:p>
    <w:p>
      <w:pPr>
        <w:ind w:left="620" w:hanging="617"/>
        <w:spacing w:after="0" w:line="229" w:lineRule="auto"/>
        <w:tabs>
          <w:tab w:leader="none" w:pos="243" w:val="left"/>
        </w:tabs>
        <w:numPr>
          <w:ilvl w:val="0"/>
          <w:numId w:val="2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If the CPI increase is at least 0.5% for any lease year, then the rent shall increase by the greater of 1% of the rent as of the immediately preceding lease year and the CPI increase capped at 2%. If the CPI is less than 0.5% for such lease year, then the rent shall not increase for such lease year.</w:t>
      </w:r>
    </w:p>
    <w:p>
      <w:pPr>
        <w:spacing w:after="0" w:line="216" w:lineRule="exact"/>
        <w:rPr>
          <w:rFonts w:ascii="Times New Roman" w:cs="Times New Roman" w:eastAsia="Times New Roman" w:hAnsi="Times New Roman"/>
          <w:sz w:val="22"/>
          <w:szCs w:val="22"/>
          <w:color w:val="auto"/>
          <w:vertAlign w:val="superscript"/>
        </w:rPr>
      </w:pPr>
    </w:p>
    <w:p>
      <w:pPr>
        <w:ind w:left="620" w:hanging="617"/>
        <w:spacing w:after="0" w:line="229" w:lineRule="auto"/>
        <w:tabs>
          <w:tab w:leader="none" w:pos="256" w:val="left"/>
        </w:tabs>
        <w:numPr>
          <w:ilvl w:val="0"/>
          <w:numId w:val="2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The initial term of the lease will expire on the last day of the calendar month on the 39th anniversary of the facility's opening date. The annual escalation will occur upon the first anniversary of the facility's opening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7"/>
          <w:szCs w:val="17"/>
          <w:i w:val="1"/>
          <w:iCs w:val="1"/>
          <w:color w:val="auto"/>
        </w:rPr>
        <w:t>Funding commitments</w:t>
      </w:r>
    </w:p>
    <w:p>
      <w:pPr>
        <w:spacing w:after="0" w:line="234" w:lineRule="exact"/>
        <w:rPr>
          <w:sz w:val="20"/>
          <w:szCs w:val="20"/>
          <w:color w:val="auto"/>
        </w:rPr>
      </w:pPr>
    </w:p>
    <w:p>
      <w:pPr>
        <w:jc w:val="both"/>
        <w:ind w:right="100" w:firstLine="619"/>
        <w:spacing w:after="0" w:line="264" w:lineRule="auto"/>
        <w:rPr>
          <w:sz w:val="20"/>
          <w:szCs w:val="20"/>
          <w:color w:val="auto"/>
        </w:rPr>
      </w:pPr>
      <w:r>
        <w:rPr>
          <w:rFonts w:ascii="Times New Roman" w:cs="Times New Roman" w:eastAsia="Times New Roman" w:hAnsi="Times New Roman"/>
          <w:sz w:val="17"/>
          <w:szCs w:val="17"/>
          <w:color w:val="auto"/>
        </w:rPr>
        <w:t>As of March 31, 2026, we have entered into various commitments or call rights to finance/acquire future investments in gaming and related facilities for our tenants. These are detailed in the table below. Our tenants retain the option to decline our financing for certain projects and may seek alternative financing solutions. The inclusion of a commitment in this disclosure does not guarantee that the financing will be utilized by the tenant in circumstances where a tenant has the option. See Note 1 in the Notes to the Condensed Consolidated Financial Statements for further details.</w:t>
      </w:r>
    </w:p>
    <w:p>
      <w:pPr>
        <w:spacing w:after="0" w:line="211" w:lineRule="exact"/>
        <w:rPr>
          <w:sz w:val="20"/>
          <w:szCs w:val="20"/>
          <w:color w:val="auto"/>
        </w:rPr>
      </w:pPr>
    </w:p>
    <w:tbl>
      <w:tblPr>
        <w:tblLayout w:type="fixed"/>
        <w:tblInd w:w="620" w:type="dxa"/>
        <w:tblCellMar>
          <w:top w:w="0" w:type="dxa"/>
          <w:left w:w="0" w:type="dxa"/>
          <w:bottom w:w="0" w:type="dxa"/>
          <w:right w:w="0" w:type="dxa"/>
        </w:tblCellMar>
      </w:tblPr>
      <w:tr>
        <w:trPr>
          <w:trHeight w:val="195"/>
        </w:trPr>
        <w:tc>
          <w:tcPr>
            <w:tcW w:w="7120" w:type="dxa"/>
            <w:vAlign w:val="bottom"/>
          </w:tcPr>
          <w:p>
            <w:pPr>
              <w:spacing w:after="0"/>
              <w:rPr>
                <w:sz w:val="17"/>
                <w:szCs w:val="17"/>
                <w:color w:val="auto"/>
              </w:rPr>
            </w:pPr>
          </w:p>
        </w:tc>
        <w:tc>
          <w:tcPr>
            <w:tcW w:w="2040" w:type="dxa"/>
            <w:vAlign w:val="bottom"/>
          </w:tcPr>
          <w:p>
            <w:pPr>
              <w:jc w:val="center"/>
              <w:ind w:left="554"/>
              <w:spacing w:after="0"/>
              <w:rPr>
                <w:sz w:val="20"/>
                <w:szCs w:val="20"/>
                <w:color w:val="auto"/>
              </w:rPr>
            </w:pPr>
            <w:r>
              <w:rPr>
                <w:rFonts w:ascii="Times New Roman" w:cs="Times New Roman" w:eastAsia="Times New Roman" w:hAnsi="Times New Roman"/>
                <w:sz w:val="17"/>
                <w:szCs w:val="17"/>
                <w:color w:val="auto"/>
              </w:rPr>
              <w:t>Maximum</w:t>
            </w:r>
          </w:p>
        </w:tc>
        <w:tc>
          <w:tcPr>
            <w:tcW w:w="1560" w:type="dxa"/>
            <w:vAlign w:val="bottom"/>
            <w:vMerge w:val="restart"/>
          </w:tcPr>
          <w:p>
            <w:pPr>
              <w:jc w:val="center"/>
              <w:ind w:left="114"/>
              <w:spacing w:after="0"/>
              <w:rPr>
                <w:sz w:val="20"/>
                <w:szCs w:val="20"/>
                <w:color w:val="auto"/>
              </w:rPr>
            </w:pPr>
            <w:r>
              <w:rPr>
                <w:rFonts w:ascii="Times New Roman" w:cs="Times New Roman" w:eastAsia="Times New Roman" w:hAnsi="Times New Roman"/>
                <w:sz w:val="17"/>
                <w:szCs w:val="17"/>
                <w:color w:val="auto"/>
              </w:rPr>
              <w:t>Amount funded at</w:t>
            </w:r>
          </w:p>
        </w:tc>
        <w:tc>
          <w:tcPr>
            <w:tcW w:w="0" w:type="dxa"/>
            <w:vAlign w:val="bottom"/>
          </w:tcPr>
          <w:p>
            <w:pPr>
              <w:spacing w:after="0"/>
              <w:rPr>
                <w:sz w:val="1"/>
                <w:szCs w:val="1"/>
                <w:color w:val="auto"/>
              </w:rPr>
            </w:pPr>
          </w:p>
        </w:tc>
      </w:tr>
      <w:tr>
        <w:trPr>
          <w:trHeight w:val="168"/>
        </w:trPr>
        <w:tc>
          <w:tcPr>
            <w:tcW w:w="7120" w:type="dxa"/>
            <w:vAlign w:val="bottom"/>
          </w:tcPr>
          <w:p>
            <w:pPr>
              <w:spacing w:after="0"/>
              <w:rPr>
                <w:sz w:val="14"/>
                <w:szCs w:val="14"/>
                <w:color w:val="auto"/>
              </w:rPr>
            </w:pPr>
          </w:p>
        </w:tc>
        <w:tc>
          <w:tcPr>
            <w:tcW w:w="2040" w:type="dxa"/>
            <w:vAlign w:val="bottom"/>
          </w:tcPr>
          <w:p>
            <w:pPr>
              <w:jc w:val="center"/>
              <w:ind w:left="554"/>
              <w:spacing w:after="0" w:line="167" w:lineRule="exact"/>
              <w:rPr>
                <w:sz w:val="20"/>
                <w:szCs w:val="20"/>
                <w:color w:val="auto"/>
              </w:rPr>
            </w:pPr>
            <w:r>
              <w:rPr>
                <w:rFonts w:ascii="Times New Roman" w:cs="Times New Roman" w:eastAsia="Times New Roman" w:hAnsi="Times New Roman"/>
                <w:sz w:val="17"/>
                <w:szCs w:val="17"/>
                <w:color w:val="auto"/>
              </w:rPr>
              <w:t>Commitment</w:t>
            </w:r>
          </w:p>
        </w:tc>
        <w:tc>
          <w:tcPr>
            <w:tcW w:w="1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7120" w:type="dxa"/>
            <w:vAlign w:val="bottom"/>
            <w:tcBorders>
              <w:bottom w:val="single" w:sz="8" w:color="auto"/>
            </w:tcBorders>
          </w:tcPr>
          <w:p>
            <w:pPr>
              <w:ind w:left="3500"/>
              <w:spacing w:after="0"/>
              <w:rPr>
                <w:sz w:val="20"/>
                <w:szCs w:val="20"/>
                <w:color w:val="auto"/>
              </w:rPr>
            </w:pPr>
            <w:r>
              <w:rPr>
                <w:rFonts w:ascii="Times New Roman" w:cs="Times New Roman" w:eastAsia="Times New Roman" w:hAnsi="Times New Roman"/>
                <w:sz w:val="17"/>
                <w:szCs w:val="17"/>
                <w:color w:val="auto"/>
              </w:rPr>
              <w:t>Description</w:t>
            </w:r>
          </w:p>
        </w:tc>
        <w:tc>
          <w:tcPr>
            <w:tcW w:w="2040" w:type="dxa"/>
            <w:vAlign w:val="bottom"/>
            <w:tcBorders>
              <w:bottom w:val="single" w:sz="8" w:color="auto"/>
            </w:tcBorders>
          </w:tcPr>
          <w:p>
            <w:pPr>
              <w:jc w:val="center"/>
              <w:ind w:left="554"/>
              <w:spacing w:after="0"/>
              <w:rPr>
                <w:sz w:val="20"/>
                <w:szCs w:val="20"/>
                <w:color w:val="auto"/>
              </w:rPr>
            </w:pPr>
            <w:r>
              <w:rPr>
                <w:rFonts w:ascii="Times New Roman" w:cs="Times New Roman" w:eastAsia="Times New Roman" w:hAnsi="Times New Roman"/>
                <w:sz w:val="17"/>
                <w:szCs w:val="17"/>
                <w:color w:val="auto"/>
              </w:rPr>
              <w:t>amount</w:t>
            </w:r>
          </w:p>
        </w:tc>
        <w:tc>
          <w:tcPr>
            <w:tcW w:w="1560" w:type="dxa"/>
            <w:vAlign w:val="bottom"/>
            <w:tcBorders>
              <w:bottom w:val="single" w:sz="8" w:color="auto"/>
            </w:tcBorders>
          </w:tcPr>
          <w:p>
            <w:pPr>
              <w:jc w:val="center"/>
              <w:ind w:left="114"/>
              <w:spacing w:after="0"/>
              <w:rPr>
                <w:sz w:val="20"/>
                <w:szCs w:val="20"/>
                <w:color w:val="auto"/>
              </w:rPr>
            </w:pPr>
            <w:r>
              <w:rPr>
                <w:rFonts w:ascii="Times New Roman" w:cs="Times New Roman" w:eastAsia="Times New Roman" w:hAnsi="Times New Roman"/>
                <w:sz w:val="17"/>
                <w:szCs w:val="17"/>
                <w:color w:val="auto"/>
                <w:w w:val="99"/>
              </w:rPr>
              <w:t>March 31, 2026</w:t>
            </w:r>
          </w:p>
        </w:tc>
        <w:tc>
          <w:tcPr>
            <w:tcW w:w="0" w:type="dxa"/>
            <w:vAlign w:val="bottom"/>
          </w:tcPr>
          <w:p>
            <w:pPr>
              <w:spacing w:after="0"/>
              <w:rPr>
                <w:sz w:val="1"/>
                <w:szCs w:val="1"/>
                <w:color w:val="auto"/>
              </w:rPr>
            </w:pPr>
          </w:p>
        </w:tc>
      </w:tr>
      <w:tr>
        <w:trPr>
          <w:trHeight w:val="212"/>
        </w:trPr>
        <w:tc>
          <w:tcPr>
            <w:tcW w:w="7120" w:type="dxa"/>
            <w:vAlign w:val="bottom"/>
            <w:shd w:val="clear" w:color="auto" w:fill="CCEEFF"/>
          </w:tcPr>
          <w:p>
            <w:pPr>
              <w:ind w:left="20"/>
              <w:spacing w:after="0" w:line="212" w:lineRule="exact"/>
              <w:rPr>
                <w:sz w:val="20"/>
                <w:szCs w:val="20"/>
                <w:color w:val="auto"/>
              </w:rPr>
            </w:pPr>
            <w:r>
              <w:rPr>
                <w:rFonts w:ascii="Times New Roman" w:cs="Times New Roman" w:eastAsia="Times New Roman" w:hAnsi="Times New Roman"/>
                <w:sz w:val="17"/>
                <w:szCs w:val="17"/>
                <w:color w:val="auto"/>
              </w:rPr>
              <w:t xml:space="preserve">Relocation of Hollywood Casino Aurora </w:t>
            </w:r>
            <w:r>
              <w:rPr>
                <w:rFonts w:ascii="Times New Roman" w:cs="Times New Roman" w:eastAsia="Times New Roman" w:hAnsi="Times New Roman"/>
                <w:sz w:val="22"/>
                <w:szCs w:val="22"/>
                <w:color w:val="auto"/>
                <w:vertAlign w:val="superscript"/>
              </w:rPr>
              <w:t>(1)</w:t>
            </w:r>
          </w:p>
        </w:tc>
        <w:tc>
          <w:tcPr>
            <w:tcW w:w="2040" w:type="dxa"/>
            <w:vAlign w:val="bottom"/>
            <w:shd w:val="clear" w:color="auto" w:fill="CCEEFF"/>
          </w:tcPr>
          <w:p>
            <w:pPr>
              <w:jc w:val="center"/>
              <w:ind w:left="554"/>
              <w:spacing w:after="0"/>
              <w:rPr>
                <w:sz w:val="20"/>
                <w:szCs w:val="20"/>
                <w:color w:val="auto"/>
              </w:rPr>
            </w:pPr>
            <w:r>
              <w:rPr>
                <w:rFonts w:ascii="Times New Roman" w:cs="Times New Roman" w:eastAsia="Times New Roman" w:hAnsi="Times New Roman"/>
                <w:sz w:val="17"/>
                <w:szCs w:val="17"/>
                <w:color w:val="auto"/>
              </w:rPr>
              <w:t>$225 million</w:t>
            </w:r>
          </w:p>
        </w:tc>
        <w:tc>
          <w:tcPr>
            <w:tcW w:w="1560" w:type="dxa"/>
            <w:vAlign w:val="bottom"/>
            <w:shd w:val="clear" w:color="auto" w:fill="CCEEFF"/>
          </w:tcPr>
          <w:p>
            <w:pPr>
              <w:jc w:val="center"/>
              <w:ind w:left="114"/>
              <w:spacing w:after="0"/>
              <w:rPr>
                <w:sz w:val="20"/>
                <w:szCs w:val="20"/>
                <w:color w:val="auto"/>
              </w:rPr>
            </w:pPr>
            <w:r>
              <w:rPr>
                <w:rFonts w:ascii="Times New Roman" w:cs="Times New Roman" w:eastAsia="Times New Roman" w:hAnsi="Times New Roman"/>
                <w:sz w:val="17"/>
                <w:szCs w:val="17"/>
                <w:color w:val="auto"/>
                <w:w w:val="97"/>
              </w:rPr>
              <w:t>None</w:t>
            </w:r>
          </w:p>
        </w:tc>
        <w:tc>
          <w:tcPr>
            <w:tcW w:w="0" w:type="dxa"/>
            <w:vAlign w:val="bottom"/>
          </w:tcPr>
          <w:p>
            <w:pPr>
              <w:spacing w:after="0"/>
              <w:rPr>
                <w:sz w:val="1"/>
                <w:szCs w:val="1"/>
                <w:color w:val="auto"/>
              </w:rPr>
            </w:pPr>
          </w:p>
        </w:tc>
      </w:tr>
      <w:tr>
        <w:trPr>
          <w:trHeight w:val="219"/>
        </w:trPr>
        <w:tc>
          <w:tcPr>
            <w:tcW w:w="7120" w:type="dxa"/>
            <w:vAlign w:val="bottom"/>
          </w:tcPr>
          <w:p>
            <w:pPr>
              <w:ind w:left="20"/>
              <w:spacing w:after="0" w:line="219" w:lineRule="exact"/>
              <w:rPr>
                <w:sz w:val="20"/>
                <w:szCs w:val="20"/>
                <w:color w:val="auto"/>
              </w:rPr>
            </w:pPr>
            <w:r>
              <w:rPr>
                <w:rFonts w:ascii="Times New Roman" w:cs="Times New Roman" w:eastAsia="Times New Roman" w:hAnsi="Times New Roman"/>
                <w:sz w:val="17"/>
                <w:szCs w:val="17"/>
                <w:color w:val="auto"/>
              </w:rPr>
              <w:t xml:space="preserve">Funding associated with a landside move at Ameristar Casino Council Bluffs </w:t>
            </w:r>
            <w:r>
              <w:rPr>
                <w:rFonts w:ascii="Times New Roman" w:cs="Times New Roman" w:eastAsia="Times New Roman" w:hAnsi="Times New Roman"/>
                <w:sz w:val="22"/>
                <w:szCs w:val="22"/>
                <w:color w:val="auto"/>
                <w:vertAlign w:val="superscript"/>
              </w:rPr>
              <w:t>(2)</w:t>
            </w:r>
          </w:p>
        </w:tc>
        <w:tc>
          <w:tcPr>
            <w:tcW w:w="2040" w:type="dxa"/>
            <w:vAlign w:val="bottom"/>
          </w:tcPr>
          <w:p>
            <w:pPr>
              <w:jc w:val="center"/>
              <w:ind w:left="554"/>
              <w:spacing w:after="0"/>
              <w:rPr>
                <w:sz w:val="20"/>
                <w:szCs w:val="20"/>
                <w:color w:val="auto"/>
              </w:rPr>
            </w:pPr>
            <w:r>
              <w:rPr>
                <w:rFonts w:ascii="Times New Roman" w:cs="Times New Roman" w:eastAsia="Times New Roman" w:hAnsi="Times New Roman"/>
                <w:sz w:val="17"/>
                <w:szCs w:val="17"/>
                <w:color w:val="auto"/>
              </w:rPr>
              <w:t>$150 million</w:t>
            </w:r>
          </w:p>
        </w:tc>
        <w:tc>
          <w:tcPr>
            <w:tcW w:w="1560" w:type="dxa"/>
            <w:vAlign w:val="bottom"/>
          </w:tcPr>
          <w:p>
            <w:pPr>
              <w:jc w:val="center"/>
              <w:ind w:left="114"/>
              <w:spacing w:after="0"/>
              <w:rPr>
                <w:sz w:val="20"/>
                <w:szCs w:val="20"/>
                <w:color w:val="auto"/>
              </w:rPr>
            </w:pPr>
            <w:r>
              <w:rPr>
                <w:rFonts w:ascii="Times New Roman" w:cs="Times New Roman" w:eastAsia="Times New Roman" w:hAnsi="Times New Roman"/>
                <w:sz w:val="17"/>
                <w:szCs w:val="17"/>
                <w:color w:val="auto"/>
                <w:w w:val="97"/>
              </w:rPr>
              <w:t>None</w:t>
            </w:r>
          </w:p>
        </w:tc>
        <w:tc>
          <w:tcPr>
            <w:tcW w:w="0" w:type="dxa"/>
            <w:vAlign w:val="bottom"/>
          </w:tcPr>
          <w:p>
            <w:pPr>
              <w:spacing w:after="0"/>
              <w:rPr>
                <w:sz w:val="1"/>
                <w:szCs w:val="1"/>
                <w:color w:val="auto"/>
              </w:rPr>
            </w:pPr>
          </w:p>
        </w:tc>
      </w:tr>
      <w:tr>
        <w:trPr>
          <w:trHeight w:val="219"/>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Potential transaction at the former Tropicana Las Vegas site with Bally's</w:t>
            </w:r>
          </w:p>
        </w:tc>
        <w:tc>
          <w:tcPr>
            <w:tcW w:w="2040" w:type="dxa"/>
            <w:vAlign w:val="bottom"/>
            <w:shd w:val="clear" w:color="auto" w:fill="CCEEFF"/>
          </w:tcPr>
          <w:p>
            <w:pPr>
              <w:jc w:val="center"/>
              <w:ind w:left="554"/>
              <w:spacing w:after="0"/>
              <w:rPr>
                <w:sz w:val="20"/>
                <w:szCs w:val="20"/>
                <w:color w:val="auto"/>
              </w:rPr>
            </w:pPr>
            <w:r>
              <w:rPr>
                <w:rFonts w:ascii="Times New Roman" w:cs="Times New Roman" w:eastAsia="Times New Roman" w:hAnsi="Times New Roman"/>
                <w:sz w:val="17"/>
                <w:szCs w:val="17"/>
                <w:color w:val="auto"/>
              </w:rPr>
              <w:t>$175 million</w:t>
            </w:r>
          </w:p>
        </w:tc>
        <w:tc>
          <w:tcPr>
            <w:tcW w:w="1560" w:type="dxa"/>
            <w:vAlign w:val="bottom"/>
            <w:shd w:val="clear" w:color="auto" w:fill="CCEEFF"/>
          </w:tcPr>
          <w:p>
            <w:pPr>
              <w:jc w:val="center"/>
              <w:ind w:left="114"/>
              <w:spacing w:after="0"/>
              <w:rPr>
                <w:sz w:val="20"/>
                <w:szCs w:val="20"/>
                <w:color w:val="auto"/>
              </w:rPr>
            </w:pPr>
            <w:r>
              <w:rPr>
                <w:rFonts w:ascii="Times New Roman" w:cs="Times New Roman" w:eastAsia="Times New Roman" w:hAnsi="Times New Roman"/>
                <w:sz w:val="17"/>
                <w:szCs w:val="17"/>
                <w:color w:val="auto"/>
              </w:rPr>
              <w:t>$48.5 million</w:t>
            </w:r>
          </w:p>
        </w:tc>
        <w:tc>
          <w:tcPr>
            <w:tcW w:w="0" w:type="dxa"/>
            <w:vAlign w:val="bottom"/>
          </w:tcPr>
          <w:p>
            <w:pPr>
              <w:spacing w:after="0"/>
              <w:rPr>
                <w:sz w:val="1"/>
                <w:szCs w:val="1"/>
                <w:color w:val="auto"/>
              </w:rPr>
            </w:pPr>
          </w:p>
        </w:tc>
      </w:tr>
      <w:tr>
        <w:trPr>
          <w:trHeight w:val="219"/>
        </w:trPr>
        <w:tc>
          <w:tcPr>
            <w:tcW w:w="71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Real estate construction costs for Bally's Chicago</w:t>
            </w:r>
          </w:p>
        </w:tc>
        <w:tc>
          <w:tcPr>
            <w:tcW w:w="2040" w:type="dxa"/>
            <w:vAlign w:val="bottom"/>
          </w:tcPr>
          <w:p>
            <w:pPr>
              <w:jc w:val="center"/>
              <w:ind w:left="554"/>
              <w:spacing w:after="0"/>
              <w:rPr>
                <w:sz w:val="20"/>
                <w:szCs w:val="20"/>
                <w:color w:val="auto"/>
              </w:rPr>
            </w:pPr>
            <w:r>
              <w:rPr>
                <w:rFonts w:ascii="Times New Roman" w:cs="Times New Roman" w:eastAsia="Times New Roman" w:hAnsi="Times New Roman"/>
                <w:sz w:val="17"/>
                <w:szCs w:val="17"/>
                <w:color w:val="auto"/>
              </w:rPr>
              <w:t>$940 million</w:t>
            </w:r>
          </w:p>
        </w:tc>
        <w:tc>
          <w:tcPr>
            <w:tcW w:w="1560" w:type="dxa"/>
            <w:vAlign w:val="bottom"/>
          </w:tcPr>
          <w:p>
            <w:pPr>
              <w:jc w:val="center"/>
              <w:ind w:left="114"/>
              <w:spacing w:after="0"/>
              <w:rPr>
                <w:sz w:val="20"/>
                <w:szCs w:val="20"/>
                <w:color w:val="auto"/>
              </w:rPr>
            </w:pPr>
            <w:r>
              <w:rPr>
                <w:rFonts w:ascii="Times New Roman" w:cs="Times New Roman" w:eastAsia="Times New Roman" w:hAnsi="Times New Roman"/>
                <w:sz w:val="17"/>
                <w:szCs w:val="17"/>
                <w:color w:val="auto"/>
                <w:w w:val="99"/>
              </w:rPr>
              <w:t>$299.6 million</w:t>
            </w:r>
          </w:p>
        </w:tc>
        <w:tc>
          <w:tcPr>
            <w:tcW w:w="0" w:type="dxa"/>
            <w:vAlign w:val="bottom"/>
          </w:tcPr>
          <w:p>
            <w:pPr>
              <w:spacing w:after="0"/>
              <w:rPr>
                <w:sz w:val="1"/>
                <w:szCs w:val="1"/>
                <w:color w:val="auto"/>
              </w:rPr>
            </w:pPr>
          </w:p>
        </w:tc>
      </w:tr>
      <w:tr>
        <w:trPr>
          <w:trHeight w:val="219"/>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Construction costs for the landside development project at Bally's Marquette</w:t>
            </w:r>
          </w:p>
        </w:tc>
        <w:tc>
          <w:tcPr>
            <w:tcW w:w="2040" w:type="dxa"/>
            <w:vAlign w:val="bottom"/>
            <w:shd w:val="clear" w:color="auto" w:fill="CCEEFF"/>
          </w:tcPr>
          <w:p>
            <w:pPr>
              <w:jc w:val="center"/>
              <w:ind w:left="554"/>
              <w:spacing w:after="0"/>
              <w:rPr>
                <w:sz w:val="20"/>
                <w:szCs w:val="20"/>
                <w:color w:val="auto"/>
              </w:rPr>
            </w:pPr>
            <w:r>
              <w:rPr>
                <w:rFonts w:ascii="Times New Roman" w:cs="Times New Roman" w:eastAsia="Times New Roman" w:hAnsi="Times New Roman"/>
                <w:sz w:val="17"/>
                <w:szCs w:val="17"/>
                <w:color w:val="auto"/>
              </w:rPr>
              <w:t>$16.5 million</w:t>
            </w:r>
          </w:p>
        </w:tc>
        <w:tc>
          <w:tcPr>
            <w:tcW w:w="1560" w:type="dxa"/>
            <w:vAlign w:val="bottom"/>
            <w:shd w:val="clear" w:color="auto" w:fill="CCEEFF"/>
          </w:tcPr>
          <w:p>
            <w:pPr>
              <w:jc w:val="center"/>
              <w:ind w:left="114"/>
              <w:spacing w:after="0"/>
              <w:rPr>
                <w:sz w:val="20"/>
                <w:szCs w:val="20"/>
                <w:color w:val="auto"/>
              </w:rPr>
            </w:pPr>
            <w:r>
              <w:rPr>
                <w:rFonts w:ascii="Times New Roman" w:cs="Times New Roman" w:eastAsia="Times New Roman" w:hAnsi="Times New Roman"/>
                <w:sz w:val="17"/>
                <w:szCs w:val="17"/>
                <w:color w:val="auto"/>
              </w:rPr>
              <w:t>$16.5 million</w:t>
            </w:r>
          </w:p>
        </w:tc>
        <w:tc>
          <w:tcPr>
            <w:tcW w:w="0" w:type="dxa"/>
            <w:vAlign w:val="bottom"/>
          </w:tcPr>
          <w:p>
            <w:pPr>
              <w:spacing w:after="0"/>
              <w:rPr>
                <w:sz w:val="1"/>
                <w:szCs w:val="1"/>
                <w:color w:val="auto"/>
              </w:rPr>
            </w:pPr>
          </w:p>
        </w:tc>
      </w:tr>
      <w:tr>
        <w:trPr>
          <w:trHeight w:val="219"/>
        </w:trPr>
        <w:tc>
          <w:tcPr>
            <w:tcW w:w="71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Ione Loan to fund a new casino development near Sacramento, California</w:t>
            </w:r>
          </w:p>
        </w:tc>
        <w:tc>
          <w:tcPr>
            <w:tcW w:w="2040" w:type="dxa"/>
            <w:vAlign w:val="bottom"/>
          </w:tcPr>
          <w:p>
            <w:pPr>
              <w:jc w:val="center"/>
              <w:ind w:left="554"/>
              <w:spacing w:after="0"/>
              <w:rPr>
                <w:sz w:val="20"/>
                <w:szCs w:val="20"/>
                <w:color w:val="auto"/>
              </w:rPr>
            </w:pPr>
            <w:r>
              <w:rPr>
                <w:rFonts w:ascii="Times New Roman" w:cs="Times New Roman" w:eastAsia="Times New Roman" w:hAnsi="Times New Roman"/>
                <w:sz w:val="17"/>
                <w:szCs w:val="17"/>
                <w:color w:val="auto"/>
              </w:rPr>
              <w:t>$110 million</w:t>
            </w:r>
          </w:p>
        </w:tc>
        <w:tc>
          <w:tcPr>
            <w:tcW w:w="1560" w:type="dxa"/>
            <w:vAlign w:val="bottom"/>
          </w:tcPr>
          <w:p>
            <w:pPr>
              <w:jc w:val="center"/>
              <w:ind w:left="114"/>
              <w:spacing w:after="0"/>
              <w:rPr>
                <w:sz w:val="20"/>
                <w:szCs w:val="20"/>
                <w:color w:val="auto"/>
              </w:rPr>
            </w:pPr>
            <w:r>
              <w:rPr>
                <w:rFonts w:ascii="Times New Roman" w:cs="Times New Roman" w:eastAsia="Times New Roman" w:hAnsi="Times New Roman"/>
                <w:sz w:val="17"/>
                <w:szCs w:val="17"/>
                <w:color w:val="auto"/>
              </w:rPr>
              <w:t>$83.6 million</w:t>
            </w:r>
          </w:p>
        </w:tc>
        <w:tc>
          <w:tcPr>
            <w:tcW w:w="0" w:type="dxa"/>
            <w:vAlign w:val="bottom"/>
          </w:tcPr>
          <w:p>
            <w:pPr>
              <w:spacing w:after="0"/>
              <w:rPr>
                <w:sz w:val="1"/>
                <w:szCs w:val="1"/>
                <w:color w:val="auto"/>
              </w:rPr>
            </w:pPr>
          </w:p>
        </w:tc>
      </w:tr>
      <w:tr>
        <w:trPr>
          <w:trHeight w:val="219"/>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Funding associated with the future site and construction for Live! Virginia Casino &amp; Hotel</w:t>
            </w:r>
          </w:p>
        </w:tc>
        <w:tc>
          <w:tcPr>
            <w:tcW w:w="2040" w:type="dxa"/>
            <w:vAlign w:val="bottom"/>
            <w:shd w:val="clear" w:color="auto" w:fill="CCEEFF"/>
          </w:tcPr>
          <w:p>
            <w:pPr>
              <w:jc w:val="center"/>
              <w:ind w:left="554"/>
              <w:spacing w:after="0"/>
              <w:rPr>
                <w:sz w:val="20"/>
                <w:szCs w:val="20"/>
                <w:color w:val="auto"/>
              </w:rPr>
            </w:pPr>
            <w:r>
              <w:rPr>
                <w:rFonts w:ascii="Times New Roman" w:cs="Times New Roman" w:eastAsia="Times New Roman" w:hAnsi="Times New Roman"/>
                <w:sz w:val="17"/>
                <w:szCs w:val="17"/>
                <w:color w:val="auto"/>
              </w:rPr>
              <w:t>$467 million</w:t>
            </w:r>
          </w:p>
        </w:tc>
        <w:tc>
          <w:tcPr>
            <w:tcW w:w="1560" w:type="dxa"/>
            <w:vAlign w:val="bottom"/>
            <w:shd w:val="clear" w:color="auto" w:fill="CCEEFF"/>
          </w:tcPr>
          <w:p>
            <w:pPr>
              <w:jc w:val="center"/>
              <w:ind w:left="114"/>
              <w:spacing w:after="0"/>
              <w:rPr>
                <w:sz w:val="20"/>
                <w:szCs w:val="20"/>
                <w:color w:val="auto"/>
              </w:rPr>
            </w:pPr>
            <w:r>
              <w:rPr>
                <w:rFonts w:ascii="Times New Roman" w:cs="Times New Roman" w:eastAsia="Times New Roman" w:hAnsi="Times New Roman"/>
                <w:sz w:val="17"/>
                <w:szCs w:val="17"/>
                <w:color w:val="auto"/>
              </w:rPr>
              <w:t>$27.0 million</w:t>
            </w:r>
          </w:p>
        </w:tc>
        <w:tc>
          <w:tcPr>
            <w:tcW w:w="0" w:type="dxa"/>
            <w:vAlign w:val="bottom"/>
          </w:tcPr>
          <w:p>
            <w:pPr>
              <w:spacing w:after="0"/>
              <w:rPr>
                <w:sz w:val="1"/>
                <w:szCs w:val="1"/>
                <w:color w:val="auto"/>
              </w:rPr>
            </w:pPr>
          </w:p>
        </w:tc>
      </w:tr>
      <w:tr>
        <w:trPr>
          <w:trHeight w:val="223"/>
        </w:trPr>
        <w:tc>
          <w:tcPr>
            <w:tcW w:w="71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Delayed draw term loan for Dry Creek Rancheria Resort development</w:t>
            </w:r>
          </w:p>
        </w:tc>
        <w:tc>
          <w:tcPr>
            <w:tcW w:w="2040" w:type="dxa"/>
            <w:vAlign w:val="bottom"/>
          </w:tcPr>
          <w:p>
            <w:pPr>
              <w:jc w:val="center"/>
              <w:ind w:left="554"/>
              <w:spacing w:after="0"/>
              <w:rPr>
                <w:sz w:val="20"/>
                <w:szCs w:val="20"/>
                <w:color w:val="auto"/>
              </w:rPr>
            </w:pPr>
            <w:r>
              <w:rPr>
                <w:rFonts w:ascii="Times New Roman" w:cs="Times New Roman" w:eastAsia="Times New Roman" w:hAnsi="Times New Roman"/>
                <w:sz w:val="17"/>
                <w:szCs w:val="17"/>
                <w:color w:val="auto"/>
              </w:rPr>
              <w:t>$180 million</w:t>
            </w:r>
          </w:p>
        </w:tc>
        <w:tc>
          <w:tcPr>
            <w:tcW w:w="1560" w:type="dxa"/>
            <w:vAlign w:val="bottom"/>
          </w:tcPr>
          <w:p>
            <w:pPr>
              <w:jc w:val="center"/>
              <w:ind w:left="114"/>
              <w:spacing w:after="0"/>
              <w:rPr>
                <w:sz w:val="20"/>
                <w:szCs w:val="20"/>
                <w:color w:val="auto"/>
              </w:rPr>
            </w:pPr>
            <w:r>
              <w:rPr>
                <w:rFonts w:ascii="Times New Roman" w:cs="Times New Roman" w:eastAsia="Times New Roman" w:hAnsi="Times New Roman"/>
                <w:sz w:val="17"/>
                <w:szCs w:val="17"/>
                <w:color w:val="auto"/>
                <w:w w:val="97"/>
              </w:rPr>
              <w:t>None</w:t>
            </w:r>
          </w:p>
        </w:tc>
        <w:tc>
          <w:tcPr>
            <w:tcW w:w="0" w:type="dxa"/>
            <w:vAlign w:val="bottom"/>
          </w:tcPr>
          <w:p>
            <w:pPr>
              <w:spacing w:after="0"/>
              <w:rPr>
                <w:sz w:val="1"/>
                <w:szCs w:val="1"/>
                <w:color w:val="auto"/>
              </w:rPr>
            </w:pPr>
          </w:p>
        </w:tc>
      </w:tr>
    </w:tbl>
    <w:p>
      <w:pPr>
        <w:spacing w:after="0" w:line="302" w:lineRule="exact"/>
        <w:rPr>
          <w:sz w:val="20"/>
          <w:szCs w:val="20"/>
          <w:color w:val="auto"/>
        </w:rPr>
      </w:pPr>
    </w:p>
    <w:p>
      <w:pPr>
        <w:ind w:right="100" w:firstLine="3"/>
        <w:spacing w:after="0" w:line="222" w:lineRule="auto"/>
        <w:tabs>
          <w:tab w:leader="none" w:pos="186" w:val="left"/>
        </w:tabs>
        <w:numPr>
          <w:ilvl w:val="0"/>
          <w:numId w:val="2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PENN anticipates completing the relocation of its Aurora, Illinois riverboat casino to a land-based facility on June 24, 2026, pending customary regulatory approvals. The Company anticipates funding $225 million at a 7.75% capitalization rate for this project on or about June 24, 2026.</w:t>
      </w:r>
    </w:p>
    <w:p>
      <w:pPr>
        <w:spacing w:after="0" w:line="203" w:lineRule="exact"/>
        <w:rPr>
          <w:rFonts w:ascii="Times New Roman" w:cs="Times New Roman" w:eastAsia="Times New Roman" w:hAnsi="Times New Roman"/>
          <w:sz w:val="22"/>
          <w:szCs w:val="22"/>
          <w:color w:val="auto"/>
          <w:vertAlign w:val="superscript"/>
        </w:rPr>
      </w:pPr>
    </w:p>
    <w:p>
      <w:pPr>
        <w:ind w:right="100" w:firstLine="3"/>
        <w:spacing w:after="0" w:line="245" w:lineRule="auto"/>
        <w:tabs>
          <w:tab w:leader="none" w:pos="173" w:val="left"/>
        </w:tabs>
        <w:numPr>
          <w:ilvl w:val="0"/>
          <w:numId w:val="2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Company has agreed to fund, if requested by PENN at their sole discretion, on or before March 1, 2029, construction improvements in an amount not to exceed the greater of (i) the hard costs associated with the project and (ii) $150.0 million.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Accounting Estimates</w:t>
      </w:r>
    </w:p>
    <w:p>
      <w:pPr>
        <w:spacing w:after="0" w:line="221" w:lineRule="exact"/>
        <w:rPr>
          <w:sz w:val="20"/>
          <w:szCs w:val="20"/>
          <w:color w:val="auto"/>
        </w:rPr>
      </w:pPr>
    </w:p>
    <w:p>
      <w:pPr>
        <w:jc w:val="both"/>
        <w:ind w:right="100" w:firstLine="619"/>
        <w:spacing w:after="0" w:line="261" w:lineRule="auto"/>
        <w:rPr>
          <w:sz w:val="20"/>
          <w:szCs w:val="20"/>
          <w:color w:val="auto"/>
        </w:rPr>
      </w:pPr>
      <w:r>
        <w:rPr>
          <w:rFonts w:ascii="Times New Roman" w:cs="Times New Roman" w:eastAsia="Times New Roman" w:hAnsi="Times New Roman"/>
          <w:sz w:val="17"/>
          <w:szCs w:val="17"/>
          <w:color w:val="auto"/>
        </w:rPr>
        <w:t>We make certain judgments and use certain estimates and assumptions when applying accounting principles in the preparation of our consolidated financial statements. The nature of the estimates and assumptions are material due to the levels of subjectivity and judgment necessary to account for highly uncertain factors or the susceptibility of such factors to change. We have identified the accounting for leases, investment in leases, financing receivables, net, allowance for credit losses, and real estate investments as critical accounting estimates, as they are the most important to our financial statement presentation and require difficult, subjective and complex judgments.</w:t>
      </w:r>
    </w:p>
    <w:p>
      <w:pPr>
        <w:spacing w:after="0" w:line="175" w:lineRule="exact"/>
        <w:rPr>
          <w:sz w:val="20"/>
          <w:szCs w:val="20"/>
          <w:color w:val="auto"/>
        </w:rPr>
      </w:pPr>
    </w:p>
    <w:p>
      <w:pPr>
        <w:jc w:val="both"/>
        <w:ind w:right="100" w:firstLine="619"/>
        <w:spacing w:after="0" w:line="264" w:lineRule="auto"/>
        <w:rPr>
          <w:sz w:val="20"/>
          <w:szCs w:val="20"/>
          <w:color w:val="auto"/>
        </w:rPr>
      </w:pPr>
      <w:r>
        <w:rPr>
          <w:rFonts w:ascii="Times New Roman" w:cs="Times New Roman" w:eastAsia="Times New Roman" w:hAnsi="Times New Roman"/>
          <w:sz w:val="17"/>
          <w:szCs w:val="17"/>
          <w:color w:val="auto"/>
        </w:rPr>
        <w:t>We believe the current assumptions and other considerations used to estimate amounts reflected in our condensed consolidated financial statements are appropriate. However, if actual experience differs from the assumptions and other considerations used in estimating amounts reflected in our consolidated financial statements, the resulting changes could have a material adverse effect on our consolidated results of operations and, in certain situations, could have a material adverse effect on our consolidated financial condition.</w:t>
      </w:r>
    </w:p>
    <w:p>
      <w:pPr>
        <w:spacing w:after="0" w:line="171" w:lineRule="exact"/>
        <w:rPr>
          <w:sz w:val="20"/>
          <w:szCs w:val="20"/>
          <w:color w:val="auto"/>
        </w:rPr>
      </w:pPr>
    </w:p>
    <w:p>
      <w:pPr>
        <w:jc w:val="both"/>
        <w:ind w:right="100" w:firstLine="619"/>
        <w:spacing w:after="0" w:line="270" w:lineRule="auto"/>
        <w:rPr>
          <w:sz w:val="20"/>
          <w:szCs w:val="20"/>
          <w:color w:val="auto"/>
        </w:rPr>
      </w:pPr>
      <w:r>
        <w:rPr>
          <w:rFonts w:ascii="Times New Roman" w:cs="Times New Roman" w:eastAsia="Times New Roman" w:hAnsi="Times New Roman"/>
          <w:sz w:val="17"/>
          <w:szCs w:val="17"/>
          <w:color w:val="auto"/>
        </w:rPr>
        <w:t>For further information on our critical accounting estimates, see Item 7. "Management’s Discussion and Analysis of Financial Condition and Results of Operations" and the Notes to our audited consolidated financial statements included in our most recent Annual Report. There has been no material change to these estimates for the three months ended March 31, 2026.</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Executive Summary</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Financial Highlights</w:t>
      </w:r>
    </w:p>
    <w:p>
      <w:pPr>
        <w:spacing w:after="0" w:line="221" w:lineRule="exact"/>
        <w:rPr>
          <w:sz w:val="20"/>
          <w:szCs w:val="20"/>
          <w:color w:val="auto"/>
        </w:rPr>
      </w:pPr>
    </w:p>
    <w:p>
      <w:pPr>
        <w:jc w:val="both"/>
        <w:ind w:right="100" w:firstLine="619"/>
        <w:spacing w:after="0" w:line="287" w:lineRule="auto"/>
        <w:rPr>
          <w:sz w:val="20"/>
          <w:szCs w:val="20"/>
          <w:color w:val="auto"/>
        </w:rPr>
      </w:pPr>
      <w:r>
        <w:rPr>
          <w:rFonts w:ascii="Times New Roman" w:cs="Times New Roman" w:eastAsia="Times New Roman" w:hAnsi="Times New Roman"/>
          <w:sz w:val="17"/>
          <w:szCs w:val="17"/>
          <w:color w:val="auto"/>
        </w:rPr>
        <w:t>We reported total revenues and income from operations of $420.0 million and $333.3 million, respectively, for the three months ended March 31, 2026, compared to $395.2 million and $258.8 million, respectively, for the corresponding period in the prior year.</w:t>
      </w:r>
    </w:p>
    <w:p>
      <w:pPr>
        <w:spacing w:after="0" w:line="17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major factors affecting our results for the three months ended March 31, 2026, as compared to the three months ended March 31, 2025, were as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follows: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340"/>
          </w:cols>
          <w:pgMar w:left="320" w:top="996" w:right="239" w:bottom="1440" w:gutter="0" w:footer="0" w:header="0"/>
        </w:sectPr>
      </w:pPr>
    </w:p>
    <w:bookmarkStart w:id="43" w:name="page44"/>
    <w:bookmarkEnd w:id="43"/>
    <w:p>
      <w:pPr>
        <w:jc w:val="both"/>
        <w:ind w:left="307" w:hanging="307"/>
        <w:spacing w:after="0" w:line="254" w:lineRule="auto"/>
        <w:tabs>
          <w:tab w:leader="none" w:pos="296" w:val="left"/>
        </w:tabs>
        <w:numPr>
          <w:ilvl w:val="0"/>
          <w:numId w:val="23"/>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7"/>
          <w:szCs w:val="17"/>
          <w:color w:val="auto"/>
        </w:rPr>
        <w:t>Total income from real estate increased by $24.8 million to $420.0 million for the three months ended March 31, 2026 compared to $395.2 million for the corresponding period in the prior year. The reason for the increase was primarily due to our recent acquisitions and development activities which in the aggregate increased cash rental income by $28.2 million for the three months ended March 31, 2026. Additionally, the three months ended March 31, 2026 benefited by $4.4 million compared to the corresponding period in the prior year from escalations on our leases, higher accretion on its investment in leases of $0.5 million, favorable variable rents of $0.2 million and higher ground rent revenue of $0.3 million. Partially offsetting these increases were unfavorable straight-line rent adjustments of $8.9 million compared to the corresponding period in the prior year.</w:t>
      </w:r>
    </w:p>
    <w:p>
      <w:pPr>
        <w:spacing w:after="0" w:line="1" w:lineRule="exact"/>
        <w:rPr>
          <w:rFonts w:ascii="Times New Roman" w:cs="Times New Roman" w:eastAsia="Times New Roman" w:hAnsi="Times New Roman"/>
          <w:sz w:val="19"/>
          <w:szCs w:val="19"/>
          <w:b w:val="1"/>
          <w:bCs w:val="1"/>
          <w:color w:val="auto"/>
        </w:rPr>
      </w:pPr>
    </w:p>
    <w:p>
      <w:pPr>
        <w:jc w:val="both"/>
        <w:ind w:left="307" w:hanging="307"/>
        <w:spacing w:after="0" w:line="255" w:lineRule="auto"/>
        <w:tabs>
          <w:tab w:leader="none" w:pos="303" w:val="left"/>
        </w:tabs>
        <w:numPr>
          <w:ilvl w:val="0"/>
          <w:numId w:val="2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Total operating expenses decreased by $49.8 million for the three months ended March 31, 2026 as compared to the corresponding period in the prior year due to a decrease in the provision for credit losses of $49.4 million during the three months ended March 31, 2026. The provision decrease was due to the significant provision in the three month period ended March 31, 2025 that resulted from a more pessimistic forward looking economic forecast and higher weighting to such forecast at March 31, 2025 compared to December 31, 2024. Additionally, the benefit recorded during the three month period ended March 31, 2026 resulted from an improvement in the estimated real estate values that will comprise the Company's real estate portfolio for the Virginia Live! development project. Finally, general and administrative expenses decreased by $0.8 million due from lower stock based compensation expense compared to the prior year awards.</w:t>
      </w:r>
    </w:p>
    <w:p>
      <w:pPr>
        <w:spacing w:after="0" w:line="205" w:lineRule="exact"/>
        <w:rPr>
          <w:rFonts w:ascii="Times New Roman" w:cs="Times New Roman" w:eastAsia="Times New Roman" w:hAnsi="Times New Roman"/>
          <w:sz w:val="17"/>
          <w:szCs w:val="17"/>
          <w:b w:val="1"/>
          <w:bCs w:val="1"/>
          <w:color w:val="auto"/>
        </w:rPr>
      </w:pPr>
    </w:p>
    <w:p>
      <w:pPr>
        <w:ind w:left="307" w:hanging="307"/>
        <w:spacing w:after="0" w:line="287" w:lineRule="auto"/>
        <w:tabs>
          <w:tab w:leader="none" w:pos="303"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expenses increased by $5.5 million for the three months ended March 31, 2026, primarily due to lower interest income of $6.6 million from lower average interest earning balances in the current year partially offset by lower interest expense of $1.4 million.</w:t>
      </w:r>
    </w:p>
    <w:p>
      <w:pPr>
        <w:spacing w:after="0" w:line="177" w:lineRule="exact"/>
        <w:rPr>
          <w:rFonts w:ascii="Times New Roman" w:cs="Times New Roman" w:eastAsia="Times New Roman" w:hAnsi="Times New Roman"/>
          <w:sz w:val="17"/>
          <w:szCs w:val="17"/>
          <w:color w:val="auto"/>
        </w:rPr>
      </w:pPr>
    </w:p>
    <w:p>
      <w:pPr>
        <w:ind w:left="307" w:hanging="307"/>
        <w:spacing w:after="0" w:line="287" w:lineRule="auto"/>
        <w:tabs>
          <w:tab w:leader="none" w:pos="303"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Net income increased by $69.0 million for the three months ended March 31, 2026, as compared to the corresponding periods in the prior year, primarily due to the variances explained above.</w:t>
      </w:r>
    </w:p>
    <w:p>
      <w:pPr>
        <w:spacing w:after="0" w:line="200" w:lineRule="exact"/>
        <w:rPr>
          <w:sz w:val="20"/>
          <w:szCs w:val="20"/>
          <w:color w:val="auto"/>
        </w:rPr>
      </w:pPr>
    </w:p>
    <w:p>
      <w:pPr>
        <w:spacing w:after="0" w:line="274" w:lineRule="exact"/>
        <w:rPr>
          <w:sz w:val="20"/>
          <w:szCs w:val="20"/>
          <w:color w:val="auto"/>
        </w:rPr>
      </w:pPr>
    </w:p>
    <w:p>
      <w:pPr>
        <w:jc w:val="center"/>
        <w:ind w:right="293"/>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-208280</wp:posOffset>
            </wp:positionH>
            <wp:positionV relativeFrom="paragraph">
              <wp:posOffset>69850</wp:posOffset>
            </wp:positionV>
            <wp:extent cx="716407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927"/>
          </w:cols>
          <w:pgMar w:left="633" w:top="87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7"/>
          <w:szCs w:val="17"/>
          <w:b w:val="1"/>
          <w:bCs w:val="1"/>
          <w:color w:val="auto"/>
        </w:rPr>
        <w:t>Results of Operations</w:t>
      </w:r>
    </w:p>
    <w:p>
      <w:pPr>
        <w:spacing w:after="0" w:line="22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are the most important factors and trends that contribute or may contribute to our operating performance:</w:t>
      </w:r>
    </w:p>
    <w:p>
      <w:pPr>
        <w:spacing w:after="0" w:line="243" w:lineRule="exact"/>
        <w:rPr>
          <w:sz w:val="20"/>
          <w:szCs w:val="20"/>
          <w:color w:val="auto"/>
        </w:rPr>
      </w:pPr>
    </w:p>
    <w:p>
      <w:pPr>
        <w:ind w:left="620" w:hanging="307"/>
        <w:spacing w:after="0" w:line="287" w:lineRule="auto"/>
        <w:tabs>
          <w:tab w:leader="none" w:pos="616"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announced or closed numerous transactions in recent years and expect to continue to grow our portfolio by pursuing opportunities to acquire additional gaming facilities (either existing facilities or new development facilities) to lease to gaming operators under prudent terms.</w:t>
      </w:r>
    </w:p>
    <w:p>
      <w:pPr>
        <w:spacing w:after="0" w:line="17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Several wholly-owned subsidiaries of PENN lease a substantial number of our properties and account for a significant portion of our revenue.</w:t>
      </w:r>
    </w:p>
    <w:p>
      <w:pPr>
        <w:spacing w:after="0" w:line="242" w:lineRule="exact"/>
        <w:rPr>
          <w:rFonts w:ascii="Times New Roman" w:cs="Times New Roman" w:eastAsia="Times New Roman" w:hAnsi="Times New Roman"/>
          <w:sz w:val="17"/>
          <w:szCs w:val="17"/>
          <w:color w:val="auto"/>
        </w:rPr>
      </w:pPr>
    </w:p>
    <w:p>
      <w:pPr>
        <w:jc w:val="both"/>
        <w:ind w:left="620" w:hanging="307"/>
        <w:spacing w:after="0" w:line="270" w:lineRule="auto"/>
        <w:tabs>
          <w:tab w:leader="none" w:pos="616"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risks related to economic conditions, including volatility in the financial markets, high inflation levels and the effect of such conditions on consumer spending for leisure and gaming activities, which may negatively impact our gaming tenants and operators and the variable rent and certain annual rent escalators we receive from our tenants.</w:t>
      </w:r>
    </w:p>
    <w:p>
      <w:pPr>
        <w:spacing w:after="0" w:line="19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ability to refinance our significant levels of debt at attractive terms and obtain favorable funding in connection with future business opportunities.</w:t>
      </w:r>
    </w:p>
    <w:p>
      <w:pPr>
        <w:spacing w:after="0" w:line="217" w:lineRule="exact"/>
        <w:rPr>
          <w:rFonts w:ascii="Times New Roman" w:cs="Times New Roman" w:eastAsia="Times New Roman" w:hAnsi="Times New Roman"/>
          <w:sz w:val="17"/>
          <w:szCs w:val="17"/>
          <w:color w:val="auto"/>
        </w:rPr>
      </w:pPr>
    </w:p>
    <w:p>
      <w:pPr>
        <w:jc w:val="both"/>
        <w:ind w:left="620" w:hanging="307"/>
        <w:spacing w:after="0" w:line="270" w:lineRule="auto"/>
        <w:tabs>
          <w:tab w:leader="none" w:pos="616"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fact that the rules and regulations of U.S. federal income taxation are constantly under review by legislators, the Internal Revenue Service and the U.S. Department of the Treasury. Changes to the tax laws or interpretations thereof, with or without retroactive application, could materially and adversely affect GLPI's investors or GLPI.</w:t>
      </w:r>
    </w:p>
    <w:p>
      <w:pPr>
        <w:spacing w:after="0" w:line="191" w:lineRule="exact"/>
        <w:rPr>
          <w:rFonts w:ascii="Times New Roman" w:cs="Times New Roman" w:eastAsia="Times New Roman" w:hAnsi="Times New Roman"/>
          <w:sz w:val="17"/>
          <w:szCs w:val="17"/>
          <w:color w:val="auto"/>
        </w:rPr>
      </w:pPr>
    </w:p>
    <w:p>
      <w:pPr>
        <w:ind w:left="6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consolidated results of operations for the three months ended March 31, 2026 and 2025 are summarized below:</w:t>
      </w:r>
    </w:p>
    <w:p>
      <w:pPr>
        <w:spacing w:after="0" w:line="41" w:lineRule="exact"/>
        <w:rPr>
          <w:sz w:val="20"/>
          <w:szCs w:val="20"/>
          <w:color w:val="auto"/>
        </w:rPr>
      </w:pPr>
    </w:p>
    <w:tbl>
      <w:tblPr>
        <w:tblLayout w:type="fixed"/>
        <w:tblInd w:w="3320" w:type="dxa"/>
        <w:tblCellMar>
          <w:top w:w="0" w:type="dxa"/>
          <w:left w:w="0" w:type="dxa"/>
          <w:bottom w:w="0" w:type="dxa"/>
          <w:right w:w="0" w:type="dxa"/>
        </w:tblCellMar>
      </w:tblPr>
      <w:tr>
        <w:trPr>
          <w:trHeight w:val="182"/>
        </w:trPr>
        <w:tc>
          <w:tcPr>
            <w:tcW w:w="44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76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2"/>
        </w:trPr>
        <w:tc>
          <w:tcPr>
            <w:tcW w:w="44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1"/>
        </w:trPr>
        <w:tc>
          <w:tcPr>
            <w:tcW w:w="44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7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auto"/>
            </w:tcBorders>
          </w:tcPr>
          <w:p>
            <w:pPr>
              <w:spacing w:after="0"/>
              <w:rPr>
                <w:sz w:val="15"/>
                <w:szCs w:val="15"/>
                <w:color w:val="auto"/>
              </w:rPr>
            </w:pPr>
          </w:p>
        </w:tc>
      </w:tr>
      <w:tr>
        <w:trPr>
          <w:trHeight w:val="186"/>
        </w:trPr>
        <w:tc>
          <w:tcPr>
            <w:tcW w:w="4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25"/>
        </w:trPr>
        <w:tc>
          <w:tcPr>
            <w:tcW w:w="4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Total revenues</w:t>
            </w:r>
          </w:p>
        </w:tc>
        <w:tc>
          <w:tcPr>
            <w:tcW w:w="3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419,985</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395,235</w:t>
            </w:r>
          </w:p>
        </w:tc>
        <w:tc>
          <w:tcPr>
            <w:tcW w:w="120" w:type="dxa"/>
            <w:vAlign w:val="bottom"/>
            <w:shd w:val="clear" w:color="auto" w:fill="CCEEFF"/>
          </w:tcPr>
          <w:p>
            <w:pPr>
              <w:spacing w:after="0"/>
              <w:rPr>
                <w:sz w:val="19"/>
                <w:szCs w:val="19"/>
                <w:color w:val="auto"/>
              </w:rPr>
            </w:pPr>
          </w:p>
        </w:tc>
      </w:tr>
      <w:tr>
        <w:trPr>
          <w:trHeight w:val="219"/>
        </w:trPr>
        <w:tc>
          <w:tcPr>
            <w:tcW w:w="44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7"/>
                <w:szCs w:val="17"/>
                <w:color w:val="auto"/>
              </w:rPr>
              <w:t>Total operating expenses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86,636</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136,401</w:t>
            </w:r>
          </w:p>
        </w:tc>
        <w:tc>
          <w:tcPr>
            <w:tcW w:w="120" w:type="dxa"/>
            <w:vAlign w:val="bottom"/>
            <w:tcBorders>
              <w:bottom w:val="single" w:sz="8" w:color="CCEEFF"/>
            </w:tcBorders>
          </w:tcPr>
          <w:p>
            <w:pPr>
              <w:spacing w:after="0"/>
              <w:rPr>
                <w:sz w:val="19"/>
                <w:szCs w:val="19"/>
                <w:color w:val="auto"/>
              </w:rPr>
            </w:pPr>
          </w:p>
        </w:tc>
      </w:tr>
      <w:tr>
        <w:trPr>
          <w:trHeight w:val="212"/>
        </w:trPr>
        <w:tc>
          <w:tcPr>
            <w:tcW w:w="4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Income from operations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333,349</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258,834</w:t>
            </w:r>
          </w:p>
        </w:tc>
        <w:tc>
          <w:tcPr>
            <w:tcW w:w="120" w:type="dxa"/>
            <w:vAlign w:val="bottom"/>
            <w:shd w:val="clear" w:color="auto" w:fill="CCEEFF"/>
          </w:tcPr>
          <w:p>
            <w:pPr>
              <w:spacing w:after="0"/>
              <w:rPr>
                <w:sz w:val="18"/>
                <w:szCs w:val="18"/>
                <w:color w:val="auto"/>
              </w:rPr>
            </w:pPr>
          </w:p>
        </w:tc>
      </w:tr>
      <w:tr>
        <w:trPr>
          <w:trHeight w:val="219"/>
        </w:trPr>
        <w:tc>
          <w:tcPr>
            <w:tcW w:w="44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7"/>
                <w:szCs w:val="17"/>
                <w:color w:val="auto"/>
              </w:rPr>
              <w:t>Total other expenses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(93,387)</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(87,916)</w:t>
            </w:r>
          </w:p>
        </w:tc>
        <w:tc>
          <w:tcPr>
            <w:tcW w:w="120" w:type="dxa"/>
            <w:vAlign w:val="bottom"/>
            <w:tcBorders>
              <w:bottom w:val="single" w:sz="8" w:color="CCEEFF"/>
            </w:tcBorders>
          </w:tcPr>
          <w:p>
            <w:pPr>
              <w:spacing w:after="0"/>
              <w:rPr>
                <w:sz w:val="19"/>
                <w:szCs w:val="19"/>
                <w:color w:val="auto"/>
              </w:rPr>
            </w:pPr>
          </w:p>
        </w:tc>
      </w:tr>
      <w:tr>
        <w:trPr>
          <w:trHeight w:val="212"/>
        </w:trPr>
        <w:tc>
          <w:tcPr>
            <w:tcW w:w="4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Income before income taxes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239,962</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170,918</w:t>
            </w:r>
          </w:p>
        </w:tc>
        <w:tc>
          <w:tcPr>
            <w:tcW w:w="120" w:type="dxa"/>
            <w:vAlign w:val="bottom"/>
            <w:shd w:val="clear" w:color="auto" w:fill="CCEEFF"/>
          </w:tcPr>
          <w:p>
            <w:pPr>
              <w:spacing w:after="0"/>
              <w:rPr>
                <w:sz w:val="18"/>
                <w:szCs w:val="18"/>
                <w:color w:val="auto"/>
              </w:rPr>
            </w:pPr>
          </w:p>
        </w:tc>
      </w:tr>
      <w:tr>
        <w:trPr>
          <w:trHeight w:val="219"/>
        </w:trPr>
        <w:tc>
          <w:tcPr>
            <w:tcW w:w="44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7"/>
                <w:szCs w:val="17"/>
                <w:color w:val="auto"/>
              </w:rPr>
              <w:t>Income tax expense</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560</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564</w:t>
            </w:r>
          </w:p>
        </w:tc>
        <w:tc>
          <w:tcPr>
            <w:tcW w:w="120" w:type="dxa"/>
            <w:vAlign w:val="bottom"/>
            <w:tcBorders>
              <w:bottom w:val="single" w:sz="8" w:color="CCEEFF"/>
            </w:tcBorders>
          </w:tcPr>
          <w:p>
            <w:pPr>
              <w:spacing w:after="0"/>
              <w:rPr>
                <w:sz w:val="19"/>
                <w:szCs w:val="19"/>
                <w:color w:val="auto"/>
              </w:rPr>
            </w:pPr>
          </w:p>
        </w:tc>
      </w:tr>
      <w:tr>
        <w:trPr>
          <w:trHeight w:val="212"/>
        </w:trPr>
        <w:tc>
          <w:tcPr>
            <w:tcW w:w="4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Net income</w:t>
            </w:r>
          </w:p>
        </w:tc>
        <w:tc>
          <w:tcPr>
            <w:tcW w:w="3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239,402</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170,354</w:t>
            </w:r>
          </w:p>
        </w:tc>
        <w:tc>
          <w:tcPr>
            <w:tcW w:w="120" w:type="dxa"/>
            <w:vAlign w:val="bottom"/>
            <w:shd w:val="clear" w:color="auto" w:fill="CCEEFF"/>
          </w:tcPr>
          <w:p>
            <w:pPr>
              <w:spacing w:after="0"/>
              <w:rPr>
                <w:sz w:val="18"/>
                <w:szCs w:val="18"/>
                <w:color w:val="auto"/>
              </w:rPr>
            </w:pPr>
          </w:p>
        </w:tc>
      </w:tr>
      <w:tr>
        <w:trPr>
          <w:trHeight w:val="168"/>
        </w:trPr>
        <w:tc>
          <w:tcPr>
            <w:tcW w:w="4440" w:type="dxa"/>
            <w:vAlign w:val="bottom"/>
          </w:tcPr>
          <w:p>
            <w:pPr>
              <w:ind w:left="40"/>
              <w:spacing w:after="0" w:line="167" w:lineRule="exact"/>
              <w:rPr>
                <w:sz w:val="20"/>
                <w:szCs w:val="20"/>
                <w:color w:val="auto"/>
              </w:rPr>
            </w:pPr>
            <w:r>
              <w:rPr>
                <w:rFonts w:ascii="Times New Roman" w:cs="Times New Roman" w:eastAsia="Times New Roman" w:hAnsi="Times New Roman"/>
                <w:sz w:val="17"/>
                <w:szCs w:val="17"/>
                <w:color w:val="auto"/>
              </w:rPr>
              <w:t>Net income attributable to non-controlling interest in the</w:t>
            </w: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32"/>
        </w:trPr>
        <w:tc>
          <w:tcPr>
            <w:tcW w:w="44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7"/>
                <w:szCs w:val="17"/>
                <w:color w:val="auto"/>
              </w:rPr>
              <w:t>Operating Partnership</w:t>
            </w: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(7,573)</w:t>
            </w:r>
          </w:p>
        </w:tc>
        <w:tc>
          <w:tcPr>
            <w:tcW w:w="12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(5,170)</w:t>
            </w:r>
          </w:p>
        </w:tc>
        <w:tc>
          <w:tcPr>
            <w:tcW w:w="120" w:type="dxa"/>
            <w:vAlign w:val="bottom"/>
            <w:tcBorders>
              <w:bottom w:val="single" w:sz="8" w:color="CCEEFF"/>
            </w:tcBorders>
          </w:tcPr>
          <w:p>
            <w:pPr>
              <w:spacing w:after="0"/>
              <w:rPr>
                <w:sz w:val="20"/>
                <w:szCs w:val="20"/>
                <w:color w:val="auto"/>
              </w:rPr>
            </w:pPr>
          </w:p>
        </w:tc>
      </w:tr>
      <w:tr>
        <w:trPr>
          <w:trHeight w:val="237"/>
        </w:trPr>
        <w:tc>
          <w:tcPr>
            <w:tcW w:w="4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Net income attributable to common shareholders</w:t>
            </w:r>
          </w:p>
        </w:tc>
        <w:tc>
          <w:tcPr>
            <w:tcW w:w="32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231,829</w:t>
            </w: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165,184</w:t>
            </w:r>
          </w:p>
        </w:tc>
        <w:tc>
          <w:tcPr>
            <w:tcW w:w="120" w:type="dxa"/>
            <w:vAlign w:val="bottom"/>
            <w:tcBorders>
              <w:bottom w:val="single" w:sz="8" w:color="CCEEFF"/>
            </w:tcBorders>
            <w:shd w:val="clear" w:color="auto" w:fill="CCEEFF"/>
          </w:tcPr>
          <w:p>
            <w:pPr>
              <w:spacing w:after="0"/>
              <w:rPr>
                <w:sz w:val="20"/>
                <w:szCs w:val="20"/>
                <w:color w:val="auto"/>
              </w:rPr>
            </w:pP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r>
    </w:tbl>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FFO, AFFO and Adjusted EBITDA</w:t>
      </w:r>
    </w:p>
    <w:p>
      <w:pPr>
        <w:spacing w:after="0" w:line="221"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Funds From Operations ("FFO"), Adjusted Funds From Operations ("AFFO") and Adjusted EBITDA are non-U.S. generally accepted accounting principles ("GAAP") financial measures used by the Company as performance measures for benchmarking against the Company’s peers and as internal measures of business operating performance, which is used as a bonus metric. These metrics are presented assuming full conversion of limited partnership units to common shares and therefore before the income statement impact of non-controlling interests. The Company believes FFO, AFFO and Adjusted EBITDA provide a meaningful perspective of the underlying operating performance of the Company’s current business. This is especially true since these measures exclude real estate depreciation and we believe that real estate values fluctuate based on market conditions rather than depreciating in value ratably on a straight-line basis over time.</w:t>
      </w:r>
    </w:p>
    <w:p>
      <w:pPr>
        <w:spacing w:after="0" w:line="199"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FFO, AFFO and Adjusted EBITDA are non-GAAP financial measures that are considered supplemental measures for the real estate industry and a supplement to GAAP measures. The National Association of Real Estate Investment Trusts defines FFO as net income (computed in accordance with GAAP), excluding (gains) or losses from dispositions of property and real estate depreciation. We define AFFO as FFO excluding, as applicable to the particular period, stock based compensation expense; the amortization of debt issuance costs, bond premiums and original issuance discounts; other depreciation; amortization of land rights; accretion on investment in leases; non-cash adjustments to financing lease liabilities; straight-line rent and deferred rent adjustments; losses on debt extinguishment and other financing costs; severance charges; capitalized interest; and provision (benefit) for credit losses, net, reduced by capital maintenance expenditures. Finally, we define Adjusted EBITDA as net income</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sectPr>
      </w:pPr>
    </w:p>
    <w:bookmarkStart w:id="45" w:name="page46"/>
    <w:bookmarkEnd w:id="45"/>
    <w:p>
      <w:pPr>
        <w:jc w:val="both"/>
        <w:spacing w:after="0" w:line="264" w:lineRule="auto"/>
        <w:rPr>
          <w:sz w:val="20"/>
          <w:szCs w:val="20"/>
          <w:color w:val="auto"/>
        </w:rPr>
      </w:pPr>
      <w:r>
        <w:rPr>
          <w:rFonts w:ascii="Times New Roman" w:cs="Times New Roman" w:eastAsia="Times New Roman" w:hAnsi="Times New Roman"/>
          <w:sz w:val="17"/>
          <w:szCs w:val="17"/>
          <w:color w:val="auto"/>
        </w:rPr>
        <w:t>excluding, as applicable to the particular period, interest, net; income tax expense; real estate depreciation; other depreciation; (gains) or losses from dispositions of property; stock based compensation expense; straight-line rent and deferred rent adjustments; amortization of land rights; accretion on investment in leases; non-cash adjustments to financing lease liabilities; losses on debt extinguishment and other financing costs; severance charges; and provision (benefit) for credit losses, net.</w:t>
      </w:r>
    </w:p>
    <w:p>
      <w:pPr>
        <w:spacing w:after="0" w:line="197"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FFO, AFFO and Adjusted EBITDA are not recognized terms under GAAP. These non-GAAP financial measures: (i) do not represent cash flows from operations as defined by GAAP; (ii) should not be considered as an alternative to net income as a measure of operating performance or to cash flows from operating, investing and financing activities; and (iii) are not alternatives to cash flows as a measure of liquidity. In addition, these measures should not be viewed as an indication of our ability to fund our cash needs, including to make cash distributions to our shareholders, to fund capital improvements, or to make interest payments on our indebtedness. Investors are also cautioned that FFO, AFFO and Adjusted EBITDA, as presented, may not be comparable to similarly titled measures reported by other real estate companies, including REITs, due to the fact that not all real estate companies use the same definitions. Our presentation of these measures does not replace the presentation of our financial results in accordance with GAAP.</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46" w:name="page47"/>
    <w:bookmarkEnd w:id="46"/>
    <w:p>
      <w:pPr>
        <w:ind w:right="60" w:firstLine="659"/>
        <w:spacing w:after="0" w:line="272" w:lineRule="auto"/>
        <w:rPr>
          <w:sz w:val="20"/>
          <w:szCs w:val="20"/>
          <w:color w:val="auto"/>
        </w:rPr>
      </w:pPr>
      <w:r>
        <w:rPr>
          <w:rFonts w:ascii="Times New Roman" w:cs="Times New Roman" w:eastAsia="Times New Roman" w:hAnsi="Times New Roman"/>
          <w:sz w:val="17"/>
          <w:szCs w:val="17"/>
          <w:color w:val="auto"/>
        </w:rPr>
        <w:t>The reconciliation of the Company’s net income per GAAP to FFO, AFFO, and Adjusted EBITDA for the three months ended March 31, 2026 and 2025 is as follows:</w:t>
      </w:r>
    </w:p>
    <w:tbl>
      <w:tblPr>
        <w:tblLayout w:type="fixed"/>
        <w:tblInd w:w="0" w:type="dxa"/>
        <w:tblCellMar>
          <w:top w:w="0" w:type="dxa"/>
          <w:left w:w="0" w:type="dxa"/>
          <w:bottom w:w="0" w:type="dxa"/>
          <w:right w:w="0" w:type="dxa"/>
        </w:tblCellMar>
      </w:tblPr>
      <w:tr>
        <w:trPr>
          <w:trHeight w:val="182"/>
        </w:trPr>
        <w:tc>
          <w:tcPr>
            <w:tcW w:w="5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8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71"/>
        </w:trPr>
        <w:tc>
          <w:tcPr>
            <w:tcW w:w="5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540" w:type="dxa"/>
            <w:vAlign w:val="bottom"/>
            <w:gridSpan w:val="3"/>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2"/>
        </w:trPr>
        <w:tc>
          <w:tcPr>
            <w:tcW w:w="5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1"/>
        </w:trPr>
        <w:tc>
          <w:tcPr>
            <w:tcW w:w="5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5"/>
                <w:szCs w:val="15"/>
                <w:color w:val="auto"/>
              </w:rPr>
            </w:pPr>
          </w:p>
        </w:tc>
      </w:tr>
      <w:tr>
        <w:trPr>
          <w:trHeight w:val="186"/>
        </w:trPr>
        <w:tc>
          <w:tcPr>
            <w:tcW w:w="5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25"/>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income</w:t>
            </w:r>
          </w:p>
        </w:tc>
        <w:tc>
          <w:tcPr>
            <w:tcW w:w="420" w:type="dxa"/>
            <w:vAlign w:val="bottom"/>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239,402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170,354</w:t>
            </w:r>
          </w:p>
        </w:tc>
        <w:tc>
          <w:tcPr>
            <w:tcW w:w="100" w:type="dxa"/>
            <w:vAlign w:val="bottom"/>
            <w:shd w:val="clear" w:color="auto" w:fill="CCEEFF"/>
          </w:tcPr>
          <w:p>
            <w:pPr>
              <w:spacing w:after="0"/>
              <w:rPr>
                <w:sz w:val="19"/>
                <w:szCs w:val="19"/>
                <w:color w:val="auto"/>
              </w:rPr>
            </w:pPr>
          </w:p>
        </w:tc>
      </w:tr>
      <w:tr>
        <w:trPr>
          <w:trHeight w:val="219"/>
        </w:trPr>
        <w:tc>
          <w:tcPr>
            <w:tcW w:w="5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Gains from dispositions of property</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w:t>
            </w:r>
          </w:p>
        </w:tc>
        <w:tc>
          <w:tcPr>
            <w:tcW w:w="100" w:type="dxa"/>
            <w:vAlign w:val="bottom"/>
          </w:tcPr>
          <w:p>
            <w:pPr>
              <w:spacing w:after="0"/>
              <w:rPr>
                <w:sz w:val="19"/>
                <w:szCs w:val="19"/>
                <w:color w:val="auto"/>
              </w:rPr>
            </w:pPr>
          </w:p>
        </w:tc>
      </w:tr>
      <w:tr>
        <w:trPr>
          <w:trHeight w:val="219"/>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Real estate depreciation</w:t>
            </w:r>
          </w:p>
        </w:tc>
        <w:tc>
          <w:tcPr>
            <w:tcW w:w="1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64,552</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64,529</w:t>
            </w:r>
          </w:p>
        </w:tc>
        <w:tc>
          <w:tcPr>
            <w:tcW w:w="100" w:type="dxa"/>
            <w:vAlign w:val="bottom"/>
            <w:shd w:val="clear" w:color="auto" w:fill="CCEEFF"/>
          </w:tcPr>
          <w:p>
            <w:pPr>
              <w:spacing w:after="0"/>
              <w:rPr>
                <w:sz w:val="19"/>
                <w:szCs w:val="19"/>
                <w:color w:val="auto"/>
              </w:rPr>
            </w:pPr>
          </w:p>
        </w:tc>
      </w:tr>
      <w:tr>
        <w:trPr>
          <w:trHeight w:val="212"/>
        </w:trPr>
        <w:tc>
          <w:tcPr>
            <w:tcW w:w="53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Funds from operations</w:t>
            </w:r>
          </w:p>
        </w:tc>
        <w:tc>
          <w:tcPr>
            <w:tcW w:w="420" w:type="dxa"/>
            <w:vAlign w:val="bottom"/>
            <w:gridSpan w:val="2"/>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303,954</w:t>
            </w:r>
          </w:p>
        </w:tc>
        <w:tc>
          <w:tcPr>
            <w:tcW w:w="100" w:type="dxa"/>
            <w:vAlign w:val="bottom"/>
          </w:tcPr>
          <w:p>
            <w:pPr>
              <w:spacing w:after="0"/>
              <w:rPr>
                <w:sz w:val="18"/>
                <w:szCs w:val="18"/>
                <w:color w:val="auto"/>
              </w:rPr>
            </w:pPr>
          </w:p>
        </w:tc>
        <w:tc>
          <w:tcPr>
            <w:tcW w:w="460" w:type="dxa"/>
            <w:vAlign w:val="bottom"/>
          </w:tcPr>
          <w:p>
            <w:pPr>
              <w:jc w:val="right"/>
              <w:ind w:right="27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234,758</w:t>
            </w:r>
          </w:p>
        </w:tc>
        <w:tc>
          <w:tcPr>
            <w:tcW w:w="100" w:type="dxa"/>
            <w:vAlign w:val="bottom"/>
          </w:tcPr>
          <w:p>
            <w:pPr>
              <w:spacing w:after="0"/>
              <w:rPr>
                <w:sz w:val="18"/>
                <w:szCs w:val="18"/>
                <w:color w:val="auto"/>
              </w:rPr>
            </w:pPr>
          </w:p>
        </w:tc>
      </w:tr>
      <w:tr>
        <w:trPr>
          <w:trHeight w:val="219"/>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Straight-line rent and deferred rent adjustments</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(8,412)</w:t>
            </w:r>
          </w:p>
        </w:tc>
        <w:tc>
          <w:tcPr>
            <w:tcW w:w="100" w:type="dxa"/>
            <w:vAlign w:val="bottom"/>
            <w:shd w:val="clear" w:color="auto" w:fill="CCEEFF"/>
          </w:tcPr>
          <w:p>
            <w:pPr>
              <w:spacing w:after="0"/>
              <w:rPr>
                <w:sz w:val="19"/>
                <w:szCs w:val="19"/>
                <w:color w:val="auto"/>
              </w:rPr>
            </w:pPr>
          </w:p>
        </w:tc>
      </w:tr>
      <w:tr>
        <w:trPr>
          <w:trHeight w:val="219"/>
        </w:trPr>
        <w:tc>
          <w:tcPr>
            <w:tcW w:w="5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depreciation</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483</w:t>
            </w:r>
          </w:p>
        </w:tc>
        <w:tc>
          <w:tcPr>
            <w:tcW w:w="100" w:type="dxa"/>
            <w:vAlign w:val="bottom"/>
          </w:tcPr>
          <w:p>
            <w:pPr>
              <w:spacing w:after="0"/>
              <w:rPr>
                <w:sz w:val="19"/>
                <w:szCs w:val="19"/>
                <w:color w:val="auto"/>
              </w:rPr>
            </w:pPr>
          </w:p>
        </w:tc>
      </w:tr>
      <w:tr>
        <w:trPr>
          <w:trHeight w:val="219"/>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Provision (benefit) for credit losses, net</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(10,137)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39,246</w:t>
            </w:r>
          </w:p>
        </w:tc>
        <w:tc>
          <w:tcPr>
            <w:tcW w:w="100" w:type="dxa"/>
            <w:vAlign w:val="bottom"/>
            <w:shd w:val="clear" w:color="auto" w:fill="CCEEFF"/>
          </w:tcPr>
          <w:p>
            <w:pPr>
              <w:spacing w:after="0"/>
              <w:rPr>
                <w:sz w:val="19"/>
                <w:szCs w:val="19"/>
                <w:color w:val="auto"/>
              </w:rPr>
            </w:pPr>
          </w:p>
        </w:tc>
      </w:tr>
      <w:tr>
        <w:trPr>
          <w:trHeight w:val="219"/>
        </w:trPr>
        <w:tc>
          <w:tcPr>
            <w:tcW w:w="5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Amortization of land rights</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4,270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4,270</w:t>
            </w:r>
          </w:p>
        </w:tc>
        <w:tc>
          <w:tcPr>
            <w:tcW w:w="100" w:type="dxa"/>
            <w:vAlign w:val="bottom"/>
          </w:tcPr>
          <w:p>
            <w:pPr>
              <w:spacing w:after="0"/>
              <w:rPr>
                <w:sz w:val="19"/>
                <w:szCs w:val="19"/>
                <w:color w:val="auto"/>
              </w:rPr>
            </w:pPr>
          </w:p>
        </w:tc>
      </w:tr>
      <w:tr>
        <w:trPr>
          <w:trHeight w:val="168"/>
        </w:trPr>
        <w:tc>
          <w:tcPr>
            <w:tcW w:w="5360" w:type="dxa"/>
            <w:vAlign w:val="bottom"/>
            <w:shd w:val="clear" w:color="auto" w:fill="CCEEFF"/>
          </w:tcPr>
          <w:p>
            <w:pPr>
              <w:ind w:left="20"/>
              <w:spacing w:after="0" w:line="167" w:lineRule="exact"/>
              <w:rPr>
                <w:sz w:val="20"/>
                <w:szCs w:val="20"/>
                <w:color w:val="auto"/>
              </w:rPr>
            </w:pPr>
            <w:r>
              <w:rPr>
                <w:rFonts w:ascii="Times New Roman" w:cs="Times New Roman" w:eastAsia="Times New Roman" w:hAnsi="Times New Roman"/>
                <w:sz w:val="17"/>
                <w:szCs w:val="17"/>
                <w:color w:val="auto"/>
              </w:rPr>
              <w:t>Amortization of debt issuance costs, bond premiums and original issuance</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232"/>
        </w:trPr>
        <w:tc>
          <w:tcPr>
            <w:tcW w:w="5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discounts</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3,468</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3,232</w:t>
            </w:r>
          </w:p>
        </w:tc>
        <w:tc>
          <w:tcPr>
            <w:tcW w:w="100" w:type="dxa"/>
            <w:vAlign w:val="bottom"/>
            <w:shd w:val="clear" w:color="auto" w:fill="CCEEFF"/>
          </w:tcPr>
          <w:p>
            <w:pPr>
              <w:spacing w:after="0"/>
              <w:rPr>
                <w:sz w:val="20"/>
                <w:szCs w:val="20"/>
                <w:color w:val="auto"/>
              </w:rPr>
            </w:pPr>
          </w:p>
        </w:tc>
      </w:tr>
      <w:tr>
        <w:trPr>
          <w:trHeight w:val="219"/>
        </w:trPr>
        <w:tc>
          <w:tcPr>
            <w:tcW w:w="5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Stock based compensation</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8,104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8,858</w:t>
            </w:r>
          </w:p>
        </w:tc>
        <w:tc>
          <w:tcPr>
            <w:tcW w:w="100" w:type="dxa"/>
            <w:vAlign w:val="bottom"/>
          </w:tcPr>
          <w:p>
            <w:pPr>
              <w:spacing w:after="0"/>
              <w:rPr>
                <w:sz w:val="19"/>
                <w:szCs w:val="19"/>
                <w:color w:val="auto"/>
              </w:rPr>
            </w:pPr>
          </w:p>
        </w:tc>
      </w:tr>
      <w:tr>
        <w:trPr>
          <w:trHeight w:val="219"/>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Losses on debt extinguishment and other financing costs</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5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Accretion on investment in leases</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(7,412)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(6,896)</w:t>
            </w:r>
          </w:p>
        </w:tc>
        <w:tc>
          <w:tcPr>
            <w:tcW w:w="100" w:type="dxa"/>
            <w:vAlign w:val="bottom"/>
          </w:tcPr>
          <w:p>
            <w:pPr>
              <w:spacing w:after="0"/>
              <w:rPr>
                <w:sz w:val="19"/>
                <w:szCs w:val="19"/>
                <w:color w:val="auto"/>
              </w:rPr>
            </w:pPr>
          </w:p>
        </w:tc>
      </w:tr>
      <w:tr>
        <w:trPr>
          <w:trHeight w:val="219"/>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Non-cash adjustment to financing lease liabilities</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w:t>
            </w:r>
          </w:p>
        </w:tc>
        <w:tc>
          <w:tcPr>
            <w:tcW w:w="100" w:type="dxa"/>
            <w:vAlign w:val="bottom"/>
            <w:shd w:val="clear" w:color="auto" w:fill="CCEEFF"/>
          </w:tcPr>
          <w:p>
            <w:pPr>
              <w:spacing w:after="0"/>
              <w:rPr>
                <w:sz w:val="19"/>
                <w:szCs w:val="19"/>
                <w:color w:val="auto"/>
              </w:rPr>
            </w:pPr>
          </w:p>
        </w:tc>
      </w:tr>
      <w:tr>
        <w:trPr>
          <w:trHeight w:val="219"/>
        </w:trPr>
        <w:tc>
          <w:tcPr>
            <w:tcW w:w="5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Capitalized interest</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(6,430)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(3,605)</w:t>
            </w:r>
          </w:p>
        </w:tc>
        <w:tc>
          <w:tcPr>
            <w:tcW w:w="100" w:type="dxa"/>
            <w:vAlign w:val="bottom"/>
          </w:tcPr>
          <w:p>
            <w:pPr>
              <w:spacing w:after="0"/>
              <w:rPr>
                <w:sz w:val="19"/>
                <w:szCs w:val="19"/>
                <w:color w:val="auto"/>
              </w:rPr>
            </w:pPr>
          </w:p>
        </w:tc>
      </w:tr>
      <w:tr>
        <w:trPr>
          <w:trHeight w:val="219"/>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Capital maintenance expenditures</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100" w:type="dxa"/>
            <w:vAlign w:val="bottom"/>
            <w:shd w:val="clear" w:color="auto" w:fill="CCEEFF"/>
          </w:tcPr>
          <w:p>
            <w:pPr>
              <w:spacing w:after="0"/>
              <w:rPr>
                <w:sz w:val="19"/>
                <w:szCs w:val="19"/>
                <w:color w:val="auto"/>
              </w:rPr>
            </w:pPr>
          </w:p>
        </w:tc>
      </w:tr>
      <w:tr>
        <w:trPr>
          <w:trHeight w:val="212"/>
        </w:trPr>
        <w:tc>
          <w:tcPr>
            <w:tcW w:w="53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Adjusted funds from operations</w:t>
            </w:r>
          </w:p>
        </w:tc>
        <w:tc>
          <w:tcPr>
            <w:tcW w:w="420" w:type="dxa"/>
            <w:vAlign w:val="bottom"/>
            <w:tcBorders>
              <w:top w:val="single" w:sz="8" w:color="auto"/>
            </w:tcBorders>
            <w:gridSpan w:val="2"/>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297,139</w:t>
            </w:r>
          </w:p>
        </w:tc>
        <w:tc>
          <w:tcPr>
            <w:tcW w:w="100" w:type="dxa"/>
            <w:vAlign w:val="bottom"/>
          </w:tcPr>
          <w:p>
            <w:pPr>
              <w:spacing w:after="0"/>
              <w:rPr>
                <w:sz w:val="18"/>
                <w:szCs w:val="18"/>
                <w:color w:val="auto"/>
              </w:rPr>
            </w:pPr>
          </w:p>
        </w:tc>
        <w:tc>
          <w:tcPr>
            <w:tcW w:w="460" w:type="dxa"/>
            <w:vAlign w:val="bottom"/>
            <w:tcBorders>
              <w:top w:val="single" w:sz="8" w:color="auto"/>
            </w:tcBorders>
          </w:tcPr>
          <w:p>
            <w:pPr>
              <w:jc w:val="right"/>
              <w:ind w:right="27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271,996</w:t>
            </w:r>
          </w:p>
        </w:tc>
        <w:tc>
          <w:tcPr>
            <w:tcW w:w="100" w:type="dxa"/>
            <w:vAlign w:val="bottom"/>
          </w:tcPr>
          <w:p>
            <w:pPr>
              <w:spacing w:after="0"/>
              <w:rPr>
                <w:sz w:val="18"/>
                <w:szCs w:val="18"/>
                <w:color w:val="auto"/>
              </w:rPr>
            </w:pPr>
          </w:p>
        </w:tc>
      </w:tr>
      <w:tr>
        <w:trPr>
          <w:trHeight w:val="219"/>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net</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92,346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87,149</w:t>
            </w:r>
          </w:p>
        </w:tc>
        <w:tc>
          <w:tcPr>
            <w:tcW w:w="100" w:type="dxa"/>
            <w:vAlign w:val="bottom"/>
            <w:shd w:val="clear" w:color="auto" w:fill="CCEEFF"/>
          </w:tcPr>
          <w:p>
            <w:pPr>
              <w:spacing w:after="0"/>
              <w:rPr>
                <w:sz w:val="19"/>
                <w:szCs w:val="19"/>
                <w:color w:val="auto"/>
              </w:rPr>
            </w:pPr>
          </w:p>
        </w:tc>
      </w:tr>
      <w:tr>
        <w:trPr>
          <w:trHeight w:val="219"/>
        </w:trPr>
        <w:tc>
          <w:tcPr>
            <w:tcW w:w="5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Income tax expense</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564</w:t>
            </w:r>
          </w:p>
        </w:tc>
        <w:tc>
          <w:tcPr>
            <w:tcW w:w="100" w:type="dxa"/>
            <w:vAlign w:val="bottom"/>
          </w:tcPr>
          <w:p>
            <w:pPr>
              <w:spacing w:after="0"/>
              <w:rPr>
                <w:sz w:val="19"/>
                <w:szCs w:val="19"/>
                <w:color w:val="auto"/>
              </w:rPr>
            </w:pPr>
          </w:p>
        </w:tc>
      </w:tr>
      <w:tr>
        <w:trPr>
          <w:trHeight w:val="219"/>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Capital maintenance expenditures</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100" w:type="dxa"/>
            <w:vAlign w:val="bottom"/>
            <w:shd w:val="clear" w:color="auto" w:fill="CCEEFF"/>
          </w:tcPr>
          <w:p>
            <w:pPr>
              <w:spacing w:after="0"/>
              <w:rPr>
                <w:sz w:val="19"/>
                <w:szCs w:val="19"/>
                <w:color w:val="auto"/>
              </w:rPr>
            </w:pPr>
          </w:p>
        </w:tc>
      </w:tr>
      <w:tr>
        <w:trPr>
          <w:trHeight w:val="168"/>
        </w:trPr>
        <w:tc>
          <w:tcPr>
            <w:tcW w:w="5360" w:type="dxa"/>
            <w:vAlign w:val="bottom"/>
          </w:tcPr>
          <w:p>
            <w:pPr>
              <w:ind w:left="20"/>
              <w:spacing w:after="0" w:line="167" w:lineRule="exact"/>
              <w:rPr>
                <w:sz w:val="20"/>
                <w:szCs w:val="20"/>
                <w:color w:val="auto"/>
              </w:rPr>
            </w:pPr>
            <w:r>
              <w:rPr>
                <w:rFonts w:ascii="Times New Roman" w:cs="Times New Roman" w:eastAsia="Times New Roman" w:hAnsi="Times New Roman"/>
                <w:sz w:val="17"/>
                <w:szCs w:val="17"/>
                <w:color w:val="auto"/>
              </w:rPr>
              <w:t>Amortization of debt issuance costs, bond premiums and original issuance</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32"/>
        </w:trPr>
        <w:tc>
          <w:tcPr>
            <w:tcW w:w="53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discounts</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(3,468)</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(3,232)</w:t>
            </w:r>
          </w:p>
        </w:tc>
        <w:tc>
          <w:tcPr>
            <w:tcW w:w="100" w:type="dxa"/>
            <w:vAlign w:val="bottom"/>
          </w:tcPr>
          <w:p>
            <w:pPr>
              <w:spacing w:after="0"/>
              <w:rPr>
                <w:sz w:val="20"/>
                <w:szCs w:val="20"/>
                <w:color w:val="auto"/>
              </w:rPr>
            </w:pPr>
          </w:p>
        </w:tc>
      </w:tr>
      <w:tr>
        <w:trPr>
          <w:trHeight w:val="219"/>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Capitalized interest</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6,430</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3,605</w:t>
            </w:r>
          </w:p>
        </w:tc>
        <w:tc>
          <w:tcPr>
            <w:tcW w:w="100" w:type="dxa"/>
            <w:vAlign w:val="bottom"/>
            <w:shd w:val="clear" w:color="auto" w:fill="CCEEFF"/>
          </w:tcPr>
          <w:p>
            <w:pPr>
              <w:spacing w:after="0"/>
              <w:rPr>
                <w:sz w:val="19"/>
                <w:szCs w:val="19"/>
                <w:color w:val="auto"/>
              </w:rPr>
            </w:pPr>
          </w:p>
        </w:tc>
      </w:tr>
      <w:tr>
        <w:trPr>
          <w:trHeight w:val="212"/>
        </w:trPr>
        <w:tc>
          <w:tcPr>
            <w:tcW w:w="53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Adjusted EBITDA</w:t>
            </w: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393,007</w:t>
            </w:r>
          </w:p>
        </w:tc>
        <w:tc>
          <w:tcPr>
            <w:tcW w:w="100" w:type="dxa"/>
            <w:vAlign w:val="bottom"/>
          </w:tcPr>
          <w:p>
            <w:pPr>
              <w:spacing w:after="0"/>
              <w:rPr>
                <w:sz w:val="18"/>
                <w:szCs w:val="18"/>
                <w:color w:val="auto"/>
              </w:rPr>
            </w:pPr>
          </w:p>
        </w:tc>
        <w:tc>
          <w:tcPr>
            <w:tcW w:w="46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360,118</w:t>
            </w:r>
          </w:p>
        </w:tc>
        <w:tc>
          <w:tcPr>
            <w:tcW w:w="100" w:type="dxa"/>
            <w:vAlign w:val="bottom"/>
          </w:tcPr>
          <w:p>
            <w:pPr>
              <w:spacing w:after="0"/>
              <w:rPr>
                <w:sz w:val="18"/>
                <w:szCs w:val="18"/>
                <w:color w:val="auto"/>
              </w:rPr>
            </w:pPr>
          </w:p>
        </w:tc>
      </w:tr>
      <w:tr>
        <w:trPr>
          <w:trHeight w:val="20"/>
        </w:trPr>
        <w:tc>
          <w:tcPr>
            <w:tcW w:w="5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17"/>
          <w:szCs w:val="17"/>
          <w:color w:val="auto"/>
        </w:rPr>
        <w:t>Net income, FFO, AFFO and Adjusted EBITDA were $239.4 million, $304.0 million, $297.1 million, and $393.0 million for the three months ended March 31, 2026, respectively. This compares to net income, FFO, AFFO and Adjusted EBITDA of $170.4 million, $234.8 million, $272.0 million and $360.1 million for the corresponding period in the prior year. The increase in net income of $69.0 million was primarily attributable to an increase in total revenues of $24.8 million, lower operating expenses of $49.8 million (which was driven by the decline in the provision for credit losses of $49.4 million) partially offset by higher other expenses of $5.5 million (driven by lower average interest earnings assets).</w:t>
      </w:r>
    </w:p>
    <w:p>
      <w:pPr>
        <w:spacing w:after="0" w:line="2" w:lineRule="exact"/>
        <w:rPr>
          <w:sz w:val="20"/>
          <w:szCs w:val="20"/>
          <w:color w:val="auto"/>
        </w:rPr>
      </w:pPr>
    </w:p>
    <w:p>
      <w:pPr>
        <w:jc w:val="both"/>
        <w:ind w:firstLine="619"/>
        <w:spacing w:after="0" w:line="259" w:lineRule="auto"/>
        <w:rPr>
          <w:sz w:val="20"/>
          <w:szCs w:val="20"/>
          <w:color w:val="auto"/>
        </w:rPr>
      </w:pPr>
      <w:r>
        <w:rPr>
          <w:rFonts w:ascii="Times New Roman" w:cs="Times New Roman" w:eastAsia="Times New Roman" w:hAnsi="Times New Roman"/>
          <w:sz w:val="17"/>
          <w:szCs w:val="17"/>
          <w:color w:val="auto"/>
        </w:rPr>
        <w:t>The increase in FFO for the three months ended March 31, 2026 was due to the items described above, excluding gains from dispositions of property and real estate depreciation. The increases in AFFO and Adjusted EBITDA were due to the items described above, as well as the adjustments mentioned in the tables above.</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90"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7"/>
          <w:szCs w:val="17"/>
          <w:b w:val="1"/>
          <w:bCs w:val="1"/>
          <w:color w:val="auto"/>
        </w:rPr>
        <w:t>Revenues</w:t>
      </w:r>
    </w:p>
    <w:p>
      <w:pPr>
        <w:spacing w:after="0" w:line="24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Revenues for the three months ended March 31, 2026 and 2025 were as follows (in thousands):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6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22"/>
        </w:trPr>
        <w:tc>
          <w:tcPr>
            <w:tcW w:w="49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vMerge w:val="restart"/>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100" w:type="dxa"/>
            <w:vAlign w:val="bottom"/>
          </w:tcPr>
          <w:p>
            <w:pPr>
              <w:spacing w:after="0" w:line="20" w:lineRule="exact"/>
              <w:rPr>
                <w:sz w:val="1"/>
                <w:szCs w:val="1"/>
                <w:color w:val="auto"/>
              </w:rPr>
            </w:pPr>
          </w:p>
        </w:tc>
        <w:tc>
          <w:tcPr>
            <w:tcW w:w="1520" w:type="dxa"/>
            <w:vAlign w:val="bottom"/>
            <w:vMerge w:val="restart"/>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0" w:type="dxa"/>
            <w:vAlign w:val="bottom"/>
          </w:tcPr>
          <w:p>
            <w:pPr>
              <w:spacing w:after="0"/>
              <w:rPr>
                <w:sz w:val="1"/>
                <w:szCs w:val="1"/>
                <w:color w:val="auto"/>
              </w:rPr>
            </w:pPr>
          </w:p>
        </w:tc>
      </w:tr>
      <w:tr>
        <w:trPr>
          <w:trHeight w:val="181"/>
        </w:trPr>
        <w:tc>
          <w:tcPr>
            <w:tcW w:w="49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5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4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Rental income</w:t>
            </w: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356,522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340,252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16,270</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4.8 %</w:t>
            </w:r>
          </w:p>
        </w:tc>
        <w:tc>
          <w:tcPr>
            <w:tcW w:w="0" w:type="dxa"/>
            <w:vAlign w:val="bottom"/>
          </w:tcPr>
          <w:p>
            <w:pPr>
              <w:spacing w:after="0"/>
              <w:rPr>
                <w:sz w:val="1"/>
                <w:szCs w:val="1"/>
                <w:color w:val="auto"/>
              </w:rPr>
            </w:pPr>
          </w:p>
        </w:tc>
      </w:tr>
      <w:tr>
        <w:trPr>
          <w:trHeight w:val="219"/>
        </w:trPr>
        <w:tc>
          <w:tcPr>
            <w:tcW w:w="49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Income from investment in leases, financing receivables</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52,702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47,764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4,938</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10.3 %</w:t>
            </w:r>
          </w:p>
        </w:tc>
        <w:tc>
          <w:tcPr>
            <w:tcW w:w="0" w:type="dxa"/>
            <w:vAlign w:val="bottom"/>
          </w:tcPr>
          <w:p>
            <w:pPr>
              <w:spacing w:after="0"/>
              <w:rPr>
                <w:sz w:val="1"/>
                <w:szCs w:val="1"/>
                <w:color w:val="auto"/>
              </w:rPr>
            </w:pPr>
          </w:p>
        </w:tc>
      </w:tr>
      <w:tr>
        <w:trPr>
          <w:trHeight w:val="219"/>
        </w:trPr>
        <w:tc>
          <w:tcPr>
            <w:tcW w:w="4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Income from sales type leases</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3,838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3,760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N/A</w:t>
            </w:r>
          </w:p>
        </w:tc>
        <w:tc>
          <w:tcPr>
            <w:tcW w:w="0" w:type="dxa"/>
            <w:vAlign w:val="bottom"/>
          </w:tcPr>
          <w:p>
            <w:pPr>
              <w:spacing w:after="0"/>
              <w:rPr>
                <w:sz w:val="1"/>
                <w:szCs w:val="1"/>
                <w:color w:val="auto"/>
              </w:rPr>
            </w:pPr>
          </w:p>
        </w:tc>
      </w:tr>
      <w:tr>
        <w:trPr>
          <w:trHeight w:val="219"/>
        </w:trPr>
        <w:tc>
          <w:tcPr>
            <w:tcW w:w="49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7"/>
                <w:szCs w:val="17"/>
                <w:color w:val="auto"/>
              </w:rPr>
              <w:t>Interest income from real estate loans</w:t>
            </w: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6,923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3,459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3,464</w:t>
            </w:r>
          </w:p>
        </w:tc>
        <w:tc>
          <w:tcPr>
            <w:tcW w:w="100" w:type="dxa"/>
            <w:vAlign w:val="bottom"/>
            <w:tcBorders>
              <w:bottom w:val="single" w:sz="8" w:color="CCEEFF"/>
            </w:tcBorders>
          </w:tcPr>
          <w:p>
            <w:pPr>
              <w:spacing w:after="0"/>
              <w:rPr>
                <w:sz w:val="19"/>
                <w:szCs w:val="19"/>
                <w:color w:val="auto"/>
              </w:rPr>
            </w:pPr>
          </w:p>
        </w:tc>
        <w:tc>
          <w:tcPr>
            <w:tcW w:w="15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N/A</w:t>
            </w:r>
          </w:p>
        </w:tc>
        <w:tc>
          <w:tcPr>
            <w:tcW w:w="0" w:type="dxa"/>
            <w:vAlign w:val="bottom"/>
          </w:tcPr>
          <w:p>
            <w:pPr>
              <w:spacing w:after="0"/>
              <w:rPr>
                <w:sz w:val="1"/>
                <w:szCs w:val="1"/>
                <w:color w:val="auto"/>
              </w:rPr>
            </w:pPr>
          </w:p>
        </w:tc>
      </w:tr>
      <w:tr>
        <w:trPr>
          <w:trHeight w:val="212"/>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income from real estate</w:t>
            </w: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419,985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395,235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24,750</w:t>
            </w: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6.3 %</w:t>
            </w:r>
          </w:p>
        </w:tc>
        <w:tc>
          <w:tcPr>
            <w:tcW w:w="0" w:type="dxa"/>
            <w:vAlign w:val="bottom"/>
          </w:tcPr>
          <w:p>
            <w:pPr>
              <w:spacing w:after="0"/>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Total income from real estate</w:t>
      </w:r>
    </w:p>
    <w:p>
      <w:pPr>
        <w:spacing w:after="0" w:line="234" w:lineRule="exact"/>
        <w:rPr>
          <w:sz w:val="20"/>
          <w:szCs w:val="20"/>
          <w:color w:val="auto"/>
        </w:rPr>
      </w:pPr>
    </w:p>
    <w:p>
      <w:pPr>
        <w:jc w:val="both"/>
        <w:ind w:left="620" w:hanging="307"/>
        <w:spacing w:after="0" w:line="254" w:lineRule="auto"/>
        <w:tabs>
          <w:tab w:leader="none" w:pos="609" w:val="left"/>
        </w:tabs>
        <w:numPr>
          <w:ilvl w:val="0"/>
          <w:numId w:val="25"/>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7"/>
          <w:szCs w:val="17"/>
          <w:color w:val="auto"/>
        </w:rPr>
        <w:t>Total income from real estate increased by $24.8 million to $420.0 million for the three months ended March 31, 2026 compared to $395.2 million for the corresponding period in the prior year. The reason for the increase was primarily due to our recent acquisitions and development activities which in the aggregate increased cash rental income by $28.2 million for the three months ended March 31, 2026. Additionally, the three months ended March 31, 2026 benefited by $4.4 million compared to the corresponding period in the prior year from escalations on our leases, higher accretion on its investment in leases of $0.5 million, favorable variable rents of $0.2 million and higher ground rent revenue of $0.3 million. Partially offsetting these increases were unfavorable straight-line rent adjustments of $8.9 million compared to the corresponding period in the prior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sectPr>
      </w:pPr>
    </w:p>
    <w:bookmarkStart w:id="48" w:name="page49"/>
    <w:bookmarkEnd w:id="48"/>
    <w:p>
      <w:pPr>
        <w:ind w:left="620"/>
        <w:spacing w:after="0"/>
        <w:rPr>
          <w:sz w:val="20"/>
          <w:szCs w:val="20"/>
          <w:color w:val="auto"/>
        </w:rPr>
      </w:pPr>
      <w:r>
        <w:rPr>
          <w:rFonts w:ascii="Times New Roman" w:cs="Times New Roman" w:eastAsia="Times New Roman" w:hAnsi="Times New Roman"/>
          <w:sz w:val="17"/>
          <w:szCs w:val="17"/>
          <w:color w:val="auto"/>
        </w:rPr>
        <w:t>Details of the Company's income from real estate for the three months ended March 31, 2026 was as follows (in thousands)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vMerge w:val="restart"/>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w w:val="99"/>
              </w:rPr>
              <w:t>Percentage</w:t>
            </w:r>
          </w:p>
        </w:tc>
        <w:tc>
          <w:tcPr>
            <w:tcW w:w="120" w:type="dxa"/>
            <w:vAlign w:val="bottom"/>
          </w:tcPr>
          <w:p>
            <w:pPr>
              <w:spacing w:after="0"/>
              <w:rPr>
                <w:sz w:val="13"/>
                <w:szCs w:val="13"/>
                <w:color w:val="auto"/>
              </w:rPr>
            </w:pPr>
          </w:p>
        </w:tc>
        <w:tc>
          <w:tcPr>
            <w:tcW w:w="820" w:type="dxa"/>
            <w:vAlign w:val="bottom"/>
            <w:vMerge w:val="restart"/>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w w:val="98"/>
              </w:rPr>
              <w:t>Straight-line</w:t>
            </w: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Total income</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Building base</w:t>
            </w: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vMerge w:val="restart"/>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w w:val="96"/>
              </w:rPr>
              <w:t>Total cash</w:t>
            </w:r>
          </w:p>
        </w:tc>
        <w:tc>
          <w:tcPr>
            <w:tcW w:w="120" w:type="dxa"/>
            <w:vAlign w:val="bottom"/>
          </w:tcPr>
          <w:p>
            <w:pPr>
              <w:spacing w:after="0"/>
              <w:rPr>
                <w:sz w:val="12"/>
                <w:szCs w:val="12"/>
                <w:color w:val="auto"/>
              </w:rPr>
            </w:pPr>
          </w:p>
        </w:tc>
        <w:tc>
          <w:tcPr>
            <w:tcW w:w="880" w:type="dxa"/>
            <w:vAlign w:val="bottom"/>
          </w:tcPr>
          <w:p>
            <w:pPr>
              <w:jc w:val="center"/>
              <w:ind w:right="16"/>
              <w:spacing w:after="0" w:line="141" w:lineRule="exact"/>
              <w:rPr>
                <w:sz w:val="20"/>
                <w:szCs w:val="20"/>
                <w:color w:val="auto"/>
              </w:rPr>
            </w:pPr>
            <w:r>
              <w:rPr>
                <w:rFonts w:ascii="Times New Roman" w:cs="Times New Roman" w:eastAsia="Times New Roman" w:hAnsi="Times New Roman"/>
                <w:sz w:val="14"/>
                <w:szCs w:val="14"/>
                <w:b w:val="1"/>
                <w:bCs w:val="1"/>
                <w:color w:val="auto"/>
                <w:w w:val="98"/>
              </w:rPr>
              <w:t>rent and</w:t>
            </w:r>
          </w:p>
        </w:tc>
        <w:tc>
          <w:tcPr>
            <w:tcW w:w="9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w w:val="98"/>
              </w:rPr>
              <w:t>Ground rent in</w:t>
            </w: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Accretion on</w:t>
            </w:r>
          </w:p>
        </w:tc>
        <w:tc>
          <w:tcPr>
            <w:tcW w:w="9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8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March 31, 2026</w:t>
            </w:r>
          </w:p>
        </w:tc>
        <w:tc>
          <w:tcPr>
            <w:tcW w:w="92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4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rent and other</w:t>
            </w:r>
          </w:p>
        </w:tc>
        <w:tc>
          <w:tcPr>
            <w:tcW w:w="940" w:type="dxa"/>
            <w:vAlign w:val="bottom"/>
            <w:gridSpan w:val="2"/>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income on real</w:t>
            </w:r>
          </w:p>
        </w:tc>
        <w:tc>
          <w:tcPr>
            <w:tcW w:w="14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center"/>
              <w:ind w:right="16"/>
              <w:spacing w:after="0" w:line="142" w:lineRule="exact"/>
              <w:rPr>
                <w:sz w:val="20"/>
                <w:szCs w:val="20"/>
                <w:color w:val="auto"/>
              </w:rPr>
            </w:pPr>
            <w:r>
              <w:rPr>
                <w:rFonts w:ascii="Times New Roman" w:cs="Times New Roman" w:eastAsia="Times New Roman" w:hAnsi="Times New Roman"/>
                <w:sz w:val="14"/>
                <w:szCs w:val="14"/>
                <w:b w:val="1"/>
                <w:bCs w:val="1"/>
                <w:color w:val="auto"/>
                <w:w w:val="97"/>
              </w:rPr>
              <w:t>deferred rent</w:t>
            </w:r>
          </w:p>
        </w:tc>
        <w:tc>
          <w:tcPr>
            <w:tcW w:w="94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center"/>
              <w:ind w:right="75"/>
              <w:spacing w:after="0" w:line="142" w:lineRule="exact"/>
              <w:rPr>
                <w:sz w:val="20"/>
                <w:szCs w:val="20"/>
                <w:color w:val="auto"/>
              </w:rPr>
            </w:pPr>
            <w:r>
              <w:rPr>
                <w:rFonts w:ascii="Times New Roman" w:cs="Times New Roman" w:eastAsia="Times New Roman" w:hAnsi="Times New Roman"/>
                <w:sz w:val="14"/>
                <w:szCs w:val="14"/>
                <w:b w:val="1"/>
                <w:bCs w:val="1"/>
                <w:color w:val="auto"/>
                <w:w w:val="95"/>
              </w:rPr>
              <w:t>from real</w:t>
            </w:r>
          </w:p>
        </w:tc>
        <w:tc>
          <w:tcPr>
            <w:tcW w:w="0" w:type="dxa"/>
            <w:vAlign w:val="bottom"/>
          </w:tcPr>
          <w:p>
            <w:pPr>
              <w:spacing w:after="0"/>
              <w:rPr>
                <w:sz w:val="1"/>
                <w:szCs w:val="1"/>
                <w:color w:val="auto"/>
              </w:rPr>
            </w:pPr>
          </w:p>
        </w:tc>
      </w:tr>
      <w:tr>
        <w:trPr>
          <w:trHeight w:val="142"/>
        </w:trPr>
        <w:tc>
          <w:tcPr>
            <w:tcW w:w="282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ind w:right="235"/>
              <w:spacing w:after="0" w:line="122" w:lineRule="exact"/>
              <w:rPr>
                <w:sz w:val="20"/>
                <w:szCs w:val="20"/>
                <w:color w:val="auto"/>
              </w:rPr>
            </w:pPr>
            <w:r>
              <w:rPr>
                <w:rFonts w:ascii="Times New Roman" w:cs="Times New Roman" w:eastAsia="Times New Roman" w:hAnsi="Times New Roman"/>
                <w:sz w:val="14"/>
                <w:szCs w:val="14"/>
                <w:b w:val="1"/>
                <w:bCs w:val="1"/>
                <w:color w:val="auto"/>
              </w:rPr>
              <w:t>rent</w:t>
            </w:r>
          </w:p>
        </w:tc>
        <w:tc>
          <w:tcPr>
            <w:tcW w:w="1860" w:type="dxa"/>
            <w:vAlign w:val="bottom"/>
            <w:gridSpan w:val="4"/>
          </w:tcPr>
          <w:p>
            <w:pPr>
              <w:ind w:left="40"/>
              <w:spacing w:after="0" w:line="122" w:lineRule="exact"/>
              <w:rPr>
                <w:sz w:val="20"/>
                <w:szCs w:val="20"/>
                <w:color w:val="auto"/>
              </w:rPr>
            </w:pPr>
            <w:r>
              <w:rPr>
                <w:rFonts w:ascii="Times New Roman" w:cs="Times New Roman" w:eastAsia="Times New Roman" w:hAnsi="Times New Roman"/>
                <w:sz w:val="14"/>
                <w:szCs w:val="14"/>
                <w:b w:val="1"/>
                <w:bCs w:val="1"/>
                <w:color w:val="auto"/>
                <w:w w:val="99"/>
              </w:rPr>
              <w:t>Land base rent rental revenue</w:t>
            </w:r>
          </w:p>
        </w:tc>
        <w:tc>
          <w:tcPr>
            <w:tcW w:w="120" w:type="dxa"/>
            <w:vAlign w:val="bottom"/>
          </w:tcPr>
          <w:p>
            <w:pPr>
              <w:spacing w:after="0"/>
              <w:rPr>
                <w:sz w:val="12"/>
                <w:szCs w:val="12"/>
                <w:color w:val="auto"/>
              </w:rPr>
            </w:pPr>
          </w:p>
        </w:tc>
        <w:tc>
          <w:tcPr>
            <w:tcW w:w="820" w:type="dxa"/>
            <w:vAlign w:val="bottom"/>
          </w:tcPr>
          <w:p>
            <w:pPr>
              <w:jc w:val="right"/>
              <w:ind w:right="36"/>
              <w:spacing w:after="0" w:line="122" w:lineRule="exact"/>
              <w:rPr>
                <w:sz w:val="20"/>
                <w:szCs w:val="20"/>
                <w:color w:val="auto"/>
              </w:rPr>
            </w:pPr>
            <w:r>
              <w:rPr>
                <w:rFonts w:ascii="Times New Roman" w:cs="Times New Roman" w:eastAsia="Times New Roman" w:hAnsi="Times New Roman"/>
                <w:sz w:val="14"/>
                <w:szCs w:val="14"/>
                <w:b w:val="1"/>
                <w:bCs w:val="1"/>
                <w:color w:val="auto"/>
                <w:w w:val="98"/>
              </w:rPr>
              <w:t>estate loans</w:t>
            </w:r>
          </w:p>
        </w:tc>
        <w:tc>
          <w:tcPr>
            <w:tcW w:w="140" w:type="dxa"/>
            <w:vAlign w:val="bottom"/>
          </w:tcPr>
          <w:p>
            <w:pPr>
              <w:spacing w:after="0"/>
              <w:rPr>
                <w:sz w:val="12"/>
                <w:szCs w:val="12"/>
                <w:color w:val="auto"/>
              </w:rPr>
            </w:pPr>
          </w:p>
        </w:tc>
        <w:tc>
          <w:tcPr>
            <w:tcW w:w="760" w:type="dxa"/>
            <w:vAlign w:val="bottom"/>
          </w:tcPr>
          <w:p>
            <w:pPr>
              <w:jc w:val="right"/>
              <w:ind w:right="135"/>
              <w:spacing w:after="0" w:line="122" w:lineRule="exact"/>
              <w:rPr>
                <w:sz w:val="20"/>
                <w:szCs w:val="20"/>
                <w:color w:val="auto"/>
              </w:rPr>
            </w:pPr>
            <w:r>
              <w:rPr>
                <w:rFonts w:ascii="Times New Roman" w:cs="Times New Roman" w:eastAsia="Times New Roman" w:hAnsi="Times New Roman"/>
                <w:sz w:val="14"/>
                <w:szCs w:val="14"/>
                <w:b w:val="1"/>
                <w:bCs w:val="1"/>
                <w:color w:val="auto"/>
              </w:rPr>
              <w:t>income</w:t>
            </w:r>
          </w:p>
        </w:tc>
        <w:tc>
          <w:tcPr>
            <w:tcW w:w="1000" w:type="dxa"/>
            <w:vAlign w:val="bottom"/>
            <w:gridSpan w:val="2"/>
          </w:tcPr>
          <w:p>
            <w:pPr>
              <w:jc w:val="center"/>
              <w:spacing w:after="0" w:line="122" w:lineRule="exact"/>
              <w:rPr>
                <w:sz w:val="20"/>
                <w:szCs w:val="20"/>
                <w:color w:val="auto"/>
              </w:rPr>
            </w:pPr>
            <w:r>
              <w:rPr>
                <w:rFonts w:ascii="Times New Roman" w:cs="Times New Roman" w:eastAsia="Times New Roman" w:hAnsi="Times New Roman"/>
                <w:sz w:val="14"/>
                <w:szCs w:val="14"/>
                <w:b w:val="1"/>
                <w:bCs w:val="1"/>
                <w:color w:val="auto"/>
                <w:w w:val="98"/>
              </w:rPr>
              <w:t>adjustments (1)</w:t>
            </w:r>
          </w:p>
        </w:tc>
        <w:tc>
          <w:tcPr>
            <w:tcW w:w="180" w:type="dxa"/>
            <w:vAlign w:val="bottom"/>
          </w:tcPr>
          <w:p>
            <w:pPr>
              <w:spacing w:after="0"/>
              <w:rPr>
                <w:sz w:val="12"/>
                <w:szCs w:val="12"/>
                <w:color w:val="auto"/>
              </w:rPr>
            </w:pPr>
          </w:p>
        </w:tc>
        <w:tc>
          <w:tcPr>
            <w:tcW w:w="760" w:type="dxa"/>
            <w:vAlign w:val="bottom"/>
          </w:tcPr>
          <w:p>
            <w:pPr>
              <w:jc w:val="right"/>
              <w:ind w:right="155"/>
              <w:spacing w:after="0" w:line="122" w:lineRule="exact"/>
              <w:rPr>
                <w:sz w:val="20"/>
                <w:szCs w:val="20"/>
                <w:color w:val="auto"/>
              </w:rPr>
            </w:pPr>
            <w:r>
              <w:rPr>
                <w:rFonts w:ascii="Times New Roman" w:cs="Times New Roman" w:eastAsia="Times New Roman" w:hAnsi="Times New Roman"/>
                <w:sz w:val="14"/>
                <w:szCs w:val="14"/>
                <w:b w:val="1"/>
                <w:bCs w:val="1"/>
                <w:color w:val="auto"/>
              </w:rPr>
              <w:t>revenue</w:t>
            </w:r>
          </w:p>
        </w:tc>
        <w:tc>
          <w:tcPr>
            <w:tcW w:w="200" w:type="dxa"/>
            <w:vAlign w:val="bottom"/>
          </w:tcPr>
          <w:p>
            <w:pPr>
              <w:spacing w:after="0"/>
              <w:rPr>
                <w:sz w:val="12"/>
                <w:szCs w:val="12"/>
                <w:color w:val="auto"/>
              </w:rPr>
            </w:pPr>
          </w:p>
        </w:tc>
        <w:tc>
          <w:tcPr>
            <w:tcW w:w="700" w:type="dxa"/>
            <w:vAlign w:val="bottom"/>
          </w:tcPr>
          <w:p>
            <w:pPr>
              <w:jc w:val="right"/>
              <w:ind w:right="195"/>
              <w:spacing w:after="0" w:line="122" w:lineRule="exact"/>
              <w:rPr>
                <w:sz w:val="20"/>
                <w:szCs w:val="20"/>
                <w:color w:val="auto"/>
              </w:rPr>
            </w:pPr>
            <w:r>
              <w:rPr>
                <w:rFonts w:ascii="Times New Roman" w:cs="Times New Roman" w:eastAsia="Times New Roman" w:hAnsi="Times New Roman"/>
                <w:sz w:val="14"/>
                <w:szCs w:val="14"/>
                <w:b w:val="1"/>
                <w:bCs w:val="1"/>
                <w:color w:val="auto"/>
              </w:rPr>
              <w:t>leases</w:t>
            </w:r>
          </w:p>
        </w:tc>
        <w:tc>
          <w:tcPr>
            <w:tcW w:w="180" w:type="dxa"/>
            <w:vAlign w:val="bottom"/>
          </w:tcPr>
          <w:p>
            <w:pPr>
              <w:spacing w:after="0"/>
              <w:rPr>
                <w:sz w:val="12"/>
                <w:szCs w:val="12"/>
                <w:color w:val="auto"/>
              </w:rPr>
            </w:pPr>
          </w:p>
        </w:tc>
        <w:tc>
          <w:tcPr>
            <w:tcW w:w="780" w:type="dxa"/>
            <w:vAlign w:val="bottom"/>
          </w:tcPr>
          <w:p>
            <w:pPr>
              <w:jc w:val="center"/>
              <w:ind w:right="75"/>
              <w:spacing w:after="0" w:line="122" w:lineRule="exact"/>
              <w:rPr>
                <w:sz w:val="20"/>
                <w:szCs w:val="20"/>
                <w:color w:val="auto"/>
              </w:rPr>
            </w:pPr>
            <w:r>
              <w:rPr>
                <w:rFonts w:ascii="Times New Roman" w:cs="Times New Roman" w:eastAsia="Times New Roman" w:hAnsi="Times New Roman"/>
                <w:sz w:val="14"/>
                <w:szCs w:val="14"/>
                <w:b w:val="1"/>
                <w:bCs w:val="1"/>
                <w:color w:val="auto"/>
                <w:w w:val="99"/>
              </w:rPr>
              <w:t>estate</w:t>
            </w:r>
          </w:p>
        </w:tc>
        <w:tc>
          <w:tcPr>
            <w:tcW w:w="0" w:type="dxa"/>
            <w:vAlign w:val="bottom"/>
          </w:tcPr>
          <w:p>
            <w:pPr>
              <w:spacing w:after="0"/>
              <w:rPr>
                <w:sz w:val="1"/>
                <w:szCs w:val="1"/>
                <w:color w:val="auto"/>
              </w:rPr>
            </w:pPr>
          </w:p>
        </w:tc>
      </w:tr>
      <w:tr>
        <w:trPr>
          <w:trHeight w:val="32"/>
        </w:trPr>
        <w:tc>
          <w:tcPr>
            <w:tcW w:w="20" w:type="dxa"/>
            <w:vAlign w:val="bottom"/>
            <w:tcBorders>
              <w:bottom w:val="single" w:sz="8" w:color="CCEEFF"/>
            </w:tcBorders>
          </w:tcPr>
          <w:p>
            <w:pPr>
              <w:spacing w:after="0"/>
              <w:rPr>
                <w:sz w:val="2"/>
                <w:szCs w:val="2"/>
                <w:color w:val="auto"/>
              </w:rPr>
            </w:pPr>
          </w:p>
        </w:tc>
        <w:tc>
          <w:tcPr>
            <w:tcW w:w="2200" w:type="dxa"/>
            <w:vAlign w:val="bottom"/>
            <w:tcBorders>
              <w:top w:val="single" w:sz="8" w:color="auto"/>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28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Amended PENN Master Lease</w:t>
            </w:r>
          </w:p>
        </w:tc>
        <w:tc>
          <w:tcPr>
            <w:tcW w:w="2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55,235</w:t>
            </w:r>
          </w:p>
        </w:tc>
        <w:tc>
          <w:tcPr>
            <w:tcW w:w="2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10,759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6,514</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72,508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4,952</w:t>
            </w: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573</w:t>
            </w:r>
          </w:p>
        </w:tc>
        <w:tc>
          <w:tcPr>
            <w:tcW w:w="2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78,033</w:t>
            </w:r>
          </w:p>
        </w:tc>
        <w:tc>
          <w:tcPr>
            <w:tcW w:w="0" w:type="dxa"/>
            <w:vAlign w:val="bottom"/>
          </w:tcPr>
          <w:p>
            <w:pPr>
              <w:spacing w:after="0"/>
              <w:rPr>
                <w:sz w:val="1"/>
                <w:szCs w:val="1"/>
                <w:color w:val="auto"/>
              </w:rPr>
            </w:pPr>
          </w:p>
        </w:tc>
      </w:tr>
      <w:tr>
        <w:trPr>
          <w:trHeight w:val="219"/>
        </w:trPr>
        <w:tc>
          <w:tcPr>
            <w:tcW w:w="28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PENN 2023 Master Lease</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66,142</w:t>
            </w:r>
          </w:p>
        </w:tc>
        <w:tc>
          <w:tcPr>
            <w:tcW w:w="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66,227</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4,128</w:t>
            </w: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70,355</w:t>
            </w:r>
          </w:p>
        </w:tc>
        <w:tc>
          <w:tcPr>
            <w:tcW w:w="0" w:type="dxa"/>
            <w:vAlign w:val="bottom"/>
          </w:tcPr>
          <w:p>
            <w:pPr>
              <w:spacing w:after="0"/>
              <w:rPr>
                <w:sz w:val="1"/>
                <w:szCs w:val="1"/>
                <w:color w:val="auto"/>
              </w:rPr>
            </w:pPr>
          </w:p>
        </w:tc>
      </w:tr>
      <w:tr>
        <w:trPr>
          <w:trHeight w:val="219"/>
        </w:trPr>
        <w:tc>
          <w:tcPr>
            <w:tcW w:w="28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Amended Pinnacle Master Lease</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61,482</w:t>
            </w:r>
          </w:p>
        </w:tc>
        <w:tc>
          <w:tcPr>
            <w:tcW w:w="2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17,814</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8,122</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87,418</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1,858</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2,208</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91,484</w:t>
            </w:r>
          </w:p>
        </w:tc>
        <w:tc>
          <w:tcPr>
            <w:tcW w:w="0" w:type="dxa"/>
            <w:vAlign w:val="bottom"/>
          </w:tcPr>
          <w:p>
            <w:pPr>
              <w:spacing w:after="0"/>
              <w:rPr>
                <w:sz w:val="1"/>
                <w:szCs w:val="1"/>
                <w:color w:val="auto"/>
              </w:rPr>
            </w:pPr>
          </w:p>
        </w:tc>
      </w:tr>
      <w:tr>
        <w:trPr>
          <w:trHeight w:val="219"/>
        </w:trPr>
        <w:tc>
          <w:tcPr>
            <w:tcW w:w="28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PENN Morgantown Lease</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806</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806</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806</w:t>
            </w:r>
          </w:p>
        </w:tc>
        <w:tc>
          <w:tcPr>
            <w:tcW w:w="0" w:type="dxa"/>
            <w:vAlign w:val="bottom"/>
          </w:tcPr>
          <w:p>
            <w:pPr>
              <w:spacing w:after="0"/>
              <w:rPr>
                <w:sz w:val="1"/>
                <w:szCs w:val="1"/>
                <w:color w:val="auto"/>
              </w:rPr>
            </w:pPr>
          </w:p>
        </w:tc>
      </w:tr>
      <w:tr>
        <w:trPr>
          <w:trHeight w:val="219"/>
        </w:trPr>
        <w:tc>
          <w:tcPr>
            <w:tcW w:w="28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Caesars Master Lease</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16,587</w:t>
            </w:r>
          </w:p>
        </w:tc>
        <w:tc>
          <w:tcPr>
            <w:tcW w:w="2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5,932</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22,519</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1,631</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330</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24,480</w:t>
            </w:r>
          </w:p>
        </w:tc>
        <w:tc>
          <w:tcPr>
            <w:tcW w:w="0" w:type="dxa"/>
            <w:vAlign w:val="bottom"/>
          </w:tcPr>
          <w:p>
            <w:pPr>
              <w:spacing w:after="0"/>
              <w:rPr>
                <w:sz w:val="1"/>
                <w:szCs w:val="1"/>
                <w:color w:val="auto"/>
              </w:rPr>
            </w:pPr>
          </w:p>
        </w:tc>
      </w:tr>
      <w:tr>
        <w:trPr>
          <w:trHeight w:val="219"/>
        </w:trPr>
        <w:tc>
          <w:tcPr>
            <w:tcW w:w="28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Horseshoe St. Louis Lease</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6,096</w:t>
            </w:r>
          </w:p>
        </w:tc>
        <w:tc>
          <w:tcPr>
            <w:tcW w:w="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6,096</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219</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6,315</w:t>
            </w:r>
          </w:p>
        </w:tc>
        <w:tc>
          <w:tcPr>
            <w:tcW w:w="0" w:type="dxa"/>
            <w:vAlign w:val="bottom"/>
          </w:tcPr>
          <w:p>
            <w:pPr>
              <w:spacing w:after="0"/>
              <w:rPr>
                <w:sz w:val="1"/>
                <w:szCs w:val="1"/>
                <w:color w:val="auto"/>
              </w:rPr>
            </w:pPr>
          </w:p>
        </w:tc>
      </w:tr>
      <w:tr>
        <w:trPr>
          <w:trHeight w:val="219"/>
        </w:trPr>
        <w:tc>
          <w:tcPr>
            <w:tcW w:w="28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Boyd Master Lease</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20,879</w:t>
            </w:r>
          </w:p>
        </w:tc>
        <w:tc>
          <w:tcPr>
            <w:tcW w:w="2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2,946</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3,046</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26,871</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(2,364)</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526</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25,033</w:t>
            </w:r>
          </w:p>
        </w:tc>
        <w:tc>
          <w:tcPr>
            <w:tcW w:w="0" w:type="dxa"/>
            <w:vAlign w:val="bottom"/>
          </w:tcPr>
          <w:p>
            <w:pPr>
              <w:spacing w:after="0"/>
              <w:rPr>
                <w:sz w:val="1"/>
                <w:szCs w:val="1"/>
                <w:color w:val="auto"/>
              </w:rPr>
            </w:pPr>
          </w:p>
        </w:tc>
      </w:tr>
      <w:tr>
        <w:trPr>
          <w:trHeight w:val="219"/>
        </w:trPr>
        <w:tc>
          <w:tcPr>
            <w:tcW w:w="28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Boyd Belterra Lease</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738</w:t>
            </w:r>
          </w:p>
        </w:tc>
        <w:tc>
          <w:tcPr>
            <w:tcW w:w="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474</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500</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1,712</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(377)</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1,335</w:t>
            </w:r>
          </w:p>
        </w:tc>
        <w:tc>
          <w:tcPr>
            <w:tcW w:w="0" w:type="dxa"/>
            <w:vAlign w:val="bottom"/>
          </w:tcPr>
          <w:p>
            <w:pPr>
              <w:spacing w:after="0"/>
              <w:rPr>
                <w:sz w:val="1"/>
                <w:szCs w:val="1"/>
                <w:color w:val="auto"/>
              </w:rPr>
            </w:pPr>
          </w:p>
        </w:tc>
      </w:tr>
      <w:tr>
        <w:trPr>
          <w:trHeight w:val="219"/>
        </w:trPr>
        <w:tc>
          <w:tcPr>
            <w:tcW w:w="28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Bally's Master Lease</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26,939</w:t>
            </w:r>
          </w:p>
        </w:tc>
        <w:tc>
          <w:tcPr>
            <w:tcW w:w="2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26,939</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2,599</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29,538</w:t>
            </w:r>
          </w:p>
        </w:tc>
        <w:tc>
          <w:tcPr>
            <w:tcW w:w="0" w:type="dxa"/>
            <w:vAlign w:val="bottom"/>
          </w:tcPr>
          <w:p>
            <w:pPr>
              <w:spacing w:after="0"/>
              <w:rPr>
                <w:sz w:val="1"/>
                <w:szCs w:val="1"/>
                <w:color w:val="auto"/>
              </w:rPr>
            </w:pPr>
          </w:p>
        </w:tc>
      </w:tr>
      <w:tr>
        <w:trPr>
          <w:trHeight w:val="219"/>
        </w:trPr>
        <w:tc>
          <w:tcPr>
            <w:tcW w:w="28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Bally's Master Lease II</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23,037</w:t>
            </w:r>
          </w:p>
        </w:tc>
        <w:tc>
          <w:tcPr>
            <w:tcW w:w="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23,037</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969</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23,940</w:t>
            </w:r>
          </w:p>
        </w:tc>
        <w:tc>
          <w:tcPr>
            <w:tcW w:w="0" w:type="dxa"/>
            <w:vAlign w:val="bottom"/>
          </w:tcPr>
          <w:p>
            <w:pPr>
              <w:spacing w:after="0"/>
              <w:rPr>
                <w:sz w:val="1"/>
                <w:szCs w:val="1"/>
                <w:color w:val="auto"/>
              </w:rPr>
            </w:pPr>
          </w:p>
        </w:tc>
      </w:tr>
      <w:tr>
        <w:trPr>
          <w:trHeight w:val="219"/>
        </w:trPr>
        <w:tc>
          <w:tcPr>
            <w:tcW w:w="28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Maryland Live! Lease</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19,752</w:t>
            </w:r>
          </w:p>
        </w:tc>
        <w:tc>
          <w:tcPr>
            <w:tcW w:w="2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19,752</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2,039</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3,181</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24,972</w:t>
            </w:r>
          </w:p>
        </w:tc>
        <w:tc>
          <w:tcPr>
            <w:tcW w:w="0" w:type="dxa"/>
            <w:vAlign w:val="bottom"/>
          </w:tcPr>
          <w:p>
            <w:pPr>
              <w:spacing w:after="0"/>
              <w:rPr>
                <w:sz w:val="1"/>
                <w:szCs w:val="1"/>
                <w:color w:val="auto"/>
              </w:rPr>
            </w:pPr>
          </w:p>
        </w:tc>
      </w:tr>
      <w:tr>
        <w:trPr>
          <w:trHeight w:val="219"/>
        </w:trPr>
        <w:tc>
          <w:tcPr>
            <w:tcW w:w="28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Pennsylvania Live! Master Lease</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13,017</w:t>
            </w:r>
          </w:p>
        </w:tc>
        <w:tc>
          <w:tcPr>
            <w:tcW w:w="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13,017</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301</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2,202</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15,520</w:t>
            </w:r>
          </w:p>
        </w:tc>
        <w:tc>
          <w:tcPr>
            <w:tcW w:w="0" w:type="dxa"/>
            <w:vAlign w:val="bottom"/>
          </w:tcPr>
          <w:p>
            <w:pPr>
              <w:spacing w:after="0"/>
              <w:rPr>
                <w:sz w:val="1"/>
                <w:szCs w:val="1"/>
                <w:color w:val="auto"/>
              </w:rPr>
            </w:pPr>
          </w:p>
        </w:tc>
      </w:tr>
      <w:tr>
        <w:trPr>
          <w:trHeight w:val="219"/>
        </w:trPr>
        <w:tc>
          <w:tcPr>
            <w:tcW w:w="28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Casino Queen Master Lease</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3,375</w:t>
            </w:r>
          </w:p>
        </w:tc>
        <w:tc>
          <w:tcPr>
            <w:tcW w:w="2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3,375</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3,430</w:t>
            </w:r>
          </w:p>
        </w:tc>
        <w:tc>
          <w:tcPr>
            <w:tcW w:w="0" w:type="dxa"/>
            <w:vAlign w:val="bottom"/>
          </w:tcPr>
          <w:p>
            <w:pPr>
              <w:spacing w:after="0"/>
              <w:rPr>
                <w:sz w:val="1"/>
                <w:szCs w:val="1"/>
                <w:color w:val="auto"/>
              </w:rPr>
            </w:pPr>
          </w:p>
        </w:tc>
      </w:tr>
      <w:tr>
        <w:trPr>
          <w:trHeight w:val="219"/>
        </w:trPr>
        <w:tc>
          <w:tcPr>
            <w:tcW w:w="28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Tropicana Las Vegas Lease</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3,838</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3,838</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3,838</w:t>
            </w:r>
          </w:p>
        </w:tc>
        <w:tc>
          <w:tcPr>
            <w:tcW w:w="0" w:type="dxa"/>
            <w:vAlign w:val="bottom"/>
          </w:tcPr>
          <w:p>
            <w:pPr>
              <w:spacing w:after="0"/>
              <w:rPr>
                <w:sz w:val="1"/>
                <w:szCs w:val="1"/>
                <w:color w:val="auto"/>
              </w:rPr>
            </w:pPr>
          </w:p>
        </w:tc>
      </w:tr>
      <w:tr>
        <w:trPr>
          <w:trHeight w:val="219"/>
        </w:trPr>
        <w:tc>
          <w:tcPr>
            <w:tcW w:w="28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Rockford Lease</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2,081</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2,081</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518</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2,599</w:t>
            </w:r>
          </w:p>
        </w:tc>
        <w:tc>
          <w:tcPr>
            <w:tcW w:w="0" w:type="dxa"/>
            <w:vAlign w:val="bottom"/>
          </w:tcPr>
          <w:p>
            <w:pPr>
              <w:spacing w:after="0"/>
              <w:rPr>
                <w:sz w:val="1"/>
                <w:szCs w:val="1"/>
                <w:color w:val="auto"/>
              </w:rPr>
            </w:pPr>
          </w:p>
        </w:tc>
      </w:tr>
      <w:tr>
        <w:trPr>
          <w:trHeight w:val="219"/>
        </w:trPr>
        <w:tc>
          <w:tcPr>
            <w:tcW w:w="28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Rockford Loan</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3,000</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3,000</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3,000</w:t>
            </w:r>
          </w:p>
        </w:tc>
        <w:tc>
          <w:tcPr>
            <w:tcW w:w="0" w:type="dxa"/>
            <w:vAlign w:val="bottom"/>
          </w:tcPr>
          <w:p>
            <w:pPr>
              <w:spacing w:after="0"/>
              <w:rPr>
                <w:sz w:val="1"/>
                <w:szCs w:val="1"/>
                <w:color w:val="auto"/>
              </w:rPr>
            </w:pPr>
          </w:p>
        </w:tc>
      </w:tr>
      <w:tr>
        <w:trPr>
          <w:trHeight w:val="219"/>
        </w:trPr>
        <w:tc>
          <w:tcPr>
            <w:tcW w:w="28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Tioga Downs Lease</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3,716</w:t>
            </w:r>
          </w:p>
        </w:tc>
        <w:tc>
          <w:tcPr>
            <w:tcW w:w="2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3,716</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580</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4,298</w:t>
            </w:r>
          </w:p>
        </w:tc>
        <w:tc>
          <w:tcPr>
            <w:tcW w:w="0" w:type="dxa"/>
            <w:vAlign w:val="bottom"/>
          </w:tcPr>
          <w:p>
            <w:pPr>
              <w:spacing w:after="0"/>
              <w:rPr>
                <w:sz w:val="1"/>
                <w:szCs w:val="1"/>
                <w:color w:val="auto"/>
              </w:rPr>
            </w:pPr>
          </w:p>
        </w:tc>
      </w:tr>
      <w:tr>
        <w:trPr>
          <w:trHeight w:val="219"/>
        </w:trPr>
        <w:tc>
          <w:tcPr>
            <w:tcW w:w="28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Strategic Gaming Leases</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6,049</w:t>
            </w:r>
          </w:p>
        </w:tc>
        <w:tc>
          <w:tcPr>
            <w:tcW w:w="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6,049</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931</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7,086</w:t>
            </w:r>
          </w:p>
        </w:tc>
        <w:tc>
          <w:tcPr>
            <w:tcW w:w="0" w:type="dxa"/>
            <w:vAlign w:val="bottom"/>
          </w:tcPr>
          <w:p>
            <w:pPr>
              <w:spacing w:after="0"/>
              <w:rPr>
                <w:sz w:val="1"/>
                <w:szCs w:val="1"/>
                <w:color w:val="auto"/>
              </w:rPr>
            </w:pPr>
          </w:p>
        </w:tc>
      </w:tr>
      <w:tr>
        <w:trPr>
          <w:trHeight w:val="219"/>
        </w:trPr>
        <w:tc>
          <w:tcPr>
            <w:tcW w:w="28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Bally's Chicago Lease</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5,507</w:t>
            </w:r>
          </w:p>
        </w:tc>
        <w:tc>
          <w:tcPr>
            <w:tcW w:w="2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5,000</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10,507</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(10,507)</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28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Ione Loan</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2,026</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2,026</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2,026</w:t>
            </w:r>
          </w:p>
        </w:tc>
        <w:tc>
          <w:tcPr>
            <w:tcW w:w="0" w:type="dxa"/>
            <w:vAlign w:val="bottom"/>
          </w:tcPr>
          <w:p>
            <w:pPr>
              <w:spacing w:after="0"/>
              <w:rPr>
                <w:sz w:val="1"/>
                <w:szCs w:val="1"/>
                <w:color w:val="auto"/>
              </w:rPr>
            </w:pPr>
          </w:p>
        </w:tc>
      </w:tr>
      <w:tr>
        <w:trPr>
          <w:trHeight w:val="219"/>
        </w:trPr>
        <w:tc>
          <w:tcPr>
            <w:tcW w:w="28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Dry Creek Loan</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1,436</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1,436</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1,436</w:t>
            </w:r>
          </w:p>
        </w:tc>
        <w:tc>
          <w:tcPr>
            <w:tcW w:w="0" w:type="dxa"/>
            <w:vAlign w:val="bottom"/>
          </w:tcPr>
          <w:p>
            <w:pPr>
              <w:spacing w:after="0"/>
              <w:rPr>
                <w:sz w:val="1"/>
                <w:szCs w:val="1"/>
                <w:color w:val="auto"/>
              </w:rPr>
            </w:pPr>
          </w:p>
        </w:tc>
      </w:tr>
      <w:tr>
        <w:trPr>
          <w:trHeight w:val="219"/>
        </w:trPr>
        <w:tc>
          <w:tcPr>
            <w:tcW w:w="282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7"/>
                <w:szCs w:val="17"/>
                <w:color w:val="auto"/>
              </w:rPr>
              <w:t>Virginia Live! Development</w:t>
            </w: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461</w:t>
            </w: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461</w:t>
            </w: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461</w:t>
            </w:r>
          </w:p>
        </w:tc>
        <w:tc>
          <w:tcPr>
            <w:tcW w:w="0" w:type="dxa"/>
            <w:vAlign w:val="bottom"/>
          </w:tcPr>
          <w:p>
            <w:pPr>
              <w:spacing w:after="0"/>
              <w:rPr>
                <w:sz w:val="1"/>
                <w:szCs w:val="1"/>
                <w:color w:val="auto"/>
              </w:rPr>
            </w:pPr>
          </w:p>
        </w:tc>
      </w:tr>
      <w:tr>
        <w:trPr>
          <w:trHeight w:val="237"/>
        </w:trPr>
        <w:tc>
          <w:tcPr>
            <w:tcW w:w="282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20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328,551</w:t>
            </w:r>
          </w:p>
        </w:tc>
        <w:tc>
          <w:tcPr>
            <w:tcW w:w="26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49,650</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18,267</w:t>
            </w:r>
          </w:p>
        </w:tc>
        <w:tc>
          <w:tcPr>
            <w:tcW w:w="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6,923</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403,391</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(471)</w:t>
            </w:r>
          </w:p>
        </w:tc>
        <w:tc>
          <w:tcPr>
            <w:tcW w:w="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9,653</w:t>
            </w:r>
          </w:p>
        </w:tc>
        <w:tc>
          <w:tcPr>
            <w:tcW w:w="20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7,412</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419,985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2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left="5540" w:right="4160" w:hanging="4918"/>
        <w:spacing w:after="0" w:line="936" w:lineRule="auto"/>
        <w:tabs>
          <w:tab w:leader="none" w:pos="867"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Current year amount includes $0.1 million of tenant improvement allowance amortization.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-306705</wp:posOffset>
            </wp:positionV>
            <wp:extent cx="716407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Building base</w:t>
            </w: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jc w:val="right"/>
              <w:ind w:right="43"/>
              <w:spacing w:after="0"/>
              <w:rPr>
                <w:sz w:val="20"/>
                <w:szCs w:val="20"/>
                <w:color w:val="auto"/>
              </w:rPr>
            </w:pPr>
            <w:r>
              <w:rPr>
                <w:rFonts w:ascii="Times New Roman" w:cs="Times New Roman" w:eastAsia="Times New Roman" w:hAnsi="Times New Roman"/>
                <w:sz w:val="14"/>
                <w:szCs w:val="14"/>
                <w:b w:val="1"/>
                <w:bCs w:val="1"/>
                <w:color w:val="auto"/>
                <w:w w:val="96"/>
              </w:rPr>
              <w:t>Percentage</w:t>
            </w:r>
          </w:p>
        </w:tc>
        <w:tc>
          <w:tcPr>
            <w:tcW w:w="120" w:type="dxa"/>
            <w:vAlign w:val="bottom"/>
          </w:tcPr>
          <w:p>
            <w:pPr>
              <w:spacing w:after="0"/>
              <w:rPr>
                <w:sz w:val="13"/>
                <w:szCs w:val="13"/>
                <w:color w:val="auto"/>
              </w:rPr>
            </w:pPr>
          </w:p>
        </w:tc>
        <w:tc>
          <w:tcPr>
            <w:tcW w:w="820" w:type="dxa"/>
            <w:vAlign w:val="bottom"/>
          </w:tcPr>
          <w:p>
            <w:pPr>
              <w:jc w:val="right"/>
              <w:ind w:right="163"/>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40" w:type="dxa"/>
            <w:vAlign w:val="bottom"/>
          </w:tcPr>
          <w:p>
            <w:pPr>
              <w:spacing w:after="0"/>
              <w:rPr>
                <w:sz w:val="13"/>
                <w:szCs w:val="13"/>
                <w:color w:val="auto"/>
              </w:rPr>
            </w:pPr>
          </w:p>
        </w:tc>
        <w:tc>
          <w:tcPr>
            <w:tcW w:w="760" w:type="dxa"/>
            <w:vAlign w:val="bottom"/>
            <w:vMerge w:val="restart"/>
          </w:tcPr>
          <w:p>
            <w:pPr>
              <w:jc w:val="right"/>
              <w:ind w:right="63"/>
              <w:spacing w:after="0"/>
              <w:rPr>
                <w:sz w:val="20"/>
                <w:szCs w:val="20"/>
                <w:color w:val="auto"/>
              </w:rPr>
            </w:pPr>
            <w:r>
              <w:rPr>
                <w:rFonts w:ascii="Times New Roman" w:cs="Times New Roman" w:eastAsia="Times New Roman" w:hAnsi="Times New Roman"/>
                <w:sz w:val="14"/>
                <w:szCs w:val="14"/>
                <w:b w:val="1"/>
                <w:bCs w:val="1"/>
                <w:color w:val="auto"/>
                <w:w w:val="96"/>
              </w:rPr>
              <w:t>Total cash</w:t>
            </w:r>
          </w:p>
        </w:tc>
        <w:tc>
          <w:tcPr>
            <w:tcW w:w="140" w:type="dxa"/>
            <w:vAlign w:val="bottom"/>
          </w:tcPr>
          <w:p>
            <w:pPr>
              <w:spacing w:after="0"/>
              <w:rPr>
                <w:sz w:val="13"/>
                <w:szCs w:val="13"/>
                <w:color w:val="auto"/>
              </w:rPr>
            </w:pPr>
          </w:p>
        </w:tc>
        <w:tc>
          <w:tcPr>
            <w:tcW w:w="860" w:type="dxa"/>
            <w:vAlign w:val="bottom"/>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w w:val="98"/>
              </w:rPr>
              <w:t>Straight-line</w:t>
            </w:r>
          </w:p>
        </w:tc>
        <w:tc>
          <w:tcPr>
            <w:tcW w:w="9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w w:val="98"/>
              </w:rPr>
              <w:t>Ground rent in</w:t>
            </w:r>
          </w:p>
        </w:tc>
        <w:tc>
          <w:tcPr>
            <w:tcW w:w="100" w:type="dxa"/>
            <w:vAlign w:val="bottom"/>
          </w:tcPr>
          <w:p>
            <w:pPr>
              <w:spacing w:after="0"/>
              <w:rPr>
                <w:sz w:val="13"/>
                <w:szCs w:val="13"/>
                <w:color w:val="auto"/>
              </w:rPr>
            </w:pPr>
          </w:p>
        </w:tc>
        <w:tc>
          <w:tcPr>
            <w:tcW w:w="840" w:type="dxa"/>
            <w:vAlign w:val="bottom"/>
            <w:vMerge w:val="restart"/>
          </w:tcPr>
          <w:p>
            <w:pPr>
              <w:jc w:val="right"/>
              <w:ind w:right="23"/>
              <w:spacing w:after="0"/>
              <w:rPr>
                <w:sz w:val="20"/>
                <w:szCs w:val="20"/>
                <w:color w:val="auto"/>
              </w:rPr>
            </w:pPr>
            <w:r>
              <w:rPr>
                <w:rFonts w:ascii="Times New Roman" w:cs="Times New Roman" w:eastAsia="Times New Roman" w:hAnsi="Times New Roman"/>
                <w:sz w:val="14"/>
                <w:szCs w:val="14"/>
                <w:b w:val="1"/>
                <w:bCs w:val="1"/>
                <w:color w:val="auto"/>
                <w:w w:val="93"/>
              </w:rPr>
              <w:t>Accretion on</w:t>
            </w: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Total income</w:t>
            </w:r>
          </w:p>
        </w:tc>
        <w:tc>
          <w:tcPr>
            <w:tcW w:w="0" w:type="dxa"/>
            <w:vAlign w:val="bottom"/>
          </w:tcPr>
          <w:p>
            <w:pPr>
              <w:spacing w:after="0"/>
              <w:rPr>
                <w:sz w:val="1"/>
                <w:szCs w:val="1"/>
                <w:color w:val="auto"/>
              </w:rPr>
            </w:pPr>
          </w:p>
        </w:tc>
      </w:tr>
      <w:tr>
        <w:trPr>
          <w:trHeight w:val="140"/>
        </w:trPr>
        <w:tc>
          <w:tcPr>
            <w:tcW w:w="28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March 31, 2025</w:t>
            </w:r>
          </w:p>
        </w:tc>
        <w:tc>
          <w:tcPr>
            <w:tcW w:w="90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60" w:type="dxa"/>
            <w:vAlign w:val="bottom"/>
            <w:gridSpan w:val="4"/>
          </w:tcPr>
          <w:p>
            <w:pPr>
              <w:ind w:left="60"/>
              <w:spacing w:after="0" w:line="141" w:lineRule="exact"/>
              <w:rPr>
                <w:sz w:val="20"/>
                <w:szCs w:val="20"/>
                <w:color w:val="auto"/>
              </w:rPr>
            </w:pPr>
            <w:r>
              <w:rPr>
                <w:rFonts w:ascii="Times New Roman" w:cs="Times New Roman" w:eastAsia="Times New Roman" w:hAnsi="Times New Roman"/>
                <w:sz w:val="14"/>
                <w:szCs w:val="14"/>
                <w:b w:val="1"/>
                <w:bCs w:val="1"/>
                <w:color w:val="auto"/>
              </w:rPr>
              <w:t>rent and other income on real</w:t>
            </w:r>
          </w:p>
        </w:tc>
        <w:tc>
          <w:tcPr>
            <w:tcW w:w="14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center"/>
              <w:ind w:right="24"/>
              <w:spacing w:after="0" w:line="141" w:lineRule="exact"/>
              <w:rPr>
                <w:sz w:val="20"/>
                <w:szCs w:val="20"/>
                <w:color w:val="auto"/>
              </w:rPr>
            </w:pPr>
            <w:r>
              <w:rPr>
                <w:rFonts w:ascii="Times New Roman" w:cs="Times New Roman" w:eastAsia="Times New Roman" w:hAnsi="Times New Roman"/>
                <w:sz w:val="14"/>
                <w:szCs w:val="14"/>
                <w:b w:val="1"/>
                <w:bCs w:val="1"/>
                <w:color w:val="auto"/>
                <w:w w:val="96"/>
              </w:rPr>
              <w:t>rent</w:t>
            </w:r>
          </w:p>
        </w:tc>
        <w:tc>
          <w:tcPr>
            <w:tcW w:w="9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center"/>
              <w:ind w:right="63"/>
              <w:spacing w:after="0" w:line="141" w:lineRule="exact"/>
              <w:rPr>
                <w:sz w:val="20"/>
                <w:szCs w:val="20"/>
                <w:color w:val="auto"/>
              </w:rPr>
            </w:pPr>
            <w:r>
              <w:rPr>
                <w:rFonts w:ascii="Times New Roman" w:cs="Times New Roman" w:eastAsia="Times New Roman" w:hAnsi="Times New Roman"/>
                <w:sz w:val="14"/>
                <w:szCs w:val="14"/>
                <w:b w:val="1"/>
                <w:bCs w:val="1"/>
                <w:color w:val="auto"/>
                <w:w w:val="99"/>
              </w:rPr>
              <w:t>from real</w:t>
            </w:r>
          </w:p>
        </w:tc>
        <w:tc>
          <w:tcPr>
            <w:tcW w:w="0" w:type="dxa"/>
            <w:vAlign w:val="bottom"/>
          </w:tcPr>
          <w:p>
            <w:pPr>
              <w:spacing w:after="0"/>
              <w:rPr>
                <w:sz w:val="1"/>
                <w:szCs w:val="1"/>
                <w:color w:val="auto"/>
              </w:rPr>
            </w:pPr>
          </w:p>
        </w:tc>
      </w:tr>
      <w:tr>
        <w:trPr>
          <w:trHeight w:val="142"/>
        </w:trPr>
        <w:tc>
          <w:tcPr>
            <w:tcW w:w="286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jc w:val="right"/>
              <w:ind w:right="243"/>
              <w:spacing w:after="0" w:line="122" w:lineRule="exact"/>
              <w:rPr>
                <w:sz w:val="20"/>
                <w:szCs w:val="20"/>
                <w:color w:val="auto"/>
              </w:rPr>
            </w:pPr>
            <w:r>
              <w:rPr>
                <w:rFonts w:ascii="Times New Roman" w:cs="Times New Roman" w:eastAsia="Times New Roman" w:hAnsi="Times New Roman"/>
                <w:sz w:val="14"/>
                <w:szCs w:val="14"/>
                <w:b w:val="1"/>
                <w:bCs w:val="1"/>
                <w:color w:val="auto"/>
              </w:rPr>
              <w:t>rent</w:t>
            </w:r>
          </w:p>
        </w:tc>
        <w:tc>
          <w:tcPr>
            <w:tcW w:w="1840" w:type="dxa"/>
            <w:vAlign w:val="bottom"/>
            <w:gridSpan w:val="4"/>
          </w:tcPr>
          <w:p>
            <w:pPr>
              <w:ind w:left="40"/>
              <w:spacing w:after="0" w:line="122" w:lineRule="exact"/>
              <w:rPr>
                <w:sz w:val="20"/>
                <w:szCs w:val="20"/>
                <w:color w:val="auto"/>
              </w:rPr>
            </w:pPr>
            <w:r>
              <w:rPr>
                <w:rFonts w:ascii="Times New Roman" w:cs="Times New Roman" w:eastAsia="Times New Roman" w:hAnsi="Times New Roman"/>
                <w:sz w:val="14"/>
                <w:szCs w:val="14"/>
                <w:b w:val="1"/>
                <w:bCs w:val="1"/>
                <w:color w:val="auto"/>
                <w:w w:val="98"/>
              </w:rPr>
              <w:t>Land base rent rental revenue</w:t>
            </w:r>
          </w:p>
        </w:tc>
        <w:tc>
          <w:tcPr>
            <w:tcW w:w="120" w:type="dxa"/>
            <w:vAlign w:val="bottom"/>
          </w:tcPr>
          <w:p>
            <w:pPr>
              <w:spacing w:after="0"/>
              <w:rPr>
                <w:sz w:val="12"/>
                <w:szCs w:val="12"/>
                <w:color w:val="auto"/>
              </w:rPr>
            </w:pPr>
          </w:p>
        </w:tc>
        <w:tc>
          <w:tcPr>
            <w:tcW w:w="820" w:type="dxa"/>
            <w:vAlign w:val="bottom"/>
          </w:tcPr>
          <w:p>
            <w:pPr>
              <w:jc w:val="right"/>
              <w:ind w:right="43"/>
              <w:spacing w:after="0" w:line="122" w:lineRule="exact"/>
              <w:rPr>
                <w:sz w:val="20"/>
                <w:szCs w:val="20"/>
                <w:color w:val="auto"/>
              </w:rPr>
            </w:pPr>
            <w:r>
              <w:rPr>
                <w:rFonts w:ascii="Times New Roman" w:cs="Times New Roman" w:eastAsia="Times New Roman" w:hAnsi="Times New Roman"/>
                <w:sz w:val="14"/>
                <w:szCs w:val="14"/>
                <w:b w:val="1"/>
                <w:bCs w:val="1"/>
                <w:color w:val="auto"/>
                <w:w w:val="98"/>
              </w:rPr>
              <w:t>estate loans</w:t>
            </w:r>
          </w:p>
        </w:tc>
        <w:tc>
          <w:tcPr>
            <w:tcW w:w="140" w:type="dxa"/>
            <w:vAlign w:val="bottom"/>
          </w:tcPr>
          <w:p>
            <w:pPr>
              <w:spacing w:after="0"/>
              <w:rPr>
                <w:sz w:val="12"/>
                <w:szCs w:val="12"/>
                <w:color w:val="auto"/>
              </w:rPr>
            </w:pPr>
          </w:p>
        </w:tc>
        <w:tc>
          <w:tcPr>
            <w:tcW w:w="760" w:type="dxa"/>
            <w:vAlign w:val="bottom"/>
          </w:tcPr>
          <w:p>
            <w:pPr>
              <w:jc w:val="right"/>
              <w:ind w:right="143"/>
              <w:spacing w:after="0" w:line="122" w:lineRule="exact"/>
              <w:rPr>
                <w:sz w:val="20"/>
                <w:szCs w:val="20"/>
                <w:color w:val="auto"/>
              </w:rPr>
            </w:pPr>
            <w:r>
              <w:rPr>
                <w:rFonts w:ascii="Times New Roman" w:cs="Times New Roman" w:eastAsia="Times New Roman" w:hAnsi="Times New Roman"/>
                <w:sz w:val="14"/>
                <w:szCs w:val="14"/>
                <w:b w:val="1"/>
                <w:bCs w:val="1"/>
                <w:color w:val="auto"/>
              </w:rPr>
              <w:t>income</w:t>
            </w:r>
          </w:p>
        </w:tc>
        <w:tc>
          <w:tcPr>
            <w:tcW w:w="140" w:type="dxa"/>
            <w:vAlign w:val="bottom"/>
          </w:tcPr>
          <w:p>
            <w:pPr>
              <w:spacing w:after="0"/>
              <w:rPr>
                <w:sz w:val="12"/>
                <w:szCs w:val="12"/>
                <w:color w:val="auto"/>
              </w:rPr>
            </w:pPr>
          </w:p>
        </w:tc>
        <w:tc>
          <w:tcPr>
            <w:tcW w:w="860" w:type="dxa"/>
            <w:vAlign w:val="bottom"/>
          </w:tcPr>
          <w:p>
            <w:pPr>
              <w:jc w:val="center"/>
              <w:ind w:right="24"/>
              <w:spacing w:after="0" w:line="122" w:lineRule="exact"/>
              <w:rPr>
                <w:sz w:val="20"/>
                <w:szCs w:val="20"/>
                <w:color w:val="auto"/>
              </w:rPr>
            </w:pPr>
            <w:r>
              <w:rPr>
                <w:rFonts w:ascii="Times New Roman" w:cs="Times New Roman" w:eastAsia="Times New Roman" w:hAnsi="Times New Roman"/>
                <w:sz w:val="14"/>
                <w:szCs w:val="14"/>
                <w:b w:val="1"/>
                <w:bCs w:val="1"/>
                <w:color w:val="auto"/>
                <w:w w:val="98"/>
              </w:rPr>
              <w:t>adjustments</w:t>
            </w:r>
          </w:p>
        </w:tc>
        <w:tc>
          <w:tcPr>
            <w:tcW w:w="180" w:type="dxa"/>
            <w:vAlign w:val="bottom"/>
          </w:tcPr>
          <w:p>
            <w:pPr>
              <w:spacing w:after="0"/>
              <w:rPr>
                <w:sz w:val="12"/>
                <w:szCs w:val="12"/>
                <w:color w:val="auto"/>
              </w:rPr>
            </w:pPr>
          </w:p>
        </w:tc>
        <w:tc>
          <w:tcPr>
            <w:tcW w:w="760" w:type="dxa"/>
            <w:vAlign w:val="bottom"/>
          </w:tcPr>
          <w:p>
            <w:pPr>
              <w:jc w:val="right"/>
              <w:ind w:right="163"/>
              <w:spacing w:after="0" w:line="122" w:lineRule="exact"/>
              <w:rPr>
                <w:sz w:val="20"/>
                <w:szCs w:val="20"/>
                <w:color w:val="auto"/>
              </w:rPr>
            </w:pPr>
            <w:r>
              <w:rPr>
                <w:rFonts w:ascii="Times New Roman" w:cs="Times New Roman" w:eastAsia="Times New Roman" w:hAnsi="Times New Roman"/>
                <w:sz w:val="14"/>
                <w:szCs w:val="14"/>
                <w:b w:val="1"/>
                <w:bCs w:val="1"/>
                <w:color w:val="auto"/>
              </w:rPr>
              <w:t>revenue</w:t>
            </w:r>
          </w:p>
        </w:tc>
        <w:tc>
          <w:tcPr>
            <w:tcW w:w="100" w:type="dxa"/>
            <w:vAlign w:val="bottom"/>
          </w:tcPr>
          <w:p>
            <w:pPr>
              <w:spacing w:after="0"/>
              <w:rPr>
                <w:sz w:val="12"/>
                <w:szCs w:val="12"/>
                <w:color w:val="auto"/>
              </w:rPr>
            </w:pPr>
          </w:p>
        </w:tc>
        <w:tc>
          <w:tcPr>
            <w:tcW w:w="840" w:type="dxa"/>
            <w:vAlign w:val="bottom"/>
          </w:tcPr>
          <w:p>
            <w:pPr>
              <w:jc w:val="right"/>
              <w:ind w:right="223"/>
              <w:spacing w:after="0" w:line="122" w:lineRule="exact"/>
              <w:rPr>
                <w:sz w:val="20"/>
                <w:szCs w:val="20"/>
                <w:color w:val="auto"/>
              </w:rPr>
            </w:pPr>
            <w:r>
              <w:rPr>
                <w:rFonts w:ascii="Times New Roman" w:cs="Times New Roman" w:eastAsia="Times New Roman" w:hAnsi="Times New Roman"/>
                <w:sz w:val="14"/>
                <w:szCs w:val="14"/>
                <w:b w:val="1"/>
                <w:bCs w:val="1"/>
                <w:color w:val="auto"/>
              </w:rPr>
              <w:t>leases</w:t>
            </w:r>
          </w:p>
        </w:tc>
        <w:tc>
          <w:tcPr>
            <w:tcW w:w="140" w:type="dxa"/>
            <w:vAlign w:val="bottom"/>
          </w:tcPr>
          <w:p>
            <w:pPr>
              <w:spacing w:after="0"/>
              <w:rPr>
                <w:sz w:val="12"/>
                <w:szCs w:val="12"/>
                <w:color w:val="auto"/>
              </w:rPr>
            </w:pPr>
          </w:p>
        </w:tc>
        <w:tc>
          <w:tcPr>
            <w:tcW w:w="780" w:type="dxa"/>
            <w:vAlign w:val="bottom"/>
          </w:tcPr>
          <w:p>
            <w:pPr>
              <w:jc w:val="center"/>
              <w:ind w:right="63"/>
              <w:spacing w:after="0" w:line="122" w:lineRule="exact"/>
              <w:rPr>
                <w:sz w:val="20"/>
                <w:szCs w:val="20"/>
                <w:color w:val="auto"/>
              </w:rPr>
            </w:pPr>
            <w:r>
              <w:rPr>
                <w:rFonts w:ascii="Times New Roman" w:cs="Times New Roman" w:eastAsia="Times New Roman" w:hAnsi="Times New Roman"/>
                <w:sz w:val="14"/>
                <w:szCs w:val="14"/>
                <w:b w:val="1"/>
                <w:bCs w:val="1"/>
                <w:color w:val="auto"/>
                <w:w w:val="93"/>
              </w:rPr>
              <w:t>estate</w:t>
            </w:r>
          </w:p>
        </w:tc>
        <w:tc>
          <w:tcPr>
            <w:tcW w:w="0" w:type="dxa"/>
            <w:vAlign w:val="bottom"/>
          </w:tcPr>
          <w:p>
            <w:pPr>
              <w:spacing w:after="0"/>
              <w:rPr>
                <w:sz w:val="1"/>
                <w:szCs w:val="1"/>
                <w:color w:val="auto"/>
              </w:rPr>
            </w:pPr>
          </w:p>
        </w:tc>
      </w:tr>
      <w:tr>
        <w:trPr>
          <w:trHeight w:val="32"/>
        </w:trPr>
        <w:tc>
          <w:tcPr>
            <w:tcW w:w="20" w:type="dxa"/>
            <w:vAlign w:val="bottom"/>
            <w:tcBorders>
              <w:bottom w:val="single" w:sz="8" w:color="CCEEFF"/>
            </w:tcBorders>
          </w:tcPr>
          <w:p>
            <w:pPr>
              <w:spacing w:after="0"/>
              <w:rPr>
                <w:sz w:val="2"/>
                <w:szCs w:val="2"/>
                <w:color w:val="auto"/>
              </w:rPr>
            </w:pPr>
          </w:p>
        </w:tc>
        <w:tc>
          <w:tcPr>
            <w:tcW w:w="2200" w:type="dxa"/>
            <w:vAlign w:val="bottom"/>
            <w:tcBorders>
              <w:top w:val="single" w:sz="8" w:color="auto"/>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28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Amended PENN Master Lease</w:t>
            </w:r>
          </w:p>
        </w:tc>
        <w:tc>
          <w:tcPr>
            <w:tcW w:w="22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5"/>
                <w:szCs w:val="15"/>
                <w:color w:val="auto"/>
                <w:w w:val="7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54,152</w:t>
            </w:r>
          </w:p>
        </w:tc>
        <w:tc>
          <w:tcPr>
            <w:tcW w:w="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10,759</w:t>
            </w:r>
          </w:p>
        </w:tc>
        <w:tc>
          <w:tcPr>
            <w:tcW w:w="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6,561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71,472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4,952</w:t>
            </w: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76,897</w:t>
            </w:r>
          </w:p>
        </w:tc>
        <w:tc>
          <w:tcPr>
            <w:tcW w:w="0" w:type="dxa"/>
            <w:vAlign w:val="bottom"/>
          </w:tcPr>
          <w:p>
            <w:pPr>
              <w:spacing w:after="0"/>
              <w:rPr>
                <w:sz w:val="1"/>
                <w:szCs w:val="1"/>
                <w:color w:val="auto"/>
              </w:rPr>
            </w:pPr>
          </w:p>
        </w:tc>
      </w:tr>
      <w:tr>
        <w:trPr>
          <w:trHeight w:val="219"/>
        </w:trPr>
        <w:tc>
          <w:tcPr>
            <w:tcW w:w="28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PENN 2023 Master Lease</w:t>
            </w: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59,797</w:t>
            </w:r>
          </w:p>
        </w:tc>
        <w:tc>
          <w:tcPr>
            <w:tcW w:w="2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(121)</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59,676</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4,738</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64,414</w:t>
            </w:r>
          </w:p>
        </w:tc>
        <w:tc>
          <w:tcPr>
            <w:tcW w:w="0" w:type="dxa"/>
            <w:vAlign w:val="bottom"/>
          </w:tcPr>
          <w:p>
            <w:pPr>
              <w:spacing w:after="0"/>
              <w:rPr>
                <w:sz w:val="1"/>
                <w:szCs w:val="1"/>
                <w:color w:val="auto"/>
              </w:rPr>
            </w:pPr>
          </w:p>
        </w:tc>
      </w:tr>
      <w:tr>
        <w:trPr>
          <w:trHeight w:val="219"/>
        </w:trPr>
        <w:tc>
          <w:tcPr>
            <w:tcW w:w="28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Amended Pinnacle Master Lease</w:t>
            </w: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61,482</w:t>
            </w: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17,814</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8,122</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87,418</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1,858</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2,061</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91,337</w:t>
            </w:r>
          </w:p>
        </w:tc>
        <w:tc>
          <w:tcPr>
            <w:tcW w:w="0" w:type="dxa"/>
            <w:vAlign w:val="bottom"/>
          </w:tcPr>
          <w:p>
            <w:pPr>
              <w:spacing w:after="0"/>
              <w:rPr>
                <w:sz w:val="1"/>
                <w:szCs w:val="1"/>
                <w:color w:val="auto"/>
              </w:rPr>
            </w:pPr>
          </w:p>
        </w:tc>
      </w:tr>
      <w:tr>
        <w:trPr>
          <w:trHeight w:val="219"/>
        </w:trPr>
        <w:tc>
          <w:tcPr>
            <w:tcW w:w="28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PENN Morgantown Lease</w:t>
            </w: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796</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796</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796</w:t>
            </w:r>
          </w:p>
        </w:tc>
        <w:tc>
          <w:tcPr>
            <w:tcW w:w="0" w:type="dxa"/>
            <w:vAlign w:val="bottom"/>
          </w:tcPr>
          <w:p>
            <w:pPr>
              <w:spacing w:after="0"/>
              <w:rPr>
                <w:sz w:val="1"/>
                <w:szCs w:val="1"/>
                <w:color w:val="auto"/>
              </w:rPr>
            </w:pPr>
          </w:p>
        </w:tc>
      </w:tr>
      <w:tr>
        <w:trPr>
          <w:trHeight w:val="219"/>
        </w:trPr>
        <w:tc>
          <w:tcPr>
            <w:tcW w:w="28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Caesars Master Lease</w:t>
            </w: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16,302</w:t>
            </w: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5,932</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22,234</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1,916</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330</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24,480</w:t>
            </w:r>
          </w:p>
        </w:tc>
        <w:tc>
          <w:tcPr>
            <w:tcW w:w="0" w:type="dxa"/>
            <w:vAlign w:val="bottom"/>
          </w:tcPr>
          <w:p>
            <w:pPr>
              <w:spacing w:after="0"/>
              <w:rPr>
                <w:sz w:val="1"/>
                <w:szCs w:val="1"/>
                <w:color w:val="auto"/>
              </w:rPr>
            </w:pPr>
          </w:p>
        </w:tc>
      </w:tr>
      <w:tr>
        <w:trPr>
          <w:trHeight w:val="219"/>
        </w:trPr>
        <w:tc>
          <w:tcPr>
            <w:tcW w:w="28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Horseshoe St. Louis Lease</w:t>
            </w: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5,991</w:t>
            </w:r>
          </w:p>
        </w:tc>
        <w:tc>
          <w:tcPr>
            <w:tcW w:w="2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5,991</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324</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6,315</w:t>
            </w:r>
          </w:p>
        </w:tc>
        <w:tc>
          <w:tcPr>
            <w:tcW w:w="0" w:type="dxa"/>
            <w:vAlign w:val="bottom"/>
          </w:tcPr>
          <w:p>
            <w:pPr>
              <w:spacing w:after="0"/>
              <w:rPr>
                <w:sz w:val="1"/>
                <w:szCs w:val="1"/>
                <w:color w:val="auto"/>
              </w:rPr>
            </w:pPr>
          </w:p>
        </w:tc>
      </w:tr>
      <w:tr>
        <w:trPr>
          <w:trHeight w:val="219"/>
        </w:trPr>
        <w:tc>
          <w:tcPr>
            <w:tcW w:w="28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Boyd Master Lease</w:t>
            </w: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20,470</w:t>
            </w: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2,946</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3,047</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26,463</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(350)</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432</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26,545</w:t>
            </w:r>
          </w:p>
        </w:tc>
        <w:tc>
          <w:tcPr>
            <w:tcW w:w="0" w:type="dxa"/>
            <w:vAlign w:val="bottom"/>
          </w:tcPr>
          <w:p>
            <w:pPr>
              <w:spacing w:after="0"/>
              <w:rPr>
                <w:sz w:val="1"/>
                <w:szCs w:val="1"/>
                <w:color w:val="auto"/>
              </w:rPr>
            </w:pPr>
          </w:p>
        </w:tc>
      </w:tr>
      <w:tr>
        <w:trPr>
          <w:trHeight w:val="219"/>
        </w:trPr>
        <w:tc>
          <w:tcPr>
            <w:tcW w:w="28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Boyd Belterra Lease</w:t>
            </w: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724</w:t>
            </w:r>
          </w:p>
        </w:tc>
        <w:tc>
          <w:tcPr>
            <w:tcW w:w="2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473</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500</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1,697</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1,672</w:t>
            </w:r>
          </w:p>
        </w:tc>
        <w:tc>
          <w:tcPr>
            <w:tcW w:w="0" w:type="dxa"/>
            <w:vAlign w:val="bottom"/>
          </w:tcPr>
          <w:p>
            <w:pPr>
              <w:spacing w:after="0"/>
              <w:rPr>
                <w:sz w:val="1"/>
                <w:szCs w:val="1"/>
                <w:color w:val="auto"/>
              </w:rPr>
            </w:pPr>
          </w:p>
        </w:tc>
      </w:tr>
      <w:tr>
        <w:trPr>
          <w:trHeight w:val="219"/>
        </w:trPr>
        <w:tc>
          <w:tcPr>
            <w:tcW w:w="28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Bally's Master Lease</w:t>
            </w: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26,411</w:t>
            </w: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26,411</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2,555</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28,966</w:t>
            </w:r>
          </w:p>
        </w:tc>
        <w:tc>
          <w:tcPr>
            <w:tcW w:w="0" w:type="dxa"/>
            <w:vAlign w:val="bottom"/>
          </w:tcPr>
          <w:p>
            <w:pPr>
              <w:spacing w:after="0"/>
              <w:rPr>
                <w:sz w:val="1"/>
                <w:szCs w:val="1"/>
                <w:color w:val="auto"/>
              </w:rPr>
            </w:pPr>
          </w:p>
        </w:tc>
      </w:tr>
      <w:tr>
        <w:trPr>
          <w:trHeight w:val="219"/>
        </w:trPr>
        <w:tc>
          <w:tcPr>
            <w:tcW w:w="28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Bally's II Master Lease</w:t>
            </w: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8,048</w:t>
            </w:r>
          </w:p>
        </w:tc>
        <w:tc>
          <w:tcPr>
            <w:tcW w:w="2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8,048</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954</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9,002</w:t>
            </w:r>
          </w:p>
        </w:tc>
        <w:tc>
          <w:tcPr>
            <w:tcW w:w="0" w:type="dxa"/>
            <w:vAlign w:val="bottom"/>
          </w:tcPr>
          <w:p>
            <w:pPr>
              <w:spacing w:after="0"/>
              <w:rPr>
                <w:sz w:val="1"/>
                <w:szCs w:val="1"/>
                <w:color w:val="auto"/>
              </w:rPr>
            </w:pPr>
          </w:p>
        </w:tc>
      </w:tr>
      <w:tr>
        <w:trPr>
          <w:trHeight w:val="219"/>
        </w:trPr>
        <w:tc>
          <w:tcPr>
            <w:tcW w:w="28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Maryland Live! Lease</w:t>
            </w: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19,412</w:t>
            </w: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19,412</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2,108</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3,288</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24,808</w:t>
            </w:r>
          </w:p>
        </w:tc>
        <w:tc>
          <w:tcPr>
            <w:tcW w:w="0" w:type="dxa"/>
            <w:vAlign w:val="bottom"/>
          </w:tcPr>
          <w:p>
            <w:pPr>
              <w:spacing w:after="0"/>
              <w:rPr>
                <w:sz w:val="1"/>
                <w:szCs w:val="1"/>
                <w:color w:val="auto"/>
              </w:rPr>
            </w:pPr>
          </w:p>
        </w:tc>
      </w:tr>
      <w:tr>
        <w:trPr>
          <w:trHeight w:val="219"/>
        </w:trPr>
        <w:tc>
          <w:tcPr>
            <w:tcW w:w="28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Pennsylvania Live! Master Lease</w:t>
            </w: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12,793</w:t>
            </w:r>
          </w:p>
        </w:tc>
        <w:tc>
          <w:tcPr>
            <w:tcW w:w="2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12,793</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308</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2,238</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15,339</w:t>
            </w:r>
          </w:p>
        </w:tc>
        <w:tc>
          <w:tcPr>
            <w:tcW w:w="0" w:type="dxa"/>
            <w:vAlign w:val="bottom"/>
          </w:tcPr>
          <w:p>
            <w:pPr>
              <w:spacing w:after="0"/>
              <w:rPr>
                <w:sz w:val="1"/>
                <w:szCs w:val="1"/>
                <w:color w:val="auto"/>
              </w:rPr>
            </w:pPr>
          </w:p>
        </w:tc>
      </w:tr>
      <w:tr>
        <w:trPr>
          <w:trHeight w:val="219"/>
        </w:trPr>
        <w:tc>
          <w:tcPr>
            <w:tcW w:w="28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Casino Queen Master Lease</w:t>
            </w: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7,974</w:t>
            </w: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7,974</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7,973</w:t>
            </w:r>
          </w:p>
        </w:tc>
        <w:tc>
          <w:tcPr>
            <w:tcW w:w="0" w:type="dxa"/>
            <w:vAlign w:val="bottom"/>
          </w:tcPr>
          <w:p>
            <w:pPr>
              <w:spacing w:after="0"/>
              <w:rPr>
                <w:sz w:val="1"/>
                <w:szCs w:val="1"/>
                <w:color w:val="auto"/>
              </w:rPr>
            </w:pPr>
          </w:p>
        </w:tc>
      </w:tr>
      <w:tr>
        <w:trPr>
          <w:trHeight w:val="219"/>
        </w:trPr>
        <w:tc>
          <w:tcPr>
            <w:tcW w:w="28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Tropicana Las Vegas Lease</w:t>
            </w: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3,763</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3,763</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3,760</w:t>
            </w:r>
          </w:p>
        </w:tc>
        <w:tc>
          <w:tcPr>
            <w:tcW w:w="0" w:type="dxa"/>
            <w:vAlign w:val="bottom"/>
          </w:tcPr>
          <w:p>
            <w:pPr>
              <w:spacing w:after="0"/>
              <w:rPr>
                <w:sz w:val="1"/>
                <w:szCs w:val="1"/>
                <w:color w:val="auto"/>
              </w:rPr>
            </w:pPr>
          </w:p>
        </w:tc>
      </w:tr>
      <w:tr>
        <w:trPr>
          <w:trHeight w:val="219"/>
        </w:trPr>
        <w:tc>
          <w:tcPr>
            <w:tcW w:w="28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Rockford Lease</w:t>
            </w: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2,040</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2,040</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507</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2,547</w:t>
            </w:r>
          </w:p>
        </w:tc>
        <w:tc>
          <w:tcPr>
            <w:tcW w:w="0" w:type="dxa"/>
            <w:vAlign w:val="bottom"/>
          </w:tcPr>
          <w:p>
            <w:pPr>
              <w:spacing w:after="0"/>
              <w:rPr>
                <w:sz w:val="1"/>
                <w:szCs w:val="1"/>
                <w:color w:val="auto"/>
              </w:rPr>
            </w:pPr>
          </w:p>
        </w:tc>
      </w:tr>
      <w:tr>
        <w:trPr>
          <w:trHeight w:val="219"/>
        </w:trPr>
        <w:tc>
          <w:tcPr>
            <w:tcW w:w="28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Rockford Loan</w:t>
            </w: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3,000</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3,000</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3,000</w:t>
            </w:r>
          </w:p>
        </w:tc>
        <w:tc>
          <w:tcPr>
            <w:tcW w:w="0" w:type="dxa"/>
            <w:vAlign w:val="bottom"/>
          </w:tcPr>
          <w:p>
            <w:pPr>
              <w:spacing w:after="0"/>
              <w:rPr>
                <w:sz w:val="1"/>
                <w:szCs w:val="1"/>
                <w:color w:val="auto"/>
              </w:rPr>
            </w:pPr>
          </w:p>
        </w:tc>
      </w:tr>
      <w:tr>
        <w:trPr>
          <w:trHeight w:val="219"/>
        </w:trPr>
        <w:tc>
          <w:tcPr>
            <w:tcW w:w="28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Tioga Downs Lease</w:t>
            </w: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3,652</w:t>
            </w: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3,652</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572</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4,226</w:t>
            </w:r>
          </w:p>
        </w:tc>
        <w:tc>
          <w:tcPr>
            <w:tcW w:w="0" w:type="dxa"/>
            <w:vAlign w:val="bottom"/>
          </w:tcPr>
          <w:p>
            <w:pPr>
              <w:spacing w:after="0"/>
              <w:rPr>
                <w:sz w:val="1"/>
                <w:szCs w:val="1"/>
                <w:color w:val="auto"/>
              </w:rPr>
            </w:pPr>
          </w:p>
        </w:tc>
      </w:tr>
      <w:tr>
        <w:trPr>
          <w:trHeight w:val="219"/>
        </w:trPr>
        <w:tc>
          <w:tcPr>
            <w:tcW w:w="28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Strategic Gaming Leases</w:t>
            </w: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2,299</w:t>
            </w:r>
          </w:p>
        </w:tc>
        <w:tc>
          <w:tcPr>
            <w:tcW w:w="2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2,299</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106</w:t>
            </w: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294</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2,699</w:t>
            </w:r>
          </w:p>
        </w:tc>
        <w:tc>
          <w:tcPr>
            <w:tcW w:w="0" w:type="dxa"/>
            <w:vAlign w:val="bottom"/>
          </w:tcPr>
          <w:p>
            <w:pPr>
              <w:spacing w:after="0"/>
              <w:rPr>
                <w:sz w:val="1"/>
                <w:szCs w:val="1"/>
                <w:color w:val="auto"/>
              </w:rPr>
            </w:pPr>
          </w:p>
        </w:tc>
      </w:tr>
      <w:tr>
        <w:trPr>
          <w:trHeight w:val="219"/>
        </w:trPr>
        <w:tc>
          <w:tcPr>
            <w:tcW w:w="28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Ione Loan</w:t>
            </w: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459</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459</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459</w:t>
            </w:r>
          </w:p>
        </w:tc>
        <w:tc>
          <w:tcPr>
            <w:tcW w:w="0" w:type="dxa"/>
            <w:vAlign w:val="bottom"/>
          </w:tcPr>
          <w:p>
            <w:pPr>
              <w:spacing w:after="0"/>
              <w:rPr>
                <w:sz w:val="1"/>
                <w:szCs w:val="1"/>
                <w:color w:val="auto"/>
              </w:rPr>
            </w:pPr>
          </w:p>
        </w:tc>
      </w:tr>
      <w:tr>
        <w:trPr>
          <w:trHeight w:val="219"/>
        </w:trPr>
        <w:tc>
          <w:tcPr>
            <w:tcW w:w="286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7"/>
                <w:szCs w:val="17"/>
                <w:color w:val="auto"/>
              </w:rPr>
              <w:t>Bally's Chicago Lease</w:t>
            </w:r>
          </w:p>
        </w:tc>
        <w:tc>
          <w:tcPr>
            <w:tcW w:w="2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5,000</w:t>
            </w: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5,000</w:t>
            </w: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(5,000)</w:t>
            </w: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24"/>
        </w:trPr>
        <w:tc>
          <w:tcPr>
            <w:tcW w:w="28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22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5"/>
                <w:szCs w:val="15"/>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299,507</w:t>
            </w:r>
          </w:p>
        </w:tc>
        <w:tc>
          <w:tcPr>
            <w:tcW w:w="28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49,523</w:t>
            </w:r>
          </w:p>
        </w:tc>
        <w:tc>
          <w:tcPr>
            <w:tcW w:w="14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18,109</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3,459</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370,598</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8,412</w:t>
            </w:r>
          </w:p>
        </w:tc>
        <w:tc>
          <w:tcPr>
            <w:tcW w:w="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9,329</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6,896</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395,235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2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In accordance with ASC 842, the Company records revenue for the ground lease rent paid by its tenants with an offsetting expense in land rights and ground lease expense within the condensed consolidated statements of income as the Company has concluded that as the lessee it is the primary obligor under the ground leases. The Company subleases these ground leases back to its tenants, who are responsible for payment directly to the landlord.</w:t>
      </w:r>
    </w:p>
    <w:p>
      <w:pPr>
        <w:spacing w:after="0" w:line="191"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The Company recognizes earnings on Investment in leases, financing receivables and Investment in leases, sales type based on the effective yield method using the discount rate implicit in the leases. The amounts in the table above labeled accretion on leases represent earnings recognized in excess of cash received during the period.</w:t>
      </w:r>
    </w:p>
    <w:p>
      <w:pPr>
        <w:spacing w:after="0" w:line="18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color w:val="auto"/>
        </w:rPr>
        <w:t>Operating expenses</w:t>
      </w:r>
    </w:p>
    <w:p>
      <w:pPr>
        <w:spacing w:after="0" w:line="22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Operating expenses for the three months ended March 31, 2026 and 2025 were as follows (in thousands):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6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600" w:type="dxa"/>
            <w:vAlign w:val="bottom"/>
          </w:tcPr>
          <w:p>
            <w:pPr>
              <w:jc w:val="right"/>
              <w:ind w:right="338"/>
              <w:spacing w:after="0"/>
              <w:rPr>
                <w:sz w:val="20"/>
                <w:szCs w:val="20"/>
                <w:color w:val="auto"/>
              </w:rPr>
            </w:pPr>
            <w:r>
              <w:rPr>
                <w:rFonts w:ascii="Times New Roman" w:cs="Times New Roman" w:eastAsia="Times New Roman" w:hAnsi="Times New Roman"/>
                <w:sz w:val="14"/>
                <w:szCs w:val="14"/>
                <w:b w:val="1"/>
                <w:bCs w:val="1"/>
                <w:color w:val="auto"/>
              </w:rPr>
              <w:t>Percentage</w:t>
            </w:r>
          </w:p>
        </w:tc>
      </w:tr>
      <w:tr>
        <w:trPr>
          <w:trHeight w:val="193"/>
        </w:trPr>
        <w:tc>
          <w:tcPr>
            <w:tcW w:w="4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ind w:right="45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1600" w:type="dxa"/>
            <w:vAlign w:val="bottom"/>
          </w:tcPr>
          <w:p>
            <w:pPr>
              <w:jc w:val="right"/>
              <w:ind w:right="398"/>
              <w:spacing w:after="0"/>
              <w:rPr>
                <w:sz w:val="20"/>
                <w:szCs w:val="20"/>
                <w:color w:val="auto"/>
              </w:rPr>
            </w:pPr>
            <w:r>
              <w:rPr>
                <w:rFonts w:ascii="Times New Roman" w:cs="Times New Roman" w:eastAsia="Times New Roman" w:hAnsi="Times New Roman"/>
                <w:sz w:val="14"/>
                <w:szCs w:val="14"/>
                <w:b w:val="1"/>
                <w:bCs w:val="1"/>
                <w:color w:val="auto"/>
              </w:rPr>
              <w:t>Variance</w:t>
            </w:r>
          </w:p>
        </w:tc>
      </w:tr>
      <w:tr>
        <w:trPr>
          <w:trHeight w:val="22"/>
        </w:trPr>
        <w:tc>
          <w:tcPr>
            <w:tcW w:w="48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CCEEFF"/>
            </w:tcBorders>
          </w:tcPr>
          <w:p>
            <w:pPr>
              <w:spacing w:after="0" w:line="20" w:lineRule="exact"/>
              <w:rPr>
                <w:sz w:val="1"/>
                <w:szCs w:val="1"/>
                <w:color w:val="auto"/>
              </w:rPr>
            </w:pPr>
          </w:p>
        </w:tc>
      </w:tr>
      <w:tr>
        <w:trPr>
          <w:trHeight w:val="212"/>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Land rights and ground lease expense</w:t>
            </w: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13,798</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13,555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243</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1.8 %</w:t>
            </w:r>
          </w:p>
        </w:tc>
      </w:tr>
      <w:tr>
        <w:trPr>
          <w:trHeight w:val="219"/>
        </w:trPr>
        <w:tc>
          <w:tcPr>
            <w:tcW w:w="4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17,938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18,713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(775)</w:t>
            </w: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w:t>
            </w:r>
          </w:p>
        </w:tc>
      </w:tr>
      <w:tr>
        <w:trPr>
          <w:trHeight w:val="219"/>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Gains from dispositions</w:t>
            </w:r>
          </w:p>
        </w:tc>
        <w:tc>
          <w:tcPr>
            <w:tcW w:w="3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N/A</w:t>
            </w:r>
          </w:p>
        </w:tc>
      </w:tr>
      <w:tr>
        <w:trPr>
          <w:trHeight w:val="219"/>
        </w:trPr>
        <w:tc>
          <w:tcPr>
            <w:tcW w:w="4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Depreciation</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65,037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65,012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w:t>
            </w:r>
          </w:p>
        </w:tc>
      </w:tr>
      <w:tr>
        <w:trPr>
          <w:trHeight w:val="219"/>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Provision for credit losses</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(10,137)</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39,246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(49,383)</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(125.8)%</w:t>
            </w:r>
          </w:p>
        </w:tc>
      </w:tr>
      <w:tr>
        <w:trPr>
          <w:trHeight w:val="212"/>
        </w:trPr>
        <w:tc>
          <w:tcPr>
            <w:tcW w:w="4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operating expenses</w:t>
            </w:r>
          </w:p>
        </w:tc>
        <w:tc>
          <w:tcPr>
            <w:tcW w:w="3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86,636</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136,401</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(49,765)</w:t>
            </w: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(36.5)%</w:t>
            </w:r>
          </w:p>
        </w:tc>
      </w:tr>
      <w:tr>
        <w:trPr>
          <w:trHeight w:val="20"/>
        </w:trPr>
        <w:tc>
          <w:tcPr>
            <w:tcW w:w="48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7"/>
          <w:szCs w:val="17"/>
          <w:b w:val="1"/>
          <w:bCs w:val="1"/>
          <w:color w:val="auto"/>
        </w:rPr>
        <w:t>Land rights and ground lease expense</w:t>
      </w:r>
    </w:p>
    <w:p>
      <w:pPr>
        <w:spacing w:after="0" w:line="247"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Land rights and ground lease expense includes the amortization of land rights and rent expense related to the Company's long-term ground leases. Land rights and ground lease expense increased by $0.2 million for the three months ended March 31, 2026, as compared to the corresponding period in the prior year due to the acquisition of the real estate assets in Bally's Master Lease II.</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General and administrative expense</w:t>
      </w:r>
    </w:p>
    <w:p>
      <w:pPr>
        <w:spacing w:after="0" w:line="247"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General and administrative expenses include items such as compensation costs (including stock based compensation), professional services and costs associated with development activities. General and administrative expenses decreased by $0.8 million for the three months ended March 31, 2026, compared to the corresponding period in the prior year. The decrease was primarily attributable to a $0.8 million reduction in stock-based compensation expense relative to the prior year.</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Provision for credit losses</w:t>
      </w:r>
    </w:p>
    <w:p>
      <w:pPr>
        <w:spacing w:after="0" w:line="247" w:lineRule="exact"/>
        <w:rPr>
          <w:sz w:val="20"/>
          <w:szCs w:val="20"/>
          <w:color w:val="auto"/>
        </w:rPr>
      </w:pPr>
    </w:p>
    <w:p>
      <w:pPr>
        <w:jc w:val="both"/>
        <w:ind w:firstLine="619"/>
        <w:spacing w:after="0" w:line="267" w:lineRule="auto"/>
        <w:rPr>
          <w:sz w:val="20"/>
          <w:szCs w:val="20"/>
          <w:color w:val="auto"/>
        </w:rPr>
      </w:pPr>
      <w:r>
        <w:rPr>
          <w:rFonts w:ascii="Times New Roman" w:cs="Times New Roman" w:eastAsia="Times New Roman" w:hAnsi="Times New Roman"/>
          <w:sz w:val="17"/>
          <w:szCs w:val="17"/>
          <w:color w:val="auto"/>
        </w:rPr>
        <w:t>The Company recorded a benefit for credit losses of $10.1 million for the three months ended March 31, 2026 compared to a provision of $39.2 million for the corresponding period in the prior year. As described in Note 3, the Company follows ASC 326 “Credit Losses”, which requires that the Company measure and record current expected credit losses, the scope of which includes our Investments in leases, as well as the Company's real estate loans and related loan commitment.</w:t>
      </w:r>
    </w:p>
    <w:p>
      <w:pPr>
        <w:spacing w:after="0" w:line="200" w:lineRule="exact"/>
        <w:rPr>
          <w:sz w:val="20"/>
          <w:szCs w:val="20"/>
          <w:color w:val="auto"/>
        </w:rPr>
      </w:pPr>
    </w:p>
    <w:p>
      <w:pPr>
        <w:spacing w:after="0" w:line="205"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The reason for the year over year variance in the provision was due to the significant charge in the three month period ended March 31, 2025 that resulted from a more pessimistic forward looking economic forecast and higher weighting to such forecast at March 31, 2025 compared to December 31, 2024. Additionally, the benefit recorded during the three month period ended March 31, 2026 resulted from an improvement in the estimated real estate values that will comprise the Company's real estate portfolio for the Virginia Live! development project. Future changes in economic projections, probability factors, changes in the estimated value of our real estate property and earnings assumptions at the underlying facilities may result in non-cash provisions or recoveries in future periods that could materially impact our results of operations.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Other income (expenses)</w:t>
      </w:r>
    </w:p>
    <w:p>
      <w:pPr>
        <w:spacing w:after="0" w:line="22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Other income (expenses) for the three months ended March 31, 2026 and 2025 were as follows (in thousands):</w:t>
      </w:r>
    </w:p>
    <w:p>
      <w:pPr>
        <w:spacing w:after="0" w:line="274" w:lineRule="exact"/>
        <w:rPr>
          <w:sz w:val="20"/>
          <w:szCs w:val="20"/>
          <w:color w:val="auto"/>
        </w:rPr>
      </w:pPr>
    </w:p>
    <w:tbl>
      <w:tblPr>
        <w:tblLayout w:type="fixed"/>
        <w:tblInd w:w="40" w:type="dxa"/>
        <w:tblCellMar>
          <w:top w:w="0" w:type="dxa"/>
          <w:left w:w="0" w:type="dxa"/>
          <w:bottom w:w="0" w:type="dxa"/>
          <w:right w:w="0" w:type="dxa"/>
        </w:tblCellMar>
      </w:tblPr>
      <w:tr>
        <w:trPr>
          <w:trHeight w:val="182"/>
        </w:trPr>
        <w:tc>
          <w:tcPr>
            <w:tcW w:w="49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4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tcPr>
          <w:p>
            <w:pPr>
              <w:jc w:val="right"/>
              <w:ind w:right="363"/>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22"/>
        </w:trPr>
        <w:tc>
          <w:tcPr>
            <w:tcW w:w="49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vMerge w:val="restart"/>
          </w:tcPr>
          <w:p>
            <w:pPr>
              <w:jc w:val="right"/>
              <w:ind w:right="338"/>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100" w:type="dxa"/>
            <w:vAlign w:val="bottom"/>
          </w:tcPr>
          <w:p>
            <w:pPr>
              <w:spacing w:after="0" w:line="20" w:lineRule="exact"/>
              <w:rPr>
                <w:sz w:val="1"/>
                <w:szCs w:val="1"/>
                <w:color w:val="auto"/>
              </w:rPr>
            </w:pPr>
          </w:p>
        </w:tc>
        <w:tc>
          <w:tcPr>
            <w:tcW w:w="1520" w:type="dxa"/>
            <w:vAlign w:val="bottom"/>
            <w:vMerge w:val="restart"/>
          </w:tcPr>
          <w:p>
            <w:pPr>
              <w:jc w:val="right"/>
              <w:ind w:right="423"/>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0" w:type="dxa"/>
            <w:vAlign w:val="bottom"/>
          </w:tcPr>
          <w:p>
            <w:pPr>
              <w:spacing w:after="0"/>
              <w:rPr>
                <w:sz w:val="1"/>
                <w:szCs w:val="1"/>
                <w:color w:val="auto"/>
              </w:rPr>
            </w:pPr>
          </w:p>
        </w:tc>
      </w:tr>
      <w:tr>
        <w:trPr>
          <w:trHeight w:val="181"/>
        </w:trPr>
        <w:tc>
          <w:tcPr>
            <w:tcW w:w="496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5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5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expense</w:t>
            </w:r>
          </w:p>
        </w:tc>
        <w:tc>
          <w:tcPr>
            <w:tcW w:w="30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(95,856)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(97,272)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1,416</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0" w:type="dxa"/>
            <w:vAlign w:val="bottom"/>
          </w:tcPr>
          <w:p>
            <w:pPr>
              <w:spacing w:after="0"/>
              <w:rPr>
                <w:sz w:val="1"/>
                <w:szCs w:val="1"/>
                <w:color w:val="auto"/>
              </w:rPr>
            </w:pPr>
          </w:p>
        </w:tc>
      </w:tr>
      <w:tr>
        <w:trPr>
          <w:trHeight w:val="219"/>
        </w:trPr>
        <w:tc>
          <w:tcPr>
            <w:tcW w:w="4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income</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2,737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9,356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(6,619)</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(70.7)%</w:t>
            </w:r>
          </w:p>
        </w:tc>
        <w:tc>
          <w:tcPr>
            <w:tcW w:w="0" w:type="dxa"/>
            <w:vAlign w:val="bottom"/>
          </w:tcPr>
          <w:p>
            <w:pPr>
              <w:spacing w:after="0"/>
              <w:rPr>
                <w:sz w:val="1"/>
                <w:szCs w:val="1"/>
                <w:color w:val="auto"/>
              </w:rPr>
            </w:pPr>
          </w:p>
        </w:tc>
      </w:tr>
      <w:tr>
        <w:trPr>
          <w:trHeight w:val="219"/>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Losses on debt extinguishment and other financing costs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(268)</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N/A</w:t>
            </w:r>
          </w:p>
        </w:tc>
        <w:tc>
          <w:tcPr>
            <w:tcW w:w="0" w:type="dxa"/>
            <w:vAlign w:val="bottom"/>
          </w:tcPr>
          <w:p>
            <w:pPr>
              <w:spacing w:after="0"/>
              <w:rPr>
                <w:sz w:val="1"/>
                <w:szCs w:val="1"/>
                <w:color w:val="auto"/>
              </w:rPr>
            </w:pPr>
          </w:p>
        </w:tc>
      </w:tr>
      <w:tr>
        <w:trPr>
          <w:trHeight w:val="212"/>
        </w:trPr>
        <w:tc>
          <w:tcPr>
            <w:tcW w:w="4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other expenses</w:t>
            </w:r>
          </w:p>
        </w:tc>
        <w:tc>
          <w:tcPr>
            <w:tcW w:w="300" w:type="dxa"/>
            <w:vAlign w:val="bottom"/>
            <w:tcBorders>
              <w:top w:val="single" w:sz="8" w:color="auto"/>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(93,387)</w:t>
            </w: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(87,916)</w:t>
            </w: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(5,471)</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6.2 %</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color w:val="auto"/>
        </w:rPr>
        <w:t>Interest expense</w:t>
      </w:r>
    </w:p>
    <w:p>
      <w:pPr>
        <w:spacing w:after="0" w:line="24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Interest expense decreased by $1.4 million for the three months ended March 31, 2026, as compared to the corresponding period in the prior year.</w:t>
      </w:r>
    </w:p>
    <w:p>
      <w:pPr>
        <w:spacing w:after="0" w:line="23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color w:val="auto"/>
        </w:rPr>
        <w:t>Interest income</w:t>
      </w:r>
    </w:p>
    <w:p>
      <w:pPr>
        <w:spacing w:after="0" w:line="24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Interest income declined by $6.6 million for the three months ended March 31, 2026 due to lower average interest earning balances in the current year.</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Net income attributable to noncontrolling interest in the Operating Partnership</w:t>
      </w:r>
    </w:p>
    <w:p>
      <w:pPr>
        <w:spacing w:after="0" w:line="247"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As partial consideration for certain real estate acquisitions, the Company's operating partnership has issued OP Units. OP Units are exchangeable for common shares of the Company on a one-for-one basis, subject to certain terms and conditions. The operating partnership is a variable interest entity ("VIE") in which the Company is the primary beneficiary because it has the power to direct the activities of the VIE that most significantly impact the partnership's economic performance and has the obligation to absorb losses of the VIE that could be potentially significant to the VIE and the right to receive benefits from the VIE that could be</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sectPr>
      </w:pPr>
    </w:p>
    <w:bookmarkStart w:id="51" w:name="page52"/>
    <w:bookmarkEnd w:id="51"/>
    <w:p>
      <w:pPr>
        <w:jc w:val="both"/>
        <w:spacing w:after="0" w:line="270" w:lineRule="auto"/>
        <w:rPr>
          <w:sz w:val="20"/>
          <w:szCs w:val="20"/>
          <w:color w:val="auto"/>
        </w:rPr>
      </w:pPr>
      <w:r>
        <w:rPr>
          <w:rFonts w:ascii="Times New Roman" w:cs="Times New Roman" w:eastAsia="Times New Roman" w:hAnsi="Times New Roman"/>
          <w:sz w:val="17"/>
          <w:szCs w:val="17"/>
          <w:color w:val="auto"/>
        </w:rPr>
        <w:t>significant to the VIE. Therefore, the Company consolidates the accounts of the operating partnership, and reflects the third party ownership in this entity as a noncontrolling interest in the Condensed Consolidated Balance Sheets and allocates the proportion of net income to the noncontrolling interests on the Condensed Consolidated Statements of Income.</w:t>
      </w:r>
    </w:p>
    <w:p>
      <w:pPr>
        <w:spacing w:after="0" w:line="191"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The Company’s net income or loss is allocated to noncontrolling interests based on the respective ownership or voting percentage in the Operating Partnership associated with such noncontrolling interests and is removed from consolidated income or loss on the Condensed Consolidated Statements of Operations in order to derive net income or loss attributable to common stockholders. The noncontrolling ownership percentage is calculated by dividing the aggregate number of LTIP Units and OP Units by the total number of units and shares outstanding.</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221"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Our primary sources of liquidity and capital resources are cash flow from operations, borrowings from banks, and proceeds from the issuance of debt and equity securities.</w:t>
      </w:r>
    </w:p>
    <w:p>
      <w:pPr>
        <w:spacing w:after="0" w:line="151"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Net cash provided by operating activities was $270.2 million and $252.5 million during the three months ended March 31, 2026 and 2025, respectively. The increase in net cash provided by operating activities of $17.7 million for the three months ended March 31, 2026, as compared to the corresponding period in the prior year, was primarily comprised of an increase in cash receipts from customers of $32.8 million along with a decrease in cash paid for interest expense of $9.4 million. This was partially offset by increases in cash paid for operating expenses and employees of $4.6 million and $2.1 million, respectively. Finally, cash received on interest income declined by $17.5 million. The increase in cash receipts collected from our customers for the three months ended March 31, 2026, as compared to the corresponding period in the prior year, was due to increased rental income from the Company's recent acquisition and development activity as well as lease escalations.</w:t>
      </w:r>
    </w:p>
    <w:p>
      <w:pPr>
        <w:spacing w:after="0" w:line="205"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The $17.5 million decline in cash collected from interest income was driven by two factors: (i) the non-recurrence of a zero-coupon bond maturity in the prior year and (ii) lower average earning balances in the current year. Upon maturity, the zero-coupon bond generated a one-time cash inflow of $10.8 million, representing the cumulative accretion of discount recognized as interest income over the life of the instrument. As no comparable maturity occurred in the current period, this resulted in a period-over-period decline in cash collections. The remaining variance is attributable to lower average earning balances, which reduced ongoing interest income.</w:t>
      </w:r>
    </w:p>
    <w:p>
      <w:pPr>
        <w:spacing w:after="0" w:line="200"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The decline in cash paid for interest expense relates to timing differences on bond interest payments due to our bond redemptions and issuances during the three months ended March 31, 2026, lower market interest rates on our variable rate debt as well as higher capitalized interest due to our continued development costs at Bally's Chicago. The increase in cash paid for operating expenses is primarily attributable to changes in working capital accounts and the increase in cash paid to employees is primarily attributable to a severance payment to a former executive.</w:t>
      </w:r>
    </w:p>
    <w:p>
      <w:pPr>
        <w:spacing w:after="0" w:line="1"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17"/>
          <w:szCs w:val="17"/>
          <w:color w:val="auto"/>
        </w:rPr>
        <w:t>Investing activities used cash of $853.5 million and provided cash of $534.0 million during the three months ended March 31, 2026 and 2025, respectively. Net cash used by investing activities during the three months ended March 31, 2026 primarily consisted of $688.0 million for the acquisition of the Bally's Lincoln real estate assets which were added to the Bally's II Master Lease, additional loan fundings of $54.1 million, and capital expenditures of $111.5 million primarily related to Bally's Chicago. The net cash provided by investing activities for the three months ended March 31, 2025 consisted primarily of the maturity of zero coupon U.S. Treasury Bills totaling $550.0 million, partially offset by Ione Loan fundings of $3.2 million and capital expenditures of $12.9 million.</w:t>
      </w:r>
    </w:p>
    <w:p>
      <w:pPr>
        <w:spacing w:after="0" w:line="200" w:lineRule="exact"/>
        <w:rPr>
          <w:sz w:val="20"/>
          <w:szCs w:val="20"/>
          <w:color w:val="auto"/>
        </w:rPr>
      </w:pPr>
    </w:p>
    <w:p>
      <w:pPr>
        <w:spacing w:after="0" w:line="210"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Financing activities provided cash of $633.5 million and used cash of $1,080.3 million during the three months ended March 31, 2026 and 2025, respectively. Net cash provided by financing activities during the three months ended March 31, 2026 was driven by proceeds from the issuance of long term debt of $2,156.9 million, partially offset by the repayment of long term debt of $1,279.9 million, dividend payments of $221.1 million, non-controlling interest distributions of $6.9 million, taxes paid related to shares withheld for tax purposes on restricted stock award vestings of $6.3 million and new debt issuance costs of $9.1 million. Cash used in financing activities during the three months ended March 31, 2025 was driven by the repayment of long term debt of $850.1 million, dividend payments of $209.1 million, noncontrolling interest distributions of $6.3 million and taxes paid related to shares withheld for tax purposes on restricted stock award vestings of $14.8 million.</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Capital Expenditures</w:t>
      </w:r>
    </w:p>
    <w:p>
      <w:pPr>
        <w:spacing w:after="0" w:line="221"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Capital expenditures are accounted for as either capital project expenditures or capital maintenance (replacement) expenditures. Capital project expenditures are for fixed asset additions that expand an existing facility or create a new facility. The cost of properties developed by the Company include costs of construction, property taxes, interest and other miscellaneous costs incurred during the development period until the project is substantially complete and available for occupancy. Capital maintenance expenditures are expenditures to replace existing fixed assets with a useful life greater than one year that are obsolete, worn out or no longer cost effective to repair.</w:t>
      </w:r>
    </w:p>
    <w:p>
      <w:pPr>
        <w:spacing w:after="0" w:line="200"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During the three months ended March 31, 2026 and 2025, we spent approximately $111.5 million and $12.9 million, respectively, for capital expenditures. The capital expenditures in 2026 were related to the Bally's Chicago development project and a land side development project at Bally's Marquette.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7"/>
          <w:szCs w:val="17"/>
          <w:i w:val="1"/>
          <w:iCs w:val="1"/>
          <w:color w:val="auto"/>
        </w:rPr>
        <w:t>Debt</w:t>
      </w:r>
    </w:p>
    <w:p>
      <w:pPr>
        <w:spacing w:after="0" w:line="247"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The Company has access to a $2.09 billion variable rate Revolver under its Credit Agreement, of which $330.8 million is outstanding as of March 31, 2026. Additionally, the Company was contingently obligated under letters of credit issued pursuant to the Credit Agreement with face amounts aggregating approximately $0.4 million, resulting in $1,758.8 million of available borrowing capacity under the Credit Agreement as of March 31, 2026.</w:t>
      </w:r>
    </w:p>
    <w:p>
      <w:pPr>
        <w:spacing w:after="0" w:line="191"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The Company has $8.08 billion of debt outstanding with a weighted average maturity and interest rate of 7.1 years and 5.08%, respectively as of March 31, 2026. The majority of the Company's debt obligations have fixed interest rates from the issuance of its senior unsecured notes. During the three months ended March 31, 2026, the Company issued $800 million of 5.625% Senior Notes that will mature on March 1, 2036 at an issue price of 99.857% of the principal amount. The proceeds of the offering were utilized to repay borrowings under the 2022 Term Loan Credit Facility and for working capital and general corporate purposes. During the three month period ended March 31, 2025, the Company redeemed its $850 million 5.250% note that was due in June 2025. See Note 7 for the future minimum repayments of the Company's debt obligations and additional discussion.</w:t>
      </w:r>
    </w:p>
    <w:p>
      <w:pPr>
        <w:spacing w:after="0" w:line="109"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GLPI owns 96.8% of the assets of GLP Capital and conducts all of its operations through the operating partnership. Based on the amendments to Rule 3-10 of Regulation S-X that the SEC released on January 4, 2021, we note that since GLPI fully and unconditionally guarantees the debt securities of the Issuers and consolidates both Issuers, we are not required to provide separate financial statements for the Issuers and GLPI since they are consolidated into GLPI and the GLPI guarantee is "full and unconditional".</w:t>
      </w:r>
    </w:p>
    <w:p>
      <w:pPr>
        <w:spacing w:after="0" w:line="94" w:lineRule="exact"/>
        <w:rPr>
          <w:sz w:val="20"/>
          <w:szCs w:val="20"/>
          <w:color w:val="auto"/>
        </w:rPr>
      </w:pPr>
    </w:p>
    <w:p>
      <w:pPr>
        <w:jc w:val="both"/>
        <w:ind w:firstLine="619"/>
        <w:spacing w:after="0" w:line="262" w:lineRule="auto"/>
        <w:rPr>
          <w:sz w:val="20"/>
          <w:szCs w:val="20"/>
          <w:color w:val="auto"/>
        </w:rPr>
      </w:pPr>
      <w:r>
        <w:rPr>
          <w:rFonts w:ascii="Times New Roman" w:cs="Times New Roman" w:eastAsia="Times New Roman" w:hAnsi="Times New Roman"/>
          <w:sz w:val="17"/>
          <w:szCs w:val="17"/>
          <w:color w:val="auto"/>
        </w:rPr>
        <w:t>Furthermore, as permitted under Rule 13-01(a)(4)(vi), we excluded the summarized financial information for the Issuers because the assets, liabilities and results of operations of the Issuers and GLPI are not materially different than the corresponding amounts in GLPI's consolidated financial statements and we believe such summarized financial information would be repetitive and would not provide incremental value to investors.</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Distribution Requirements</w:t>
      </w:r>
    </w:p>
    <w:p>
      <w:pPr>
        <w:spacing w:after="0" w:line="247"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17"/>
          <w:szCs w:val="17"/>
          <w:color w:val="auto"/>
        </w:rPr>
        <w:t>We generally must distribute annually at least 90% of our REIT taxable income, determined without regard to the dividends paid deduction and excluding any net capital gains, in order to qualify to be taxed as a REIT (assuming that certain other requirements are also satisfied) so that U.S. federal corporate income tax does not apply to earnings that we distribute. Such distributions generally can be made with cash and/or a combination of cash and Company common stock if certain requirements are met. To the extent that we satisfy this distribution requirement and qualify for taxation as a REIT but distribute less than 100% of our REIT taxable income, determined without regard to the dividends paid deduction and including any net capital gains, we will be subject to U.S. federal corporate income tax on our undistributed net taxable income. In addition, we will be subject to a 4% nondeductible excise tax if the actual amount that we distribute to our shareholders in a calendar year is less than a minimum amount specified under U.S. federal income tax laws. We intend to make distributions to our shareholders to comply with the REIT requirements of the Code. To the extent any of the Company's taxable income was not previously distributed, the Company will make a dividend declaration pursuant to Section 858(a)(1) of the Code, allowing the Company to treat certain dividends that are to be distributed after the close of a taxable year as having been paid during the taxable year.</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Outlook</w:t>
      </w:r>
    </w:p>
    <w:p>
      <w:pPr>
        <w:spacing w:after="0" w:line="247"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Based on our current level of operations and anticipated earnings, we believe that cash generated from operations and cash on hand, together with amounts available under our Credit Agreement and our ability to raise equity proceeds (including through the use of our 2025 ATM Program), will be adequate to meet our anticipated debt service requirements, funding commitments, capital expenditures, working capital needs and dividend requirements for the next twelve months and beyond.</w:t>
      </w:r>
    </w:p>
    <w:p>
      <w:pPr>
        <w:spacing w:after="0" w:line="197"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We expect the majority of our future growth to come from funding commitments to our tenants and acquisitions of gaming and other properties to lease to third parties. If we consummate significant transactions in the future, our cash requirements may increase significantly and we would likely need to raise additional proceeds through a combination of either common equity, issuance of additional OP Units, and/or debt offerings. Our future operating performance and our ability to service or refinance our debt will be subject to future economic conditions and to financial, business and other factors, many of which are beyond our control. See "Risk Factors-Risks Related to Our Capital Structure" in the Company's Annual Report on Form 10-K for the year ended December 31, 2025, for a discussion of the risk related to our capital structure.</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7"/>
          <w:szCs w:val="17"/>
          <w:b w:val="1"/>
          <w:bCs w:val="1"/>
          <w:color w:val="auto"/>
        </w:rPr>
        <w:t>ITEM 3. QUANTITATIVE AND QUALITATIVE DISCLOSURES ABOUT MARKET RISK</w:t>
      </w:r>
    </w:p>
    <w:p>
      <w:pPr>
        <w:spacing w:after="0" w:line="22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We face market risk exposure in the form of interest rate risk. These market risks arise from our debt obligations. We have no international operations.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exposure to foreign currency fluctuations is not significant to our financial condition or results of operations.</w:t>
      </w:r>
    </w:p>
    <w:p>
      <w:pPr>
        <w:spacing w:after="0" w:line="200"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GLPI’s primary market risk exposure is interest rate risk with respect to its indebtedness of $8,159.9 million at March 31, 2026. Furthermore, $7,150.0 million of our obligations at March 31, 2026 are the senior unsecured notes that have fixed interest rates with maturity dates ranging from June 2028 to September 2054. An increase in interest rates could make the financing of any acquisition by GLPI more costly, as well as increase the costs of its variable rate debt obligations. Rising interest rates could also limit GLPI’s ability to refinance its debt when it matures or cause GLPI to pay higher interest rates upon refinancing and increase interest expense on refinanced indebtedness. GLPI may manage, or hedge, interest rate risks related to its borrowings by means of interest rate swap agreements. However, the provisions of the Code applicable to REITs limit GLPI’s ability to hedge its assets and liabilities.</w:t>
      </w:r>
    </w:p>
    <w:p>
      <w:pPr>
        <w:spacing w:after="0" w:line="199"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The table below provides information at March 31, 2026 about our financial instruments that are sensitive to changes in interest rates. For debt obligations, the table presents notional amounts maturing in each fiscal year and the related weighted-average interest rates by maturity dates. Notional amounts are used to calculate the contractual payments to be exchanged by maturity date and the weighted-average interest rates are based on implied forward SOFR rates at March 31, 2026.</w:t>
      </w:r>
    </w:p>
    <w:p>
      <w:pPr>
        <w:spacing w:after="0" w:line="209" w:lineRule="exact"/>
        <w:rPr>
          <w:sz w:val="20"/>
          <w:szCs w:val="20"/>
          <w:color w:val="auto"/>
        </w:rPr>
      </w:pPr>
    </w:p>
    <w:tbl>
      <w:tblPr>
        <w:tblLayout w:type="fixed"/>
        <w:tblInd w:w="2580" w:type="dxa"/>
        <w:tblCellMar>
          <w:top w:w="0" w:type="dxa"/>
          <w:left w:w="0" w:type="dxa"/>
          <w:bottom w:w="0" w:type="dxa"/>
          <w:right w:w="0" w:type="dxa"/>
        </w:tblCellMar>
      </w:tblPr>
      <w:tr>
        <w:trPr>
          <w:trHeight w:val="161"/>
        </w:trPr>
        <w:tc>
          <w:tcPr>
            <w:tcW w:w="760" w:type="dxa"/>
            <w:vAlign w:val="bottom"/>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w w:val="95"/>
              </w:rPr>
              <w:t>04/01/26-</w:t>
            </w:r>
          </w:p>
        </w:tc>
        <w:tc>
          <w:tcPr>
            <w:tcW w:w="980" w:type="dxa"/>
            <w:vAlign w:val="bottom"/>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1/01/27-</w:t>
            </w:r>
          </w:p>
        </w:tc>
        <w:tc>
          <w:tcPr>
            <w:tcW w:w="1000" w:type="dxa"/>
            <w:vAlign w:val="bottom"/>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1/01/28-</w:t>
            </w:r>
          </w:p>
        </w:tc>
        <w:tc>
          <w:tcPr>
            <w:tcW w:w="1020" w:type="dxa"/>
            <w:vAlign w:val="bottom"/>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1/01/29-</w:t>
            </w:r>
          </w:p>
        </w:tc>
        <w:tc>
          <w:tcPr>
            <w:tcW w:w="98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1/01/30-</w:t>
            </w:r>
          </w:p>
        </w:tc>
        <w:tc>
          <w:tcPr>
            <w:tcW w:w="116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960" w:type="dxa"/>
            <w:vAlign w:val="bottom"/>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100" w:type="dxa"/>
            <w:vAlign w:val="bottom"/>
          </w:tcPr>
          <w:p>
            <w:pPr>
              <w:jc w:val="center"/>
              <w:ind w:left="271"/>
              <w:spacing w:after="0"/>
              <w:rPr>
                <w:sz w:val="20"/>
                <w:szCs w:val="20"/>
                <w:color w:val="auto"/>
              </w:rPr>
            </w:pPr>
            <w:r>
              <w:rPr>
                <w:rFonts w:ascii="Times New Roman" w:cs="Times New Roman" w:eastAsia="Times New Roman" w:hAnsi="Times New Roman"/>
                <w:sz w:val="14"/>
                <w:szCs w:val="14"/>
                <w:b w:val="1"/>
                <w:bCs w:val="1"/>
                <w:color w:val="auto"/>
                <w:w w:val="95"/>
              </w:rPr>
              <w:t>Fair Value at</w:t>
            </w:r>
          </w:p>
        </w:tc>
        <w:tc>
          <w:tcPr>
            <w:tcW w:w="0" w:type="dxa"/>
            <w:vAlign w:val="bottom"/>
          </w:tcPr>
          <w:p>
            <w:pPr>
              <w:spacing w:after="0"/>
              <w:rPr>
                <w:sz w:val="1"/>
                <w:szCs w:val="1"/>
                <w:color w:val="auto"/>
              </w:rPr>
            </w:pPr>
          </w:p>
        </w:tc>
      </w:tr>
      <w:tr>
        <w:trPr>
          <w:trHeight w:val="182"/>
        </w:trPr>
        <w:tc>
          <w:tcPr>
            <w:tcW w:w="76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12/31/26</w:t>
            </w:r>
          </w:p>
        </w:tc>
        <w:tc>
          <w:tcPr>
            <w:tcW w:w="980" w:type="dxa"/>
            <w:vAlign w:val="bottom"/>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12/31/27</w:t>
            </w:r>
          </w:p>
        </w:tc>
        <w:tc>
          <w:tcPr>
            <w:tcW w:w="1000" w:type="dxa"/>
            <w:vAlign w:val="bottom"/>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12/31/28</w:t>
            </w:r>
          </w:p>
        </w:tc>
        <w:tc>
          <w:tcPr>
            <w:tcW w:w="1020" w:type="dxa"/>
            <w:vAlign w:val="bottom"/>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12/31/29</w:t>
            </w:r>
          </w:p>
        </w:tc>
        <w:tc>
          <w:tcPr>
            <w:tcW w:w="980" w:type="dxa"/>
            <w:vAlign w:val="bottom"/>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12/31/30</w:t>
            </w:r>
          </w:p>
        </w:tc>
        <w:tc>
          <w:tcPr>
            <w:tcW w:w="1160" w:type="dxa"/>
            <w:vAlign w:val="bottom"/>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3/31/2026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1532890</wp:posOffset>
            </wp:positionH>
            <wp:positionV relativeFrom="paragraph">
              <wp:posOffset>6350</wp:posOffset>
            </wp:positionV>
            <wp:extent cx="530479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304790" cy="8255"/>
                    </a:xfrm>
                    <a:prstGeom prst="rect">
                      <a:avLst/>
                    </a:prstGeom>
                    <a:noFill/>
                  </pic:spPr>
                </pic:pic>
              </a:graphicData>
            </a:graphic>
          </wp:anchor>
        </w:drawing>
      </w:r>
    </w:p>
    <w:p>
      <w:pPr>
        <w:ind w:left="618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25" w:lineRule="exact"/>
        <w:rPr>
          <w:sz w:val="20"/>
          <w:szCs w:val="20"/>
          <w:color w:val="auto"/>
        </w:rPr>
      </w:pPr>
    </w:p>
    <w:tbl>
      <w:tblPr>
        <w:tblLayout w:type="fixed"/>
        <w:tblInd w:w="20" w:type="dxa"/>
        <w:tblCellMar>
          <w:top w:w="0" w:type="dxa"/>
          <w:left w:w="0" w:type="dxa"/>
          <w:bottom w:w="0" w:type="dxa"/>
          <w:right w:w="0" w:type="dxa"/>
        </w:tblCellMar>
      </w:tblPr>
      <w:tr>
        <w:trPr>
          <w:trHeight w:val="193"/>
        </w:trPr>
        <w:tc>
          <w:tcPr>
            <w:tcW w:w="40" w:type="dxa"/>
            <w:vAlign w:val="bottom"/>
            <w:tcBorders>
              <w:right w:val="single" w:sz="8" w:color="CCEEFF"/>
            </w:tcBorders>
          </w:tcPr>
          <w:p>
            <w:pPr>
              <w:spacing w:after="0"/>
              <w:rPr>
                <w:sz w:val="16"/>
                <w:szCs w:val="16"/>
                <w:color w:val="auto"/>
              </w:rPr>
            </w:pPr>
          </w:p>
        </w:tc>
        <w:tc>
          <w:tcPr>
            <w:tcW w:w="9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w w:val="96"/>
              </w:rPr>
              <w:t>Long-term debt:</w:t>
            </w:r>
          </w:p>
        </w:tc>
        <w:tc>
          <w:tcPr>
            <w:tcW w:w="9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r>
      <w:tr>
        <w:trPr>
          <w:trHeight w:val="186"/>
        </w:trPr>
        <w:tc>
          <w:tcPr>
            <w:tcW w:w="40" w:type="dxa"/>
            <w:vAlign w:val="bottom"/>
          </w:tcPr>
          <w:p>
            <w:pPr>
              <w:spacing w:after="0"/>
              <w:rPr>
                <w:sz w:val="16"/>
                <w:szCs w:val="16"/>
                <w:color w:val="auto"/>
              </w:rPr>
            </w:pPr>
          </w:p>
        </w:tc>
        <w:tc>
          <w:tcPr>
            <w:tcW w:w="188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Fixed rate</w:t>
            </w:r>
          </w:p>
        </w:tc>
        <w:tc>
          <w:tcPr>
            <w:tcW w:w="780" w:type="dxa"/>
            <w:vAlign w:val="bottom"/>
          </w:tcPr>
          <w:p>
            <w:pPr>
              <w:jc w:val="right"/>
              <w:ind w:right="151"/>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500,000</w:t>
            </w:r>
          </w:p>
        </w:tc>
        <w:tc>
          <w:tcPr>
            <w:tcW w:w="24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750,000</w:t>
            </w:r>
          </w:p>
        </w:tc>
        <w:tc>
          <w:tcPr>
            <w:tcW w:w="26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700,000</w:t>
            </w:r>
          </w:p>
        </w:tc>
        <w:tc>
          <w:tcPr>
            <w:tcW w:w="26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5,200,000</w:t>
            </w:r>
          </w:p>
        </w:tc>
        <w:tc>
          <w:tcPr>
            <w:tcW w:w="32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7,150,000</w:t>
            </w:r>
          </w:p>
        </w:tc>
        <w:tc>
          <w:tcPr>
            <w:tcW w:w="420" w:type="dxa"/>
            <w:vAlign w:val="bottom"/>
          </w:tcPr>
          <w:p>
            <w:pPr>
              <w:jc w:val="right"/>
              <w:ind w:right="191"/>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6,956,936</w:t>
            </w:r>
          </w:p>
        </w:tc>
      </w:tr>
      <w:tr>
        <w:trPr>
          <w:trHeight w:val="201"/>
        </w:trPr>
        <w:tc>
          <w:tcPr>
            <w:tcW w:w="40" w:type="dxa"/>
            <w:vAlign w:val="bottom"/>
            <w:tcBorders>
              <w:right w:val="single" w:sz="8" w:color="CCEEFF"/>
            </w:tcBorders>
          </w:tcPr>
          <w:p>
            <w:pPr>
              <w:spacing w:after="0"/>
              <w:rPr>
                <w:sz w:val="17"/>
                <w:szCs w:val="17"/>
                <w:color w:val="auto"/>
              </w:rPr>
            </w:pPr>
          </w:p>
        </w:tc>
        <w:tc>
          <w:tcPr>
            <w:tcW w:w="18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Average interest rate</w:t>
            </w:r>
          </w:p>
        </w:tc>
        <w:tc>
          <w:tcPr>
            <w:tcW w:w="78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271"/>
              <w:spacing w:after="0"/>
              <w:rPr>
                <w:sz w:val="20"/>
                <w:szCs w:val="20"/>
                <w:color w:val="auto"/>
              </w:rPr>
            </w:pPr>
            <w:r>
              <w:rPr>
                <w:rFonts w:ascii="Times New Roman" w:cs="Times New Roman" w:eastAsia="Times New Roman" w:hAnsi="Times New Roman"/>
                <w:sz w:val="14"/>
                <w:szCs w:val="14"/>
                <w:color w:val="auto"/>
                <w:w w:val="93"/>
              </w:rPr>
              <w:t>—%</w:t>
            </w: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jc w:val="center"/>
              <w:ind w:right="131"/>
              <w:spacing w:after="0"/>
              <w:rPr>
                <w:sz w:val="20"/>
                <w:szCs w:val="20"/>
                <w:color w:val="auto"/>
              </w:rPr>
            </w:pPr>
            <w:r>
              <w:rPr>
                <w:rFonts w:ascii="Times New Roman" w:cs="Times New Roman" w:eastAsia="Times New Roman" w:hAnsi="Times New Roman"/>
                <w:sz w:val="14"/>
                <w:szCs w:val="14"/>
                <w:color w:val="auto"/>
                <w:w w:val="93"/>
              </w:rPr>
              <w:t>—%</w:t>
            </w: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4"/>
                <w:szCs w:val="14"/>
                <w:color w:val="auto"/>
              </w:rPr>
              <w:t>5.75%</w:t>
            </w: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4"/>
                <w:szCs w:val="14"/>
                <w:color w:val="auto"/>
              </w:rPr>
              <w:t>5.30%</w:t>
            </w: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4"/>
                <w:szCs w:val="14"/>
                <w:color w:val="auto"/>
              </w:rPr>
              <w:t>4.00%</w:t>
            </w: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4"/>
                <w:szCs w:val="14"/>
                <w:color w:val="auto"/>
              </w:rPr>
              <w:t>5.15%</w:t>
            </w: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06"/>
        </w:trPr>
        <w:tc>
          <w:tcPr>
            <w:tcW w:w="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193"/>
        </w:trPr>
        <w:tc>
          <w:tcPr>
            <w:tcW w:w="40" w:type="dxa"/>
            <w:vAlign w:val="bottom"/>
            <w:tcBorders>
              <w:right w:val="single" w:sz="8" w:color="CCEEFF"/>
            </w:tcBorders>
          </w:tcPr>
          <w:p>
            <w:pPr>
              <w:spacing w:after="0"/>
              <w:rPr>
                <w:sz w:val="16"/>
                <w:szCs w:val="16"/>
                <w:color w:val="auto"/>
              </w:rPr>
            </w:pPr>
          </w:p>
        </w:tc>
        <w:tc>
          <w:tcPr>
            <w:tcW w:w="18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Variable rate</w:t>
            </w:r>
          </w:p>
        </w:tc>
        <w:tc>
          <w:tcPr>
            <w:tcW w:w="78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2,493</w:t>
            </w:r>
          </w:p>
        </w:tc>
        <w:tc>
          <w:tcPr>
            <w:tcW w:w="2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3,325</w:t>
            </w:r>
          </w:p>
        </w:tc>
        <w:tc>
          <w:tcPr>
            <w:tcW w:w="2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1,003,975</w:t>
            </w:r>
          </w:p>
        </w:tc>
        <w:tc>
          <w:tcPr>
            <w:tcW w:w="2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1,009,793</w:t>
            </w:r>
          </w:p>
        </w:tc>
        <w:tc>
          <w:tcPr>
            <w:tcW w:w="42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1,009,793</w:t>
            </w:r>
          </w:p>
        </w:tc>
      </w:tr>
      <w:tr>
        <w:trPr>
          <w:trHeight w:val="235"/>
        </w:trPr>
        <w:tc>
          <w:tcPr>
            <w:tcW w:w="40" w:type="dxa"/>
            <w:vAlign w:val="bottom"/>
          </w:tcPr>
          <w:p>
            <w:pPr>
              <w:spacing w:after="0"/>
              <w:rPr>
                <w:sz w:val="20"/>
                <w:szCs w:val="20"/>
                <w:color w:val="auto"/>
              </w:rPr>
            </w:pPr>
          </w:p>
        </w:tc>
        <w:tc>
          <w:tcPr>
            <w:tcW w:w="188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 xml:space="preserve">Average interest rate </w:t>
            </w:r>
            <w:r>
              <w:rPr>
                <w:rFonts w:ascii="Times New Roman" w:cs="Times New Roman" w:eastAsia="Times New Roman" w:hAnsi="Times New Roman"/>
                <w:sz w:val="17"/>
                <w:szCs w:val="17"/>
                <w:color w:val="auto"/>
                <w:vertAlign w:val="superscript"/>
              </w:rPr>
              <w:t>(1)</w:t>
            </w:r>
          </w:p>
        </w:tc>
        <w:tc>
          <w:tcPr>
            <w:tcW w:w="780" w:type="dxa"/>
            <w:vAlign w:val="bottom"/>
          </w:tcPr>
          <w:p>
            <w:pPr>
              <w:spacing w:after="0"/>
              <w:rPr>
                <w:sz w:val="20"/>
                <w:szCs w:val="20"/>
                <w:color w:val="auto"/>
              </w:rPr>
            </w:pPr>
          </w:p>
        </w:tc>
        <w:tc>
          <w:tcPr>
            <w:tcW w:w="60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4.97</w:t>
            </w:r>
          </w:p>
        </w:tc>
        <w:tc>
          <w:tcPr>
            <w:tcW w:w="240" w:type="dxa"/>
            <w:vAlign w:val="bottom"/>
          </w:tcPr>
          <w:p>
            <w:pPr>
              <w:spacing w:after="0"/>
              <w:rPr>
                <w:sz w:val="20"/>
                <w:szCs w:val="20"/>
                <w:color w:val="auto"/>
              </w:rPr>
            </w:pPr>
          </w:p>
        </w:tc>
        <w:tc>
          <w:tcPr>
            <w:tcW w:w="720" w:type="dxa"/>
            <w:vAlign w:val="bottom"/>
          </w:tcPr>
          <w:p>
            <w:pPr>
              <w:jc w:val="right"/>
              <w:ind w:right="211"/>
              <w:spacing w:after="0"/>
              <w:rPr>
                <w:sz w:val="20"/>
                <w:szCs w:val="20"/>
                <w:color w:val="auto"/>
              </w:rPr>
            </w:pPr>
            <w:r>
              <w:rPr>
                <w:rFonts w:ascii="Times New Roman" w:cs="Times New Roman" w:eastAsia="Times New Roman" w:hAnsi="Times New Roman"/>
                <w:sz w:val="14"/>
                <w:szCs w:val="14"/>
                <w:color w:val="auto"/>
              </w:rPr>
              <w:t>4.72%</w:t>
            </w:r>
          </w:p>
        </w:tc>
        <w:tc>
          <w:tcPr>
            <w:tcW w:w="260" w:type="dxa"/>
            <w:vAlign w:val="bottom"/>
          </w:tcPr>
          <w:p>
            <w:pPr>
              <w:spacing w:after="0"/>
              <w:rPr>
                <w:sz w:val="20"/>
                <w:szCs w:val="20"/>
                <w:color w:val="auto"/>
              </w:rPr>
            </w:pPr>
          </w:p>
        </w:tc>
        <w:tc>
          <w:tcPr>
            <w:tcW w:w="780" w:type="dxa"/>
            <w:vAlign w:val="bottom"/>
          </w:tcPr>
          <w:p>
            <w:pPr>
              <w:jc w:val="right"/>
              <w:ind w:right="251"/>
              <w:spacing w:after="0"/>
              <w:rPr>
                <w:sz w:val="20"/>
                <w:szCs w:val="20"/>
                <w:color w:val="auto"/>
              </w:rPr>
            </w:pPr>
            <w:r>
              <w:rPr>
                <w:rFonts w:ascii="Times New Roman" w:cs="Times New Roman" w:eastAsia="Times New Roman" w:hAnsi="Times New Roman"/>
                <w:sz w:val="14"/>
                <w:szCs w:val="14"/>
                <w:color w:val="auto"/>
              </w:rPr>
              <w:t>4.79%</w:t>
            </w:r>
          </w:p>
        </w:tc>
        <w:tc>
          <w:tcPr>
            <w:tcW w:w="240" w:type="dxa"/>
            <w:vAlign w:val="bottom"/>
          </w:tcPr>
          <w:p>
            <w:pPr>
              <w:spacing w:after="0"/>
              <w:rPr>
                <w:sz w:val="20"/>
                <w:szCs w:val="20"/>
                <w:color w:val="auto"/>
              </w:rPr>
            </w:pPr>
          </w:p>
        </w:tc>
        <w:tc>
          <w:tcPr>
            <w:tcW w:w="760" w:type="dxa"/>
            <w:vAlign w:val="bottom"/>
          </w:tcPr>
          <w:p>
            <w:pPr>
              <w:jc w:val="center"/>
              <w:ind w:right="131"/>
              <w:spacing w:after="0"/>
              <w:rPr>
                <w:sz w:val="20"/>
                <w:szCs w:val="20"/>
                <w:color w:val="auto"/>
              </w:rPr>
            </w:pPr>
            <w:r>
              <w:rPr>
                <w:rFonts w:ascii="Times New Roman" w:cs="Times New Roman" w:eastAsia="Times New Roman" w:hAnsi="Times New Roman"/>
                <w:sz w:val="14"/>
                <w:szCs w:val="14"/>
                <w:color w:val="auto"/>
                <w:w w:val="93"/>
              </w:rPr>
              <w:t>—%</w:t>
            </w:r>
          </w:p>
        </w:tc>
        <w:tc>
          <w:tcPr>
            <w:tcW w:w="260" w:type="dxa"/>
            <w:vAlign w:val="bottom"/>
          </w:tcPr>
          <w:p>
            <w:pPr>
              <w:spacing w:after="0"/>
              <w:rPr>
                <w:sz w:val="20"/>
                <w:szCs w:val="20"/>
                <w:color w:val="auto"/>
              </w:rPr>
            </w:pPr>
          </w:p>
        </w:tc>
        <w:tc>
          <w:tcPr>
            <w:tcW w:w="740" w:type="dxa"/>
            <w:vAlign w:val="bottom"/>
          </w:tcPr>
          <w:p>
            <w:pPr>
              <w:jc w:val="center"/>
              <w:ind w:right="131"/>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0"/>
                <w:szCs w:val="20"/>
                <w:color w:val="auto"/>
              </w:rPr>
            </w:pPr>
          </w:p>
        </w:tc>
        <w:tc>
          <w:tcPr>
            <w:tcW w:w="780" w:type="dxa"/>
            <w:vAlign w:val="bottom"/>
          </w:tcPr>
          <w:p>
            <w:pPr>
              <w:jc w:val="center"/>
              <w:ind w:right="131"/>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132"/>
        </w:trPr>
        <w:tc>
          <w:tcPr>
            <w:tcW w:w="4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60" w:type="dxa"/>
            <w:vAlign w:val="bottom"/>
          </w:tcPr>
          <w:p>
            <w:pPr>
              <w:spacing w:after="0"/>
              <w:rPr>
                <w:sz w:val="11"/>
                <w:szCs w:val="11"/>
                <w:color w:val="auto"/>
              </w:rPr>
            </w:pPr>
          </w:p>
        </w:tc>
      </w:tr>
    </w:tbl>
    <w:p>
      <w:pPr>
        <w:spacing w:after="0" w:line="310" w:lineRule="exact"/>
        <w:rPr>
          <w:sz w:val="20"/>
          <w:szCs w:val="20"/>
          <w:color w:val="auto"/>
        </w:rPr>
      </w:pPr>
    </w:p>
    <w:p>
      <w:pPr>
        <w:ind w:right="300" w:firstLine="3"/>
        <w:spacing w:after="0" w:line="234" w:lineRule="auto"/>
        <w:tabs>
          <w:tab w:leader="none" w:pos="529" w:val="left"/>
        </w:tabs>
        <w:numPr>
          <w:ilvl w:val="0"/>
          <w:numId w:val="27"/>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Estimated rate, reflective of forward SOFR plus the spread over SOFR applicable to the Company's variable-rate borrowing based on the terms of its Credit Agreement. Rate above includes the facility fee on the commitments under the Credit Agreement, which is due regardless of usage, at a rate that ranges from 0.125% to 0.3% per annum, depending on the credit rating assigned to the Credit Agreement from time to time. The current facility fee rate is 0.25%.</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7"/>
          <w:szCs w:val="17"/>
          <w:b w:val="1"/>
          <w:bCs w:val="1"/>
          <w:color w:val="auto"/>
        </w:rPr>
        <w:t>ITEM 4. CONTROLS AND PROCEDURES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Evaluation of Controls and Procedures</w:t>
      </w:r>
    </w:p>
    <w:p>
      <w:pPr>
        <w:spacing w:after="0" w:line="221"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17"/>
          <w:szCs w:val="17"/>
          <w:color w:val="auto"/>
        </w:rPr>
        <w:t>The Company’s management, under the supervision and with the participation of our principal executive officer and principal financial officer, has evaluated the effectiveness of the Company’s disclosure controls and procedures, as such term is defined under Rule 13a-15(e) promulgated under the Securities Exchange Act of 1934, as amended (the "Exchange Act"), as of March 31, 2026, which is the end of the period covered by this Quarterly Report on Form 10-Q. In designing and evaluating the disclosure controls and procedures, management recognized that any controls and procedures, no matter how well-designed and operated, can provide only reasonable assurance of achieving the desired control objectives, and management was required to apply its judgment in evaluating the cost-benefit relationship of possible controls and procedures. Based on this evaluation, our principal executive officer and principal financial officer concluded that the Company’s disclosure controls and procedures were effective as of March 31, 2026 to ensure that information required to be disclosed by the Company in reports we file or submit under the Exchange Act is (i) recorded, processed, summarized, evaluated and reported, as applicable, within the time periods specified in the United States Securities and Exchange Commission’s rules and forms and (ii) accumulated and communicated to the Company’s management, including the Company’s principal executive officer and principal financial officer, as appropriate to allow timely decisions regarding required disclosures.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Changes in Internal Control over Financial Reporting</w:t>
      </w:r>
    </w:p>
    <w:p>
      <w:pPr>
        <w:spacing w:after="0" w:line="247"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There have been no changes in our internal control over financial reporting (as defined in Exchange Act Rules 13a-15(f) and 15d-15(f)) that occurred during the fiscal quarter covered by this Quarterly Report on Form 10-Q that have materially affected, or are reasonably likely to materially affect, our internal controls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7"/>
          <w:szCs w:val="17"/>
          <w:b w:val="1"/>
          <w:bCs w:val="1"/>
          <w:color w:val="auto"/>
        </w:rPr>
        <w:t>PART II. OTHER INFORMATION</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 LEGAL PROCEEDINGS</w:t>
      </w:r>
    </w:p>
    <w:p>
      <w:pPr>
        <w:spacing w:after="0" w:line="221"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Information in response to this Item is incorporated by reference to the information set forth in "Note 9: Commitments and Contingencies" in the Notes to the condensed consolidated financial statements in Part I of this Quarterly Report on Form 10-Q.</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1A. RISK FACTORS</w:t>
      </w:r>
    </w:p>
    <w:p>
      <w:pPr>
        <w:spacing w:after="0" w:line="247"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Risk factors that affect our business and financial results are discussed in Part I, "Item 1A. Risk Factors," of our Annual Report. You should carefully consider the risks described in our Annual Report, which could materially affect our business, financial condition or future results. The risks described in our Annual Report are not the only risks we face. Additional risks and uncertainties not currently known to us or that we currently deem immaterial also may materially adversely affect our business, financial condition, and/or operating results. If any of the risks actually occur, our business, financial condition, and/or results of operations could be negatively affected. There have been no material changes to the risk factors disclosed in Part I, Item 1A. “Risk Factors” of our Annual Report on Form 10-K for the year ended December 31, 2025, except as set forth below.</w:t>
      </w:r>
    </w:p>
    <w:p>
      <w:pPr>
        <w:spacing w:after="0" w:line="182"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b w:val="1"/>
          <w:bCs w:val="1"/>
          <w:color w:val="auto"/>
        </w:rPr>
        <w:t>Geopolitical instability may drive interest rate and inflation volatility, increasing our cost of capital and adversely impacting tenant performance and rent growth</w:t>
      </w:r>
    </w:p>
    <w:p>
      <w:pPr>
        <w:spacing w:after="0" w:line="173" w:lineRule="exact"/>
        <w:rPr>
          <w:sz w:val="20"/>
          <w:szCs w:val="20"/>
          <w:color w:val="auto"/>
        </w:rPr>
      </w:pPr>
    </w:p>
    <w:p>
      <w:pPr>
        <w:jc w:val="both"/>
        <w:ind w:right="200" w:firstLine="619"/>
        <w:spacing w:after="0" w:line="254" w:lineRule="auto"/>
        <w:rPr>
          <w:sz w:val="20"/>
          <w:szCs w:val="20"/>
          <w:color w:val="auto"/>
        </w:rPr>
      </w:pPr>
      <w:r>
        <w:rPr>
          <w:rFonts w:ascii="Times New Roman" w:cs="Times New Roman" w:eastAsia="Times New Roman" w:hAnsi="Times New Roman"/>
          <w:sz w:val="17"/>
          <w:szCs w:val="17"/>
          <w:color w:val="auto"/>
        </w:rPr>
        <w:t>Geopolitical events, including recent conflicts in the Middle East, have contributed to increased volatility in U.S. Treasury yields, including higher 10-year Treasury yields, which serve as a benchmark for our cost of capital and a key input in equity valuation for REITs. Sustained increases in interest rates could adversely affect our stock price, increase our borrowing costs, and reduce the attractiveness of real estate investments relative to other asset classes.</w:t>
      </w:r>
    </w:p>
    <w:p>
      <w:pPr>
        <w:spacing w:after="0" w:line="192" w:lineRule="exact"/>
        <w:rPr>
          <w:sz w:val="20"/>
          <w:szCs w:val="20"/>
          <w:color w:val="auto"/>
        </w:rPr>
      </w:pPr>
    </w:p>
    <w:p>
      <w:pPr>
        <w:ind w:right="60" w:firstLine="619"/>
        <w:spacing w:after="0" w:line="243" w:lineRule="auto"/>
        <w:rPr>
          <w:sz w:val="20"/>
          <w:szCs w:val="20"/>
          <w:color w:val="auto"/>
        </w:rPr>
      </w:pPr>
      <w:r>
        <w:rPr>
          <w:rFonts w:ascii="Times New Roman" w:cs="Times New Roman" w:eastAsia="Times New Roman" w:hAnsi="Times New Roman"/>
          <w:sz w:val="17"/>
          <w:szCs w:val="17"/>
          <w:color w:val="auto"/>
        </w:rPr>
        <w:t>In addition, such geopolitical events may contribute to higher inflation, including through increases in energy prices, supply chain disruptions, and higher input costs. Elevated inflation may adversely affect our tenants' operating costs and profitability, as well as discretionary consumer spending at their properties, thereby reducing tenant cash flows. This, in turn, may reduce rent coverage ratios and limit rent growth under escalation provisions or percentage rent components in certain of our leases, and could impair our tenants’ ability to satisfy their obligations to us.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2. UNREGISTERED SALES OF EQUITY SECURITIES AND USE OF PROCEEDS</w:t>
      </w:r>
    </w:p>
    <w:p>
      <w:pPr>
        <w:spacing w:after="0" w:line="22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Company did not repurchase any shares of common stock or sell any unregistered securities during the three months ended March 31, 2026.</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3. DEFAULTS UPON SENIOR SECURITIES</w:t>
      </w:r>
    </w:p>
    <w:p>
      <w:pPr>
        <w:spacing w:after="0" w:line="22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None.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4. MINE SAFETY DISCLOSURES</w:t>
      </w:r>
    </w:p>
    <w:p>
      <w:pPr>
        <w:spacing w:after="0" w:line="22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5. OTHER INFORMATION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 Insider Trading Arrangements and Policies</w:t>
      </w:r>
    </w:p>
    <w:p>
      <w:pPr>
        <w:spacing w:after="0" w:line="243"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On February 26, 2026, Steven Ladany, the Company's Senior Vice President and Chief Development Officer, entered into a pre-arranged written stock sale plan in accordance with Rule 10b5-1 (the “Ladany Rule 10b5-1 Plan”) under the Exchange Act for the sale of shares of the Company’s common stock. The Ladany Rule 10b5-1 Plan was entered into during an open trading window in accordance with the Company’s policies regarding transactions in the Company’s securities and is intended to satisfy the affirmative defense of Rule 10b5-1(c) under the Exchange Act. The Ladany Rule 10b5-1 Plan provides for the potential sale of shares of the Company’s common stock, including upon the vesting and settlement of restricted stock awards, between December 31, 2026 and February 1, 2027. The aggregate number of shares of common stock that will be available for sale under the Ladany Rule 10b5-1 Plan is not yet determinable because certain awards are subject to Company performance award metrics and will be net of shares sold to satisfy tax withholding obligations that arise in connection with the</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sectPr>
      </w:pPr>
    </w:p>
    <w:bookmarkStart w:id="57" w:name="page58"/>
    <w:bookmarkEnd w:id="57"/>
    <w:p>
      <w:pPr>
        <w:jc w:val="both"/>
        <w:spacing w:after="0" w:line="287" w:lineRule="auto"/>
        <w:rPr>
          <w:sz w:val="20"/>
          <w:szCs w:val="20"/>
          <w:color w:val="auto"/>
        </w:rPr>
      </w:pPr>
      <w:r>
        <w:rPr>
          <w:rFonts w:ascii="Times New Roman" w:cs="Times New Roman" w:eastAsia="Times New Roman" w:hAnsi="Times New Roman"/>
          <w:sz w:val="17"/>
          <w:szCs w:val="17"/>
          <w:color w:val="auto"/>
        </w:rPr>
        <w:t>vesting and settlement of such restricted stock awards. As such, for purposes of this disclosure, the aggregate number of shares of common stock available for sale prior to tax withholding on vested shares is 80,886.</w:t>
      </w:r>
    </w:p>
    <w:p>
      <w:pPr>
        <w:spacing w:after="0" w:line="177"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The Ladany Rule 10b5-1 Plan includes a representation from Mr. Ladany to the broker administering the plan that he was not in possession of any material nonpublic information regarding the Company or the securities subject to the Ladany Rule 10b5-1 Plan at the time it was entered into. A similar representation was made to the Company in connection with the adoption of the Ladany Rule 10b5-1 Plan under the Company’s policies regarding transactions in the Company’s securities. Those representations were made as of the date of adoption of the Ladany Rule 10b5-1 Plan, and speak only as of such date. In making those representations, there is no assurance with respect to any material nonpublic information of which Mr. Ladany was unaware, or with respect to any material nonpublic information acquired by Mr. Ladany or the Company after the date of the representation.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7"/>
          <w:szCs w:val="17"/>
          <w:b w:val="1"/>
          <w:bCs w:val="1"/>
          <w:color w:val="auto"/>
        </w:rPr>
        <w:t>ITEM 6. EXHIBITS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38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700" w:type="dxa"/>
            <w:vAlign w:val="bottom"/>
            <w:gridSpan w:val="13"/>
          </w:tcPr>
          <w:p>
            <w:pPr>
              <w:ind w:left="18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r>
      <w:tr>
        <w:trPr>
          <w:trHeight w:val="22"/>
        </w:trPr>
        <w:tc>
          <w:tcPr>
            <w:tcW w:w="1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8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r>
        <w:trPr>
          <w:trHeight w:val="173"/>
        </w:trPr>
        <w:tc>
          <w:tcPr>
            <w:tcW w:w="1180" w:type="dxa"/>
            <w:vAlign w:val="bottom"/>
          </w:tcPr>
          <w:p>
            <w:pPr>
              <w:jc w:val="center"/>
              <w:spacing w:after="0" w:line="173" w:lineRule="exact"/>
              <w:rPr>
                <w:sz w:val="20"/>
                <w:szCs w:val="20"/>
                <w:color w:val="auto"/>
              </w:rPr>
            </w:pPr>
            <w:r>
              <w:rPr>
                <w:rFonts w:ascii="Times New Roman" w:cs="Times New Roman" w:eastAsia="Times New Roman" w:hAnsi="Times New Roman"/>
                <w:sz w:val="17"/>
                <w:szCs w:val="17"/>
                <w:color w:val="auto"/>
              </w:rPr>
              <w:t>3.1</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740" w:type="dxa"/>
            <w:vAlign w:val="bottom"/>
            <w:gridSpan w:val="18"/>
          </w:tcPr>
          <w:p>
            <w:pPr>
              <w:spacing w:after="0" w:line="173" w:lineRule="exact"/>
              <w:rPr>
                <w:rFonts w:ascii="Times New Roman" w:cs="Times New Roman" w:eastAsia="Times New Roman" w:hAnsi="Times New Roman"/>
                <w:sz w:val="17"/>
                <w:szCs w:val="17"/>
                <w:color w:val="0000FF"/>
              </w:rPr>
            </w:pPr>
            <w:hyperlink r:id="rId96">
              <w:r>
                <w:rPr>
                  <w:rFonts w:ascii="Times New Roman" w:cs="Times New Roman" w:eastAsia="Times New Roman" w:hAnsi="Times New Roman"/>
                  <w:sz w:val="17"/>
                  <w:szCs w:val="17"/>
                  <w:color w:val="0000FF"/>
                </w:rPr>
                <w:t>Amended and Restated Articles of Incorporation of Gaming and Leisure Properties, Inc. (Incorporated by reference to Exhibit 3.1 to the</w:t>
              </w:r>
            </w:hyperlink>
          </w:p>
        </w:tc>
      </w:tr>
      <w:tr>
        <w:trPr>
          <w:trHeight w:val="148"/>
        </w:trPr>
        <w:tc>
          <w:tcPr>
            <w:tcW w:w="1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60" w:type="dxa"/>
            <w:vAlign w:val="bottom"/>
            <w:tcBorders>
              <w:top w:val="single" w:sz="8" w:color="0000FF"/>
              <w:bottom w:val="single" w:sz="8" w:color="0000FF"/>
            </w:tcBorders>
            <w:gridSpan w:val="6"/>
          </w:tcPr>
          <w:p>
            <w:pPr>
              <w:spacing w:after="0" w:line="148" w:lineRule="exact"/>
              <w:rPr>
                <w:rFonts w:ascii="Times New Roman" w:cs="Times New Roman" w:eastAsia="Times New Roman" w:hAnsi="Times New Roman"/>
                <w:sz w:val="17"/>
                <w:szCs w:val="17"/>
                <w:color w:val="0000FF"/>
              </w:rPr>
            </w:pPr>
            <w:hyperlink r:id="rId96">
              <w:r>
                <w:rPr>
                  <w:rFonts w:ascii="Times New Roman" w:cs="Times New Roman" w:eastAsia="Times New Roman" w:hAnsi="Times New Roman"/>
                  <w:sz w:val="17"/>
                  <w:szCs w:val="17"/>
                  <w:color w:val="0000FF"/>
                </w:rPr>
                <w:t>Company's Current Report on Form 8-K filed on June 15, 2018).</w:t>
              </w:r>
            </w:hyperlink>
          </w:p>
        </w:tc>
        <w:tc>
          <w:tcPr>
            <w:tcW w:w="4900" w:type="dxa"/>
            <w:vAlign w:val="bottom"/>
            <w:tcBorders>
              <w:top w:val="single" w:sz="8" w:color="0000FF"/>
            </w:tcBorders>
            <w:gridSpan w:val="6"/>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2"/>
        </w:trPr>
        <w:tc>
          <w:tcPr>
            <w:tcW w:w="11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740" w:type="dxa"/>
            <w:vAlign w:val="bottom"/>
            <w:gridSpan w:val="18"/>
          </w:tcPr>
          <w:p>
            <w:pPr>
              <w:spacing w:after="0"/>
              <w:rPr>
                <w:rFonts w:ascii="Times New Roman" w:cs="Times New Roman" w:eastAsia="Times New Roman" w:hAnsi="Times New Roman"/>
                <w:sz w:val="17"/>
                <w:szCs w:val="17"/>
                <w:color w:val="0000FF"/>
              </w:rPr>
            </w:pPr>
            <w:hyperlink r:id="rId97">
              <w:r>
                <w:rPr>
                  <w:rFonts w:ascii="Times New Roman" w:cs="Times New Roman" w:eastAsia="Times New Roman" w:hAnsi="Times New Roman"/>
                  <w:sz w:val="17"/>
                  <w:szCs w:val="17"/>
                  <w:color w:val="0000FF"/>
                </w:rPr>
                <w:t>Second Amended and Restated Bylaws of Gaming and Leisure Properties, Inc. (Incorporated by reference to Exhibit 3.1 to the Company's</w:t>
              </w:r>
            </w:hyperlink>
          </w:p>
        </w:tc>
      </w:tr>
      <w:tr>
        <w:trPr>
          <w:trHeight w:val="148"/>
        </w:trPr>
        <w:tc>
          <w:tcPr>
            <w:tcW w:w="1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520" w:type="dxa"/>
            <w:vAlign w:val="bottom"/>
            <w:tcBorders>
              <w:top w:val="single" w:sz="8" w:color="0000FF"/>
            </w:tcBorders>
            <w:gridSpan w:val="15"/>
          </w:tcPr>
          <w:p>
            <w:pPr>
              <w:spacing w:after="0" w:line="148" w:lineRule="exact"/>
              <w:rPr>
                <w:rFonts w:ascii="Times New Roman" w:cs="Times New Roman" w:eastAsia="Times New Roman" w:hAnsi="Times New Roman"/>
                <w:sz w:val="17"/>
                <w:szCs w:val="17"/>
                <w:color w:val="0000FF"/>
              </w:rPr>
            </w:pPr>
            <w:hyperlink r:id="rId97">
              <w:r>
                <w:rPr>
                  <w:rFonts w:ascii="Times New Roman" w:cs="Times New Roman" w:eastAsia="Times New Roman" w:hAnsi="Times New Roman"/>
                  <w:sz w:val="17"/>
                  <w:szCs w:val="17"/>
                  <w:color w:val="0000FF"/>
                </w:rPr>
                <w:t>Current Report on Form 8-K filed on December 13, 2023).</w:t>
              </w:r>
            </w:hyperlink>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0"/>
        </w:trPr>
        <w:tc>
          <w:tcPr>
            <w:tcW w:w="1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6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2"/>
        </w:trPr>
        <w:tc>
          <w:tcPr>
            <w:tcW w:w="11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740" w:type="dxa"/>
            <w:vAlign w:val="bottom"/>
            <w:gridSpan w:val="18"/>
          </w:tcPr>
          <w:p>
            <w:pPr>
              <w:spacing w:after="0"/>
              <w:rPr>
                <w:rFonts w:ascii="Times New Roman" w:cs="Times New Roman" w:eastAsia="Times New Roman" w:hAnsi="Times New Roman"/>
                <w:sz w:val="17"/>
                <w:szCs w:val="17"/>
                <w:color w:val="0000FF"/>
              </w:rPr>
            </w:pPr>
            <w:hyperlink r:id="rId98">
              <w:r>
                <w:rPr>
                  <w:rFonts w:ascii="Times New Roman" w:cs="Times New Roman" w:eastAsia="Times New Roman" w:hAnsi="Times New Roman"/>
                  <w:sz w:val="17"/>
                  <w:szCs w:val="17"/>
                  <w:color w:val="0000FF"/>
                </w:rPr>
                <w:t>Seventeenth Supplemental Indenture, dated as of March 4, 2026, among GLP Capital, L.P. and GLP Financing II, Inc. as Issuers, Gaming</w:t>
              </w:r>
            </w:hyperlink>
          </w:p>
        </w:tc>
      </w:tr>
      <w:tr>
        <w:trPr>
          <w:trHeight w:val="148"/>
        </w:trPr>
        <w:tc>
          <w:tcPr>
            <w:tcW w:w="1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20" w:type="dxa"/>
            <w:vAlign w:val="bottom"/>
            <w:tcBorders>
              <w:top w:val="single" w:sz="8" w:color="0000FF"/>
              <w:bottom w:val="single" w:sz="8" w:color="0000FF"/>
            </w:tcBorders>
            <w:gridSpan w:val="10"/>
          </w:tcPr>
          <w:p>
            <w:pPr>
              <w:spacing w:after="0" w:line="148" w:lineRule="exact"/>
              <w:rPr>
                <w:rFonts w:ascii="Times New Roman" w:cs="Times New Roman" w:eastAsia="Times New Roman" w:hAnsi="Times New Roman"/>
                <w:sz w:val="17"/>
                <w:szCs w:val="17"/>
                <w:color w:val="0000FF"/>
              </w:rPr>
            </w:pPr>
            <w:hyperlink r:id="rId98">
              <w:r>
                <w:rPr>
                  <w:rFonts w:ascii="Times New Roman" w:cs="Times New Roman" w:eastAsia="Times New Roman" w:hAnsi="Times New Roman"/>
                  <w:sz w:val="17"/>
                  <w:szCs w:val="17"/>
                  <w:color w:val="0000FF"/>
                </w:rPr>
                <w:t>and Leisure Properties, Inc. as Parent Guarantor, and Computershare Trust Company, N.A as successor to Wells Fargo Bank, National</w:t>
              </w:r>
            </w:hyperlink>
          </w:p>
        </w:tc>
        <w:tc>
          <w:tcPr>
            <w:tcW w:w="240" w:type="dxa"/>
            <w:vAlign w:val="bottom"/>
            <w:tcBorders>
              <w:top w:val="single" w:sz="8" w:color="0000FF"/>
            </w:tcBorders>
            <w:gridSpan w:val="4"/>
          </w:tcPr>
          <w:p>
            <w:pPr>
              <w:spacing w:after="0"/>
              <w:rPr>
                <w:sz w:val="12"/>
                <w:szCs w:val="12"/>
                <w:color w:val="auto"/>
              </w:rPr>
            </w:pPr>
          </w:p>
        </w:tc>
        <w:tc>
          <w:tcPr>
            <w:tcW w:w="120" w:type="dxa"/>
            <w:vAlign w:val="bottom"/>
            <w:gridSpan w:val="2"/>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0"/>
        </w:trPr>
        <w:tc>
          <w:tcPr>
            <w:tcW w:w="1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40" w:type="dxa"/>
            <w:vAlign w:val="bottom"/>
            <w:gridSpan w:val="18"/>
          </w:tcPr>
          <w:p>
            <w:pPr>
              <w:spacing w:after="0" w:line="161" w:lineRule="exact"/>
              <w:rPr>
                <w:rFonts w:ascii="Times New Roman" w:cs="Times New Roman" w:eastAsia="Times New Roman" w:hAnsi="Times New Roman"/>
                <w:sz w:val="17"/>
                <w:szCs w:val="17"/>
                <w:color w:val="0000FF"/>
              </w:rPr>
            </w:pPr>
            <w:hyperlink r:id="rId98">
              <w:r>
                <w:rPr>
                  <w:rFonts w:ascii="Times New Roman" w:cs="Times New Roman" w:eastAsia="Times New Roman" w:hAnsi="Times New Roman"/>
                  <w:sz w:val="17"/>
                  <w:szCs w:val="17"/>
                  <w:color w:val="0000FF"/>
                </w:rPr>
                <w:t>Association, as Trustee (incorporated by reference to Exhibit 4.3 to the Company's Current Report on Form 8-K filed on March 5, 2026).</w:t>
              </w:r>
            </w:hyperlink>
          </w:p>
        </w:tc>
      </w:tr>
      <w:tr>
        <w:trPr>
          <w:trHeight w:val="199"/>
        </w:trPr>
        <w:tc>
          <w:tcPr>
            <w:tcW w:w="11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4.2</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560" w:type="dxa"/>
            <w:vAlign w:val="bottom"/>
            <w:tcBorders>
              <w:top w:val="single" w:sz="8" w:color="0000FF"/>
              <w:bottom w:val="single" w:sz="8" w:color="0000FF"/>
            </w:tcBorders>
            <w:gridSpan w:val="4"/>
          </w:tcPr>
          <w:p>
            <w:pPr>
              <w:spacing w:after="0"/>
              <w:rPr>
                <w:rFonts w:ascii="Times New Roman" w:cs="Times New Roman" w:eastAsia="Times New Roman" w:hAnsi="Times New Roman"/>
                <w:sz w:val="17"/>
                <w:szCs w:val="17"/>
                <w:color w:val="0000FF"/>
              </w:rPr>
            </w:pPr>
            <w:hyperlink r:id="rId98">
              <w:r>
                <w:rPr>
                  <w:rFonts w:ascii="Times New Roman" w:cs="Times New Roman" w:eastAsia="Times New Roman" w:hAnsi="Times New Roman"/>
                  <w:sz w:val="17"/>
                  <w:szCs w:val="17"/>
                  <w:color w:val="0000FF"/>
                </w:rPr>
                <w:t>Form of 2036 Note (included in Exhibit 4.1 above).</w:t>
              </w:r>
            </w:hyperlink>
          </w:p>
        </w:tc>
        <w:tc>
          <w:tcPr>
            <w:tcW w:w="5860" w:type="dxa"/>
            <w:vAlign w:val="bottom"/>
            <w:tcBorders>
              <w:top w:val="single" w:sz="8" w:color="0000FF"/>
            </w:tcBorders>
            <w:gridSpan w:val="9"/>
          </w:tcPr>
          <w:p>
            <w:pPr>
              <w:spacing w:after="0"/>
              <w:rPr>
                <w:sz w:val="17"/>
                <w:szCs w:val="17"/>
                <w:color w:val="auto"/>
              </w:rPr>
            </w:pPr>
          </w:p>
        </w:tc>
        <w:tc>
          <w:tcPr>
            <w:tcW w:w="320" w:type="dxa"/>
            <w:vAlign w:val="bottom"/>
            <w:gridSpan w:val="5"/>
          </w:tcPr>
          <w:p>
            <w:pPr>
              <w:spacing w:after="0"/>
              <w:rPr>
                <w:sz w:val="17"/>
                <w:szCs w:val="17"/>
                <w:color w:val="auto"/>
              </w:rPr>
            </w:pPr>
          </w:p>
        </w:tc>
      </w:tr>
      <w:tr>
        <w:trPr>
          <w:trHeight w:val="199"/>
        </w:trPr>
        <w:tc>
          <w:tcPr>
            <w:tcW w:w="11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10.1</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40" w:type="dxa"/>
            <w:vAlign w:val="bottom"/>
            <w:gridSpan w:val="18"/>
          </w:tcPr>
          <w:p>
            <w:pPr>
              <w:spacing w:after="0"/>
              <w:rPr>
                <w:rFonts w:ascii="Times New Roman" w:cs="Times New Roman" w:eastAsia="Times New Roman" w:hAnsi="Times New Roman"/>
                <w:sz w:val="17"/>
                <w:szCs w:val="17"/>
                <w:color w:val="0000FF"/>
              </w:rPr>
            </w:pPr>
            <w:hyperlink r:id="rId99">
              <w:r>
                <w:rPr>
                  <w:rFonts w:ascii="Times New Roman" w:cs="Times New Roman" w:eastAsia="Times New Roman" w:hAnsi="Times New Roman"/>
                  <w:sz w:val="17"/>
                  <w:szCs w:val="17"/>
                  <w:color w:val="0000FF"/>
                </w:rPr>
                <w:t>Amendment No. 3 to the Credit Agreement, dated as of March 4, 2026, by and among GLP Capital, L.P., Wells Fargo Bank, National</w:t>
              </w:r>
            </w:hyperlink>
          </w:p>
        </w:tc>
      </w:tr>
      <w:tr>
        <w:trPr>
          <w:trHeight w:val="148"/>
        </w:trPr>
        <w:tc>
          <w:tcPr>
            <w:tcW w:w="1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180" w:type="dxa"/>
            <w:vAlign w:val="bottom"/>
            <w:tcBorders>
              <w:top w:val="single" w:sz="8" w:color="0000FF"/>
              <w:bottom w:val="single" w:sz="8" w:color="0000FF"/>
            </w:tcBorders>
            <w:gridSpan w:val="9"/>
          </w:tcPr>
          <w:p>
            <w:pPr>
              <w:spacing w:after="0" w:line="148" w:lineRule="exact"/>
              <w:rPr>
                <w:rFonts w:ascii="Times New Roman" w:cs="Times New Roman" w:eastAsia="Times New Roman" w:hAnsi="Times New Roman"/>
                <w:sz w:val="17"/>
                <w:szCs w:val="17"/>
                <w:color w:val="0000FF"/>
                <w:w w:val="99"/>
              </w:rPr>
            </w:pPr>
            <w:hyperlink r:id="rId99">
              <w:r>
                <w:rPr>
                  <w:rFonts w:ascii="Times New Roman" w:cs="Times New Roman" w:eastAsia="Times New Roman" w:hAnsi="Times New Roman"/>
                  <w:sz w:val="17"/>
                  <w:szCs w:val="17"/>
                  <w:color w:val="0000FF"/>
                  <w:w w:val="99"/>
                </w:rPr>
                <w:t>Association, as administrative agent, and the lenders party thereto (incorporated by reference to Exhibit 10.1 to the Company's Current</w:t>
              </w:r>
            </w:hyperlink>
          </w:p>
        </w:tc>
        <w:tc>
          <w:tcPr>
            <w:tcW w:w="80" w:type="dxa"/>
            <w:vAlign w:val="bottom"/>
            <w:tcBorders>
              <w:bottom w:val="single" w:sz="8" w:color="0000FF"/>
            </w:tcBorders>
            <w:gridSpan w:val="2"/>
          </w:tcPr>
          <w:p>
            <w:pPr>
              <w:spacing w:after="0"/>
              <w:rPr>
                <w:sz w:val="12"/>
                <w:szCs w:val="12"/>
                <w:color w:val="auto"/>
              </w:rPr>
            </w:pPr>
          </w:p>
        </w:tc>
        <w:tc>
          <w:tcPr>
            <w:tcW w:w="320" w:type="dxa"/>
            <w:vAlign w:val="bottom"/>
            <w:gridSpan w:val="5"/>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0"/>
        </w:trPr>
        <w:tc>
          <w:tcPr>
            <w:tcW w:w="1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20" w:type="dxa"/>
            <w:vAlign w:val="bottom"/>
            <w:tcBorders>
              <w:bottom w:val="single" w:sz="8" w:color="0000FF"/>
            </w:tcBorders>
            <w:gridSpan w:val="2"/>
          </w:tcPr>
          <w:p>
            <w:pPr>
              <w:spacing w:after="0" w:line="161" w:lineRule="exact"/>
              <w:rPr>
                <w:rFonts w:ascii="Times New Roman" w:cs="Times New Roman" w:eastAsia="Times New Roman" w:hAnsi="Times New Roman"/>
                <w:sz w:val="17"/>
                <w:szCs w:val="17"/>
                <w:color w:val="0000FF"/>
              </w:rPr>
            </w:pPr>
            <w:hyperlink r:id="rId99">
              <w:r>
                <w:rPr>
                  <w:rFonts w:ascii="Times New Roman" w:cs="Times New Roman" w:eastAsia="Times New Roman" w:hAnsi="Times New Roman"/>
                  <w:sz w:val="17"/>
                  <w:szCs w:val="17"/>
                  <w:color w:val="0000FF"/>
                </w:rPr>
                <w:t>Report on Form 8-K filed on March 10, 2026).</w:t>
              </w:r>
            </w:hyperlink>
          </w:p>
        </w:tc>
        <w:tc>
          <w:tcPr>
            <w:tcW w:w="6040" w:type="dxa"/>
            <w:vAlign w:val="bottom"/>
            <w:gridSpan w:val="9"/>
          </w:tcPr>
          <w:p>
            <w:pPr>
              <w:spacing w:after="0"/>
              <w:rPr>
                <w:sz w:val="13"/>
                <w:szCs w:val="13"/>
                <w:color w:val="auto"/>
              </w:rPr>
            </w:pPr>
          </w:p>
        </w:tc>
        <w:tc>
          <w:tcPr>
            <w:tcW w:w="320" w:type="dxa"/>
            <w:vAlign w:val="bottom"/>
            <w:gridSpan w:val="5"/>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99"/>
        </w:trPr>
        <w:tc>
          <w:tcPr>
            <w:tcW w:w="11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22.1*</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5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7"/>
                <w:szCs w:val="17"/>
                <w:color w:val="0000FF"/>
              </w:rPr>
              <w:t>List of Subsidiary Issuers of Guaranteed Securities</w:t>
            </w:r>
          </w:p>
        </w:tc>
        <w:tc>
          <w:tcPr>
            <w:tcW w:w="6240" w:type="dxa"/>
            <w:vAlign w:val="bottom"/>
            <w:gridSpan w:val="15"/>
          </w:tcPr>
          <w:p>
            <w:pPr>
              <w:spacing w:after="0"/>
              <w:rPr>
                <w:sz w:val="17"/>
                <w:szCs w:val="17"/>
                <w:color w:val="auto"/>
              </w:rPr>
            </w:pPr>
          </w:p>
        </w:tc>
      </w:tr>
      <w:tr>
        <w:trPr>
          <w:trHeight w:val="199"/>
        </w:trPr>
        <w:tc>
          <w:tcPr>
            <w:tcW w:w="11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31.1*</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38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7"/>
                <w:szCs w:val="17"/>
                <w:color w:val="0000FF"/>
              </w:rPr>
              <w:t>Principal Executive Officer Certification pursuant to Rule 13a-14(a) or 15d-14(a) of the Securities Exchange Act of 1934.</w:t>
            </w:r>
          </w:p>
        </w:tc>
        <w:tc>
          <w:tcPr>
            <w:tcW w:w="1360" w:type="dxa"/>
            <w:vAlign w:val="bottom"/>
            <w:gridSpan w:val="10"/>
          </w:tcPr>
          <w:p>
            <w:pPr>
              <w:spacing w:after="0"/>
              <w:rPr>
                <w:sz w:val="17"/>
                <w:szCs w:val="17"/>
                <w:color w:val="auto"/>
              </w:rPr>
            </w:pPr>
          </w:p>
        </w:tc>
      </w:tr>
      <w:tr>
        <w:trPr>
          <w:trHeight w:val="199"/>
        </w:trPr>
        <w:tc>
          <w:tcPr>
            <w:tcW w:w="11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31.2*</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34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7"/>
                <w:szCs w:val="17"/>
                <w:color w:val="0000FF"/>
              </w:rPr>
              <w:t>Principal Financial Officer Certification pursuant to Rule 13a-14(a) or 15d-14(a) of the Securities Exchange Act of 1934.</w:t>
            </w:r>
          </w:p>
        </w:tc>
        <w:tc>
          <w:tcPr>
            <w:tcW w:w="1400" w:type="dxa"/>
            <w:vAlign w:val="bottom"/>
            <w:gridSpan w:val="11"/>
          </w:tcPr>
          <w:p>
            <w:pPr>
              <w:spacing w:after="0"/>
              <w:rPr>
                <w:sz w:val="17"/>
                <w:szCs w:val="17"/>
                <w:color w:val="auto"/>
              </w:rPr>
            </w:pPr>
          </w:p>
        </w:tc>
      </w:tr>
      <w:tr>
        <w:trPr>
          <w:trHeight w:val="199"/>
        </w:trPr>
        <w:tc>
          <w:tcPr>
            <w:tcW w:w="11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32.1**</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40" w:type="dxa"/>
            <w:vAlign w:val="bottom"/>
            <w:gridSpan w:val="18"/>
          </w:tcPr>
          <w:p>
            <w:pPr>
              <w:spacing w:after="0"/>
              <w:rPr>
                <w:sz w:val="20"/>
                <w:szCs w:val="20"/>
                <w:color w:val="auto"/>
              </w:rPr>
            </w:pPr>
            <w:r>
              <w:rPr>
                <w:rFonts w:ascii="Times New Roman" w:cs="Times New Roman" w:eastAsia="Times New Roman" w:hAnsi="Times New Roman"/>
                <w:sz w:val="17"/>
                <w:szCs w:val="17"/>
                <w:color w:val="0000FF"/>
              </w:rPr>
              <w:t>Principal Executive Officer Certification pursuant to 18 U.S.C. Section 1350, as adopted pursuant to Section 906 of the Sarbanes-Oxley Act</w:t>
            </w:r>
          </w:p>
        </w:tc>
      </w:tr>
      <w:tr>
        <w:trPr>
          <w:trHeight w:val="148"/>
        </w:trPr>
        <w:tc>
          <w:tcPr>
            <w:tcW w:w="1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Borders>
              <w:top w:val="single" w:sz="8" w:color="0000FF"/>
              <w:bottom w:val="single" w:sz="8" w:color="0000FF"/>
            </w:tcBorders>
          </w:tcPr>
          <w:p>
            <w:pPr>
              <w:spacing w:after="0" w:line="148" w:lineRule="exact"/>
              <w:rPr>
                <w:sz w:val="20"/>
                <w:szCs w:val="20"/>
                <w:color w:val="auto"/>
              </w:rPr>
            </w:pPr>
            <w:r>
              <w:rPr>
                <w:rFonts w:ascii="Times New Roman" w:cs="Times New Roman" w:eastAsia="Times New Roman" w:hAnsi="Times New Roman"/>
                <w:sz w:val="17"/>
                <w:szCs w:val="17"/>
                <w:color w:val="0000FF"/>
                <w:w w:val="98"/>
              </w:rPr>
              <w:t>of 2002.</w:t>
            </w:r>
          </w:p>
        </w:tc>
        <w:tc>
          <w:tcPr>
            <w:tcW w:w="9060" w:type="dxa"/>
            <w:vAlign w:val="bottom"/>
            <w:tcBorders>
              <w:top w:val="single" w:sz="8" w:color="0000FF"/>
            </w:tcBorders>
            <w:gridSpan w:val="16"/>
          </w:tcPr>
          <w:p>
            <w:pPr>
              <w:spacing w:after="0"/>
              <w:rPr>
                <w:sz w:val="12"/>
                <w:szCs w:val="12"/>
                <w:color w:val="auto"/>
              </w:rPr>
            </w:pPr>
          </w:p>
        </w:tc>
        <w:tc>
          <w:tcPr>
            <w:tcW w:w="100" w:type="dxa"/>
            <w:vAlign w:val="bottom"/>
          </w:tcPr>
          <w:p>
            <w:pPr>
              <w:spacing w:after="0"/>
              <w:rPr>
                <w:sz w:val="12"/>
                <w:szCs w:val="12"/>
                <w:color w:val="auto"/>
              </w:rPr>
            </w:pPr>
          </w:p>
        </w:tc>
      </w:tr>
      <w:tr>
        <w:trPr>
          <w:trHeight w:val="212"/>
        </w:trPr>
        <w:tc>
          <w:tcPr>
            <w:tcW w:w="11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32.2**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740" w:type="dxa"/>
            <w:vAlign w:val="bottom"/>
            <w:gridSpan w:val="18"/>
          </w:tcPr>
          <w:p>
            <w:pPr>
              <w:spacing w:after="0"/>
              <w:rPr>
                <w:sz w:val="20"/>
                <w:szCs w:val="20"/>
                <w:color w:val="auto"/>
              </w:rPr>
            </w:pPr>
            <w:r>
              <w:rPr>
                <w:rFonts w:ascii="Times New Roman" w:cs="Times New Roman" w:eastAsia="Times New Roman" w:hAnsi="Times New Roman"/>
                <w:sz w:val="17"/>
                <w:szCs w:val="17"/>
                <w:color w:val="0000FF"/>
              </w:rPr>
              <w:t>Principal Financial Officer Certification pursuant to 18 U.S.C. Section 1350, as adopted pursuant to Section 906 of the Sarbanes-Oxley Act</w:t>
            </w:r>
          </w:p>
        </w:tc>
      </w:tr>
      <w:tr>
        <w:trPr>
          <w:trHeight w:val="148"/>
        </w:trPr>
        <w:tc>
          <w:tcPr>
            <w:tcW w:w="1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Borders>
              <w:top w:val="single" w:sz="8" w:color="0000FF"/>
              <w:bottom w:val="single" w:sz="8" w:color="0000FF"/>
            </w:tcBorders>
          </w:tcPr>
          <w:p>
            <w:pPr>
              <w:spacing w:after="0" w:line="148" w:lineRule="exact"/>
              <w:rPr>
                <w:sz w:val="20"/>
                <w:szCs w:val="20"/>
                <w:color w:val="auto"/>
              </w:rPr>
            </w:pPr>
            <w:r>
              <w:rPr>
                <w:rFonts w:ascii="Times New Roman" w:cs="Times New Roman" w:eastAsia="Times New Roman" w:hAnsi="Times New Roman"/>
                <w:sz w:val="17"/>
                <w:szCs w:val="17"/>
                <w:color w:val="0000FF"/>
                <w:w w:val="98"/>
              </w:rPr>
              <w:t>of 2002.</w:t>
            </w:r>
          </w:p>
        </w:tc>
        <w:tc>
          <w:tcPr>
            <w:tcW w:w="9000" w:type="dxa"/>
            <w:vAlign w:val="bottom"/>
            <w:tcBorders>
              <w:top w:val="single" w:sz="8" w:color="0000FF"/>
            </w:tcBorders>
            <w:gridSpan w:val="15"/>
          </w:tcPr>
          <w:p>
            <w:pPr>
              <w:spacing w:after="0"/>
              <w:rPr>
                <w:sz w:val="12"/>
                <w:szCs w:val="12"/>
                <w:color w:val="auto"/>
              </w:rPr>
            </w:pPr>
          </w:p>
        </w:tc>
        <w:tc>
          <w:tcPr>
            <w:tcW w:w="160" w:type="dxa"/>
            <w:vAlign w:val="bottom"/>
            <w:gridSpan w:val="2"/>
          </w:tcPr>
          <w:p>
            <w:pPr>
              <w:spacing w:after="0"/>
              <w:rPr>
                <w:sz w:val="12"/>
                <w:szCs w:val="12"/>
                <w:color w:val="auto"/>
              </w:rPr>
            </w:pPr>
          </w:p>
        </w:tc>
      </w:tr>
    </w:tbl>
    <w:p>
      <w:pPr>
        <w:spacing w:after="0" w:line="35" w:lineRule="exact"/>
        <w:rPr>
          <w:sz w:val="20"/>
          <w:szCs w:val="20"/>
          <w:color w:val="auto"/>
        </w:rPr>
      </w:pPr>
    </w:p>
    <w:p>
      <w:pPr>
        <w:ind w:left="1400" w:right="140" w:hanging="939"/>
        <w:spacing w:after="0" w:line="226" w:lineRule="auto"/>
        <w:tabs>
          <w:tab w:leader="none" w:pos="140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following financial information from Gaming and Leisure Properties, Inc.'s Quarterly Report on Form 10-Q for the quarter ended March 31, 2026, formatted in Inline XBRL: (i) Condensed Consolidated Balance Sheets, ii) Condensed Consolidated Statements of Income, (iii) Condensed Consolidated Statements of Changes in Equity, (iv) Condensed Consolidated Statements of Cash Flows and (v) Notes to the Condensed Consolidated Financial Statements.</w:t>
      </w:r>
    </w:p>
    <w:tbl>
      <w:tblPr>
        <w:tblLayout w:type="fixed"/>
        <w:tblInd w:w="40" w:type="dxa"/>
        <w:tblCellMar>
          <w:top w:w="0" w:type="dxa"/>
          <w:left w:w="0" w:type="dxa"/>
          <w:bottom w:w="0" w:type="dxa"/>
          <w:right w:w="0" w:type="dxa"/>
        </w:tblCellMar>
      </w:tblPr>
      <w:tr>
        <w:trPr>
          <w:trHeight w:val="170"/>
        </w:trPr>
        <w:tc>
          <w:tcPr>
            <w:tcW w:w="1020" w:type="dxa"/>
            <w:vAlign w:val="bottom"/>
          </w:tcPr>
          <w:p>
            <w:pPr>
              <w:jc w:val="right"/>
              <w:ind w:right="254"/>
              <w:spacing w:after="0" w:line="170" w:lineRule="exact"/>
              <w:rPr>
                <w:sz w:val="20"/>
                <w:szCs w:val="20"/>
                <w:color w:val="auto"/>
              </w:rPr>
            </w:pPr>
            <w:r>
              <w:rPr>
                <w:rFonts w:ascii="Times New Roman" w:cs="Times New Roman" w:eastAsia="Times New Roman" w:hAnsi="Times New Roman"/>
                <w:sz w:val="17"/>
                <w:szCs w:val="17"/>
                <w:color w:val="auto"/>
              </w:rPr>
              <w:t>104</w:t>
            </w:r>
          </w:p>
        </w:tc>
        <w:tc>
          <w:tcPr>
            <w:tcW w:w="9960" w:type="dxa"/>
            <w:vAlign w:val="bottom"/>
            <w:gridSpan w:val="2"/>
          </w:tcPr>
          <w:p>
            <w:pPr>
              <w:ind w:left="340"/>
              <w:spacing w:after="0" w:line="170" w:lineRule="exact"/>
              <w:rPr>
                <w:sz w:val="20"/>
                <w:szCs w:val="20"/>
                <w:color w:val="auto"/>
              </w:rPr>
            </w:pPr>
            <w:r>
              <w:rPr>
                <w:rFonts w:ascii="Times New Roman" w:cs="Times New Roman" w:eastAsia="Times New Roman" w:hAnsi="Times New Roman"/>
                <w:sz w:val="17"/>
                <w:szCs w:val="17"/>
                <w:color w:val="auto"/>
              </w:rPr>
              <w:t>The cover page from the Company's Quarterly Report on Form 10-Q for the quarter ended March 31, 2026, formatted in Inline XBRL and</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020" w:type="dxa"/>
            <w:vAlign w:val="bottom"/>
          </w:tcPr>
          <w:p>
            <w:pPr>
              <w:spacing w:after="0"/>
              <w:rPr>
                <w:sz w:val="19"/>
                <w:szCs w:val="19"/>
                <w:color w:val="auto"/>
              </w:rPr>
            </w:pPr>
          </w:p>
        </w:tc>
        <w:tc>
          <w:tcPr>
            <w:tcW w:w="996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contained in Exhibit 101.</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13"/>
        </w:trPr>
        <w:tc>
          <w:tcPr>
            <w:tcW w:w="1020" w:type="dxa"/>
            <w:vAlign w:val="bottom"/>
          </w:tcPr>
          <w:p>
            <w:pPr>
              <w:spacing w:after="0"/>
              <w:rPr>
                <w:sz w:val="9"/>
                <w:szCs w:val="9"/>
                <w:color w:val="auto"/>
              </w:rPr>
            </w:pPr>
          </w:p>
        </w:tc>
        <w:tc>
          <w:tcPr>
            <w:tcW w:w="1680" w:type="dxa"/>
            <w:vAlign w:val="bottom"/>
          </w:tcPr>
          <w:p>
            <w:pPr>
              <w:spacing w:after="0"/>
              <w:rPr>
                <w:sz w:val="9"/>
                <w:szCs w:val="9"/>
                <w:color w:val="auto"/>
              </w:rPr>
            </w:pPr>
          </w:p>
        </w:tc>
        <w:tc>
          <w:tcPr>
            <w:tcW w:w="8280" w:type="dxa"/>
            <w:vAlign w:val="bottom"/>
          </w:tcPr>
          <w:p>
            <w:pPr>
              <w:spacing w:after="0"/>
              <w:rPr>
                <w:sz w:val="9"/>
                <w:szCs w:val="9"/>
                <w:color w:val="auto"/>
              </w:rPr>
            </w:pPr>
          </w:p>
        </w:tc>
        <w:tc>
          <w:tcPr>
            <w:tcW w:w="1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1020" w:type="dxa"/>
            <w:vAlign w:val="bottom"/>
            <w:tcBorders>
              <w:bottom w:val="single" w:sz="8" w:color="auto"/>
            </w:tcBorders>
          </w:tcPr>
          <w:p>
            <w:pPr>
              <w:spacing w:after="0"/>
              <w:rPr>
                <w:sz w:val="7"/>
                <w:szCs w:val="7"/>
                <w:color w:val="auto"/>
              </w:rPr>
            </w:pPr>
          </w:p>
        </w:tc>
        <w:tc>
          <w:tcPr>
            <w:tcW w:w="1680" w:type="dxa"/>
            <w:vAlign w:val="bottom"/>
            <w:tcBorders>
              <w:bottom w:val="single" w:sz="8" w:color="auto"/>
            </w:tcBorders>
          </w:tcPr>
          <w:p>
            <w:pPr>
              <w:spacing w:after="0"/>
              <w:rPr>
                <w:sz w:val="7"/>
                <w:szCs w:val="7"/>
                <w:color w:val="auto"/>
              </w:rPr>
            </w:pPr>
          </w:p>
        </w:tc>
        <w:tc>
          <w:tcPr>
            <w:tcW w:w="828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left="240" w:hanging="237"/>
        <w:spacing w:after="0"/>
        <w:tabs>
          <w:tab w:leader="none" w:pos="240" w:val="left"/>
        </w:tabs>
        <w:numPr>
          <w:ilvl w:val="0"/>
          <w:numId w:val="29"/>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Filed herewith</w:t>
      </w:r>
    </w:p>
    <w:p>
      <w:pPr>
        <w:spacing w:after="0" w:line="28"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7"/>
          <w:szCs w:val="17"/>
          <w:color w:val="auto"/>
        </w:rPr>
        <w:t>**</w:t>
        <w:tab/>
        <w:t>Furnished herewith</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80"/>
          </w:cols>
          <w:pgMar w:left="320" w:top="854" w:right="399" w:bottom="1440" w:gutter="0" w:footer="0" w:header="0"/>
        </w:sectPr>
      </w:pPr>
    </w:p>
    <w:bookmarkStart w:id="59" w:name="page60"/>
    <w:bookmarkEnd w:id="59"/>
    <w:p>
      <w:pPr>
        <w:jc w:val="center"/>
        <w:spacing w:after="0"/>
        <w:rPr>
          <w:sz w:val="20"/>
          <w:szCs w:val="20"/>
          <w:color w:val="auto"/>
        </w:rPr>
      </w:pPr>
      <w:r>
        <w:rPr>
          <w:rFonts w:ascii="Times New Roman" w:cs="Times New Roman" w:eastAsia="Times New Roman" w:hAnsi="Times New Roman"/>
          <w:sz w:val="17"/>
          <w:szCs w:val="17"/>
          <w:b w:val="1"/>
          <w:bCs w:val="1"/>
          <w:color w:val="auto"/>
        </w:rPr>
        <w:t>SIGNATURE</w:t>
      </w:r>
    </w:p>
    <w:p>
      <w:pPr>
        <w:spacing w:after="0" w:line="221" w:lineRule="exact"/>
        <w:rPr>
          <w:sz w:val="20"/>
          <w:szCs w:val="20"/>
          <w:color w:val="auto"/>
        </w:rPr>
      </w:pPr>
    </w:p>
    <w:p>
      <w:pPr>
        <w:ind w:firstLine="619"/>
        <w:spacing w:after="0" w:line="287"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thereunto duly authorized.</w:t>
      </w:r>
    </w:p>
    <w:p>
      <w:pPr>
        <w:spacing w:after="0" w:line="190"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3140" w:type="dxa"/>
            <w:vAlign w:val="bottom"/>
          </w:tcPr>
          <w:p>
            <w:pPr>
              <w:spacing w:after="0"/>
              <w:rPr>
                <w:sz w:val="19"/>
                <w:szCs w:val="19"/>
                <w:color w:val="auto"/>
              </w:rPr>
            </w:pPr>
          </w:p>
        </w:tc>
        <w:tc>
          <w:tcPr>
            <w:tcW w:w="5460" w:type="dxa"/>
            <w:vAlign w:val="bottom"/>
            <w:gridSpan w:val="3"/>
          </w:tcPr>
          <w:p>
            <w:pPr>
              <w:ind w:left="2120"/>
              <w:spacing w:after="0"/>
              <w:rPr>
                <w:sz w:val="20"/>
                <w:szCs w:val="20"/>
                <w:color w:val="auto"/>
              </w:rPr>
            </w:pPr>
            <w:r>
              <w:rPr>
                <w:rFonts w:ascii="Times New Roman" w:cs="Times New Roman" w:eastAsia="Times New Roman" w:hAnsi="Times New Roman"/>
                <w:sz w:val="17"/>
                <w:szCs w:val="17"/>
                <w:color w:val="auto"/>
              </w:rPr>
              <w:t>GAMING AND LEISURE PROPERTIES, INC.</w:t>
            </w:r>
          </w:p>
        </w:tc>
      </w:tr>
      <w:tr>
        <w:trPr>
          <w:trHeight w:val="399"/>
        </w:trPr>
        <w:tc>
          <w:tcPr>
            <w:tcW w:w="3140" w:type="dxa"/>
            <w:vAlign w:val="bottom"/>
          </w:tcPr>
          <w:p>
            <w:pPr>
              <w:spacing w:after="0"/>
              <w:rPr>
                <w:sz w:val="20"/>
                <w:szCs w:val="20"/>
                <w:color w:val="auto"/>
              </w:rPr>
            </w:pPr>
            <w:r>
              <w:rPr>
                <w:rFonts w:ascii="Times New Roman" w:cs="Times New Roman" w:eastAsia="Times New Roman" w:hAnsi="Times New Roman"/>
                <w:sz w:val="17"/>
                <w:szCs w:val="17"/>
                <w:color w:val="auto"/>
              </w:rPr>
              <w:t>April 23, 2026</w:t>
            </w:r>
          </w:p>
        </w:tc>
        <w:tc>
          <w:tcPr>
            <w:tcW w:w="2800" w:type="dxa"/>
            <w:vAlign w:val="bottom"/>
          </w:tcPr>
          <w:p>
            <w:pPr>
              <w:ind w:left="2120"/>
              <w:spacing w:after="0"/>
              <w:rPr>
                <w:sz w:val="20"/>
                <w:szCs w:val="20"/>
                <w:color w:val="auto"/>
              </w:rPr>
            </w:pPr>
            <w:r>
              <w:rPr>
                <w:rFonts w:ascii="Times New Roman" w:cs="Times New Roman" w:eastAsia="Times New Roman" w:hAnsi="Times New Roman"/>
                <w:sz w:val="17"/>
                <w:szCs w:val="17"/>
                <w:color w:val="auto"/>
              </w:rPr>
              <w:t>By:</w:t>
            </w:r>
          </w:p>
        </w:tc>
        <w:tc>
          <w:tcPr>
            <w:tcW w:w="1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99"/>
              </w:rPr>
              <w:t>/s/ DESIREE A. BURKE</w:t>
            </w:r>
          </w:p>
        </w:tc>
        <w:tc>
          <w:tcPr>
            <w:tcW w:w="920" w:type="dxa"/>
            <w:vAlign w:val="bottom"/>
          </w:tcPr>
          <w:p>
            <w:pPr>
              <w:spacing w:after="0"/>
              <w:rPr>
                <w:sz w:val="24"/>
                <w:szCs w:val="24"/>
                <w:color w:val="auto"/>
              </w:rPr>
            </w:pPr>
          </w:p>
        </w:tc>
      </w:tr>
      <w:tr>
        <w:trPr>
          <w:trHeight w:val="230"/>
        </w:trPr>
        <w:tc>
          <w:tcPr>
            <w:tcW w:w="314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2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Desiree A. Burke</w:t>
            </w:r>
          </w:p>
        </w:tc>
      </w:tr>
      <w:tr>
        <w:trPr>
          <w:trHeight w:val="219"/>
        </w:trPr>
        <w:tc>
          <w:tcPr>
            <w:tcW w:w="314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2660" w:type="dxa"/>
            <w:vAlign w:val="bottom"/>
            <w:gridSpan w:val="2"/>
          </w:tcPr>
          <w:p>
            <w:pPr>
              <w:spacing w:after="0"/>
              <w:rPr>
                <w:sz w:val="20"/>
                <w:szCs w:val="20"/>
                <w:color w:val="auto"/>
              </w:rPr>
            </w:pPr>
            <w:r>
              <w:rPr>
                <w:rFonts w:ascii="Times New Roman" w:cs="Times New Roman" w:eastAsia="Times New Roman" w:hAnsi="Times New Roman"/>
                <w:sz w:val="17"/>
                <w:szCs w:val="17"/>
                <w:i w:val="1"/>
                <w:iCs w:val="1"/>
                <w:color w:val="auto"/>
              </w:rPr>
              <w:t>Chief Financial Officer and Treasurer</w:t>
            </w:r>
          </w:p>
        </w:tc>
      </w:tr>
      <w:tr>
        <w:trPr>
          <w:trHeight w:val="227"/>
        </w:trPr>
        <w:tc>
          <w:tcPr>
            <w:tcW w:w="314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2660" w:type="dxa"/>
            <w:vAlign w:val="bottom"/>
            <w:gridSpan w:val="2"/>
          </w:tcPr>
          <w:p>
            <w:pPr>
              <w:spacing w:after="0"/>
              <w:rPr>
                <w:sz w:val="20"/>
                <w:szCs w:val="20"/>
                <w:color w:val="auto"/>
              </w:rPr>
            </w:pPr>
            <w:r>
              <w:rPr>
                <w:rFonts w:ascii="Times New Roman" w:cs="Times New Roman" w:eastAsia="Times New Roman" w:hAnsi="Times New Roman"/>
                <w:sz w:val="17"/>
                <w:szCs w:val="17"/>
                <w:i w:val="1"/>
                <w:iCs w:val="1"/>
                <w:color w:val="auto"/>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60</w:t>
      </w:r>
    </w:p>
    <w:p>
      <w:pPr>
        <w:sectPr>
          <w:pgSz w:w="11900" w:h="16838" w:orient="portrait"/>
          <w:cols w:equalWidth="0" w:num="1">
            <w:col w:w="11240"/>
          </w:cols>
          <w:pgMar w:left="320" w:top="854" w:right="339" w:bottom="1440" w:gutter="0" w:footer="0" w:header="0"/>
        </w:sectPr>
      </w:pPr>
    </w:p>
    <w:bookmarkStart w:id="60" w:name="page61"/>
    <w:bookmarkEnd w:id="60"/>
    <w:p>
      <w:pPr>
        <w:jc w:val="right"/>
        <w:spacing w:after="0"/>
        <w:rPr>
          <w:sz w:val="20"/>
          <w:szCs w:val="20"/>
          <w:color w:val="auto"/>
        </w:rPr>
      </w:pPr>
      <w:r>
        <w:rPr>
          <w:rFonts w:ascii="Times New Roman" w:cs="Times New Roman" w:eastAsia="Times New Roman" w:hAnsi="Times New Roman"/>
          <w:sz w:val="21"/>
          <w:szCs w:val="21"/>
          <w:b w:val="1"/>
          <w:bCs w:val="1"/>
          <w:color w:val="auto"/>
        </w:rPr>
        <w:t>Exhibit 22.1</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List of Subsidiary Issuers of Guaranteed Securities</w:t>
      </w:r>
    </w:p>
    <w:p>
      <w:pPr>
        <w:spacing w:after="0" w:line="149"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21"/>
          <w:szCs w:val="21"/>
          <w:color w:val="auto"/>
        </w:rPr>
        <w:t>The following subsidiaries of Gaming and Leisure Properties, Inc. (the “Company”) were, as of March 31, 2026, issuers of the (i) $500 million 5.75% senior unsecured notes due June 2028, (ii) $750 million 5.30% senior unsecured notes due January 2029, (iii) $700 million 4.00% senior unsecured notes due January 2030, (iv) $700 million 4.000% senior unsecured notes due January 2031, (v) $800 million 3.25% senior unsecured notes due January 2032, (vi) $600 million 5.25% senior unsecured notes due February 2033, (vii) $400 million 6.75% senior unsecured notes due December 2033, (viii) $800 million 5.625% senior unsecured notes due September 2034, (ix) $800 million 5.625% senior unsecured notes due March 2036, (x) $700 million 5.75% senior unsecured notes due November 2037, (xi) $400 million 6.25% senior unsecured notes due September 2054, each guaranteed by the Company:</w:t>
      </w:r>
    </w:p>
    <w:tbl>
      <w:tblPr>
        <w:tblLayout w:type="fixed"/>
        <w:tblInd w:w="10" w:type="dxa"/>
        <w:tblCellMar>
          <w:top w:w="0" w:type="dxa"/>
          <w:left w:w="0" w:type="dxa"/>
          <w:bottom w:w="0" w:type="dxa"/>
          <w:right w:w="0" w:type="dxa"/>
        </w:tblCellMar>
      </w:tblPr>
      <w:tr>
        <w:trPr>
          <w:trHeight w:val="263"/>
        </w:trPr>
        <w:tc>
          <w:tcPr>
            <w:tcW w:w="552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1"/>
                <w:szCs w:val="21"/>
                <w:b w:val="1"/>
                <w:bCs w:val="1"/>
                <w:color w:val="auto"/>
              </w:rPr>
              <w:t>Entity</w:t>
            </w:r>
          </w:p>
        </w:tc>
        <w:tc>
          <w:tcPr>
            <w:tcW w:w="552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1"/>
                <w:szCs w:val="21"/>
                <w:b w:val="1"/>
                <w:bCs w:val="1"/>
                <w:color w:val="auto"/>
              </w:rPr>
              <w:t>Jurisdiction of Incorporation or Formation</w:t>
            </w:r>
          </w:p>
        </w:tc>
      </w:tr>
      <w:tr>
        <w:trPr>
          <w:trHeight w:val="251"/>
        </w:trPr>
        <w:tc>
          <w:tcPr>
            <w:tcW w:w="55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1"/>
                <w:szCs w:val="21"/>
                <w:color w:val="auto"/>
              </w:rPr>
              <w:t>GLP Capital, L.P.</w:t>
            </w:r>
          </w:p>
        </w:tc>
        <w:tc>
          <w:tcPr>
            <w:tcW w:w="55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1"/>
                <w:szCs w:val="21"/>
                <w:color w:val="auto"/>
              </w:rPr>
              <w:t>Pennsylvania</w:t>
            </w:r>
          </w:p>
        </w:tc>
      </w:tr>
      <w:tr>
        <w:trPr>
          <w:trHeight w:val="251"/>
        </w:trPr>
        <w:tc>
          <w:tcPr>
            <w:tcW w:w="55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1"/>
                <w:szCs w:val="21"/>
                <w:color w:val="auto"/>
              </w:rPr>
              <w:t>GLP Financing II, Inc.</w:t>
            </w:r>
          </w:p>
        </w:tc>
        <w:tc>
          <w:tcPr>
            <w:tcW w:w="55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1"/>
                <w:szCs w:val="21"/>
                <w:color w:val="auto"/>
              </w:rPr>
              <w:t>Delaware</w:t>
            </w:r>
          </w:p>
        </w:tc>
      </w:tr>
    </w:tbl>
    <w:p>
      <w:pPr>
        <w:sectPr>
          <w:pgSz w:w="11900" w:h="16838" w:orient="portrait"/>
          <w:cols w:equalWidth="0" w:num="1">
            <w:col w:w="11240"/>
          </w:cols>
          <w:pgMar w:left="320" w:top="1361" w:right="339" w:bottom="1440" w:gutter="0" w:footer="0" w:header="0"/>
        </w:sectPr>
      </w:pPr>
    </w:p>
    <w:bookmarkStart w:id="61" w:name="page62"/>
    <w:bookmarkEnd w:id="61"/>
    <w:p>
      <w:pPr>
        <w:jc w:val="right"/>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17"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7"/>
          <w:szCs w:val="17"/>
          <w:b w:val="1"/>
          <w:bCs w:val="1"/>
          <w:color w:val="auto"/>
        </w:rPr>
        <w:t>CERTIFICATION PURSUANT TO RULE 13a-14(a) OR 15d-14(a) OF THE SECURITIES EXCHANGE ACT OF 1934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Peter M. Carlino, certify that:</w:t>
      </w:r>
    </w:p>
    <w:p>
      <w:pPr>
        <w:spacing w:after="0" w:line="217" w:lineRule="exact"/>
        <w:rPr>
          <w:sz w:val="20"/>
          <w:szCs w:val="20"/>
          <w:color w:val="auto"/>
        </w:rPr>
      </w:pPr>
    </w:p>
    <w:p>
      <w:pPr>
        <w:ind w:left="660" w:hanging="657"/>
        <w:spacing w:after="0"/>
        <w:tabs>
          <w:tab w:leader="none" w:pos="66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Gaming and Leisure Properties, Inc.;</w:t>
      </w:r>
    </w:p>
    <w:p>
      <w:pPr>
        <w:spacing w:after="0" w:line="217" w:lineRule="exact"/>
        <w:rPr>
          <w:rFonts w:ascii="Times New Roman" w:cs="Times New Roman" w:eastAsia="Times New Roman" w:hAnsi="Times New Roman"/>
          <w:sz w:val="17"/>
          <w:szCs w:val="17"/>
          <w:color w:val="auto"/>
        </w:rPr>
      </w:pPr>
    </w:p>
    <w:p>
      <w:pPr>
        <w:ind w:right="600" w:firstLine="3"/>
        <w:spacing w:after="0" w:line="287" w:lineRule="auto"/>
        <w:tabs>
          <w:tab w:leader="none" w:pos="649"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1" w:lineRule="exact"/>
        <w:rPr>
          <w:rFonts w:ascii="Times New Roman" w:cs="Times New Roman" w:eastAsia="Times New Roman" w:hAnsi="Times New Roman"/>
          <w:sz w:val="17"/>
          <w:szCs w:val="17"/>
          <w:color w:val="auto"/>
        </w:rPr>
      </w:pPr>
    </w:p>
    <w:p>
      <w:pPr>
        <w:ind w:right="560" w:firstLine="3"/>
        <w:spacing w:after="0" w:line="287" w:lineRule="auto"/>
        <w:tabs>
          <w:tab w:leader="none" w:pos="649"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1" w:lineRule="exact"/>
        <w:rPr>
          <w:rFonts w:ascii="Times New Roman" w:cs="Times New Roman" w:eastAsia="Times New Roman" w:hAnsi="Times New Roman"/>
          <w:sz w:val="17"/>
          <w:szCs w:val="17"/>
          <w:color w:val="auto"/>
        </w:rPr>
      </w:pPr>
    </w:p>
    <w:p>
      <w:pPr>
        <w:ind w:right="280" w:firstLine="3"/>
        <w:spacing w:after="0" w:line="287" w:lineRule="auto"/>
        <w:tabs>
          <w:tab w:leader="none" w:pos="649"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1" w:lineRule="exact"/>
        <w:rPr>
          <w:rFonts w:ascii="Times New Roman" w:cs="Times New Roman" w:eastAsia="Times New Roman" w:hAnsi="Times New Roman"/>
          <w:sz w:val="17"/>
          <w:szCs w:val="17"/>
          <w:color w:val="auto"/>
        </w:rPr>
      </w:pPr>
    </w:p>
    <w:p>
      <w:pPr>
        <w:ind w:right="160" w:firstLine="622"/>
        <w:spacing w:after="0" w:line="270" w:lineRule="auto"/>
        <w:tabs>
          <w:tab w:leader="none" w:pos="1265" w:val="left"/>
        </w:tabs>
        <w:numPr>
          <w:ilvl w:val="1"/>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my supervision, to ensure that material information relating to the registrant, including its consolidated subsidiaries, is made known to us by others within those entities, particularly during the period in which this report is being prepared;</w:t>
      </w:r>
    </w:p>
    <w:p>
      <w:pPr>
        <w:spacing w:after="0" w:line="191" w:lineRule="exact"/>
        <w:rPr>
          <w:rFonts w:ascii="Times New Roman" w:cs="Times New Roman" w:eastAsia="Times New Roman" w:hAnsi="Times New Roman"/>
          <w:sz w:val="17"/>
          <w:szCs w:val="17"/>
          <w:color w:val="auto"/>
        </w:rPr>
      </w:pPr>
    </w:p>
    <w:p>
      <w:pPr>
        <w:ind w:firstLine="622"/>
        <w:spacing w:after="0" w:line="270" w:lineRule="auto"/>
        <w:tabs>
          <w:tab w:leader="none" w:pos="991" w:val="left"/>
        </w:tabs>
        <w:numPr>
          <w:ilvl w:val="1"/>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Times New Roman" w:cs="Times New Roman" w:eastAsia="Times New Roman" w:hAnsi="Times New Roman"/>
          <w:sz w:val="17"/>
          <w:szCs w:val="17"/>
          <w:color w:val="auto"/>
        </w:rPr>
      </w:pPr>
    </w:p>
    <w:p>
      <w:pPr>
        <w:ind w:right="720" w:firstLine="622"/>
        <w:spacing w:after="0" w:line="287" w:lineRule="auto"/>
        <w:tabs>
          <w:tab w:leader="none" w:pos="1252" w:val="left"/>
        </w:tabs>
        <w:numPr>
          <w:ilvl w:val="1"/>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1" w:lineRule="exact"/>
        <w:rPr>
          <w:rFonts w:ascii="Times New Roman" w:cs="Times New Roman" w:eastAsia="Times New Roman" w:hAnsi="Times New Roman"/>
          <w:sz w:val="17"/>
          <w:szCs w:val="17"/>
          <w:color w:val="auto"/>
        </w:rPr>
      </w:pPr>
    </w:p>
    <w:p>
      <w:pPr>
        <w:ind w:right="240" w:firstLine="622"/>
        <w:spacing w:after="0" w:line="270" w:lineRule="auto"/>
        <w:tabs>
          <w:tab w:leader="none" w:pos="1253" w:val="left"/>
        </w:tabs>
        <w:numPr>
          <w:ilvl w:val="1"/>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Times New Roman" w:cs="Times New Roman" w:eastAsia="Times New Roman" w:hAnsi="Times New Roman"/>
          <w:sz w:val="17"/>
          <w:szCs w:val="17"/>
          <w:color w:val="auto"/>
        </w:rPr>
      </w:pPr>
    </w:p>
    <w:p>
      <w:pPr>
        <w:ind w:right="220" w:firstLine="3"/>
        <w:spacing w:after="0" w:line="287" w:lineRule="auto"/>
        <w:tabs>
          <w:tab w:leader="none" w:pos="649"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disclosed, based on my most recent evaluation of internal control over financial reporting, to the registrant’s auditors and the audit committee of the registrant’s board of directors (or persons performing the equivalent functions):</w:t>
      </w:r>
    </w:p>
    <w:p>
      <w:pPr>
        <w:spacing w:after="0" w:line="151" w:lineRule="exact"/>
        <w:rPr>
          <w:rFonts w:ascii="Times New Roman" w:cs="Times New Roman" w:eastAsia="Times New Roman" w:hAnsi="Times New Roman"/>
          <w:sz w:val="17"/>
          <w:szCs w:val="17"/>
          <w:color w:val="auto"/>
        </w:rPr>
      </w:pPr>
    </w:p>
    <w:p>
      <w:pPr>
        <w:ind w:right="120" w:firstLine="622"/>
        <w:spacing w:after="0" w:line="287" w:lineRule="auto"/>
        <w:tabs>
          <w:tab w:leader="none" w:pos="1265" w:val="left"/>
        </w:tabs>
        <w:numPr>
          <w:ilvl w:val="1"/>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1" w:lineRule="exact"/>
        <w:rPr>
          <w:rFonts w:ascii="Times New Roman" w:cs="Times New Roman" w:eastAsia="Times New Roman" w:hAnsi="Times New Roman"/>
          <w:sz w:val="17"/>
          <w:szCs w:val="17"/>
          <w:color w:val="auto"/>
        </w:rPr>
      </w:pPr>
    </w:p>
    <w:p>
      <w:pPr>
        <w:ind w:right="80" w:firstLine="622"/>
        <w:spacing w:after="0" w:line="287" w:lineRule="auto"/>
        <w:tabs>
          <w:tab w:leader="none" w:pos="1274" w:val="left"/>
        </w:tabs>
        <w:numPr>
          <w:ilvl w:val="1"/>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1"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520" w:type="dxa"/>
            <w:vAlign w:val="bottom"/>
          </w:tcPr>
          <w:p>
            <w:pPr>
              <w:spacing w:after="0"/>
              <w:rPr>
                <w:sz w:val="20"/>
                <w:szCs w:val="20"/>
                <w:color w:val="auto"/>
              </w:rPr>
            </w:pPr>
            <w:r>
              <w:rPr>
                <w:rFonts w:ascii="Times New Roman" w:cs="Times New Roman" w:eastAsia="Times New Roman" w:hAnsi="Times New Roman"/>
                <w:sz w:val="17"/>
                <w:szCs w:val="17"/>
                <w:color w:val="auto"/>
              </w:rPr>
              <w:t>Date:</w:t>
            </w:r>
          </w:p>
        </w:tc>
        <w:tc>
          <w:tcPr>
            <w:tcW w:w="60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April 23, 2026</w:t>
            </w:r>
          </w:p>
        </w:tc>
        <w:tc>
          <w:tcPr>
            <w:tcW w:w="1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99"/>
              </w:rPr>
              <w:t>/s/ Peter M. Carlino</w:t>
            </w:r>
          </w:p>
        </w:tc>
        <w:tc>
          <w:tcPr>
            <w:tcW w:w="2300" w:type="dxa"/>
            <w:vAlign w:val="bottom"/>
          </w:tcPr>
          <w:p>
            <w:pPr>
              <w:spacing w:after="0"/>
              <w:rPr>
                <w:sz w:val="16"/>
                <w:szCs w:val="16"/>
                <w:color w:val="auto"/>
              </w:rPr>
            </w:pPr>
          </w:p>
        </w:tc>
      </w:tr>
      <w:tr>
        <w:trPr>
          <w:trHeight w:val="230"/>
        </w:trPr>
        <w:tc>
          <w:tcPr>
            <w:tcW w:w="520" w:type="dxa"/>
            <w:vAlign w:val="bottom"/>
          </w:tcPr>
          <w:p>
            <w:pPr>
              <w:spacing w:after="0"/>
              <w:rPr>
                <w:sz w:val="20"/>
                <w:szCs w:val="20"/>
                <w:color w:val="auto"/>
              </w:rPr>
            </w:pPr>
          </w:p>
        </w:tc>
        <w:tc>
          <w:tcPr>
            <w:tcW w:w="6000" w:type="dxa"/>
            <w:vAlign w:val="bottom"/>
          </w:tcPr>
          <w:p>
            <w:pPr>
              <w:spacing w:after="0"/>
              <w:rPr>
                <w:sz w:val="20"/>
                <w:szCs w:val="20"/>
                <w:color w:val="auto"/>
              </w:rPr>
            </w:pPr>
          </w:p>
        </w:tc>
        <w:tc>
          <w:tcPr>
            <w:tcW w:w="3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Name: Peter M. Carlino</w:t>
            </w:r>
          </w:p>
        </w:tc>
      </w:tr>
      <w:tr>
        <w:trPr>
          <w:trHeight w:val="227"/>
        </w:trPr>
        <w:tc>
          <w:tcPr>
            <w:tcW w:w="520" w:type="dxa"/>
            <w:vAlign w:val="bottom"/>
          </w:tcPr>
          <w:p>
            <w:pPr>
              <w:spacing w:after="0"/>
              <w:rPr>
                <w:sz w:val="19"/>
                <w:szCs w:val="19"/>
                <w:color w:val="auto"/>
              </w:rPr>
            </w:pPr>
          </w:p>
        </w:tc>
        <w:tc>
          <w:tcPr>
            <w:tcW w:w="6000" w:type="dxa"/>
            <w:vAlign w:val="bottom"/>
          </w:tcPr>
          <w:p>
            <w:pPr>
              <w:spacing w:after="0"/>
              <w:rPr>
                <w:sz w:val="19"/>
                <w:szCs w:val="19"/>
                <w:color w:val="auto"/>
              </w:rPr>
            </w:pPr>
          </w:p>
        </w:tc>
        <w:tc>
          <w:tcPr>
            <w:tcW w:w="3660" w:type="dxa"/>
            <w:vAlign w:val="bottom"/>
            <w:gridSpan w:val="2"/>
          </w:tcPr>
          <w:p>
            <w:pPr>
              <w:spacing w:after="0"/>
              <w:rPr>
                <w:sz w:val="20"/>
                <w:szCs w:val="20"/>
                <w:color w:val="auto"/>
              </w:rPr>
            </w:pPr>
            <w:r>
              <w:rPr>
                <w:rFonts w:ascii="Times New Roman" w:cs="Times New Roman" w:eastAsia="Times New Roman" w:hAnsi="Times New Roman"/>
                <w:sz w:val="17"/>
                <w:szCs w:val="17"/>
                <w:i w:val="1"/>
                <w:iCs w:val="1"/>
                <w:color w:val="auto"/>
              </w:rPr>
              <w:t>Chief Executive Officer (Principal Executive Officer)</w:t>
            </w:r>
          </w:p>
        </w:tc>
      </w:tr>
    </w:tbl>
    <w:p>
      <w:pPr>
        <w:sectPr>
          <w:pgSz w:w="11900" w:h="16838" w:orient="portrait"/>
          <w:cols w:equalWidth="0" w:num="1">
            <w:col w:w="11240"/>
          </w:cols>
          <w:pgMar w:left="320" w:top="854" w:right="339" w:bottom="1440" w:gutter="0" w:footer="0" w:header="0"/>
        </w:sectPr>
      </w:pPr>
    </w:p>
    <w:bookmarkStart w:id="62" w:name="page63"/>
    <w:bookmarkEnd w:id="62"/>
    <w:p>
      <w:pPr>
        <w:jc w:val="right"/>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17"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7"/>
          <w:szCs w:val="17"/>
          <w:b w:val="1"/>
          <w:bCs w:val="1"/>
          <w:color w:val="auto"/>
        </w:rPr>
        <w:t>CERTIFICATION PURSUANT TO RULE 13a-14(a) OR 15d-14(a) OF THE SECURITIES EXCHANGE ACT OF 1934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Desiree A. Burke, certify that:</w:t>
      </w:r>
    </w:p>
    <w:p>
      <w:pPr>
        <w:spacing w:after="0" w:line="217" w:lineRule="exact"/>
        <w:rPr>
          <w:sz w:val="20"/>
          <w:szCs w:val="20"/>
          <w:color w:val="auto"/>
        </w:rPr>
      </w:pPr>
    </w:p>
    <w:p>
      <w:pPr>
        <w:ind w:left="660" w:hanging="657"/>
        <w:spacing w:after="0"/>
        <w:tabs>
          <w:tab w:leader="none" w:pos="66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Gaming and Leisure Properties, Inc.;</w:t>
      </w:r>
    </w:p>
    <w:p>
      <w:pPr>
        <w:spacing w:after="0" w:line="217" w:lineRule="exact"/>
        <w:rPr>
          <w:rFonts w:ascii="Times New Roman" w:cs="Times New Roman" w:eastAsia="Times New Roman" w:hAnsi="Times New Roman"/>
          <w:sz w:val="17"/>
          <w:szCs w:val="17"/>
          <w:color w:val="auto"/>
        </w:rPr>
      </w:pPr>
    </w:p>
    <w:p>
      <w:pPr>
        <w:ind w:right="600" w:firstLine="3"/>
        <w:spacing w:after="0" w:line="287" w:lineRule="auto"/>
        <w:tabs>
          <w:tab w:leader="none" w:pos="649"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1" w:lineRule="exact"/>
        <w:rPr>
          <w:rFonts w:ascii="Times New Roman" w:cs="Times New Roman" w:eastAsia="Times New Roman" w:hAnsi="Times New Roman"/>
          <w:sz w:val="17"/>
          <w:szCs w:val="17"/>
          <w:color w:val="auto"/>
        </w:rPr>
      </w:pPr>
    </w:p>
    <w:p>
      <w:pPr>
        <w:ind w:right="560" w:firstLine="3"/>
        <w:spacing w:after="0" w:line="287" w:lineRule="auto"/>
        <w:tabs>
          <w:tab w:leader="none" w:pos="649"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1" w:lineRule="exact"/>
        <w:rPr>
          <w:rFonts w:ascii="Times New Roman" w:cs="Times New Roman" w:eastAsia="Times New Roman" w:hAnsi="Times New Roman"/>
          <w:sz w:val="17"/>
          <w:szCs w:val="17"/>
          <w:color w:val="auto"/>
        </w:rPr>
      </w:pPr>
    </w:p>
    <w:p>
      <w:pPr>
        <w:ind w:right="280" w:firstLine="3"/>
        <w:spacing w:after="0" w:line="287" w:lineRule="auto"/>
        <w:tabs>
          <w:tab w:leader="none" w:pos="649"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1" w:lineRule="exact"/>
        <w:rPr>
          <w:rFonts w:ascii="Times New Roman" w:cs="Times New Roman" w:eastAsia="Times New Roman" w:hAnsi="Times New Roman"/>
          <w:sz w:val="17"/>
          <w:szCs w:val="17"/>
          <w:color w:val="auto"/>
        </w:rPr>
      </w:pPr>
    </w:p>
    <w:p>
      <w:pPr>
        <w:ind w:right="160" w:firstLine="622"/>
        <w:spacing w:after="0" w:line="270" w:lineRule="auto"/>
        <w:tabs>
          <w:tab w:leader="none" w:pos="1265" w:val="left"/>
        </w:tabs>
        <w:numPr>
          <w:ilvl w:val="1"/>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my supervision, to ensure that material information relating to the registrant, including its consolidated subsidiaries, is made known to us by others within those entities, particularly during the period in which this report is being prepared;</w:t>
      </w:r>
    </w:p>
    <w:p>
      <w:pPr>
        <w:spacing w:after="0" w:line="191" w:lineRule="exact"/>
        <w:rPr>
          <w:rFonts w:ascii="Times New Roman" w:cs="Times New Roman" w:eastAsia="Times New Roman" w:hAnsi="Times New Roman"/>
          <w:sz w:val="17"/>
          <w:szCs w:val="17"/>
          <w:color w:val="auto"/>
        </w:rPr>
      </w:pPr>
    </w:p>
    <w:p>
      <w:pPr>
        <w:ind w:firstLine="622"/>
        <w:spacing w:after="0" w:line="270" w:lineRule="auto"/>
        <w:tabs>
          <w:tab w:leader="none" w:pos="991" w:val="left"/>
        </w:tabs>
        <w:numPr>
          <w:ilvl w:val="1"/>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Times New Roman" w:cs="Times New Roman" w:eastAsia="Times New Roman" w:hAnsi="Times New Roman"/>
          <w:sz w:val="17"/>
          <w:szCs w:val="17"/>
          <w:color w:val="auto"/>
        </w:rPr>
      </w:pPr>
    </w:p>
    <w:p>
      <w:pPr>
        <w:ind w:right="720" w:firstLine="622"/>
        <w:spacing w:after="0" w:line="287" w:lineRule="auto"/>
        <w:tabs>
          <w:tab w:leader="none" w:pos="1252" w:val="left"/>
        </w:tabs>
        <w:numPr>
          <w:ilvl w:val="1"/>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1" w:lineRule="exact"/>
        <w:rPr>
          <w:rFonts w:ascii="Times New Roman" w:cs="Times New Roman" w:eastAsia="Times New Roman" w:hAnsi="Times New Roman"/>
          <w:sz w:val="17"/>
          <w:szCs w:val="17"/>
          <w:color w:val="auto"/>
        </w:rPr>
      </w:pPr>
    </w:p>
    <w:p>
      <w:pPr>
        <w:ind w:right="240" w:firstLine="622"/>
        <w:spacing w:after="0" w:line="270" w:lineRule="auto"/>
        <w:tabs>
          <w:tab w:leader="none" w:pos="1253" w:val="left"/>
        </w:tabs>
        <w:numPr>
          <w:ilvl w:val="1"/>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Times New Roman" w:cs="Times New Roman" w:eastAsia="Times New Roman" w:hAnsi="Times New Roman"/>
          <w:sz w:val="17"/>
          <w:szCs w:val="17"/>
          <w:color w:val="auto"/>
        </w:rPr>
      </w:pPr>
    </w:p>
    <w:p>
      <w:pPr>
        <w:ind w:right="220" w:firstLine="3"/>
        <w:spacing w:after="0" w:line="287" w:lineRule="auto"/>
        <w:tabs>
          <w:tab w:leader="none" w:pos="649"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disclosed, based on my most recent evaluation of internal control over financial reporting, to the registrant’s auditors and the audit committee of the registrant’s board of directors (or persons performing the equivalent functions):</w:t>
      </w:r>
    </w:p>
    <w:p>
      <w:pPr>
        <w:spacing w:after="0" w:line="151" w:lineRule="exact"/>
        <w:rPr>
          <w:rFonts w:ascii="Times New Roman" w:cs="Times New Roman" w:eastAsia="Times New Roman" w:hAnsi="Times New Roman"/>
          <w:sz w:val="17"/>
          <w:szCs w:val="17"/>
          <w:color w:val="auto"/>
        </w:rPr>
      </w:pPr>
    </w:p>
    <w:p>
      <w:pPr>
        <w:ind w:right="120" w:firstLine="622"/>
        <w:spacing w:after="0" w:line="287" w:lineRule="auto"/>
        <w:tabs>
          <w:tab w:leader="none" w:pos="1265" w:val="left"/>
        </w:tabs>
        <w:numPr>
          <w:ilvl w:val="1"/>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1" w:lineRule="exact"/>
        <w:rPr>
          <w:rFonts w:ascii="Times New Roman" w:cs="Times New Roman" w:eastAsia="Times New Roman" w:hAnsi="Times New Roman"/>
          <w:sz w:val="17"/>
          <w:szCs w:val="17"/>
          <w:color w:val="auto"/>
        </w:rPr>
      </w:pPr>
    </w:p>
    <w:p>
      <w:pPr>
        <w:ind w:right="80" w:firstLine="622"/>
        <w:spacing w:after="0" w:line="287" w:lineRule="auto"/>
        <w:tabs>
          <w:tab w:leader="none" w:pos="1274" w:val="left"/>
        </w:tabs>
        <w:numPr>
          <w:ilvl w:val="1"/>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1"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520" w:type="dxa"/>
            <w:vAlign w:val="bottom"/>
          </w:tcPr>
          <w:p>
            <w:pPr>
              <w:spacing w:after="0"/>
              <w:rPr>
                <w:sz w:val="20"/>
                <w:szCs w:val="20"/>
                <w:color w:val="auto"/>
              </w:rPr>
            </w:pPr>
            <w:r>
              <w:rPr>
                <w:rFonts w:ascii="Times New Roman" w:cs="Times New Roman" w:eastAsia="Times New Roman" w:hAnsi="Times New Roman"/>
                <w:sz w:val="17"/>
                <w:szCs w:val="17"/>
                <w:color w:val="auto"/>
              </w:rPr>
              <w:t>Date:</w:t>
            </w:r>
          </w:p>
        </w:tc>
        <w:tc>
          <w:tcPr>
            <w:tcW w:w="60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April 23, 2026</w:t>
            </w:r>
          </w:p>
        </w:tc>
        <w:tc>
          <w:tcPr>
            <w:tcW w:w="40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 Desiree A. Burke</w:t>
            </w:r>
          </w:p>
        </w:tc>
      </w:tr>
      <w:tr>
        <w:trPr>
          <w:trHeight w:val="20"/>
        </w:trPr>
        <w:tc>
          <w:tcPr>
            <w:tcW w:w="5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r>
      <w:tr>
        <w:trPr>
          <w:trHeight w:val="230"/>
        </w:trPr>
        <w:tc>
          <w:tcPr>
            <w:tcW w:w="520" w:type="dxa"/>
            <w:vAlign w:val="bottom"/>
          </w:tcPr>
          <w:p>
            <w:pPr>
              <w:spacing w:after="0"/>
              <w:rPr>
                <w:sz w:val="20"/>
                <w:szCs w:val="20"/>
                <w:color w:val="auto"/>
              </w:rPr>
            </w:pPr>
          </w:p>
        </w:tc>
        <w:tc>
          <w:tcPr>
            <w:tcW w:w="6000" w:type="dxa"/>
            <w:vAlign w:val="bottom"/>
          </w:tcPr>
          <w:p>
            <w:pPr>
              <w:spacing w:after="0"/>
              <w:rPr>
                <w:sz w:val="20"/>
                <w:szCs w:val="20"/>
                <w:color w:val="auto"/>
              </w:rPr>
            </w:pPr>
          </w:p>
        </w:tc>
        <w:tc>
          <w:tcPr>
            <w:tcW w:w="40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Name: Desiree A. Burke</w:t>
            </w:r>
          </w:p>
        </w:tc>
      </w:tr>
      <w:tr>
        <w:trPr>
          <w:trHeight w:val="175"/>
        </w:trPr>
        <w:tc>
          <w:tcPr>
            <w:tcW w:w="520" w:type="dxa"/>
            <w:vAlign w:val="bottom"/>
          </w:tcPr>
          <w:p>
            <w:pPr>
              <w:spacing w:after="0"/>
              <w:rPr>
                <w:sz w:val="15"/>
                <w:szCs w:val="15"/>
                <w:color w:val="auto"/>
              </w:rPr>
            </w:pPr>
          </w:p>
        </w:tc>
        <w:tc>
          <w:tcPr>
            <w:tcW w:w="6000" w:type="dxa"/>
            <w:vAlign w:val="bottom"/>
          </w:tcPr>
          <w:p>
            <w:pPr>
              <w:spacing w:after="0"/>
              <w:rPr>
                <w:sz w:val="15"/>
                <w:szCs w:val="15"/>
                <w:color w:val="auto"/>
              </w:rPr>
            </w:pPr>
          </w:p>
        </w:tc>
        <w:tc>
          <w:tcPr>
            <w:tcW w:w="4080" w:type="dxa"/>
            <w:vAlign w:val="bottom"/>
            <w:gridSpan w:val="2"/>
          </w:tcPr>
          <w:p>
            <w:pPr>
              <w:spacing w:after="0" w:line="175" w:lineRule="exact"/>
              <w:rPr>
                <w:sz w:val="20"/>
                <w:szCs w:val="20"/>
                <w:color w:val="auto"/>
              </w:rPr>
            </w:pPr>
            <w:r>
              <w:rPr>
                <w:rFonts w:ascii="Times New Roman" w:cs="Times New Roman" w:eastAsia="Times New Roman" w:hAnsi="Times New Roman"/>
                <w:sz w:val="17"/>
                <w:szCs w:val="17"/>
                <w:i w:val="1"/>
                <w:iCs w:val="1"/>
                <w:color w:val="auto"/>
                <w:w w:val="99"/>
              </w:rPr>
              <w:t>Chief Financial Officer and Treasurer (Principal Financial</w:t>
            </w:r>
          </w:p>
        </w:tc>
      </w:tr>
      <w:tr>
        <w:trPr>
          <w:trHeight w:val="227"/>
        </w:trPr>
        <w:tc>
          <w:tcPr>
            <w:tcW w:w="520" w:type="dxa"/>
            <w:vAlign w:val="bottom"/>
          </w:tcPr>
          <w:p>
            <w:pPr>
              <w:spacing w:after="0"/>
              <w:rPr>
                <w:sz w:val="19"/>
                <w:szCs w:val="19"/>
                <w:color w:val="auto"/>
              </w:rPr>
            </w:pPr>
          </w:p>
        </w:tc>
        <w:tc>
          <w:tcPr>
            <w:tcW w:w="6000" w:type="dxa"/>
            <w:vAlign w:val="bottom"/>
          </w:tcPr>
          <w:p>
            <w:pPr>
              <w:spacing w:after="0"/>
              <w:rPr>
                <w:sz w:val="19"/>
                <w:szCs w:val="19"/>
                <w:color w:val="auto"/>
              </w:rPr>
            </w:pPr>
          </w:p>
        </w:tc>
        <w:tc>
          <w:tcPr>
            <w:tcW w:w="4080" w:type="dxa"/>
            <w:vAlign w:val="bottom"/>
            <w:gridSpan w:val="2"/>
          </w:tcPr>
          <w:p>
            <w:pPr>
              <w:spacing w:after="0"/>
              <w:rPr>
                <w:sz w:val="20"/>
                <w:szCs w:val="20"/>
                <w:color w:val="auto"/>
              </w:rPr>
            </w:pPr>
            <w:r>
              <w:rPr>
                <w:rFonts w:ascii="Times New Roman" w:cs="Times New Roman" w:eastAsia="Times New Roman" w:hAnsi="Times New Roman"/>
                <w:sz w:val="17"/>
                <w:szCs w:val="17"/>
                <w:i w:val="1"/>
                <w:iCs w:val="1"/>
                <w:color w:val="auto"/>
              </w:rPr>
              <w:t>Officer)</w:t>
            </w:r>
          </w:p>
        </w:tc>
      </w:tr>
    </w:tbl>
    <w:p>
      <w:pPr>
        <w:sectPr>
          <w:pgSz w:w="11900" w:h="16838" w:orient="portrait"/>
          <w:cols w:equalWidth="0" w:num="1">
            <w:col w:w="11240"/>
          </w:cols>
          <w:pgMar w:left="320" w:top="854" w:right="339" w:bottom="1440" w:gutter="0" w:footer="0" w:header="0"/>
        </w:sectPr>
      </w:pPr>
    </w:p>
    <w:bookmarkStart w:id="63" w:name="page64"/>
    <w:bookmarkEnd w:id="63"/>
    <w:p>
      <w:pPr>
        <w:jc w:val="right"/>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18 U.S.C. SECTION 1350</w:t>
      </w:r>
    </w:p>
    <w:p>
      <w:pPr>
        <w:spacing w:after="0" w:line="200" w:lineRule="exact"/>
        <w:rPr>
          <w:sz w:val="20"/>
          <w:szCs w:val="20"/>
          <w:color w:val="auto"/>
        </w:rPr>
      </w:pPr>
    </w:p>
    <w:p>
      <w:pPr>
        <w:ind w:right="40" w:firstLine="619"/>
        <w:spacing w:after="0" w:line="270" w:lineRule="auto"/>
        <w:rPr>
          <w:sz w:val="20"/>
          <w:szCs w:val="20"/>
          <w:color w:val="auto"/>
        </w:rPr>
      </w:pPr>
      <w:r>
        <w:rPr>
          <w:rFonts w:ascii="Times New Roman" w:cs="Times New Roman" w:eastAsia="Times New Roman" w:hAnsi="Times New Roman"/>
          <w:sz w:val="17"/>
          <w:szCs w:val="17"/>
          <w:color w:val="auto"/>
        </w:rPr>
        <w:t>In connection with the quarterly report of Gaming and Leisure Properties, Inc. (the “Company”) on Form 10-Q for the quarter ended March 31, 2026, as filed with the Securities and Exchange Commission on the date hereof (the “Report”), I, Peter M. Carlino, Chief Executive Officer and Principal Executive Officer of the Company, certify, pursuant to Section 906 of the Sarbanes-Oxley Act of 2002, 18 U.S.C. Section 1350, that, to my knowledge:</w:t>
      </w:r>
    </w:p>
    <w:p>
      <w:pPr>
        <w:spacing w:after="0" w:line="165" w:lineRule="exact"/>
        <w:rPr>
          <w:sz w:val="20"/>
          <w:szCs w:val="20"/>
          <w:color w:val="auto"/>
        </w:rPr>
      </w:pPr>
    </w:p>
    <w:p>
      <w:pPr>
        <w:ind w:left="1280" w:hanging="658"/>
        <w:spacing w:after="0"/>
        <w:tabs>
          <w:tab w:leader="none" w:pos="128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as amended; and</w:t>
      </w:r>
    </w:p>
    <w:p>
      <w:pPr>
        <w:spacing w:after="0" w:line="217" w:lineRule="exact"/>
        <w:rPr>
          <w:rFonts w:ascii="Times New Roman" w:cs="Times New Roman" w:eastAsia="Times New Roman" w:hAnsi="Times New Roman"/>
          <w:sz w:val="17"/>
          <w:szCs w:val="17"/>
          <w:color w:val="auto"/>
        </w:rPr>
      </w:pPr>
    </w:p>
    <w:p>
      <w:pPr>
        <w:ind w:left="1280" w:hanging="658"/>
        <w:spacing w:after="0"/>
        <w:tabs>
          <w:tab w:leader="none" w:pos="128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25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u w:val="single" w:color="auto"/>
          <w:color w:val="auto"/>
        </w:rPr>
        <w:t>/s/ Peter M. Carlino</w:t>
      </w:r>
    </w:p>
    <w:p>
      <w:pPr>
        <w:spacing w:after="0" w:line="2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Peter M. Carlino</w:t>
      </w:r>
    </w:p>
    <w:p>
      <w:pPr>
        <w:spacing w:after="0" w:line="2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i w:val="1"/>
          <w:iCs w:val="1"/>
          <w:color w:val="auto"/>
        </w:rPr>
        <w:t>Chief Executive Officer and Principal Executive Officer</w:t>
      </w:r>
    </w:p>
    <w:p>
      <w:pPr>
        <w:spacing w:after="0" w:line="24"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Date: April 23, 2026</w:t>
      </w:r>
    </w:p>
    <w:p>
      <w:pPr>
        <w:sectPr>
          <w:pgSz w:w="11900" w:h="16838" w:orient="portrait"/>
          <w:cols w:equalWidth="0" w:num="1">
            <w:col w:w="11240"/>
          </w:cols>
          <w:pgMar w:left="320" w:top="854" w:right="339" w:bottom="1440" w:gutter="0" w:footer="0" w:header="0"/>
        </w:sectPr>
      </w:pPr>
    </w:p>
    <w:bookmarkStart w:id="64" w:name="page65"/>
    <w:bookmarkEnd w:id="64"/>
    <w:p>
      <w:pPr>
        <w:jc w:val="right"/>
        <w:spacing w:after="0"/>
        <w:rPr>
          <w:sz w:val="20"/>
          <w:szCs w:val="20"/>
          <w:color w:val="auto"/>
        </w:rPr>
      </w:pPr>
      <w:r>
        <w:rPr>
          <w:rFonts w:ascii="Times New Roman" w:cs="Times New Roman" w:eastAsia="Times New Roman" w:hAnsi="Times New Roman"/>
          <w:sz w:val="17"/>
          <w:szCs w:val="17"/>
          <w:b w:val="1"/>
          <w:bCs w:val="1"/>
          <w:color w:val="auto"/>
        </w:rPr>
        <w:t>Exhibit 32.2</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18 U.S.C. SECTION 1350</w:t>
      </w:r>
    </w:p>
    <w:p>
      <w:pPr>
        <w:spacing w:after="0" w:line="200" w:lineRule="exact"/>
        <w:rPr>
          <w:sz w:val="20"/>
          <w:szCs w:val="20"/>
          <w:color w:val="auto"/>
        </w:rPr>
      </w:pPr>
    </w:p>
    <w:p>
      <w:pPr>
        <w:jc w:val="both"/>
        <w:ind w:right="80" w:firstLine="619"/>
        <w:spacing w:after="0" w:line="270" w:lineRule="auto"/>
        <w:rPr>
          <w:sz w:val="20"/>
          <w:szCs w:val="20"/>
          <w:color w:val="auto"/>
        </w:rPr>
      </w:pPr>
      <w:r>
        <w:rPr>
          <w:rFonts w:ascii="Times New Roman" w:cs="Times New Roman" w:eastAsia="Times New Roman" w:hAnsi="Times New Roman"/>
          <w:sz w:val="17"/>
          <w:szCs w:val="17"/>
          <w:color w:val="auto"/>
        </w:rPr>
        <w:t>In connection with the quarterly report of Gaming and Leisure Properties, Inc. (the “Company”) on Form 10-Q for the quarter ended March 31, 2026, as filed with the Securities and Exchange Commission on the date hereof (the “Report”), I, Desiree A. Burke, Chief Financial Officer and Principal Financial Officer of the Company, certify, pursuant to Section 906 of the Sarbanes-Oxley Act of 2002, 18 U.S.C. Section 1350, that, to my knowledge:</w:t>
      </w:r>
    </w:p>
    <w:p>
      <w:pPr>
        <w:spacing w:after="0" w:line="165" w:lineRule="exact"/>
        <w:rPr>
          <w:sz w:val="20"/>
          <w:szCs w:val="20"/>
          <w:color w:val="auto"/>
        </w:rPr>
      </w:pPr>
    </w:p>
    <w:p>
      <w:pPr>
        <w:ind w:left="1280" w:hanging="658"/>
        <w:spacing w:after="0"/>
        <w:tabs>
          <w:tab w:leader="none" w:pos="128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as amended; and</w:t>
      </w:r>
    </w:p>
    <w:p>
      <w:pPr>
        <w:spacing w:after="0" w:line="217" w:lineRule="exact"/>
        <w:rPr>
          <w:rFonts w:ascii="Times New Roman" w:cs="Times New Roman" w:eastAsia="Times New Roman" w:hAnsi="Times New Roman"/>
          <w:sz w:val="17"/>
          <w:szCs w:val="17"/>
          <w:color w:val="auto"/>
        </w:rPr>
      </w:pPr>
    </w:p>
    <w:p>
      <w:pPr>
        <w:ind w:left="1280" w:hanging="658"/>
        <w:spacing w:after="0"/>
        <w:tabs>
          <w:tab w:leader="none" w:pos="128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25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u w:val="single" w:color="auto"/>
          <w:color w:val="auto"/>
        </w:rPr>
        <w:t>/s/ Desiree A. Burke</w:t>
      </w:r>
    </w:p>
    <w:p>
      <w:pPr>
        <w:spacing w:after="0" w:line="2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Desiree A. Burke</w:t>
      </w:r>
    </w:p>
    <w:p>
      <w:pPr>
        <w:spacing w:after="0" w:line="2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i w:val="1"/>
          <w:iCs w:val="1"/>
          <w:color w:val="auto"/>
        </w:rPr>
        <w:t>Chief Financial Officer and Principal Financial Officer</w:t>
      </w:r>
    </w:p>
    <w:p>
      <w:pPr>
        <w:spacing w:after="0" w:line="24"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Date: April 23, 2026</w:t>
      </w:r>
    </w:p>
    <w:sectPr>
      <w:pgSz w:w="11900" w:h="16838" w:orient="portrait"/>
      <w:cols w:equalWidth="0" w:num="1">
        <w:col w:w="11240"/>
      </w:cols>
      <w:pgMar w:left="320" w:top="85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
      <w:numFmt w:val="bullet"/>
      <w:start w:val="1"/>
    </w:lvl>
  </w:abstractNum>
  <w:abstractNum w:abstractNumId="3">
    <w:nsid w:val="3F2DBA31"/>
    <w:multiLevelType w:val="hybridMultilevel"/>
    <w:lvl w:ilvl="0">
      <w:lvlJc w:val="left"/>
      <w:lvlText w:val="(%1)"/>
      <w:numFmt w:val="decimal"/>
      <w:start w:val="1"/>
    </w:lvl>
  </w:abstractNum>
  <w:abstractNum w:abstractNumId="4">
    <w:nsid w:val="7C83E458"/>
    <w:multiLevelType w:val="hybridMultilevel"/>
    <w:lvl w:ilvl="0">
      <w:lvlJc w:val="left"/>
      <w:lvlText w:val="%1."/>
      <w:numFmt w:val="decimal"/>
      <w:start w:val="6"/>
    </w:lvl>
  </w:abstractNum>
  <w:abstractNum w:abstractNumId="5">
    <w:nsid w:val="257130A3"/>
    <w:multiLevelType w:val="hybridMultilevel"/>
    <w:lvl w:ilvl="0">
      <w:lvlJc w:val="left"/>
      <w:lvlText w:val="(%1)"/>
      <w:numFmt w:val="decimal"/>
      <w:start w:val="1"/>
    </w:lvl>
  </w:abstractNum>
  <w:abstractNum w:abstractNumId="6">
    <w:nsid w:val="62BBD95A"/>
    <w:multiLevelType w:val="hybridMultilevel"/>
    <w:lvl w:ilvl="0">
      <w:lvlJc w:val="left"/>
      <w:lvlText w:val="•"/>
      <w:numFmt w:val="bullet"/>
      <w:start w:val="1"/>
    </w:lvl>
  </w:abstractNum>
  <w:abstractNum w:abstractNumId="7">
    <w:nsid w:val="436C6125"/>
    <w:multiLevelType w:val="hybridMultilevel"/>
    <w:lvl w:ilvl="0">
      <w:lvlJc w:val="left"/>
      <w:lvlText w:val="%1."/>
      <w:numFmt w:val="decimal"/>
      <w:start w:val="9"/>
    </w:lvl>
  </w:abstractNum>
  <w:abstractNum w:abstractNumId="8">
    <w:nsid w:val="628C895D"/>
    <w:multiLevelType w:val="hybridMultilevel"/>
    <w:lvl w:ilvl="0">
      <w:lvlJc w:val="left"/>
      <w:lvlText w:val="(%1)"/>
      <w:numFmt w:val="decimal"/>
      <w:start w:val="1"/>
    </w:lvl>
  </w:abstractNum>
  <w:abstractNum w:abstractNumId="9">
    <w:nsid w:val="333AB105"/>
    <w:multiLevelType w:val="hybridMultilevel"/>
    <w:lvl w:ilvl="0">
      <w:lvlJc w:val="left"/>
      <w:lvlText w:val="(%1)"/>
      <w:numFmt w:val="decimal"/>
      <w:start w:val="1"/>
    </w:lvl>
  </w:abstractNum>
  <w:abstractNum w:abstractNumId="10">
    <w:nsid w:val="721DA317"/>
    <w:multiLevelType w:val="hybridMultilevel"/>
    <w:lvl w:ilvl="0">
      <w:lvlJc w:val="left"/>
      <w:lvlText w:val="(%1)"/>
      <w:numFmt w:val="decimal"/>
      <w:start w:val="1"/>
    </w:lvl>
  </w:abstractNum>
  <w:abstractNum w:abstractNumId="11">
    <w:nsid w:val="2443A858"/>
    <w:multiLevelType w:val="hybridMultilevel"/>
    <w:lvl w:ilvl="0">
      <w:lvlJc w:val="left"/>
      <w:lvlText w:val="•"/>
      <w:numFmt w:val="bullet"/>
      <w:start w:val="1"/>
    </w:lvl>
  </w:abstractNum>
  <w:abstractNum w:abstractNumId="12">
    <w:nsid w:val="2D1D5AE9"/>
    <w:multiLevelType w:val="hybridMultilevel"/>
    <w:lvl w:ilvl="0">
      <w:lvlJc w:val="left"/>
      <w:lvlText w:val="•"/>
      <w:numFmt w:val="bullet"/>
      <w:start w:val="1"/>
    </w:lvl>
  </w:abstractNum>
  <w:abstractNum w:abstractNumId="13">
    <w:nsid w:val="6763845E"/>
    <w:multiLevelType w:val="hybridMultilevel"/>
    <w:lvl w:ilvl="0">
      <w:lvlJc w:val="left"/>
      <w:lvlText w:val="•"/>
      <w:numFmt w:val="bullet"/>
      <w:start w:val="1"/>
    </w:lvl>
  </w:abstractNum>
  <w:abstractNum w:abstractNumId="14">
    <w:nsid w:val="75A2A8D4"/>
    <w:multiLevelType w:val="hybridMultilevel"/>
    <w:lvl w:ilvl="0">
      <w:lvlJc w:val="left"/>
      <w:lvlText w:val="(%1)"/>
      <w:numFmt w:val="decimal"/>
      <w:start w:val="1"/>
    </w:lvl>
  </w:abstractNum>
  <w:abstractNum w:abstractNumId="15">
    <w:nsid w:val="8EDBDAB"/>
    <w:multiLevelType w:val="hybridMultilevel"/>
    <w:lvl w:ilvl="0">
      <w:lvlJc w:val="left"/>
      <w:lvlText w:val="(%1)"/>
      <w:numFmt w:val="decimal"/>
      <w:start w:val="1"/>
    </w:lvl>
  </w:abstractNum>
  <w:abstractNum w:abstractNumId="16">
    <w:nsid w:val="79838CB2"/>
    <w:multiLevelType w:val="hybridMultilevel"/>
    <w:lvl w:ilvl="0">
      <w:lvlJc w:val="left"/>
      <w:lvlText w:val="(%1)"/>
      <w:numFmt w:val="decimal"/>
      <w:start w:val="1"/>
    </w:lvl>
    <w:lvl w:ilvl="1">
      <w:lvlJc w:val="left"/>
      <w:lvlText w:val="%2"/>
      <w:numFmt w:val="upperLetter"/>
      <w:start w:val="1"/>
    </w:lvl>
  </w:abstractNum>
  <w:abstractNum w:abstractNumId="17">
    <w:nsid w:val="4353D0CD"/>
    <w:multiLevelType w:val="hybridMultilevel"/>
    <w:lvl w:ilvl="0">
      <w:lvlJc w:val="left"/>
      <w:lvlText w:val="(%1)"/>
      <w:numFmt w:val="decimal"/>
      <w:start w:val="1"/>
    </w:lvl>
  </w:abstractNum>
  <w:abstractNum w:abstractNumId="18">
    <w:nsid w:val="B03E0C6"/>
    <w:multiLevelType w:val="hybridMultilevel"/>
    <w:lvl w:ilvl="0">
      <w:lvlJc w:val="left"/>
      <w:lvlText w:val="(%1)"/>
      <w:numFmt w:val="decimal"/>
      <w:start w:val="1"/>
    </w:lvl>
  </w:abstractNum>
  <w:abstractNum w:abstractNumId="19">
    <w:nsid w:val="189A769B"/>
    <w:multiLevelType w:val="hybridMultilevel"/>
    <w:lvl w:ilvl="0">
      <w:lvlJc w:val="left"/>
      <w:lvlText w:val="(%1)"/>
      <w:numFmt w:val="decimal"/>
      <w:start w:val="1"/>
    </w:lvl>
  </w:abstractNum>
  <w:abstractNum w:abstractNumId="20">
    <w:nsid w:val="54E49EB4"/>
    <w:multiLevelType w:val="hybridMultilevel"/>
    <w:lvl w:ilvl="0">
      <w:lvlJc w:val="left"/>
      <w:lvlText w:val="(%1)"/>
      <w:numFmt w:val="decimal"/>
      <w:start w:val="1"/>
    </w:lvl>
  </w:abstractNum>
  <w:abstractNum w:abstractNumId="21">
    <w:nsid w:val="71F32454"/>
    <w:multiLevelType w:val="hybridMultilevel"/>
    <w:lvl w:ilvl="0">
      <w:lvlJc w:val="left"/>
      <w:lvlText w:val="(%1)"/>
      <w:numFmt w:val="decimal"/>
      <w:start w:val="1"/>
    </w:lvl>
  </w:abstractNum>
  <w:abstractNum w:abstractNumId="22">
    <w:nsid w:val="2CA88611"/>
    <w:multiLevelType w:val="hybridMultilevel"/>
    <w:lvl w:ilvl="0">
      <w:lvlJc w:val="left"/>
      <w:lvlText w:val="•"/>
      <w:numFmt w:val="bullet"/>
      <w:start w:val="1"/>
    </w:lvl>
  </w:abstractNum>
  <w:abstractNum w:abstractNumId="23">
    <w:nsid w:val="836C40E"/>
    <w:multiLevelType w:val="hybridMultilevel"/>
    <w:lvl w:ilvl="0">
      <w:lvlJc w:val="left"/>
      <w:lvlText w:val="•"/>
      <w:numFmt w:val="bullet"/>
      <w:start w:val="1"/>
    </w:lvl>
  </w:abstractNum>
  <w:abstractNum w:abstractNumId="24">
    <w:nsid w:val="2901D82"/>
    <w:multiLevelType w:val="hybridMultilevel"/>
    <w:lvl w:ilvl="0">
      <w:lvlJc w:val="left"/>
      <w:lvlText w:val="•"/>
      <w:numFmt w:val="bullet"/>
      <w:start w:val="1"/>
    </w:lvl>
  </w:abstractNum>
  <w:abstractNum w:abstractNumId="25">
    <w:nsid w:val="3A95F874"/>
    <w:multiLevelType w:val="hybridMultilevel"/>
    <w:lvl w:ilvl="0">
      <w:lvlJc w:val="left"/>
      <w:lvlText w:val="(%1)"/>
      <w:numFmt w:val="decimal"/>
      <w:start w:val="1"/>
    </w:lvl>
  </w:abstractNum>
  <w:abstractNum w:abstractNumId="26">
    <w:nsid w:val="8138641"/>
    <w:multiLevelType w:val="hybridMultilevel"/>
    <w:lvl w:ilvl="0">
      <w:lvlJc w:val="left"/>
      <w:lvlText w:val="(%1)"/>
      <w:numFmt w:val="decimal"/>
      <w:start w:val="1"/>
    </w:lvl>
  </w:abstractNum>
  <w:abstractNum w:abstractNumId="27">
    <w:nsid w:val="1E7FF521"/>
    <w:multiLevelType w:val="hybridMultilevel"/>
    <w:lvl w:ilvl="0">
      <w:lvlJc w:val="left"/>
      <w:lvlText w:val="%1"/>
      <w:numFmt w:val="decimal"/>
      <w:start w:val="101"/>
    </w:lvl>
  </w:abstractNum>
  <w:abstractNum w:abstractNumId="28">
    <w:nsid w:val="7C3DBD3D"/>
    <w:multiLevelType w:val="hybridMultilevel"/>
    <w:lvl w:ilvl="0">
      <w:lvlJc w:val="left"/>
      <w:lvlText w:val="*"/>
      <w:numFmt w:val="bullet"/>
      <w:start w:val="1"/>
    </w:lvl>
  </w:abstractNum>
  <w:abstractNum w:abstractNumId="29">
    <w:nsid w:val="737B8DDC"/>
    <w:multiLevelType w:val="hybridMultilevel"/>
    <w:lvl w:ilvl="0">
      <w:lvlJc w:val="left"/>
      <w:lvlText w:val="%1."/>
      <w:numFmt w:val="decimal"/>
      <w:start w:val="1"/>
    </w:lvl>
    <w:lvl w:ilvl="1">
      <w:lvlJc w:val="left"/>
      <w:lvlText w:val="(%2)"/>
      <w:numFmt w:val="lowerLetter"/>
      <w:start w:val="1"/>
    </w:lvl>
  </w:abstractNum>
  <w:abstractNum w:abstractNumId="30">
    <w:nsid w:val="6CEAF087"/>
    <w:multiLevelType w:val="hybridMultilevel"/>
    <w:lvl w:ilvl="0">
      <w:lvlJc w:val="left"/>
      <w:lvlText w:val="%1."/>
      <w:numFmt w:val="decimal"/>
      <w:start w:val="1"/>
    </w:lvl>
    <w:lvl w:ilvl="1">
      <w:lvlJc w:val="left"/>
      <w:lvlText w:val="(%2)"/>
      <w:numFmt w:val="lowerLetter"/>
      <w:start w:val="1"/>
    </w:lvl>
  </w:abstractNum>
  <w:abstractNum w:abstractNumId="31">
    <w:nsid w:val="22221A70"/>
    <w:multiLevelType w:val="hybridMultilevel"/>
    <w:lvl w:ilvl="0">
      <w:lvlJc w:val="left"/>
      <w:lvlText w:val="%1."/>
      <w:numFmt w:val="decimal"/>
      <w:start w:val="1"/>
    </w:lvl>
  </w:abstractNum>
  <w:abstractNum w:abstractNumId="32">
    <w:nsid w:val="4516DD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100" Type="http://schemas.openxmlformats.org/officeDocument/2006/relationships/image" Target="media/image89.png"/><Relationship Id="rId96" Type="http://schemas.openxmlformats.org/officeDocument/2006/relationships/hyperlink" Target="https://www.sec.gov/Archives/edgar/data/1575965/000157596518000016/glpiexhibit31amendedandres.htm" TargetMode="External"/><Relationship Id="rId97" Type="http://schemas.openxmlformats.org/officeDocument/2006/relationships/hyperlink" Target="https://www.sec.gov/Archives/edgar/data/1575965/000157596523000042/secondamendedandrestatedby.htm" TargetMode="External"/><Relationship Id="rId98" Type="http://schemas.openxmlformats.org/officeDocument/2006/relationships/hyperlink" Target="https://www.sec.gov/Archives/edgar/data/1575965/000119312526094178/d102901dex43.htm" TargetMode="External"/><Relationship Id="rId99" Type="http://schemas.openxmlformats.org/officeDocument/2006/relationships/hyperlink" Target="https://www.sec.gov/Archives/edgar/data/1575965/000119312526100314/d112005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2026-04-23T15:47:29Z</dcterms:created>
  <dcterms:modified xsi:type="dcterms:W3CDTF">2026-04-23T15:47:29Z</dcterms:modified>
</cp:coreProperties>
</file>