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6661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661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471805</wp:posOffset>
            </wp:positionV>
            <wp:extent cx="716661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6610" cy="11430"/>
                    </a:xfrm>
                    <a:prstGeom prst="rect">
                      <a:avLst/>
                    </a:prstGeom>
                    <a:noFill/>
                  </pic:spPr>
                </pic:pic>
              </a:graphicData>
            </a:graphic>
          </wp:anchor>
        </w:drawing>
        <w:t>UNITED STATES</w:t>
      </w:r>
    </w:p>
    <w:p>
      <w:pPr>
        <w:spacing w:after="0" w:line="3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37465</wp:posOffset>
            </wp:positionV>
            <wp:extent cx="20231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3110" cy="5715"/>
                    </a:xfrm>
                    <a:prstGeom prst="rect">
                      <a:avLst/>
                    </a:prstGeom>
                    <a:noFill/>
                  </pic:spPr>
                </pic:pic>
              </a:graphicData>
            </a:graphic>
          </wp:anchor>
        </w:drawing>
      </w:r>
    </w:p>
    <w:p>
      <w:pPr>
        <w:spacing w:after="0" w:line="9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24765</wp:posOffset>
            </wp:positionV>
            <wp:extent cx="20231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23110" cy="5715"/>
                    </a:xfrm>
                    <a:prstGeom prst="rect">
                      <a:avLst/>
                    </a:prstGeom>
                    <a:noFill/>
                  </pic:spPr>
                </pic:pic>
              </a:graphicData>
            </a:graphic>
          </wp:anchor>
        </w:drawing>
      </w:r>
    </w:p>
    <w:p>
      <w:pPr>
        <w:spacing w:after="0" w:line="11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CURRENT REPORT PURSUANT TO SECTION 13 OR 15(d) OF</w:t>
      </w:r>
    </w:p>
    <w:p>
      <w:pPr>
        <w:spacing w:after="0" w:line="2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6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Date of Report (Date of earliest event reported): 10/30/2026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45085</wp:posOffset>
            </wp:positionV>
            <wp:extent cx="20231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23110" cy="5715"/>
                    </a:xfrm>
                    <a:prstGeom prst="rect">
                      <a:avLst/>
                    </a:prstGeom>
                    <a:noFill/>
                  </pic:spPr>
                </pic:pic>
              </a:graphicData>
            </a:graphic>
          </wp:anchor>
        </w:drawing>
      </w:r>
    </w:p>
    <w:p>
      <w:pPr>
        <w:spacing w:after="0" w:line="15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Gaming and Leisure Properties, Inc.</w:t>
      </w:r>
    </w:p>
    <w:p>
      <w:pPr>
        <w:spacing w:after="0" w:line="3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14605</wp:posOffset>
            </wp:positionV>
            <wp:extent cx="20231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23110" cy="5715"/>
                    </a:xfrm>
                    <a:prstGeom prst="rect">
                      <a:avLst/>
                    </a:prstGeom>
                    <a:noFill/>
                  </pic:spPr>
                </pic:pic>
              </a:graphicData>
            </a:graphic>
          </wp:anchor>
        </w:drawing>
      </w:r>
    </w:p>
    <w:p>
      <w:pPr>
        <w:sectPr>
          <w:pgSz w:w="11900" w:h="16838" w:orient="portrait"/>
          <w:cols w:equalWidth="0" w:num="1">
            <w:col w:w="11288"/>
          </w:cols>
          <w:pgMar w:left="292" w:top="918" w:right="319" w:bottom="1440" w:gutter="0" w:footer="0" w:header="0"/>
        </w:sectPr>
      </w:pPr>
    </w:p>
    <w:p>
      <w:pPr>
        <w:spacing w:after="0" w:line="152" w:lineRule="exact"/>
        <w:rPr>
          <w:sz w:val="24"/>
          <w:szCs w:val="24"/>
          <w:color w:val="auto"/>
        </w:rPr>
      </w:pPr>
    </w:p>
    <w:p>
      <w:pPr>
        <w:jc w:val="center"/>
        <w:ind w:right="752"/>
        <w:spacing w:after="0"/>
        <w:rPr>
          <w:sz w:val="20"/>
          <w:szCs w:val="20"/>
          <w:color w:val="auto"/>
        </w:rPr>
      </w:pPr>
      <w:r>
        <w:rPr>
          <w:rFonts w:ascii="Times New Roman" w:cs="Times New Roman" w:eastAsia="Times New Roman" w:hAnsi="Times New Roman"/>
          <w:sz w:val="12"/>
          <w:szCs w:val="12"/>
          <w:b w:val="1"/>
          <w:bCs w:val="1"/>
          <w:color w:val="auto"/>
        </w:rPr>
        <w:t>Pennsylvania</w:t>
      </w:r>
    </w:p>
    <w:p>
      <w:pPr>
        <w:spacing w:after="0" w:line="28" w:lineRule="exact"/>
        <w:rPr>
          <w:sz w:val="24"/>
          <w:szCs w:val="24"/>
          <w:color w:val="auto"/>
        </w:rPr>
      </w:pPr>
    </w:p>
    <w:p>
      <w:pPr>
        <w:jc w:val="center"/>
        <w:ind w:right="752"/>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2"/>
          <w:szCs w:val="12"/>
          <w:b w:val="1"/>
          <w:bCs w:val="1"/>
          <w:color w:val="auto"/>
        </w:rPr>
        <w:t>001-36124</w:t>
      </w:r>
    </w:p>
    <w:p>
      <w:pPr>
        <w:spacing w:after="0" w:line="28"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2"/>
          <w:szCs w:val="12"/>
          <w:b w:val="1"/>
          <w:bCs w:val="1"/>
          <w:color w:val="auto"/>
        </w:rPr>
        <w:t>46-2116489</w:t>
      </w:r>
    </w:p>
    <w:p>
      <w:pPr>
        <w:spacing w:after="0" w:line="28"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2"/>
          <w:szCs w:val="12"/>
          <w:color w:val="auto"/>
        </w:rPr>
        <w:t>(IRS Employer Identification No.)</w:t>
      </w:r>
    </w:p>
    <w:p>
      <w:pPr>
        <w:spacing w:after="0" w:line="1" w:lineRule="exact"/>
        <w:rPr>
          <w:sz w:val="24"/>
          <w:szCs w:val="24"/>
          <w:color w:val="auto"/>
        </w:rPr>
      </w:pPr>
    </w:p>
    <w:p>
      <w:pPr>
        <w:sectPr>
          <w:pgSz w:w="11900" w:h="16838" w:orient="portrait"/>
          <w:cols w:equalWidth="0" w:num="3">
            <w:col w:w="4248" w:space="720"/>
            <w:col w:w="3020" w:space="720"/>
            <w:col w:w="2580"/>
          </w:cols>
          <w:pgMar w:left="292" w:top="918" w:right="319" w:bottom="1440" w:gutter="0" w:footer="0" w:header="0"/>
          <w:type w:val="continuous"/>
        </w:sectPr>
      </w:pPr>
    </w:p>
    <w:p>
      <w:pPr>
        <w:ind w:left="1008"/>
        <w:spacing w:after="0" w:line="232" w:lineRule="auto"/>
        <w:rPr>
          <w:sz w:val="20"/>
          <w:szCs w:val="20"/>
          <w:color w:val="auto"/>
        </w:rPr>
      </w:pPr>
      <w:r>
        <w:rPr>
          <w:rFonts w:ascii="Times New Roman" w:cs="Times New Roman" w:eastAsia="Times New Roman" w:hAnsi="Times New Roman"/>
          <w:sz w:val="12"/>
          <w:szCs w:val="12"/>
          <w:color w:val="auto"/>
        </w:rPr>
        <w:t>Incorporation or Organization)</w:t>
      </w:r>
    </w:p>
    <w:p>
      <w:pPr>
        <w:spacing w:after="0" w:line="67"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845 Berkshire Blvd., Suite 200</w:t>
      </w:r>
    </w:p>
    <w:p>
      <w:pPr>
        <w:spacing w:after="0" w:line="21"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Wyomissing, PA 19610</w:t>
      </w:r>
    </w:p>
    <w:p>
      <w:pPr>
        <w:spacing w:after="0" w:line="6"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ectPr>
          <w:pgSz w:w="11900" w:h="16838" w:orient="portrait"/>
          <w:cols w:equalWidth="0" w:num="1">
            <w:col w:w="11288"/>
          </w:cols>
          <w:pgMar w:left="292" w:top="918" w:right="319" w:bottom="1440" w:gutter="0" w:footer="0" w:header="0"/>
          <w:type w:val="continuous"/>
        </w:sectPr>
      </w:pPr>
    </w:p>
    <w:p>
      <w:pPr>
        <w:spacing w:after="0" w:line="165"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610-401-2900</w:t>
      </w:r>
    </w:p>
    <w:p>
      <w:pPr>
        <w:spacing w:after="0" w:line="21"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157"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128" w:hanging="128"/>
        <w:spacing w:after="0"/>
        <w:tabs>
          <w:tab w:leader="none" w:pos="1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168" w:hanging="168"/>
        <w:spacing w:after="0"/>
        <w:tabs>
          <w:tab w:leader="none" w:pos="16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68" w:lineRule="exact"/>
        <w:rPr>
          <w:sz w:val="24"/>
          <w:szCs w:val="24"/>
          <w:color w:val="auto"/>
        </w:rPr>
      </w:pPr>
    </w:p>
    <w:tbl>
      <w:tblPr>
        <w:tblLayout w:type="fixed"/>
        <w:tblInd w:w="8" w:type="dxa"/>
        <w:tblCellMar>
          <w:top w:w="0" w:type="dxa"/>
          <w:left w:w="0" w:type="dxa"/>
          <w:bottom w:w="0" w:type="dxa"/>
          <w:right w:w="0" w:type="dxa"/>
        </w:tblCellMar>
      </w:tblPr>
      <w:tr>
        <w:trPr>
          <w:trHeight w:val="164"/>
        </w:trPr>
        <w:tc>
          <w:tcPr>
            <w:tcW w:w="42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2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80" w:type="dxa"/>
            <w:vAlign w:val="bottom"/>
          </w:tcPr>
          <w:p>
            <w:pPr>
              <w:spacing w:after="0"/>
              <w:rPr>
                <w:sz w:val="14"/>
                <w:szCs w:val="14"/>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3760" w:type="dxa"/>
            <w:vAlign w:val="bottom"/>
            <w:tcBorders>
              <w:top w:val="single" w:sz="8" w:color="auto"/>
              <w:bottom w:val="single" w:sz="8" w:color="auto"/>
              <w:right w:val="single" w:sz="8" w:color="auto"/>
            </w:tcBorders>
          </w:tcPr>
          <w:p>
            <w:pPr>
              <w:ind w:left="142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420" w:type="dxa"/>
            <w:vAlign w:val="bottom"/>
            <w:tcBorders>
              <w:right w:val="single" w:sz="8" w:color="auto"/>
            </w:tcBorders>
          </w:tcPr>
          <w:p>
            <w:pPr>
              <w:spacing w:after="0"/>
              <w:rPr>
                <w:sz w:val="13"/>
                <w:szCs w:val="13"/>
                <w:color w:val="auto"/>
              </w:rPr>
            </w:pP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Trading Symbol(s)</w:t>
            </w:r>
          </w:p>
        </w:tc>
        <w:tc>
          <w:tcPr>
            <w:tcW w:w="420" w:type="dxa"/>
            <w:vAlign w:val="bottom"/>
            <w:tcBorders>
              <w:right w:val="single" w:sz="8" w:color="auto"/>
            </w:tcBorders>
          </w:tcPr>
          <w:p>
            <w:pPr>
              <w:spacing w:after="0"/>
              <w:rPr>
                <w:sz w:val="13"/>
                <w:szCs w:val="13"/>
                <w:color w:val="auto"/>
              </w:rPr>
            </w:pP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51"/>
        </w:trPr>
        <w:tc>
          <w:tcPr>
            <w:tcW w:w="40" w:type="dxa"/>
            <w:vAlign w:val="bottom"/>
            <w:tcBorders>
              <w:right w:val="single" w:sz="8" w:color="auto"/>
            </w:tcBorders>
          </w:tcPr>
          <w:p>
            <w:pPr>
              <w:spacing w:after="0"/>
              <w:rPr>
                <w:sz w:val="13"/>
                <w:szCs w:val="13"/>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Common Stock, par value $.01 per share</w:t>
            </w:r>
          </w:p>
        </w:tc>
        <w:tc>
          <w:tcPr>
            <w:tcW w:w="420" w:type="dxa"/>
            <w:vAlign w:val="bottom"/>
            <w:tcBorders>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GLPI</w:t>
            </w:r>
          </w:p>
        </w:tc>
        <w:tc>
          <w:tcPr>
            <w:tcW w:w="420" w:type="dxa"/>
            <w:vAlign w:val="bottom"/>
            <w:tcBorders>
              <w:right w:val="single" w:sz="8" w:color="auto"/>
            </w:tcBorders>
          </w:tcPr>
          <w:p>
            <w:pPr>
              <w:spacing w:after="0"/>
              <w:rPr>
                <w:sz w:val="13"/>
                <w:szCs w:val="13"/>
                <w:color w:val="auto"/>
              </w:rPr>
            </w:pP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Nasdaq</w:t>
            </w:r>
          </w:p>
        </w:tc>
      </w:tr>
    </w:tbl>
    <w:p>
      <w:pPr>
        <w:spacing w:after="0" w:line="61" w:lineRule="exact"/>
        <w:rPr>
          <w:sz w:val="24"/>
          <w:szCs w:val="24"/>
          <w:color w:val="auto"/>
        </w:rPr>
      </w:pPr>
    </w:p>
    <w:p>
      <w:pPr>
        <w:ind w:left="8" w:right="16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1" w:lineRule="exact"/>
        <w:rPr>
          <w:sz w:val="24"/>
          <w:szCs w:val="24"/>
          <w:color w:val="auto"/>
        </w:rPr>
      </w:pPr>
    </w:p>
    <w:p>
      <w:pPr>
        <w:jc w:val="center"/>
        <w:ind w:right="-27"/>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93" w:lineRule="exact"/>
        <w:rPr>
          <w:sz w:val="24"/>
          <w:szCs w:val="24"/>
          <w:color w:val="auto"/>
        </w:rPr>
      </w:pPr>
    </w:p>
    <w:p>
      <w:pPr>
        <w:ind w:left="8"/>
        <w:spacing w:after="0" w:line="156"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446405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918" w:right="319" w:bottom="1440" w:gutter="0" w:footer="0" w:header="0"/>
          <w:type w:val="continuous"/>
        </w:sectPr>
      </w:pPr>
    </w:p>
    <w:bookmarkStart w:id="1" w:name="page2"/>
    <w:bookmarkEnd w:id="1"/>
    <w:p>
      <w:pPr>
        <w:ind w:left="8"/>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191135</wp:posOffset>
            </wp:positionH>
            <wp:positionV relativeFrom="page">
              <wp:posOffset>448945</wp:posOffset>
            </wp:positionV>
            <wp:extent cx="716661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6610" cy="5715"/>
                    </a:xfrm>
                    <a:prstGeom prst="rect">
                      <a:avLst/>
                    </a:prstGeom>
                    <a:noFill/>
                  </pic:spPr>
                </pic:pic>
              </a:graphicData>
            </a:graphic>
          </wp:anchor>
        </w:drawing>
        <w:t>Item 2.02. Results of Operations and Financial Condition.</w:t>
      </w:r>
    </w:p>
    <w:p>
      <w:pPr>
        <w:spacing w:after="0" w:line="154"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On October 29, 2026, Gaming and Leisure Properties, Inc. issued a press release announcing its financial results for the three and nine months ended September 30, 2026. A copy of the press release is attached hereto as Exhibit 99.1 and incorporated herein by reference.</w:t>
      </w:r>
    </w:p>
    <w:p>
      <w:pPr>
        <w:spacing w:after="0" w:line="129" w:lineRule="exact"/>
        <w:rPr>
          <w:sz w:val="20"/>
          <w:szCs w:val="20"/>
          <w:color w:val="auto"/>
        </w:rPr>
      </w:pPr>
    </w:p>
    <w:p>
      <w:pPr>
        <w:ind w:left="8" w:right="160"/>
        <w:spacing w:after="0" w:line="265" w:lineRule="auto"/>
        <w:rPr>
          <w:sz w:val="20"/>
          <w:szCs w:val="20"/>
          <w:color w:val="auto"/>
        </w:rPr>
      </w:pPr>
      <w:r>
        <w:rPr>
          <w:rFonts w:ascii="Times New Roman" w:cs="Times New Roman" w:eastAsia="Times New Roman" w:hAnsi="Times New Roman"/>
          <w:sz w:val="12"/>
          <w:szCs w:val="12"/>
          <w:color w:val="auto"/>
        </w:rPr>
        <w:t>The information in this Current Report on Form 8-K, including Exhibit 99.1, is being furnished pursuant to Item 2.02 and shall not be deemed to be “filed” for the purposes of Section 18 of the Securities Exchange Act of 1934, as amended (the “Exchange Act”), or otherwise subject to the liabilities of that section and shall not be incorporated by reference into any filing under the Securities Act of 1933, as amended, or the Exchange Act, except as shall be expressly set forth by specific reference in such filing.</w:t>
      </w:r>
    </w:p>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0" w:lineRule="exact"/>
        <w:rPr>
          <w:sz w:val="20"/>
          <w:szCs w:val="20"/>
          <w:color w:val="auto"/>
        </w:rPr>
      </w:pPr>
    </w:p>
    <w:p>
      <w:pPr>
        <w:ind w:left="168" w:hanging="168"/>
        <w:spacing w:after="0"/>
        <w:tabs>
          <w:tab w:leader="none" w:pos="16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Exhibits</w:t>
      </w:r>
    </w:p>
    <w:p>
      <w:pPr>
        <w:spacing w:after="0" w:line="16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9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1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w w:val="92"/>
              </w:rPr>
              <w:t>Description</w:t>
            </w:r>
          </w:p>
        </w:tc>
        <w:tc>
          <w:tcPr>
            <w:tcW w:w="0" w:type="dxa"/>
            <w:vAlign w:val="bottom"/>
          </w:tcPr>
          <w:p>
            <w:pPr>
              <w:spacing w:after="0"/>
              <w:rPr>
                <w:sz w:val="1"/>
                <w:szCs w:val="1"/>
                <w:color w:val="auto"/>
              </w:rPr>
            </w:pPr>
          </w:p>
        </w:tc>
      </w:tr>
      <w:tr>
        <w:trPr>
          <w:trHeight w:val="130"/>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1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100" w:type="dxa"/>
            <w:vAlign w:val="bottom"/>
          </w:tcPr>
          <w:p>
            <w:pPr>
              <w:spacing w:after="0"/>
              <w:rPr>
                <w:sz w:val="15"/>
                <w:szCs w:val="15"/>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Gaming and Leisure Properties, Inc. Earnings Press Release, dated October 29, 2026</w:t>
            </w:r>
          </w:p>
        </w:tc>
        <w:tc>
          <w:tcPr>
            <w:tcW w:w="0" w:type="dxa"/>
            <w:vAlign w:val="bottom"/>
          </w:tcPr>
          <w:p>
            <w:pPr>
              <w:spacing w:after="0"/>
              <w:rPr>
                <w:sz w:val="1"/>
                <w:szCs w:val="1"/>
                <w:color w:val="auto"/>
              </w:rPr>
            </w:pPr>
          </w:p>
        </w:tc>
      </w:tr>
      <w:tr>
        <w:trPr>
          <w:trHeight w:val="214"/>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100" w:type="dxa"/>
            <w:vAlign w:val="bottom"/>
          </w:tcPr>
          <w:p>
            <w:pPr>
              <w:spacing w:after="0"/>
              <w:rPr>
                <w:sz w:val="18"/>
                <w:szCs w:val="18"/>
                <w:color w:val="auto"/>
              </w:rPr>
            </w:pPr>
          </w:p>
        </w:tc>
        <w:tc>
          <w:tcPr>
            <w:tcW w:w="38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9"/>
              </w:rPr>
              <w:t>Supplemental Financial Information, Third Quarter Ended September 30, 2026</w:t>
            </w:r>
          </w:p>
        </w:tc>
        <w:tc>
          <w:tcPr>
            <w:tcW w:w="260" w:type="dxa"/>
            <w:vAlign w:val="bottom"/>
            <w:tcBorders>
              <w:top w:val="single" w:sz="8" w:color="0000FF"/>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1028" w:hanging="1016"/>
        <w:spacing w:after="0"/>
        <w:tabs>
          <w:tab w:leader="none" w:pos="102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cover page from the Company's Current Report on Form 8-K, dated October 30, 2026, formatted in Inline XBRL.</w:t>
      </w:r>
    </w:p>
    <w:p>
      <w:pPr>
        <w:spacing w:after="0" w:line="222" w:lineRule="exact"/>
        <w:rPr>
          <w:rFonts w:ascii="Times New Roman" w:cs="Times New Roman" w:eastAsia="Times New Roman" w:hAnsi="Times New Roman"/>
          <w:sz w:val="12"/>
          <w:szCs w:val="12"/>
          <w:color w:val="auto"/>
        </w:rPr>
      </w:pPr>
    </w:p>
    <w:p>
      <w:pPr>
        <w:ind w:left="55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 *</w:t>
      </w:r>
    </w:p>
    <w:p>
      <w:pPr>
        <w:spacing w:after="0" w:line="375" w:lineRule="exact"/>
        <w:rPr>
          <w:rFonts w:ascii="Times New Roman" w:cs="Times New Roman" w:eastAsia="Times New Roman" w:hAnsi="Times New Roman"/>
          <w:sz w:val="12"/>
          <w:szCs w:val="12"/>
          <w:color w:val="auto"/>
        </w:rPr>
      </w:pPr>
    </w:p>
    <w:p>
      <w:pPr>
        <w:ind w:left="56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48"/>
          </w:cols>
          <w:pgMar w:left="292" w:top="764" w:right="45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Dated: October 30, 2026</w:t>
            </w:r>
          </w:p>
        </w:tc>
        <w:tc>
          <w:tcPr>
            <w:tcW w:w="5120" w:type="dxa"/>
            <w:vAlign w:val="bottom"/>
            <w:gridSpan w:val="3"/>
          </w:tcPr>
          <w:p>
            <w:pPr>
              <w:ind w:left="2180"/>
              <w:spacing w:after="0"/>
              <w:rPr>
                <w:sz w:val="20"/>
                <w:szCs w:val="20"/>
                <w:color w:val="auto"/>
              </w:rPr>
            </w:pPr>
            <w:r>
              <w:rPr>
                <w:rFonts w:ascii="Times New Roman" w:cs="Times New Roman" w:eastAsia="Times New Roman" w:hAnsi="Times New Roman"/>
                <w:sz w:val="12"/>
                <w:szCs w:val="12"/>
                <w:color w:val="auto"/>
              </w:rPr>
              <w:t>GAMING AND LEISURE PROPERTIES, INC.</w:t>
            </w:r>
          </w:p>
        </w:tc>
      </w:tr>
      <w:tr>
        <w:trPr>
          <w:trHeight w:val="225"/>
        </w:trPr>
        <w:tc>
          <w:tcPr>
            <w:tcW w:w="3360" w:type="dxa"/>
            <w:vAlign w:val="bottom"/>
          </w:tcPr>
          <w:p>
            <w:pPr>
              <w:spacing w:after="0"/>
              <w:rPr>
                <w:sz w:val="19"/>
                <w:szCs w:val="19"/>
                <w:color w:val="auto"/>
              </w:rPr>
            </w:pPr>
          </w:p>
        </w:tc>
        <w:tc>
          <w:tcPr>
            <w:tcW w:w="3320" w:type="dxa"/>
            <w:vAlign w:val="bottom"/>
          </w:tcPr>
          <w:p>
            <w:pPr>
              <w:ind w:left="2260"/>
              <w:spacing w:after="0"/>
              <w:rPr>
                <w:sz w:val="20"/>
                <w:szCs w:val="20"/>
                <w:color w:val="auto"/>
              </w:rPr>
            </w:pPr>
            <w:r>
              <w:rPr>
                <w:rFonts w:ascii="Times New Roman" w:cs="Times New Roman" w:eastAsia="Times New Roman" w:hAnsi="Times New Roman"/>
                <w:sz w:val="12"/>
                <w:szCs w:val="12"/>
                <w:color w:val="auto"/>
              </w:rPr>
              <w:t>By:</w:t>
            </w: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7"/>
              </w:rPr>
              <w:t>/s/ Desiree A. Burke</w:t>
            </w:r>
          </w:p>
        </w:tc>
        <w:tc>
          <w:tcPr>
            <w:tcW w:w="820" w:type="dxa"/>
            <w:vAlign w:val="bottom"/>
          </w:tcPr>
          <w:p>
            <w:pPr>
              <w:spacing w:after="0"/>
              <w:rPr>
                <w:sz w:val="19"/>
                <w:szCs w:val="19"/>
                <w:color w:val="auto"/>
              </w:rPr>
            </w:pPr>
          </w:p>
        </w:tc>
      </w:tr>
      <w:tr>
        <w:trPr>
          <w:trHeight w:val="169"/>
        </w:trPr>
        <w:tc>
          <w:tcPr>
            <w:tcW w:w="3360" w:type="dxa"/>
            <w:vAlign w:val="bottom"/>
          </w:tcPr>
          <w:p>
            <w:pPr>
              <w:spacing w:after="0"/>
              <w:rPr>
                <w:sz w:val="14"/>
                <w:szCs w:val="14"/>
                <w:color w:val="auto"/>
              </w:rPr>
            </w:pPr>
          </w:p>
        </w:tc>
        <w:tc>
          <w:tcPr>
            <w:tcW w:w="3320" w:type="dxa"/>
            <w:vAlign w:val="bottom"/>
          </w:tcPr>
          <w:p>
            <w:pPr>
              <w:ind w:left="2260"/>
              <w:spacing w:after="0"/>
              <w:rPr>
                <w:sz w:val="20"/>
                <w:szCs w:val="20"/>
                <w:color w:val="auto"/>
              </w:rPr>
            </w:pPr>
            <w:r>
              <w:rPr>
                <w:rFonts w:ascii="Times New Roman" w:cs="Times New Roman" w:eastAsia="Times New Roman" w:hAnsi="Times New Roman"/>
                <w:sz w:val="12"/>
                <w:szCs w:val="12"/>
                <w:color w:val="auto"/>
              </w:rPr>
              <w:t>Name:</w:t>
            </w:r>
          </w:p>
        </w:tc>
        <w:tc>
          <w:tcPr>
            <w:tcW w:w="1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Desiree A. Burke</w:t>
            </w:r>
          </w:p>
        </w:tc>
      </w:tr>
      <w:tr>
        <w:trPr>
          <w:trHeight w:val="162"/>
        </w:trPr>
        <w:tc>
          <w:tcPr>
            <w:tcW w:w="3360" w:type="dxa"/>
            <w:vAlign w:val="bottom"/>
          </w:tcPr>
          <w:p>
            <w:pPr>
              <w:spacing w:after="0"/>
              <w:rPr>
                <w:sz w:val="14"/>
                <w:szCs w:val="14"/>
                <w:color w:val="auto"/>
              </w:rPr>
            </w:pPr>
          </w:p>
        </w:tc>
        <w:tc>
          <w:tcPr>
            <w:tcW w:w="3320" w:type="dxa"/>
            <w:vAlign w:val="bottom"/>
          </w:tcPr>
          <w:p>
            <w:pPr>
              <w:ind w:left="2260"/>
              <w:spacing w:after="0"/>
              <w:rPr>
                <w:sz w:val="20"/>
                <w:szCs w:val="20"/>
                <w:color w:val="auto"/>
              </w:rPr>
            </w:pPr>
            <w:r>
              <w:rPr>
                <w:rFonts w:ascii="Times New Roman" w:cs="Times New Roman" w:eastAsia="Times New Roman" w:hAnsi="Times New Roman"/>
                <w:sz w:val="12"/>
                <w:szCs w:val="12"/>
                <w:color w:val="auto"/>
              </w:rPr>
              <w:t>Title:</w:t>
            </w:r>
          </w:p>
        </w:tc>
        <w:tc>
          <w:tcPr>
            <w:tcW w:w="180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8"/>
              </w:rPr>
              <w:t>Chief Financial Officer and Treasurer</w:t>
            </w:r>
          </w:p>
        </w:tc>
      </w:tr>
      <w:tr>
        <w:trPr>
          <w:trHeight w:val="747"/>
        </w:trPr>
        <w:tc>
          <w:tcPr>
            <w:tcW w:w="3360" w:type="dxa"/>
            <w:vAlign w:val="bottom"/>
          </w:tcPr>
          <w:p>
            <w:pPr>
              <w:spacing w:after="0"/>
              <w:rPr>
                <w:sz w:val="24"/>
                <w:szCs w:val="24"/>
                <w:color w:val="auto"/>
              </w:rPr>
            </w:pPr>
          </w:p>
        </w:tc>
        <w:tc>
          <w:tcPr>
            <w:tcW w:w="3320" w:type="dxa"/>
            <w:vAlign w:val="bottom"/>
          </w:tcPr>
          <w:p>
            <w:pPr>
              <w:ind w:left="2260"/>
              <w:spacing w:after="0"/>
              <w:rPr>
                <w:sz w:val="20"/>
                <w:szCs w:val="20"/>
                <w:color w:val="auto"/>
              </w:rPr>
            </w:pPr>
            <w:r>
              <w:rPr>
                <w:rFonts w:ascii="Times New Roman" w:cs="Times New Roman" w:eastAsia="Times New Roman" w:hAnsi="Times New Roman"/>
                <w:sz w:val="12"/>
                <w:szCs w:val="12"/>
                <w:color w:val="auto"/>
              </w:rPr>
              <w:t>3</w:t>
            </w: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159"/>
          </w:cols>
          <w:pgMar w:left="300" w:top="638" w:right="1440" w:bottom="1440" w:gutter="0" w:footer="0" w:header="0"/>
        </w:sectPr>
      </w:pPr>
    </w:p>
    <w:bookmarkStart w:id="3" w:name="page4"/>
    <w:bookmarkEnd w:id="3"/>
    <w:p>
      <w:pPr>
        <w:jc w:val="center"/>
        <w:ind w:right="-7"/>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414655</wp:posOffset>
            </wp:positionV>
            <wp:extent cx="1537335" cy="302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537335" cy="302895"/>
                    </a:xfrm>
                    <a:prstGeom prst="rect">
                      <a:avLst/>
                    </a:prstGeom>
                    <a:noFill/>
                  </pic:spPr>
                </pic:pic>
              </a:graphicData>
            </a:graphic>
          </wp:anchor>
        </w:drawing>
        <w:t>GAMING AND LEISURE PROPERTIES REPORTS RECORD THIRD QUARTER RESULTS</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WYOMISSING, PA — October 29, 2026 </w:t>
      </w:r>
      <w:r>
        <w:rPr>
          <w:rFonts w:ascii="Times New Roman" w:cs="Times New Roman" w:eastAsia="Times New Roman" w:hAnsi="Times New Roman"/>
          <w:sz w:val="12"/>
          <w:szCs w:val="12"/>
          <w:color w:val="auto"/>
        </w:rPr>
        <w:t>— Gaming and Leisure Properties, Inc. (NASDAQ: GLPI) (“GLPI” or the “Company”) today announced financial results for the third quarter ended September 30, 2026.</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Financial Highlights</w:t>
      </w:r>
    </w:p>
    <w:p>
      <w:pPr>
        <w:spacing w:after="0" w:line="172" w:lineRule="exact"/>
        <w:rPr>
          <w:sz w:val="20"/>
          <w:szCs w:val="20"/>
          <w:color w:val="auto"/>
        </w:rPr>
      </w:pPr>
    </w:p>
    <w:p>
      <w:pPr>
        <w:ind w:left="6308"/>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p>
      <w:pPr>
        <w:spacing w:after="0" w:line="21"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5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(in millions, except per share data)</w:t>
            </w:r>
          </w:p>
        </w:tc>
        <w:tc>
          <w:tcPr>
            <w:tcW w:w="1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0"/>
                <w:szCs w:val="10"/>
                <w:b w:val="1"/>
                <w:bCs w:val="1"/>
                <w:color w:val="auto"/>
              </w:rPr>
              <w:t>2025</w:t>
            </w:r>
          </w:p>
        </w:tc>
      </w:tr>
      <w:tr>
        <w:trPr>
          <w:trHeight w:val="159"/>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Revenue</w:t>
            </w: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435.4</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397.6</w:t>
            </w:r>
          </w:p>
        </w:tc>
      </w:tr>
      <w:tr>
        <w:trPr>
          <w:trHeight w:val="162"/>
        </w:trPr>
        <w:tc>
          <w:tcPr>
            <w:tcW w:w="54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Income from Operations</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309.9</w:t>
            </w:r>
          </w:p>
        </w:tc>
        <w:tc>
          <w:tcPr>
            <w:tcW w:w="10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337.2</w:t>
            </w:r>
          </w:p>
        </w:tc>
      </w:tr>
      <w:tr>
        <w:trPr>
          <w:trHeight w:val="162"/>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213.8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248.5</w:t>
            </w:r>
          </w:p>
        </w:tc>
      </w:tr>
      <w:tr>
        <w:trPr>
          <w:trHeight w:val="162"/>
        </w:trPr>
        <w:tc>
          <w:tcPr>
            <w:tcW w:w="5440" w:type="dxa"/>
            <w:vAlign w:val="bottom"/>
            <w:gridSpan w:val="2"/>
          </w:tcPr>
          <w:p>
            <w:pPr>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FFO</w:t>
            </w:r>
            <w:r>
              <w:rPr>
                <w:rFonts w:ascii="Times New Roman" w:cs="Times New Roman" w:eastAsia="Times New Roman" w:hAnsi="Times New Roman"/>
                <w:sz w:val="7"/>
                <w:szCs w:val="7"/>
                <w:b w:val="1"/>
                <w:bCs w:val="1"/>
                <w:color w:val="auto"/>
              </w:rPr>
              <w:t xml:space="preserve"> (1) (4)</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275.9</w:t>
            </w:r>
          </w:p>
        </w:tc>
        <w:tc>
          <w:tcPr>
            <w:tcW w:w="10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315.5</w:t>
            </w:r>
          </w:p>
        </w:tc>
      </w:tr>
      <w:tr>
        <w:trPr>
          <w:trHeight w:val="162"/>
        </w:trPr>
        <w:tc>
          <w:tcPr>
            <w:tcW w:w="54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AFFO</w:t>
            </w:r>
            <w:r>
              <w:rPr>
                <w:rFonts w:ascii="Times New Roman" w:cs="Times New Roman" w:eastAsia="Times New Roman" w:hAnsi="Times New Roman"/>
                <w:sz w:val="7"/>
                <w:szCs w:val="7"/>
                <w:b w:val="1"/>
                <w:bCs w:val="1"/>
                <w:color w:val="auto"/>
              </w:rPr>
              <w:t xml:space="preserve"> (2) (4)</w:t>
            </w: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311.7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282.0</w:t>
            </w:r>
          </w:p>
        </w:tc>
      </w:tr>
      <w:tr>
        <w:trPr>
          <w:trHeight w:val="162"/>
        </w:trPr>
        <w:tc>
          <w:tcPr>
            <w:tcW w:w="5440" w:type="dxa"/>
            <w:vAlign w:val="bottom"/>
            <w:gridSpan w:val="2"/>
          </w:tcPr>
          <w:p>
            <w:pPr>
              <w:spacing w:after="0" w:line="162" w:lineRule="exact"/>
              <w:rPr>
                <w:sz w:val="20"/>
                <w:szCs w:val="20"/>
                <w:color w:val="auto"/>
              </w:rPr>
            </w:pPr>
            <w:r>
              <w:rPr>
                <w:rFonts w:ascii="Times New Roman" w:cs="Times New Roman" w:eastAsia="Times New Roman" w:hAnsi="Times New Roman"/>
                <w:sz w:val="12"/>
                <w:szCs w:val="12"/>
                <w:b w:val="1"/>
                <w:bCs w:val="1"/>
                <w:color w:val="auto"/>
              </w:rPr>
              <w:t xml:space="preserve">Adjusted EBITDA </w:t>
            </w:r>
            <w:r>
              <w:rPr>
                <w:rFonts w:ascii="Times New Roman" w:cs="Times New Roman" w:eastAsia="Times New Roman" w:hAnsi="Times New Roman"/>
                <w:sz w:val="15"/>
                <w:szCs w:val="15"/>
                <w:b w:val="1"/>
                <w:bCs w:val="1"/>
                <w:color w:val="auto"/>
                <w:vertAlign w:val="superscript"/>
              </w:rPr>
              <w:t>(3) (4)</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413.9</w:t>
            </w:r>
          </w:p>
        </w:tc>
        <w:tc>
          <w:tcPr>
            <w:tcW w:w="10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366.4</w:t>
            </w:r>
          </w:p>
        </w:tc>
      </w:tr>
      <w:tr>
        <w:trPr>
          <w:trHeight w:val="162"/>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 per diluted common share</w:t>
            </w: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0.71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0.85</w:t>
            </w:r>
          </w:p>
        </w:tc>
      </w:tr>
      <w:tr>
        <w:trPr>
          <w:trHeight w:val="162"/>
        </w:trPr>
        <w:tc>
          <w:tcPr>
            <w:tcW w:w="5440" w:type="dxa"/>
            <w:vAlign w:val="bottom"/>
            <w:gridSpan w:val="2"/>
          </w:tcPr>
          <w:p>
            <w:pPr>
              <w:spacing w:after="0" w:line="162" w:lineRule="exact"/>
              <w:rPr>
                <w:sz w:val="20"/>
                <w:szCs w:val="20"/>
                <w:color w:val="auto"/>
              </w:rPr>
            </w:pPr>
            <w:r>
              <w:rPr>
                <w:rFonts w:ascii="Times New Roman" w:cs="Times New Roman" w:eastAsia="Times New Roman" w:hAnsi="Times New Roman"/>
                <w:sz w:val="12"/>
                <w:szCs w:val="12"/>
                <w:b w:val="1"/>
                <w:bCs w:val="1"/>
                <w:color w:val="auto"/>
              </w:rPr>
              <w:t xml:space="preserve">FFO, per diluted common share and OP/LTIP units </w:t>
            </w:r>
            <w:r>
              <w:rPr>
                <w:rFonts w:ascii="Times New Roman" w:cs="Times New Roman" w:eastAsia="Times New Roman" w:hAnsi="Times New Roman"/>
                <w:sz w:val="15"/>
                <w:szCs w:val="15"/>
                <w:b w:val="1"/>
                <w:bCs w:val="1"/>
                <w:color w:val="auto"/>
                <w:vertAlign w:val="superscript"/>
              </w:rPr>
              <w:t>(4)</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0.92</w:t>
            </w:r>
          </w:p>
        </w:tc>
        <w:tc>
          <w:tcPr>
            <w:tcW w:w="10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1.08</w:t>
            </w:r>
          </w:p>
        </w:tc>
      </w:tr>
      <w:tr>
        <w:trPr>
          <w:trHeight w:val="162"/>
        </w:trPr>
        <w:tc>
          <w:tcPr>
            <w:tcW w:w="54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2"/>
                <w:szCs w:val="12"/>
                <w:b w:val="1"/>
                <w:bCs w:val="1"/>
                <w:color w:val="auto"/>
              </w:rPr>
              <w:t xml:space="preserve">AFFO, per diluted common share and OP/LTIP units </w:t>
            </w:r>
            <w:r>
              <w:rPr>
                <w:rFonts w:ascii="Times New Roman" w:cs="Times New Roman" w:eastAsia="Times New Roman" w:hAnsi="Times New Roman"/>
                <w:sz w:val="15"/>
                <w:szCs w:val="15"/>
                <w:b w:val="1"/>
                <w:bCs w:val="1"/>
                <w:color w:val="auto"/>
                <w:vertAlign w:val="superscript"/>
              </w:rPr>
              <w:t>(4)</w:t>
            </w: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1.04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0.97</w:t>
            </w:r>
          </w:p>
        </w:tc>
      </w:tr>
      <w:tr>
        <w:trPr>
          <w:trHeight w:val="162"/>
        </w:trPr>
        <w:tc>
          <w:tcPr>
            <w:tcW w:w="54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Annualized dividend per share</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3.28</w:t>
            </w:r>
          </w:p>
        </w:tc>
        <w:tc>
          <w:tcPr>
            <w:tcW w:w="10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3.12</w:t>
            </w:r>
          </w:p>
        </w:tc>
      </w:tr>
      <w:tr>
        <w:trPr>
          <w:trHeight w:val="162"/>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Dividend yield based on period end stock price</w:t>
            </w:r>
          </w:p>
        </w:tc>
        <w:tc>
          <w:tcPr>
            <w:tcW w:w="4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280035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291" w:lineRule="exact"/>
        <w:rPr>
          <w:sz w:val="20"/>
          <w:szCs w:val="20"/>
          <w:color w:val="auto"/>
        </w:rPr>
      </w:pPr>
    </w:p>
    <w:p>
      <w:pPr>
        <w:ind w:left="128" w:hanging="128"/>
        <w:spacing w:after="0"/>
        <w:tabs>
          <w:tab w:leader="none" w:pos="128"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Funds from Operations ("FFO") is net income, excluding (gains) or losses from dispositions of property and real estate depreciation as defined by NAREIT.</w:t>
      </w:r>
    </w:p>
    <w:p>
      <w:pPr>
        <w:spacing w:after="0" w:line="151" w:lineRule="exact"/>
        <w:rPr>
          <w:rFonts w:ascii="Times New Roman" w:cs="Times New Roman" w:eastAsia="Times New Roman" w:hAnsi="Times New Roman"/>
          <w:sz w:val="16"/>
          <w:szCs w:val="16"/>
          <w:color w:val="auto"/>
          <w:vertAlign w:val="superscript"/>
        </w:rPr>
      </w:pPr>
    </w:p>
    <w:p>
      <w:pPr>
        <w:jc w:val="both"/>
        <w:ind w:left="8" w:hanging="8"/>
        <w:spacing w:after="0" w:line="297" w:lineRule="auto"/>
        <w:tabs>
          <w:tab w:leader="none" w:pos="108" w:val="left"/>
        </w:tabs>
        <w:numPr>
          <w:ilvl w:val="0"/>
          <w:numId w:val="4"/>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Adjusted Funds From Operations ("AFFO") is FFO, excluding, as applicable to the particular period, stock-based compensation expense; the amortization of debt issuance costs, bond premiums and original issuance discounts; other depreciation; amortization of land rights; accretion on investment in leases; non-cash adjustments to financing lease liabilities; straight-line rent and deferred rent adjustments; losses on debt extinguishment and other financing costs; severance charges; capitalized interest; and provision (benefit) for credit losses, net, reduced by capital maintenance expenditures.</w:t>
      </w:r>
    </w:p>
    <w:p>
      <w:pPr>
        <w:spacing w:after="0" w:line="124" w:lineRule="exact"/>
        <w:rPr>
          <w:rFonts w:ascii="Times New Roman" w:cs="Times New Roman" w:eastAsia="Times New Roman" w:hAnsi="Times New Roman"/>
          <w:sz w:val="13"/>
          <w:szCs w:val="13"/>
          <w:color w:val="auto"/>
          <w:vertAlign w:val="superscript"/>
        </w:rPr>
      </w:pPr>
    </w:p>
    <w:p>
      <w:pPr>
        <w:jc w:val="both"/>
        <w:ind w:left="8" w:hanging="8"/>
        <w:spacing w:after="0" w:line="231" w:lineRule="auto"/>
        <w:tabs>
          <w:tab w:leader="none" w:pos="174"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Adjusted EBITDA is net income, excluding, as applicable to the particular period, interest, net; income tax expense; real estate depreciation; other depreciation; (gains) or losses from dispositions of property; stock-based compensation expense; straight-line rent and deferred rent adjustments; amortization of land rights; accretion on investment in leases; non-cash adjustments to financing lease liabilities; losses on debt extinguishment and other financing costs; severance charges; and provision (benefit) for credit losses, net.</w:t>
      </w:r>
    </w:p>
    <w:p>
      <w:pPr>
        <w:spacing w:after="0" w:line="122" w:lineRule="exact"/>
        <w:rPr>
          <w:rFonts w:ascii="Times New Roman" w:cs="Times New Roman" w:eastAsia="Times New Roman" w:hAnsi="Times New Roman"/>
          <w:sz w:val="16"/>
          <w:szCs w:val="16"/>
          <w:color w:val="auto"/>
          <w:vertAlign w:val="superscript"/>
        </w:rPr>
      </w:pPr>
    </w:p>
    <w:p>
      <w:pPr>
        <w:ind w:left="128" w:hanging="128"/>
        <w:spacing w:after="0"/>
        <w:tabs>
          <w:tab w:leader="none" w:pos="128"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Metrics are presented assuming full conversion of limited partnership units to common shares and therefore before the effect on net income attributable to noncontrolling interests.</w:t>
      </w:r>
    </w:p>
    <w:p>
      <w:pPr>
        <w:spacing w:after="0" w:line="151" w:lineRule="exact"/>
        <w:rPr>
          <w:sz w:val="20"/>
          <w:szCs w:val="20"/>
          <w:color w:val="auto"/>
        </w:rPr>
      </w:pPr>
    </w:p>
    <w:p>
      <w:pPr>
        <w:ind w:left="8" w:right="60" w:firstLine="432"/>
        <w:spacing w:after="0" w:line="260" w:lineRule="auto"/>
        <w:rPr>
          <w:sz w:val="20"/>
          <w:szCs w:val="20"/>
          <w:color w:val="auto"/>
        </w:rPr>
      </w:pPr>
      <w:r>
        <w:rPr>
          <w:rFonts w:ascii="Times New Roman" w:cs="Times New Roman" w:eastAsia="Times New Roman" w:hAnsi="Times New Roman"/>
          <w:sz w:val="12"/>
          <w:szCs w:val="12"/>
          <w:color w:val="auto"/>
        </w:rPr>
        <w:t>Peter Carlino, Chairman and Chief Executive Officer of GLPI, commented, “Our third quarter was another record for revenue, AFFO and Adjusted EBITDA. Total revenue rose 9.5% to $435.4 million, AFFO grew 10.5% to $311.7 million and Adjusted EBITDA increased 13.0% to $413.9 million, while AFFO per share rose 7.2% to $1.04. These results demonstrate the strength of our model which prioritizes long-term triple-net leases with built-in escalators, strong lease coverage, and the ability to structure and underwrite complex transactions and creative funding solutions for quality tenants. Despite this consistent execution, we believe GLPI’s share price remains significantly dislocated from its fundamentals, resulting in an attractive yield of over 8.5% based on the current quarterly cash dividend.</w:t>
      </w:r>
    </w:p>
    <w:p>
      <w:pPr>
        <w:spacing w:after="0" w:line="200" w:lineRule="exact"/>
        <w:rPr>
          <w:sz w:val="20"/>
          <w:szCs w:val="20"/>
          <w:color w:val="auto"/>
        </w:rPr>
      </w:pPr>
    </w:p>
    <w:p>
      <w:pPr>
        <w:spacing w:after="0" w:line="3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8"/>
          </w:cols>
          <w:pgMar w:left="292" w:top="1322" w:right="299" w:bottom="1440" w:gutter="0" w:footer="0" w:header="0"/>
        </w:sectPr>
      </w:pPr>
    </w:p>
    <w:bookmarkStart w:id="4" w:name="page5"/>
    <w:bookmarkEnd w:id="4"/>
    <w:p>
      <w:pPr>
        <w:ind w:right="300" w:firstLine="432"/>
        <w:spacing w:after="0" w:line="279" w:lineRule="auto"/>
        <w:rPr>
          <w:sz w:val="20"/>
          <w:szCs w:val="20"/>
          <w:color w:val="auto"/>
        </w:rPr>
      </w:pPr>
      <w:r>
        <w:rPr>
          <w:rFonts w:ascii="Times New Roman" w:cs="Times New Roman" w:eastAsia="Times New Roman" w:hAnsi="Times New Roman"/>
          <w:sz w:val="12"/>
          <w:szCs w:val="12"/>
          <w:color w:val="auto"/>
        </w:rPr>
        <w:t>“Regional gaming has proven its resilience for decades, and it is doing so again. Same-store operator results delivered healthy year-over-year gains through the first nine months of 2026, and the durability of our rents and strong coverage stand out against the currently volatile macro backdrop."</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Recent Developments</w:t>
      </w:r>
    </w:p>
    <w:p>
      <w:pPr>
        <w:spacing w:after="0" w:line="163" w:lineRule="exact"/>
        <w:rPr>
          <w:sz w:val="20"/>
          <w:szCs w:val="20"/>
          <w:color w:val="auto"/>
        </w:rPr>
      </w:pPr>
    </w:p>
    <w:p>
      <w:pPr>
        <w:jc w:val="both"/>
        <w:ind w:left="420" w:hanging="212"/>
        <w:spacing w:after="0" w:line="239" w:lineRule="auto"/>
        <w:tabs>
          <w:tab w:leader="none" w:pos="41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October 27, 2026, the Company entered into definitive agreements to form a joint venture with Prologis, Inc (NYSE: PLD) (“Prologis”) to develop the former Hollywood Casino Joliet site in Illinois. GLPI will contribute its owned land to the joint venture in three phases, and Prologis will serve as the managing member and developer of the site. Prologis intends to develop the site, subject to the review and approval by the City of Joliet, into a Class A warehouse and distribution park, which, when completed, is currently anticipated to consist of five building structures totaling more than 3.8 million square feet. The project is expected to be developed over approximately five years, with Prologis holding options over the development of phases two and three.</w:t>
      </w:r>
    </w:p>
    <w:p>
      <w:pPr>
        <w:spacing w:after="0" w:line="134" w:lineRule="exact"/>
        <w:rPr>
          <w:rFonts w:ascii="Times New Roman" w:cs="Times New Roman" w:eastAsia="Times New Roman" w:hAnsi="Times New Roman"/>
          <w:sz w:val="12"/>
          <w:szCs w:val="12"/>
          <w:color w:val="auto"/>
        </w:rPr>
      </w:pPr>
    </w:p>
    <w:p>
      <w:pPr>
        <w:ind w:left="420"/>
        <w:spacing w:after="0" w:line="26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GLPI will receive a capital account credit of $61 million, assuming all three phases are developed, for its contribution of the land to the joint venture, and GLPI will hold an ownership interest in the completed project of approximately 20%, which could be increased to approximately 30%, should GLPI elect to contribute additional capital.</w:t>
      </w:r>
    </w:p>
    <w:p>
      <w:pPr>
        <w:spacing w:after="0" w:line="155" w:lineRule="exact"/>
        <w:rPr>
          <w:rFonts w:ascii="Times New Roman" w:cs="Times New Roman" w:eastAsia="Times New Roman" w:hAnsi="Times New Roman"/>
          <w:sz w:val="12"/>
          <w:szCs w:val="12"/>
          <w:color w:val="auto"/>
        </w:rPr>
      </w:pPr>
    </w:p>
    <w:p>
      <w:pPr>
        <w:jc w:val="both"/>
        <w:ind w:left="420" w:right="20" w:hanging="212"/>
        <w:spacing w:after="0" w:line="241" w:lineRule="auto"/>
        <w:tabs>
          <w:tab w:leader="none" w:pos="41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June 30, 2026, the Company entered into a second amendment to its loan related to the Hard Rock Casino Rockford, pursuant to which the borrower repaid $16.0 million of principal. The amendment also provides for scheduled future principal repayments on or before March 31, 2028, and March 31, 2029. The maturity date was extended to December 31, 2029, and includes an option for GLPI to acquire the building improvements at Hard Rock Casino Rockford.</w:t>
      </w:r>
    </w:p>
    <w:p>
      <w:pPr>
        <w:spacing w:after="0" w:line="169" w:lineRule="exact"/>
        <w:rPr>
          <w:rFonts w:ascii="Times New Roman" w:cs="Times New Roman" w:eastAsia="Times New Roman" w:hAnsi="Times New Roman"/>
          <w:sz w:val="12"/>
          <w:szCs w:val="12"/>
          <w:color w:val="auto"/>
        </w:rPr>
      </w:pPr>
    </w:p>
    <w:p>
      <w:pPr>
        <w:ind w:left="420" w:hanging="212"/>
        <w:spacing w:after="0" w:line="232" w:lineRule="auto"/>
        <w:tabs>
          <w:tab w:leader="none" w:pos="4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On June 24, 2026, the Company funded $216.3 million to complete its $225 million commitment for the Hollywood Casino and Hotel Aurora landside development project for PENN Entertainment, Inc. (NASDAQ: PENN) ("PENN") at a 7.75% capitalization rate.</w:t>
      </w:r>
    </w:p>
    <w:p>
      <w:pPr>
        <w:spacing w:after="0" w:line="163"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On June 1, 2026, the Company settled a forward sale agreement pursuant, to which it issued 7,589,487 shares of common stock raising net proceeds of $351.0 million.</w:t>
      </w:r>
    </w:p>
    <w:p>
      <w:pPr>
        <w:spacing w:after="0" w:line="169" w:lineRule="exact"/>
        <w:rPr>
          <w:rFonts w:ascii="Times New Roman" w:cs="Times New Roman" w:eastAsia="Times New Roman" w:hAnsi="Times New Roman"/>
          <w:sz w:val="14"/>
          <w:szCs w:val="14"/>
          <w:color w:val="auto"/>
        </w:rPr>
      </w:pPr>
    </w:p>
    <w:p>
      <w:pPr>
        <w:ind w:left="420" w:hanging="212"/>
        <w:spacing w:after="0" w:line="232" w:lineRule="auto"/>
        <w:tabs>
          <w:tab w:leader="none" w:pos="416" w:val="left"/>
        </w:tabs>
        <w:numPr>
          <w:ilvl w:val="0"/>
          <w:numId w:val="5"/>
        </w:numPr>
        <w:rPr>
          <w:rFonts w:ascii="Arial" w:cs="Arial" w:eastAsia="Arial" w:hAnsi="Arial"/>
          <w:sz w:val="14"/>
          <w:szCs w:val="14"/>
          <w:color w:val="auto"/>
        </w:rPr>
      </w:pPr>
      <w:r>
        <w:rPr>
          <w:rFonts w:ascii="Times New Roman" w:cs="Times New Roman" w:eastAsia="Times New Roman" w:hAnsi="Times New Roman"/>
          <w:sz w:val="12"/>
          <w:szCs w:val="12"/>
          <w:color w:val="auto"/>
        </w:rPr>
        <w:t>On March 4, 2026, the Company issued $800 million of senior notes due on March 1, 2036. The notes were priced at 99.857% of par value, with a coupon of 5.625%. The Company used the net proceeds to repay borrowings outstanding under the Company's term loan credit facility, as well as for working capital and general corporate purposes.</w:t>
      </w:r>
    </w:p>
    <w:p>
      <w:pPr>
        <w:spacing w:after="0" w:line="169" w:lineRule="exact"/>
        <w:rPr>
          <w:rFonts w:ascii="Arial" w:cs="Arial" w:eastAsia="Arial" w:hAnsi="Arial"/>
          <w:sz w:val="14"/>
          <w:szCs w:val="14"/>
          <w:color w:val="auto"/>
        </w:rPr>
      </w:pPr>
    </w:p>
    <w:p>
      <w:pPr>
        <w:ind w:left="420" w:hanging="212"/>
        <w:spacing w:after="0" w:line="232" w:lineRule="auto"/>
        <w:tabs>
          <w:tab w:leader="none" w:pos="416" w:val="left"/>
        </w:tabs>
        <w:numPr>
          <w:ilvl w:val="0"/>
          <w:numId w:val="5"/>
        </w:numPr>
        <w:rPr>
          <w:rFonts w:ascii="Arial" w:cs="Arial" w:eastAsia="Arial" w:hAnsi="Arial"/>
          <w:sz w:val="14"/>
          <w:szCs w:val="14"/>
          <w:color w:val="auto"/>
        </w:rPr>
      </w:pPr>
      <w:r>
        <w:rPr>
          <w:rFonts w:ascii="Times New Roman" w:cs="Times New Roman" w:eastAsia="Times New Roman" w:hAnsi="Times New Roman"/>
          <w:sz w:val="12"/>
          <w:szCs w:val="12"/>
          <w:color w:val="auto"/>
        </w:rPr>
        <w:t>On February 11, 2026, GLPI exercised its option to acquire the real property assets of Bally’s Lincoln Casino Resort for a purchase price of $700 million and additional annual rent of $56.0 million (8.0% cap rate). The Company issued 332,890 OP Units in connection with the transaction, with the balance of the consideration paid in cash.</w:t>
      </w:r>
    </w:p>
    <w:p>
      <w:pPr>
        <w:spacing w:after="0" w:line="178" w:lineRule="exact"/>
        <w:rPr>
          <w:rFonts w:ascii="Arial" w:cs="Arial" w:eastAsia="Arial" w:hAnsi="Arial"/>
          <w:sz w:val="14"/>
          <w:szCs w:val="14"/>
          <w:color w:val="auto"/>
        </w:rPr>
      </w:pPr>
    </w:p>
    <w:p>
      <w:pPr>
        <w:ind w:left="420" w:right="20" w:hanging="212"/>
        <w:spacing w:after="0" w:line="239" w:lineRule="auto"/>
        <w:tabs>
          <w:tab w:leader="none" w:pos="4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On January 15, 2026, GLPI entered into a development agreement with The Cordish Companies ("Cordish") to fund up to $440 million of real estate construction costs for the Live! Casino &amp; Hotel Virginia and acquired the project land for $27 million, representing a total commitment of $467 million at an 8.0% cap rate.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Dividends</w:t>
      </w:r>
    </w:p>
    <w:p>
      <w:pPr>
        <w:spacing w:after="0" w:line="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On September 1, 2026, the Company announced that its Board of Directors declared a third quarter dividend of $0.82 per share on the Company's common stock that was paid on September 25, 2026 to shareholders of record on September 11, 2026.</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2026 Guidance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Reflecting the current operating and competitive environment, the Company is updating its AFFO guidance for the full year 2026 based on the following assumptions and other factors:</w:t>
      </w:r>
    </w:p>
    <w:p>
      <w:pPr>
        <w:spacing w:after="0" w:line="168" w:lineRule="exact"/>
        <w:rPr>
          <w:sz w:val="20"/>
          <w:szCs w:val="20"/>
          <w:color w:val="auto"/>
        </w:rPr>
      </w:pPr>
    </w:p>
    <w:p>
      <w:pPr>
        <w:ind w:left="420" w:hanging="212"/>
        <w:spacing w:after="0" w:line="279"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guidance does not include the impact on operating results from any possible future acquisitions or dispositions, future capital markets activity, or other future non-recurring transactions that have yet to be announced. The updated</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642" w:right="299" w:bottom="1440" w:gutter="0" w:footer="0" w:header="0"/>
        </w:sectPr>
      </w:pPr>
    </w:p>
    <w:bookmarkStart w:id="5" w:name="page6"/>
    <w:bookmarkEnd w:id="5"/>
    <w:p>
      <w:pPr>
        <w:ind w:left="420"/>
        <w:spacing w:after="0"/>
        <w:rPr>
          <w:sz w:val="20"/>
          <w:szCs w:val="20"/>
          <w:color w:val="auto"/>
        </w:rPr>
      </w:pPr>
      <w:r>
        <w:rPr>
          <w:rFonts w:ascii="Times New Roman" w:cs="Times New Roman" w:eastAsia="Times New Roman" w:hAnsi="Times New Roman"/>
          <w:sz w:val="12"/>
          <w:szCs w:val="12"/>
          <w:color w:val="auto"/>
        </w:rPr>
        <w:t>guidance incorporates the additional development fundings of approximately $265 million, which will bring total 2026 development spending to $800 million.</w:t>
      </w:r>
    </w:p>
    <w:p>
      <w:pPr>
        <w:spacing w:after="0" w:line="17" w:lineRule="exact"/>
        <w:rPr>
          <w:sz w:val="20"/>
          <w:szCs w:val="20"/>
          <w:color w:val="auto"/>
        </w:rPr>
      </w:pPr>
    </w:p>
    <w:p>
      <w:pPr>
        <w:ind w:left="420" w:hanging="212"/>
        <w:spacing w:after="0" w:line="260" w:lineRule="auto"/>
        <w:tabs>
          <w:tab w:leader="none" w:pos="417"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guidance assumes there will be no material changes in applicable legislation, regulatory environment, world events, including weather, recent consumer trends, economic conditions, oil prices, competitive landscape or other circumstances beyond our control that may adversely affect the Company's results of operations.</w:t>
      </w:r>
    </w:p>
    <w:p>
      <w:pPr>
        <w:spacing w:after="0" w:line="14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Company estimates AFFO for the year ending December 31, 2026 will be between $1.222 billion and $1.225 billion, or between $4.11 and $4.12 per diluted share and OP/LTIP units. GLPI's prior guidance contemplated AFFO for the year ending December 31, 2026 of between $1.219 billion and $1.225 billion, or between $4.10 and $4.12 per diluted share and OP/LTIP units.</w:t>
      </w:r>
    </w:p>
    <w:p>
      <w:pPr>
        <w:spacing w:after="0" w:line="12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2"/>
          <w:szCs w:val="12"/>
          <w:color w:val="auto"/>
        </w:rPr>
        <w:t>The Company does not provide a reconciliation for non-GAAP estimates on a forward-looking basis, including the information above, where it is unable to provide a meaningful or accurate calculation or estimation of reconciling items and the information is not available without unreasonable effort. This is due to the inherent difficulty of forecasting the timing and/or amounts of various items that would impact net income, which is the most directly comparable forward-looking GAAP financial measure. This includes, for example, provision for credit losses, net, and other non-core items that have not yet occurred, are out of the Company’s control and/or cannot be reasonably predicted. For the same reasons, the Company is unable to address the probable significance of the unavailable information. In particular, the Company is unable to predict with reasonable certainty the amount of the change in the provision for credit losses, net, under ASU No. 2016-13 - Financial Instruments - Credit Losses ("ASC 326") in future periods. The non-cash change in the provision for credit losses under ASC 326 with respect to future periods is dependent upon future events that are entirely outside of the Company's control and may not be reliably predicted, including the performance and future outlook of our tenants' operations for our leases that are accounted for as investment in leases, as well as broader macroeconomic factors and future predictions of such factors. As a result, forward-looking non-GAAP financial measures provided without the most directly comparable GAAP financial measures may vary materially from the corresponding GAAP financial measures.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Portfolio Update</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GLPI's primary business consists of acquiring, financing, and owning real estate property to be leased to gaming operators in triple-net lease arrangements. The Company also extends loans that produce fixed or variable returns which may convert into leased rent upon project completion or stabilization. As of September 30, 2026, GLPI's portfolio consisted of interests in 71 gaming and related facilities, including the real property associated with 34 gaming and related facilities operated by PENN Entertainment, Inc. ("PENN"), the real property associated with 6 gaming and related facilities operated by Caesars Entertainment, Inc. (NASDAQ: CZR) ("Caesars"), the real property associated with 4 gaming and related facilities operated by Boyd Gaming Corporation (NYSE: BYD) ("Boyd"), the real property associated with 16 gaming and related facilities operated by Bally's Corporation (NYSE: BALY) ("Bally's"), 2 facilities under development; one with Bally's in Chicago, Illinois, and the other for The Cordish Companies ("Cordish") and Bruce Smith Enterprise in Petersburg, Virginia, the real property associated with 3 gaming and related facilities operated by Cordish, 1 gaming and related facility operated by American Racing &amp; Entertainment LLC ("American Racing"), 4 gaming and related facilities operated by Strategic Gaming Management, LLC ("Strategic") and 1 facility managed by a subsidiary of Hard Rock International ("Hard Rock"). These facilities are geographically diversified across 21 states.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642"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u w:val="single" w:color="auto"/>
          <w:color w:val="auto"/>
        </w:rPr>
        <w:t>Conference Call Details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will hold a conference call on October 30, 2026, at 10:00 a.m. (Eastern Time) to discuss its financial results, current business trends and market conditions.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Participate in the Telephone Conference Call: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Dial in at least five minutes before the scheduled start time.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Domestic: 1-877/407-0784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International: 1-201/689-8560</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Conference Call Playback:</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Domestic: 1-844/512-2921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International: 1-412/317-6671</w:t>
      </w:r>
    </w:p>
    <w:p>
      <w:pPr>
        <w:spacing w:after="0"/>
        <w:rPr>
          <w:sz w:val="20"/>
          <w:szCs w:val="20"/>
          <w:color w:val="auto"/>
        </w:rPr>
      </w:pPr>
      <w:r>
        <w:rPr>
          <w:rFonts w:ascii="Times New Roman" w:cs="Times New Roman" w:eastAsia="Times New Roman" w:hAnsi="Times New Roman"/>
          <w:sz w:val="12"/>
          <w:szCs w:val="12"/>
          <w:color w:val="auto"/>
        </w:rPr>
        <w:t>Passcode: 13762758</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playback can be accessed through Friday, November 6, 2026.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Webcast</w:t>
      </w:r>
    </w:p>
    <w:p>
      <w:pPr>
        <w:spacing w:after="0" w:line="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The conference call will be available in the Investor Relations section of the Company's website at www.glpropinc.com. To listen to a live broadcast, go to the site at least 15 minutes prior to the scheduled start time in order to register, download and install any necessary software. A replay of the call will also be available for 90 days thereafter on the Company’s website.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280"/>
          </w:cols>
          <w:pgMar w:left="300" w:top="638" w:right="31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GAMING AND LEISURE PROPERTIES, INC.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Income and Comprehensive Income</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(in thousands, except per share data) (unaudited)</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280" w:type="dxa"/>
            <w:vAlign w:val="bottom"/>
          </w:tcPr>
          <w:p>
            <w:pPr>
              <w:spacing w:after="0"/>
              <w:rPr>
                <w:sz w:val="11"/>
                <w:szCs w:val="11"/>
                <w:color w:val="auto"/>
              </w:rPr>
            </w:pPr>
          </w:p>
        </w:tc>
        <w:tc>
          <w:tcPr>
            <w:tcW w:w="2480" w:type="dxa"/>
            <w:vAlign w:val="bottom"/>
            <w:tcBorders>
              <w:bottom w:val="single" w:sz="8" w:color="auto"/>
            </w:tcBorders>
            <w:gridSpan w:val="4"/>
          </w:tcPr>
          <w:p>
            <w:pPr>
              <w:jc w:val="right"/>
              <w:ind w:right="187"/>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20" w:type="dxa"/>
            <w:vAlign w:val="bottom"/>
            <w:tcBorders>
              <w:bottom w:val="single" w:sz="8" w:color="auto"/>
            </w:tcBorders>
            <w:gridSpan w:val="4"/>
          </w:tcPr>
          <w:p>
            <w:pPr>
              <w:jc w:val="right"/>
              <w:ind w:right="700"/>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r>
      <w:tr>
        <w:trPr>
          <w:trHeight w:val="133"/>
        </w:trPr>
        <w:tc>
          <w:tcPr>
            <w:tcW w:w="528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0"/>
                <w:szCs w:val="10"/>
                <w:b w:val="1"/>
                <w:bCs w:val="1"/>
                <w:color w:val="auto"/>
              </w:rPr>
              <w:t>2026</w:t>
            </w: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0"/>
                <w:szCs w:val="10"/>
                <w:b w:val="1"/>
                <w:bCs w:val="1"/>
                <w:color w:val="auto"/>
              </w:rPr>
              <w:t>2025</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2025</w:t>
            </w:r>
          </w:p>
        </w:tc>
      </w:tr>
      <w:tr>
        <w:trPr>
          <w:trHeight w:val="151"/>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1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2"/>
        </w:trPr>
        <w:tc>
          <w:tcPr>
            <w:tcW w:w="5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Rental income</w:t>
            </w:r>
          </w:p>
        </w:tc>
        <w:tc>
          <w:tcPr>
            <w:tcW w:w="1000" w:type="dxa"/>
            <w:vAlign w:val="bottom"/>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370,956</w:t>
            </w:r>
          </w:p>
        </w:tc>
        <w:tc>
          <w:tcPr>
            <w:tcW w:w="100" w:type="dxa"/>
            <w:vAlign w:val="bottom"/>
          </w:tcPr>
          <w:p>
            <w:pPr>
              <w:spacing w:after="0"/>
              <w:rPr>
                <w:sz w:val="14"/>
                <w:szCs w:val="14"/>
                <w:color w:val="auto"/>
              </w:rPr>
            </w:pPr>
          </w:p>
        </w:tc>
        <w:tc>
          <w:tcPr>
            <w:tcW w:w="820" w:type="dxa"/>
            <w:vAlign w:val="bottom"/>
          </w:tcPr>
          <w:p>
            <w:pPr>
              <w:jc w:val="right"/>
              <w:ind w:right="70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341,755</w:t>
            </w:r>
          </w:p>
        </w:tc>
        <w:tc>
          <w:tcPr>
            <w:tcW w:w="80" w:type="dxa"/>
            <w:vAlign w:val="bottom"/>
          </w:tcPr>
          <w:p>
            <w:pPr>
              <w:spacing w:after="0"/>
              <w:rPr>
                <w:sz w:val="14"/>
                <w:szCs w:val="14"/>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1,093,682</w:t>
            </w:r>
          </w:p>
        </w:tc>
        <w:tc>
          <w:tcPr>
            <w:tcW w:w="100" w:type="dxa"/>
            <w:vAlign w:val="bottom"/>
          </w:tcPr>
          <w:p>
            <w:pPr>
              <w:spacing w:after="0"/>
              <w:rPr>
                <w:sz w:val="14"/>
                <w:szCs w:val="14"/>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1,021,534</w:t>
            </w:r>
          </w:p>
        </w:tc>
      </w:tr>
      <w:tr>
        <w:trPr>
          <w:trHeight w:val="162"/>
        </w:trPr>
        <w:tc>
          <w:tcPr>
            <w:tcW w:w="5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Income from investment in leases, financing receivables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52,999</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48,066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158,555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143,756</w:t>
            </w:r>
          </w:p>
        </w:tc>
      </w:tr>
      <w:tr>
        <w:trPr>
          <w:trHeight w:val="162"/>
        </w:trPr>
        <w:tc>
          <w:tcPr>
            <w:tcW w:w="5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Income from investment in leases, sales-type</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3,842</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11,517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11,289</w:t>
            </w:r>
          </w:p>
        </w:tc>
      </w:tr>
      <w:tr>
        <w:trPr>
          <w:trHeight w:val="162"/>
        </w:trPr>
        <w:tc>
          <w:tcPr>
            <w:tcW w:w="5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Interest income from real estate loans</w:t>
            </w:r>
          </w:p>
        </w:tc>
        <w:tc>
          <w:tcPr>
            <w:tcW w:w="10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7,652</w:t>
            </w:r>
          </w:p>
        </w:tc>
        <w:tc>
          <w:tcPr>
            <w:tcW w:w="10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4,022</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22,199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11,142</w:t>
            </w:r>
          </w:p>
        </w:tc>
      </w:tr>
      <w:tr>
        <w:trPr>
          <w:trHeight w:val="151"/>
        </w:trPr>
        <w:tc>
          <w:tcPr>
            <w:tcW w:w="5280" w:type="dxa"/>
            <w:vAlign w:val="bottom"/>
          </w:tcPr>
          <w:p>
            <w:pPr>
              <w:spacing w:after="0"/>
              <w:rPr>
                <w:sz w:val="20"/>
                <w:szCs w:val="20"/>
                <w:color w:val="auto"/>
              </w:rPr>
            </w:pPr>
            <w:r>
              <w:rPr>
                <w:rFonts w:ascii="Times New Roman" w:cs="Times New Roman" w:eastAsia="Times New Roman" w:hAnsi="Times New Roman"/>
                <w:sz w:val="12"/>
                <w:szCs w:val="12"/>
                <w:color w:val="auto"/>
              </w:rPr>
              <w:t>Total income from real estate</w:t>
            </w:r>
          </w:p>
        </w:tc>
        <w:tc>
          <w:tcPr>
            <w:tcW w:w="10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435,449</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397,610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1,285,953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1,187,721</w:t>
            </w:r>
          </w:p>
        </w:tc>
      </w:tr>
      <w:tr>
        <w:trPr>
          <w:trHeight w:val="171"/>
        </w:trPr>
        <w:tc>
          <w:tcPr>
            <w:tcW w:w="5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2"/>
        </w:trPr>
        <w:tc>
          <w:tcPr>
            <w:tcW w:w="5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5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Land rights and ground lease expense</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13,884</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13,785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41,831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41,282</w:t>
            </w:r>
          </w:p>
        </w:tc>
      </w:tr>
      <w:tr>
        <w:trPr>
          <w:trHeight w:val="162"/>
        </w:trPr>
        <w:tc>
          <w:tcPr>
            <w:tcW w:w="5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12,871</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16,552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44,054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51,172</w:t>
            </w:r>
          </w:p>
        </w:tc>
      </w:tr>
      <w:tr>
        <w:trPr>
          <w:trHeight w:val="162"/>
        </w:trPr>
        <w:tc>
          <w:tcPr>
            <w:tcW w:w="5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Losses (gains) from dispositions of property</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(6,768)</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(5,598)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w:t>
            </w:r>
          </w:p>
        </w:tc>
      </w:tr>
      <w:tr>
        <w:trPr>
          <w:trHeight w:val="162"/>
        </w:trPr>
        <w:tc>
          <w:tcPr>
            <w:tcW w:w="5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69,295</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67,473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200,915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201,720</w:t>
            </w:r>
          </w:p>
        </w:tc>
      </w:tr>
      <w:tr>
        <w:trPr>
          <w:trHeight w:val="162"/>
        </w:trPr>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Provision (benefit) for credit losses, net</w:t>
            </w:r>
          </w:p>
        </w:tc>
        <w:tc>
          <w:tcPr>
            <w:tcW w:w="10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36,224</w:t>
            </w:r>
          </w:p>
        </w:tc>
        <w:tc>
          <w:tcPr>
            <w:tcW w:w="10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(37,363)</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29,067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55,611</w:t>
            </w:r>
          </w:p>
        </w:tc>
      </w:tr>
      <w:tr>
        <w:trPr>
          <w:trHeight w:val="151"/>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operating expenses</w:t>
            </w:r>
          </w:p>
        </w:tc>
        <w:tc>
          <w:tcPr>
            <w:tcW w:w="10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125,506</w:t>
            </w: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60,447</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310,269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349,660</w:t>
            </w:r>
          </w:p>
        </w:tc>
      </w:tr>
      <w:tr>
        <w:trPr>
          <w:trHeight w:val="151"/>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from operations</w:t>
            </w:r>
          </w:p>
        </w:tc>
        <w:tc>
          <w:tcPr>
            <w:tcW w:w="10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309,943</w:t>
            </w:r>
          </w:p>
        </w:tc>
        <w:tc>
          <w:tcPr>
            <w:tcW w:w="10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337,163</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975,684</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838,061</w:t>
            </w:r>
          </w:p>
        </w:tc>
      </w:tr>
      <w:tr>
        <w:trPr>
          <w:trHeight w:val="151"/>
        </w:trPr>
        <w:tc>
          <w:tcPr>
            <w:tcW w:w="5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Other income (expenses)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2"/>
        </w:trPr>
        <w:tc>
          <w:tcPr>
            <w:tcW w:w="5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(98,884)</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(94,059)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(295,445)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(281,265)</w:t>
            </w:r>
          </w:p>
        </w:tc>
      </w:tr>
      <w:tr>
        <w:trPr>
          <w:trHeight w:val="162"/>
        </w:trPr>
        <w:tc>
          <w:tcPr>
            <w:tcW w:w="5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Interest income</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3,304</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9,720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9,899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23,656</w:t>
            </w:r>
          </w:p>
        </w:tc>
      </w:tr>
      <w:tr>
        <w:trPr>
          <w:trHeight w:val="162"/>
        </w:trPr>
        <w:tc>
          <w:tcPr>
            <w:tcW w:w="52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Losses on debt extinguishment and other financing costs</w:t>
            </w:r>
          </w:p>
        </w:tc>
        <w:tc>
          <w:tcPr>
            <w:tcW w:w="10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(3,783)</w:t>
            </w:r>
          </w:p>
        </w:tc>
      </w:tr>
      <w:tr>
        <w:trPr>
          <w:trHeight w:val="151"/>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other expenses</w:t>
            </w:r>
          </w:p>
        </w:tc>
        <w:tc>
          <w:tcPr>
            <w:tcW w:w="100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(95,580)</w:t>
            </w: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(88,122)</w:t>
            </w: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(285,814)</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(261,392)</w:t>
            </w:r>
          </w:p>
        </w:tc>
      </w:tr>
      <w:tr>
        <w:trPr>
          <w:trHeight w:val="151"/>
        </w:trPr>
        <w:tc>
          <w:tcPr>
            <w:tcW w:w="5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Income before income taxes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214,363</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249,041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689,870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576,669</w:t>
            </w:r>
          </w:p>
        </w:tc>
      </w:tr>
      <w:tr>
        <w:trPr>
          <w:trHeight w:val="162"/>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534</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560</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1,695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1,669</w:t>
            </w:r>
          </w:p>
        </w:tc>
      </w:tr>
      <w:tr>
        <w:trPr>
          <w:trHeight w:val="151"/>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1000" w:type="dxa"/>
            <w:vAlign w:val="bottom"/>
            <w:shd w:val="clear" w:color="auto" w:fill="CCEEFF"/>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213,829</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0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248,481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688,175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575,000</w:t>
            </w:r>
          </w:p>
        </w:tc>
      </w:tr>
      <w:tr>
        <w:trPr>
          <w:trHeight w:val="162"/>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income attributable to noncontrolling interest in the Operating Partnership</w:t>
            </w: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(6,193)</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(7,290)</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(20,294)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(17,186)</w:t>
            </w:r>
          </w:p>
        </w:tc>
      </w:tr>
      <w:tr>
        <w:trPr>
          <w:trHeight w:val="167"/>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 attributable to common shareholders</w:t>
            </w:r>
          </w:p>
        </w:tc>
        <w:tc>
          <w:tcPr>
            <w:tcW w:w="1000" w:type="dxa"/>
            <w:vAlign w:val="bottom"/>
            <w:tcBorders>
              <w:bottom w:val="single" w:sz="8" w:color="auto"/>
            </w:tcBorders>
            <w:shd w:val="clear" w:color="auto" w:fill="CCEEFF"/>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207,636</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70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241,191</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667,881</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557,814</w:t>
            </w:r>
          </w:p>
        </w:tc>
      </w:tr>
      <w:tr>
        <w:trPr>
          <w:trHeight w:val="153"/>
        </w:trPr>
        <w:tc>
          <w:tcPr>
            <w:tcW w:w="5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Earnings per common share:</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2"/>
        </w:trPr>
        <w:tc>
          <w:tcPr>
            <w:tcW w:w="5280" w:type="dxa"/>
            <w:vAlign w:val="bottom"/>
          </w:tcPr>
          <w:p>
            <w:pPr>
              <w:spacing w:after="0"/>
              <w:rPr>
                <w:sz w:val="20"/>
                <w:szCs w:val="20"/>
                <w:color w:val="auto"/>
              </w:rPr>
            </w:pPr>
            <w:r>
              <w:rPr>
                <w:rFonts w:ascii="Times New Roman" w:cs="Times New Roman" w:eastAsia="Times New Roman" w:hAnsi="Times New Roman"/>
                <w:sz w:val="12"/>
                <w:szCs w:val="12"/>
                <w:color w:val="auto"/>
              </w:rPr>
              <w:t>Basic earnings attributable to common shareholders</w:t>
            </w:r>
          </w:p>
        </w:tc>
        <w:tc>
          <w:tcPr>
            <w:tcW w:w="1000" w:type="dxa"/>
            <w:vAlign w:val="bottom"/>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0.71</w:t>
            </w:r>
          </w:p>
        </w:tc>
        <w:tc>
          <w:tcPr>
            <w:tcW w:w="100" w:type="dxa"/>
            <w:vAlign w:val="bottom"/>
          </w:tcPr>
          <w:p>
            <w:pPr>
              <w:spacing w:after="0"/>
              <w:rPr>
                <w:sz w:val="14"/>
                <w:szCs w:val="14"/>
                <w:color w:val="auto"/>
              </w:rPr>
            </w:pPr>
          </w:p>
        </w:tc>
        <w:tc>
          <w:tcPr>
            <w:tcW w:w="820" w:type="dxa"/>
            <w:vAlign w:val="bottom"/>
          </w:tcPr>
          <w:p>
            <w:pPr>
              <w:jc w:val="right"/>
              <w:ind w:right="70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0.85</w:t>
            </w:r>
          </w:p>
        </w:tc>
        <w:tc>
          <w:tcPr>
            <w:tcW w:w="80" w:type="dxa"/>
            <w:vAlign w:val="bottom"/>
          </w:tcPr>
          <w:p>
            <w:pPr>
              <w:spacing w:after="0"/>
              <w:rPr>
                <w:sz w:val="14"/>
                <w:szCs w:val="14"/>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w:t>
            </w:r>
          </w:p>
        </w:tc>
        <w:tc>
          <w:tcPr>
            <w:tcW w:w="100" w:type="dxa"/>
            <w:vAlign w:val="bottom"/>
          </w:tcPr>
          <w:p>
            <w:pPr>
              <w:spacing w:after="0"/>
              <w:rPr>
                <w:sz w:val="14"/>
                <w:szCs w:val="14"/>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w:t>
            </w:r>
          </w:p>
        </w:tc>
      </w:tr>
      <w:tr>
        <w:trPr>
          <w:trHeight w:val="16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 earnings attributable to common shareholders</w:t>
            </w:r>
          </w:p>
        </w:tc>
        <w:tc>
          <w:tcPr>
            <w:tcW w:w="1000" w:type="dxa"/>
            <w:vAlign w:val="bottom"/>
            <w:shd w:val="clear" w:color="auto" w:fill="CCEEFF"/>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0.71</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70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w:t>
            </w:r>
          </w:p>
        </w:tc>
      </w:tr>
      <w:tr>
        <w:trPr>
          <w:trHeight w:val="180"/>
        </w:trPr>
        <w:tc>
          <w:tcPr>
            <w:tcW w:w="5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6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Other comprehensive income</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2"/>
        </w:trPr>
        <w:tc>
          <w:tcPr>
            <w:tcW w:w="5280" w:type="dxa"/>
            <w:vAlign w:val="bottom"/>
          </w:tcPr>
          <w:p>
            <w:pPr>
              <w:spacing w:after="0"/>
              <w:rPr>
                <w:sz w:val="20"/>
                <w:szCs w:val="20"/>
                <w:color w:val="auto"/>
              </w:rPr>
            </w:pPr>
            <w:r>
              <w:rPr>
                <w:rFonts w:ascii="Times New Roman" w:cs="Times New Roman" w:eastAsia="Times New Roman" w:hAnsi="Times New Roman"/>
                <w:sz w:val="12"/>
                <w:szCs w:val="12"/>
                <w:color w:val="auto"/>
              </w:rPr>
              <w:t>Net income</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213,829</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248,481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688,175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575,000</w:t>
            </w:r>
          </w:p>
        </w:tc>
      </w:tr>
      <w:tr>
        <w:trPr>
          <w:trHeight w:val="16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Gain on cash flow hedges</w:t>
            </w:r>
          </w:p>
        </w:tc>
        <w:tc>
          <w:tcPr>
            <w:tcW w:w="10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967</w:t>
            </w:r>
          </w:p>
        </w:tc>
      </w:tr>
      <w:tr>
        <w:trPr>
          <w:trHeight w:val="162"/>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Reclassification of derivative gain to interest expense</w:t>
            </w: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w:t>
            </w:r>
          </w:p>
        </w:tc>
      </w:tr>
      <w:tr>
        <w:trPr>
          <w:trHeight w:val="151"/>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Comprehensive income</w:t>
            </w:r>
          </w:p>
        </w:tc>
        <w:tc>
          <w:tcPr>
            <w:tcW w:w="10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213,805</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248,575</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688,103</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575,958</w:t>
            </w:r>
          </w:p>
        </w:tc>
      </w:tr>
      <w:tr>
        <w:trPr>
          <w:trHeight w:val="162"/>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Comprehensive income attributable to noncontrolling interest in the Operating Partnership</w:t>
            </w: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(6,192)</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(7,293)</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(20,291)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(17,216)</w:t>
            </w:r>
          </w:p>
        </w:tc>
      </w:tr>
      <w:tr>
        <w:trPr>
          <w:trHeight w:val="167"/>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Comprehensive income attributable to common shareholders</w:t>
            </w:r>
          </w:p>
        </w:tc>
        <w:tc>
          <w:tcPr>
            <w:tcW w:w="10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207,613</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241,282</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667,812</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558,742</w:t>
            </w:r>
          </w:p>
        </w:tc>
      </w:tr>
      <w:tr>
        <w:trPr>
          <w:trHeight w:val="585"/>
        </w:trPr>
        <w:tc>
          <w:tcPr>
            <w:tcW w:w="5280" w:type="dxa"/>
            <w:vAlign w:val="bottom"/>
          </w:tcPr>
          <w:p>
            <w:pPr>
              <w:spacing w:after="0"/>
              <w:rPr>
                <w:sz w:val="24"/>
                <w:szCs w:val="24"/>
                <w:color w:val="auto"/>
              </w:rPr>
            </w:pPr>
          </w:p>
        </w:tc>
        <w:tc>
          <w:tcPr>
            <w:tcW w:w="1000" w:type="dxa"/>
            <w:vAlign w:val="bottom"/>
          </w:tcPr>
          <w:p>
            <w:pPr>
              <w:jc w:val="right"/>
              <w:ind w:right="547"/>
              <w:spacing w:after="0"/>
              <w:rPr>
                <w:sz w:val="20"/>
                <w:szCs w:val="20"/>
                <w:color w:val="auto"/>
              </w:rPr>
            </w:pPr>
            <w:r>
              <w:rPr>
                <w:rFonts w:ascii="Times New Roman" w:cs="Times New Roman" w:eastAsia="Times New Roman" w:hAnsi="Times New Roman"/>
                <w:sz w:val="12"/>
                <w:szCs w:val="12"/>
                <w:color w:val="auto"/>
              </w:rPr>
              <w:t>5</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300"/>
          </w:cols>
          <w:pgMar w:left="300" w:top="638" w:right="29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GAMING AND LEISURE PROPERTIES, INC.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Current Year Revenue Detail</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(in thousands) (unaudited)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4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80" w:type="dxa"/>
            <w:vAlign w:val="bottom"/>
            <w:gridSpan w:val="4"/>
            <w:vMerge w:val="restart"/>
            <w:shd w:val="clear" w:color="auto" w:fill="CCEEFF"/>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Percentage rent and Interest income on real</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jc w:val="center"/>
              <w:ind w:right="7"/>
              <w:spacing w:after="0"/>
              <w:rPr>
                <w:sz w:val="20"/>
                <w:szCs w:val="20"/>
                <w:color w:val="auto"/>
              </w:rPr>
            </w:pPr>
            <w:r>
              <w:rPr>
                <w:rFonts w:ascii="Times New Roman" w:cs="Times New Roman" w:eastAsia="Times New Roman" w:hAnsi="Times New Roman"/>
                <w:sz w:val="10"/>
                <w:szCs w:val="10"/>
                <w:b w:val="1"/>
                <w:bCs w:val="1"/>
                <w:color w:val="auto"/>
                <w:w w:val="94"/>
              </w:rPr>
              <w:t>Straight-line rent and</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0"/>
                <w:szCs w:val="10"/>
                <w:b w:val="1"/>
                <w:bCs w:val="1"/>
                <w:color w:val="auto"/>
                <w:w w:val="95"/>
              </w:rPr>
              <w:t>Ground rent in</w:t>
            </w:r>
          </w:p>
        </w:tc>
        <w:tc>
          <w:tcPr>
            <w:tcW w:w="3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0"/>
                <w:szCs w:val="10"/>
                <w:b w:val="1"/>
                <w:bCs w:val="1"/>
                <w:color w:val="auto"/>
                <w:w w:val="93"/>
              </w:rPr>
              <w:t>Total income from</w:t>
            </w:r>
          </w:p>
        </w:tc>
        <w:tc>
          <w:tcPr>
            <w:tcW w:w="0" w:type="dxa"/>
            <w:vAlign w:val="bottom"/>
          </w:tcPr>
          <w:p>
            <w:pPr>
              <w:spacing w:after="0"/>
              <w:rPr>
                <w:sz w:val="1"/>
                <w:szCs w:val="1"/>
                <w:color w:val="auto"/>
              </w:rPr>
            </w:pPr>
          </w:p>
        </w:tc>
      </w:tr>
      <w:tr>
        <w:trPr>
          <w:trHeight w:val="97"/>
        </w:trPr>
        <w:tc>
          <w:tcPr>
            <w:tcW w:w="2980" w:type="dxa"/>
            <w:vAlign w:val="bottom"/>
            <w:gridSpan w:val="3"/>
            <w:vMerge w:val="restart"/>
            <w:shd w:val="clear" w:color="auto" w:fill="CCEEFF"/>
          </w:tcPr>
          <w:p>
            <w:pPr>
              <w:ind w:left="640"/>
              <w:spacing w:after="0"/>
              <w:rPr>
                <w:sz w:val="20"/>
                <w:szCs w:val="20"/>
                <w:color w:val="auto"/>
              </w:rPr>
            </w:pPr>
            <w:r>
              <w:rPr>
                <w:rFonts w:ascii="Times New Roman" w:cs="Times New Roman" w:eastAsia="Times New Roman" w:hAnsi="Times New Roman"/>
                <w:sz w:val="10"/>
                <w:szCs w:val="10"/>
                <w:b w:val="1"/>
                <w:bCs w:val="1"/>
                <w:color w:val="auto"/>
              </w:rPr>
              <w:t>Three Months Ended September 30, 2026</w:t>
            </w:r>
          </w:p>
        </w:tc>
        <w:tc>
          <w:tcPr>
            <w:tcW w:w="10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w w:val="94"/>
              </w:rPr>
              <w:t>Building base rent</w:t>
            </w:r>
          </w:p>
        </w:tc>
        <w:tc>
          <w:tcPr>
            <w:tcW w:w="120" w:type="dxa"/>
            <w:vAlign w:val="bottom"/>
            <w:shd w:val="clear" w:color="auto" w:fill="CCEEFF"/>
          </w:tcPr>
          <w:p>
            <w:pPr>
              <w:spacing w:after="0"/>
              <w:rPr>
                <w:sz w:val="8"/>
                <w:szCs w:val="8"/>
                <w:color w:val="auto"/>
              </w:rPr>
            </w:pPr>
          </w:p>
        </w:tc>
        <w:tc>
          <w:tcPr>
            <w:tcW w:w="80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0"/>
                <w:szCs w:val="10"/>
                <w:b w:val="1"/>
                <w:bCs w:val="1"/>
                <w:color w:val="auto"/>
                <w:w w:val="99"/>
              </w:rPr>
              <w:t>Land base rent</w:t>
            </w:r>
          </w:p>
        </w:tc>
        <w:tc>
          <w:tcPr>
            <w:tcW w:w="1880" w:type="dxa"/>
            <w:vAlign w:val="bottom"/>
            <w:gridSpan w:val="4"/>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w w:val="95"/>
              </w:rPr>
              <w:t>Total cash income</w:t>
            </w: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jc w:val="center"/>
              <w:ind w:right="27"/>
              <w:spacing w:after="0" w:line="98" w:lineRule="exact"/>
              <w:rPr>
                <w:sz w:val="20"/>
                <w:szCs w:val="20"/>
                <w:color w:val="auto"/>
              </w:rPr>
            </w:pPr>
            <w:r>
              <w:rPr>
                <w:rFonts w:ascii="Times New Roman" w:cs="Times New Roman" w:eastAsia="Times New Roman" w:hAnsi="Times New Roman"/>
                <w:sz w:val="10"/>
                <w:szCs w:val="10"/>
                <w:b w:val="1"/>
                <w:bCs w:val="1"/>
                <w:color w:val="auto"/>
                <w:w w:val="94"/>
              </w:rPr>
              <w:t>deferred rent</w:t>
            </w:r>
          </w:p>
        </w:tc>
        <w:tc>
          <w:tcPr>
            <w:tcW w:w="10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Accretion on leases</w:t>
            </w:r>
          </w:p>
        </w:tc>
        <w:tc>
          <w:tcPr>
            <w:tcW w:w="8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980" w:type="dxa"/>
            <w:vAlign w:val="bottom"/>
            <w:gridSpan w:val="3"/>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900" w:type="dxa"/>
            <w:vAlign w:val="bottom"/>
            <w:gridSpan w:val="2"/>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other rental revenue</w:t>
            </w:r>
          </w:p>
        </w:tc>
        <w:tc>
          <w:tcPr>
            <w:tcW w:w="16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207"/>
              <w:spacing w:after="0" w:line="79" w:lineRule="exact"/>
              <w:rPr>
                <w:sz w:val="20"/>
                <w:szCs w:val="20"/>
                <w:color w:val="auto"/>
              </w:rPr>
            </w:pPr>
            <w:r>
              <w:rPr>
                <w:rFonts w:ascii="Times New Roman" w:cs="Times New Roman" w:eastAsia="Times New Roman" w:hAnsi="Times New Roman"/>
                <w:sz w:val="8"/>
                <w:szCs w:val="8"/>
                <w:b w:val="1"/>
                <w:bCs w:val="1"/>
                <w:color w:val="auto"/>
              </w:rPr>
              <w:t>estate loans</w:t>
            </w:r>
          </w:p>
        </w:tc>
        <w:tc>
          <w:tcPr>
            <w:tcW w:w="8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jc w:val="center"/>
              <w:ind w:right="27"/>
              <w:spacing w:after="0" w:line="79" w:lineRule="exact"/>
              <w:rPr>
                <w:sz w:val="20"/>
                <w:szCs w:val="20"/>
                <w:color w:val="auto"/>
              </w:rPr>
            </w:pPr>
            <w:r>
              <w:rPr>
                <w:rFonts w:ascii="Times New Roman" w:cs="Times New Roman" w:eastAsia="Times New Roman" w:hAnsi="Times New Roman"/>
                <w:sz w:val="8"/>
                <w:szCs w:val="8"/>
                <w:b w:val="1"/>
                <w:bCs w:val="1"/>
                <w:color w:val="auto"/>
              </w:rPr>
              <w:t>adjustments</w:t>
            </w: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jc w:val="right"/>
              <w:ind w:right="207"/>
              <w:spacing w:after="0" w:line="79" w:lineRule="exact"/>
              <w:rPr>
                <w:sz w:val="20"/>
                <w:szCs w:val="20"/>
                <w:color w:val="auto"/>
              </w:rPr>
            </w:pPr>
            <w:r>
              <w:rPr>
                <w:rFonts w:ascii="Times New Roman" w:cs="Times New Roman" w:eastAsia="Times New Roman" w:hAnsi="Times New Roman"/>
                <w:sz w:val="8"/>
                <w:szCs w:val="8"/>
                <w:b w:val="1"/>
                <w:bCs w:val="1"/>
                <w:color w:val="auto"/>
              </w:rPr>
              <w:t>revenue</w:t>
            </w:r>
          </w:p>
        </w:tc>
        <w:tc>
          <w:tcPr>
            <w:tcW w:w="84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187"/>
              <w:spacing w:after="0" w:line="79" w:lineRule="exact"/>
              <w:rPr>
                <w:sz w:val="20"/>
                <w:szCs w:val="20"/>
                <w:color w:val="auto"/>
              </w:rPr>
            </w:pPr>
            <w:r>
              <w:rPr>
                <w:rFonts w:ascii="Times New Roman" w:cs="Times New Roman" w:eastAsia="Times New Roman" w:hAnsi="Times New Roman"/>
                <w:sz w:val="8"/>
                <w:szCs w:val="8"/>
                <w:b w:val="1"/>
                <w:bCs w:val="1"/>
                <w:color w:val="auto"/>
              </w:rPr>
              <w:t>real estate</w:t>
            </w:r>
          </w:p>
        </w:tc>
        <w:tc>
          <w:tcPr>
            <w:tcW w:w="0" w:type="dxa"/>
            <w:vAlign w:val="bottom"/>
          </w:tcPr>
          <w:p>
            <w:pPr>
              <w:spacing w:after="0"/>
              <w:rPr>
                <w:sz w:val="1"/>
                <w:szCs w:val="1"/>
                <w:color w:val="auto"/>
              </w:rPr>
            </w:pPr>
          </w:p>
        </w:tc>
      </w:tr>
      <w:tr>
        <w:trPr>
          <w:trHeight w:val="36"/>
        </w:trPr>
        <w:tc>
          <w:tcPr>
            <w:tcW w:w="640" w:type="dxa"/>
            <w:vAlign w:val="bottom"/>
            <w:shd w:val="clear" w:color="auto" w:fill="CCEEFF"/>
          </w:tcPr>
          <w:p>
            <w:pPr>
              <w:spacing w:after="0"/>
              <w:rPr>
                <w:sz w:val="3"/>
                <w:szCs w:val="3"/>
                <w:color w:val="auto"/>
              </w:rPr>
            </w:pPr>
          </w:p>
        </w:tc>
        <w:tc>
          <w:tcPr>
            <w:tcW w:w="1700" w:type="dxa"/>
            <w:vAlign w:val="bottom"/>
            <w:shd w:val="clear" w:color="auto" w:fill="000000"/>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00" w:type="dxa"/>
            <w:vAlign w:val="bottom"/>
            <w:gridSpan w:val="2"/>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00" w:type="dxa"/>
            <w:vAlign w:val="bottom"/>
            <w:gridSpan w:val="2"/>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1"/>
        </w:trPr>
        <w:tc>
          <w:tcPr>
            <w:tcW w:w="29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Amended PENN Master Lease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55,235</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10,759</w:t>
            </w:r>
          </w:p>
        </w:tc>
        <w:tc>
          <w:tcPr>
            <w:tcW w:w="320" w:type="dxa"/>
            <w:vAlign w:val="bottom"/>
          </w:tcPr>
          <w:p>
            <w:pPr>
              <w:jc w:val="right"/>
              <w:ind w:right="191"/>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6,512</w:t>
            </w:r>
          </w:p>
        </w:tc>
        <w:tc>
          <w:tcPr>
            <w:tcW w:w="1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72,506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4,952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604</w:t>
            </w:r>
          </w:p>
        </w:tc>
        <w:tc>
          <w:tcPr>
            <w:tcW w:w="320" w:type="dxa"/>
            <w:vAlign w:val="bottom"/>
          </w:tcPr>
          <w:p>
            <w:pPr>
              <w:jc w:val="right"/>
              <w:ind w:right="188"/>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78,062</w:t>
            </w:r>
          </w:p>
        </w:tc>
        <w:tc>
          <w:tcPr>
            <w:tcW w:w="0" w:type="dxa"/>
            <w:vAlign w:val="bottom"/>
          </w:tcPr>
          <w:p>
            <w:pPr>
              <w:spacing w:after="0"/>
              <w:rPr>
                <w:sz w:val="1"/>
                <w:szCs w:val="1"/>
                <w:color w:val="auto"/>
              </w:rPr>
            </w:pPr>
          </w:p>
        </w:tc>
      </w:tr>
      <w:tr>
        <w:trPr>
          <w:trHeight w:val="155"/>
        </w:trPr>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PENN 2023 Master Lease</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70,501</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70,554</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4,343</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74,897</w:t>
            </w:r>
          </w:p>
        </w:tc>
        <w:tc>
          <w:tcPr>
            <w:tcW w:w="0" w:type="dxa"/>
            <w:vAlign w:val="bottom"/>
          </w:tcPr>
          <w:p>
            <w:pPr>
              <w:spacing w:after="0"/>
              <w:rPr>
                <w:sz w:val="1"/>
                <w:szCs w:val="1"/>
                <w:color w:val="auto"/>
              </w:rPr>
            </w:pPr>
          </w:p>
        </w:tc>
      </w:tr>
      <w:tr>
        <w:trPr>
          <w:trHeight w:val="151"/>
        </w:trPr>
        <w:tc>
          <w:tcPr>
            <w:tcW w:w="29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Amended Pinnacle Master Lease</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61,482</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17,814</w:t>
            </w:r>
          </w:p>
        </w:tc>
        <w:tc>
          <w:tcPr>
            <w:tcW w:w="3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7,316</w:t>
            </w:r>
          </w:p>
        </w:tc>
        <w:tc>
          <w:tcPr>
            <w:tcW w:w="160" w:type="dxa"/>
            <w:vAlign w:val="bottom"/>
          </w:tcPr>
          <w:p>
            <w:pPr>
              <w:spacing w:after="0"/>
              <w:rPr>
                <w:sz w:val="13"/>
                <w:szCs w:val="13"/>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86,612</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1,858</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2,261</w:t>
            </w:r>
          </w:p>
        </w:tc>
        <w:tc>
          <w:tcPr>
            <w:tcW w:w="3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90,731</w:t>
            </w:r>
          </w:p>
        </w:tc>
        <w:tc>
          <w:tcPr>
            <w:tcW w:w="0" w:type="dxa"/>
            <w:vAlign w:val="bottom"/>
          </w:tcPr>
          <w:p>
            <w:pPr>
              <w:spacing w:after="0"/>
              <w:rPr>
                <w:sz w:val="1"/>
                <w:szCs w:val="1"/>
                <w:color w:val="auto"/>
              </w:rPr>
            </w:pPr>
          </w:p>
        </w:tc>
      </w:tr>
      <w:tr>
        <w:trPr>
          <w:trHeight w:val="155"/>
        </w:trPr>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PENN Morgantown Lease</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806</w:t>
            </w: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806</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806</w:t>
            </w:r>
          </w:p>
        </w:tc>
        <w:tc>
          <w:tcPr>
            <w:tcW w:w="0" w:type="dxa"/>
            <w:vAlign w:val="bottom"/>
          </w:tcPr>
          <w:p>
            <w:pPr>
              <w:spacing w:after="0"/>
              <w:rPr>
                <w:sz w:val="1"/>
                <w:szCs w:val="1"/>
                <w:color w:val="auto"/>
              </w:rPr>
            </w:pPr>
          </w:p>
        </w:tc>
      </w:tr>
      <w:tr>
        <w:trPr>
          <w:trHeight w:val="151"/>
        </w:trPr>
        <w:tc>
          <w:tcPr>
            <w:tcW w:w="29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Caesars Master Lease</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16,587</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5,932</w:t>
            </w:r>
          </w:p>
        </w:tc>
        <w:tc>
          <w:tcPr>
            <w:tcW w:w="3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22,519</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1,631</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3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24,480</w:t>
            </w:r>
          </w:p>
        </w:tc>
        <w:tc>
          <w:tcPr>
            <w:tcW w:w="0" w:type="dxa"/>
            <w:vAlign w:val="bottom"/>
          </w:tcPr>
          <w:p>
            <w:pPr>
              <w:spacing w:after="0"/>
              <w:rPr>
                <w:sz w:val="1"/>
                <w:szCs w:val="1"/>
                <w:color w:val="auto"/>
              </w:rPr>
            </w:pPr>
          </w:p>
        </w:tc>
      </w:tr>
      <w:tr>
        <w:trPr>
          <w:trHeight w:val="155"/>
        </w:trPr>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Horseshoe St. Louis Lease</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6,097</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6,097</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6,316</w:t>
            </w:r>
          </w:p>
        </w:tc>
        <w:tc>
          <w:tcPr>
            <w:tcW w:w="0" w:type="dxa"/>
            <w:vAlign w:val="bottom"/>
          </w:tcPr>
          <w:p>
            <w:pPr>
              <w:spacing w:after="0"/>
              <w:rPr>
                <w:sz w:val="1"/>
                <w:szCs w:val="1"/>
                <w:color w:val="auto"/>
              </w:rPr>
            </w:pPr>
          </w:p>
        </w:tc>
      </w:tr>
      <w:tr>
        <w:trPr>
          <w:trHeight w:val="151"/>
        </w:trPr>
        <w:tc>
          <w:tcPr>
            <w:tcW w:w="29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Boyd Master Lease</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21,297</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2,946</w:t>
            </w:r>
          </w:p>
        </w:tc>
        <w:tc>
          <w:tcPr>
            <w:tcW w:w="3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3,026</w:t>
            </w:r>
          </w:p>
        </w:tc>
        <w:tc>
          <w:tcPr>
            <w:tcW w:w="160" w:type="dxa"/>
            <w:vAlign w:val="bottom"/>
          </w:tcPr>
          <w:p>
            <w:pPr>
              <w:spacing w:after="0"/>
              <w:rPr>
                <w:sz w:val="13"/>
                <w:szCs w:val="13"/>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27,269</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526</w:t>
            </w:r>
          </w:p>
        </w:tc>
        <w:tc>
          <w:tcPr>
            <w:tcW w:w="3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27,830</w:t>
            </w:r>
          </w:p>
        </w:tc>
        <w:tc>
          <w:tcPr>
            <w:tcW w:w="0" w:type="dxa"/>
            <w:vAlign w:val="bottom"/>
          </w:tcPr>
          <w:p>
            <w:pPr>
              <w:spacing w:after="0"/>
              <w:rPr>
                <w:sz w:val="1"/>
                <w:szCs w:val="1"/>
                <w:color w:val="auto"/>
              </w:rPr>
            </w:pPr>
          </w:p>
        </w:tc>
      </w:tr>
      <w:tr>
        <w:trPr>
          <w:trHeight w:val="155"/>
        </w:trPr>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Boyd Belterra Lease</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753</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474</w:t>
            </w: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1,725</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1,848</w:t>
            </w:r>
          </w:p>
        </w:tc>
        <w:tc>
          <w:tcPr>
            <w:tcW w:w="0" w:type="dxa"/>
            <w:vAlign w:val="bottom"/>
          </w:tcPr>
          <w:p>
            <w:pPr>
              <w:spacing w:after="0"/>
              <w:rPr>
                <w:sz w:val="1"/>
                <w:szCs w:val="1"/>
                <w:color w:val="auto"/>
              </w:rPr>
            </w:pPr>
          </w:p>
        </w:tc>
      </w:tr>
      <w:tr>
        <w:trPr>
          <w:trHeight w:val="151"/>
        </w:trPr>
        <w:tc>
          <w:tcPr>
            <w:tcW w:w="29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Bally's Master Lease</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27,478</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27,478</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2,656</w:t>
            </w:r>
          </w:p>
        </w:tc>
        <w:tc>
          <w:tcPr>
            <w:tcW w:w="3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30,134</w:t>
            </w:r>
          </w:p>
        </w:tc>
        <w:tc>
          <w:tcPr>
            <w:tcW w:w="0" w:type="dxa"/>
            <w:vAlign w:val="bottom"/>
          </w:tcPr>
          <w:p>
            <w:pPr>
              <w:spacing w:after="0"/>
              <w:rPr>
                <w:sz w:val="1"/>
                <w:szCs w:val="1"/>
                <w:color w:val="auto"/>
              </w:rPr>
            </w:pPr>
          </w:p>
        </w:tc>
      </w:tr>
      <w:tr>
        <w:trPr>
          <w:trHeight w:val="155"/>
        </w:trPr>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Bally's Master Lease II</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29,572</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29,572</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885</w:t>
            </w: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30,391</w:t>
            </w:r>
          </w:p>
        </w:tc>
        <w:tc>
          <w:tcPr>
            <w:tcW w:w="0" w:type="dxa"/>
            <w:vAlign w:val="bottom"/>
          </w:tcPr>
          <w:p>
            <w:pPr>
              <w:spacing w:after="0"/>
              <w:rPr>
                <w:sz w:val="1"/>
                <w:szCs w:val="1"/>
                <w:color w:val="auto"/>
              </w:rPr>
            </w:pPr>
          </w:p>
        </w:tc>
      </w:tr>
      <w:tr>
        <w:trPr>
          <w:trHeight w:val="151"/>
        </w:trPr>
        <w:tc>
          <w:tcPr>
            <w:tcW w:w="29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Maryland Live! Lease</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19,752</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19,752</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2,068</w:t>
            </w:r>
          </w:p>
        </w:tc>
        <w:tc>
          <w:tcPr>
            <w:tcW w:w="3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3,294</w:t>
            </w:r>
          </w:p>
        </w:tc>
        <w:tc>
          <w:tcPr>
            <w:tcW w:w="80" w:type="dxa"/>
            <w:vAlign w:val="bottom"/>
          </w:tcPr>
          <w:p>
            <w:pPr>
              <w:spacing w:after="0"/>
              <w:rPr>
                <w:sz w:val="13"/>
                <w:szCs w:val="13"/>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25,114</w:t>
            </w:r>
          </w:p>
        </w:tc>
        <w:tc>
          <w:tcPr>
            <w:tcW w:w="0" w:type="dxa"/>
            <w:vAlign w:val="bottom"/>
          </w:tcPr>
          <w:p>
            <w:pPr>
              <w:spacing w:after="0"/>
              <w:rPr>
                <w:sz w:val="1"/>
                <w:szCs w:val="1"/>
                <w:color w:val="auto"/>
              </w:rPr>
            </w:pPr>
          </w:p>
        </w:tc>
      </w:tr>
      <w:tr>
        <w:trPr>
          <w:trHeight w:val="155"/>
        </w:trPr>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Pennsylvania Live! Master Lease</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13,167</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13,167</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310</w:t>
            </w: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2,140</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15,617</w:t>
            </w:r>
          </w:p>
        </w:tc>
        <w:tc>
          <w:tcPr>
            <w:tcW w:w="0" w:type="dxa"/>
            <w:vAlign w:val="bottom"/>
          </w:tcPr>
          <w:p>
            <w:pPr>
              <w:spacing w:after="0"/>
              <w:rPr>
                <w:sz w:val="1"/>
                <w:szCs w:val="1"/>
                <w:color w:val="auto"/>
              </w:rPr>
            </w:pPr>
          </w:p>
        </w:tc>
      </w:tr>
      <w:tr>
        <w:trPr>
          <w:trHeight w:val="151"/>
        </w:trPr>
        <w:tc>
          <w:tcPr>
            <w:tcW w:w="29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Casino Queen Master Lease</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3,612</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3,612</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3,659</w:t>
            </w:r>
          </w:p>
        </w:tc>
        <w:tc>
          <w:tcPr>
            <w:tcW w:w="0" w:type="dxa"/>
            <w:vAlign w:val="bottom"/>
          </w:tcPr>
          <w:p>
            <w:pPr>
              <w:spacing w:after="0"/>
              <w:rPr>
                <w:sz w:val="1"/>
                <w:szCs w:val="1"/>
                <w:color w:val="auto"/>
              </w:rPr>
            </w:pPr>
          </w:p>
        </w:tc>
      </w:tr>
      <w:tr>
        <w:trPr>
          <w:trHeight w:val="155"/>
        </w:trPr>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Tropicana Las Vegas Lease</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3,842</w:t>
            </w: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3,842</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3,842</w:t>
            </w:r>
          </w:p>
        </w:tc>
        <w:tc>
          <w:tcPr>
            <w:tcW w:w="0" w:type="dxa"/>
            <w:vAlign w:val="bottom"/>
          </w:tcPr>
          <w:p>
            <w:pPr>
              <w:spacing w:after="0"/>
              <w:rPr>
                <w:sz w:val="1"/>
                <w:szCs w:val="1"/>
                <w:color w:val="auto"/>
              </w:rPr>
            </w:pPr>
          </w:p>
        </w:tc>
      </w:tr>
      <w:tr>
        <w:trPr>
          <w:trHeight w:val="151"/>
        </w:trPr>
        <w:tc>
          <w:tcPr>
            <w:tcW w:w="29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Rockford Lease</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2,094</w:t>
            </w:r>
          </w:p>
        </w:tc>
        <w:tc>
          <w:tcPr>
            <w:tcW w:w="3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2,094</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530</w:t>
            </w:r>
          </w:p>
        </w:tc>
        <w:tc>
          <w:tcPr>
            <w:tcW w:w="80" w:type="dxa"/>
            <w:vAlign w:val="bottom"/>
          </w:tcPr>
          <w:p>
            <w:pPr>
              <w:spacing w:after="0"/>
              <w:rPr>
                <w:sz w:val="13"/>
                <w:szCs w:val="13"/>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2,624</w:t>
            </w:r>
          </w:p>
        </w:tc>
        <w:tc>
          <w:tcPr>
            <w:tcW w:w="0" w:type="dxa"/>
            <w:vAlign w:val="bottom"/>
          </w:tcPr>
          <w:p>
            <w:pPr>
              <w:spacing w:after="0"/>
              <w:rPr>
                <w:sz w:val="1"/>
                <w:szCs w:val="1"/>
                <w:color w:val="auto"/>
              </w:rPr>
            </w:pPr>
          </w:p>
        </w:tc>
      </w:tr>
      <w:tr>
        <w:trPr>
          <w:trHeight w:val="155"/>
        </w:trPr>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Rockford Loan</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2,733</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2,733</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2,733</w:t>
            </w:r>
          </w:p>
        </w:tc>
        <w:tc>
          <w:tcPr>
            <w:tcW w:w="0" w:type="dxa"/>
            <w:vAlign w:val="bottom"/>
          </w:tcPr>
          <w:p>
            <w:pPr>
              <w:spacing w:after="0"/>
              <w:rPr>
                <w:sz w:val="1"/>
                <w:szCs w:val="1"/>
                <w:color w:val="auto"/>
              </w:rPr>
            </w:pPr>
          </w:p>
        </w:tc>
      </w:tr>
      <w:tr>
        <w:trPr>
          <w:trHeight w:val="151"/>
        </w:trPr>
        <w:tc>
          <w:tcPr>
            <w:tcW w:w="29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Tioga Downs Lease</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3,759</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3,759</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3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w:t>
            </w:r>
          </w:p>
        </w:tc>
        <w:tc>
          <w:tcPr>
            <w:tcW w:w="80" w:type="dxa"/>
            <w:vAlign w:val="bottom"/>
          </w:tcPr>
          <w:p>
            <w:pPr>
              <w:spacing w:after="0"/>
              <w:rPr>
                <w:sz w:val="13"/>
                <w:szCs w:val="13"/>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4,325</w:t>
            </w:r>
          </w:p>
        </w:tc>
        <w:tc>
          <w:tcPr>
            <w:tcW w:w="0" w:type="dxa"/>
            <w:vAlign w:val="bottom"/>
          </w:tcPr>
          <w:p>
            <w:pPr>
              <w:spacing w:after="0"/>
              <w:rPr>
                <w:sz w:val="1"/>
                <w:szCs w:val="1"/>
                <w:color w:val="auto"/>
              </w:rPr>
            </w:pPr>
          </w:p>
        </w:tc>
      </w:tr>
      <w:tr>
        <w:trPr>
          <w:trHeight w:val="155"/>
        </w:trPr>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Strategic Gaming Leases</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6,170</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6,170</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845</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7,121</w:t>
            </w:r>
          </w:p>
        </w:tc>
        <w:tc>
          <w:tcPr>
            <w:tcW w:w="0" w:type="dxa"/>
            <w:vAlign w:val="bottom"/>
          </w:tcPr>
          <w:p>
            <w:pPr>
              <w:spacing w:after="0"/>
              <w:rPr>
                <w:sz w:val="1"/>
                <w:szCs w:val="1"/>
                <w:color w:val="auto"/>
              </w:rPr>
            </w:pPr>
          </w:p>
        </w:tc>
      </w:tr>
      <w:tr>
        <w:trPr>
          <w:trHeight w:val="151"/>
        </w:trPr>
        <w:tc>
          <w:tcPr>
            <w:tcW w:w="29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Ione Loan</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2,733</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2,733</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2,733</w:t>
            </w:r>
          </w:p>
        </w:tc>
        <w:tc>
          <w:tcPr>
            <w:tcW w:w="0" w:type="dxa"/>
            <w:vAlign w:val="bottom"/>
          </w:tcPr>
          <w:p>
            <w:pPr>
              <w:spacing w:after="0"/>
              <w:rPr>
                <w:sz w:val="1"/>
                <w:szCs w:val="1"/>
                <w:color w:val="auto"/>
              </w:rPr>
            </w:pPr>
          </w:p>
        </w:tc>
      </w:tr>
      <w:tr>
        <w:trPr>
          <w:trHeight w:val="155"/>
        </w:trPr>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Bally's Chicago Lease</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12,401</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5,067</w:t>
            </w: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17,468</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(17,468)</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1"/>
        </w:trPr>
        <w:tc>
          <w:tcPr>
            <w:tcW w:w="29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Dry Creek Loan</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1,466</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1,466</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1,466</w:t>
            </w:r>
          </w:p>
        </w:tc>
        <w:tc>
          <w:tcPr>
            <w:tcW w:w="0" w:type="dxa"/>
            <w:vAlign w:val="bottom"/>
          </w:tcPr>
          <w:p>
            <w:pPr>
              <w:spacing w:after="0"/>
              <w:rPr>
                <w:sz w:val="1"/>
                <w:szCs w:val="1"/>
                <w:color w:val="auto"/>
              </w:rPr>
            </w:pPr>
          </w:p>
        </w:tc>
      </w:tr>
      <w:tr>
        <w:trPr>
          <w:trHeight w:val="153"/>
        </w:trPr>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Virginia Live! Development</w:t>
            </w:r>
          </w:p>
        </w:tc>
        <w:tc>
          <w:tcPr>
            <w:tcW w:w="1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720</w:t>
            </w:r>
          </w:p>
        </w:tc>
        <w:tc>
          <w:tcPr>
            <w:tcW w:w="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720</w:t>
            </w:r>
          </w:p>
        </w:tc>
        <w:tc>
          <w:tcPr>
            <w:tcW w:w="1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720</w:t>
            </w:r>
          </w:p>
        </w:tc>
        <w:tc>
          <w:tcPr>
            <w:tcW w:w="0" w:type="dxa"/>
            <w:vAlign w:val="bottom"/>
          </w:tcPr>
          <w:p>
            <w:pPr>
              <w:spacing w:after="0"/>
              <w:rPr>
                <w:sz w:val="1"/>
                <w:szCs w:val="1"/>
                <w:color w:val="auto"/>
              </w:rPr>
            </w:pPr>
          </w:p>
        </w:tc>
      </w:tr>
      <w:tr>
        <w:trPr>
          <w:trHeight w:val="144"/>
        </w:trPr>
        <w:tc>
          <w:tcPr>
            <w:tcW w:w="29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347,863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49,734</w:t>
            </w:r>
          </w:p>
        </w:tc>
        <w:tc>
          <w:tcPr>
            <w:tcW w:w="3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17,405</w:t>
            </w:r>
          </w:p>
        </w:tc>
        <w:tc>
          <w:tcPr>
            <w:tcW w:w="16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7,652</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422,654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(4,326)</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9,747</w:t>
            </w:r>
          </w:p>
        </w:tc>
        <w:tc>
          <w:tcPr>
            <w:tcW w:w="3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7,374</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435,449</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300"/>
          </w:cols>
          <w:pgMar w:left="300" w:top="638" w:right="29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GAMING AND LEISURE PROPERTIES, INC.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Current Year Revenue Detail</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(in thousands) (unaudited)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6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Percentage rent and</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Interest income on real</w:t>
            </w: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jc w:val="center"/>
              <w:ind w:right="27"/>
              <w:spacing w:after="0"/>
              <w:rPr>
                <w:sz w:val="20"/>
                <w:szCs w:val="20"/>
                <w:color w:val="auto"/>
              </w:rPr>
            </w:pPr>
            <w:r>
              <w:rPr>
                <w:rFonts w:ascii="Times New Roman" w:cs="Times New Roman" w:eastAsia="Times New Roman" w:hAnsi="Times New Roman"/>
                <w:sz w:val="10"/>
                <w:szCs w:val="10"/>
                <w:b w:val="1"/>
                <w:bCs w:val="1"/>
                <w:color w:val="auto"/>
                <w:w w:val="96"/>
              </w:rPr>
              <w:t>Straight-line rent and</w:t>
            </w: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67"/>
              <w:spacing w:after="0"/>
              <w:rPr>
                <w:sz w:val="20"/>
                <w:szCs w:val="20"/>
                <w:color w:val="auto"/>
              </w:rPr>
            </w:pPr>
            <w:r>
              <w:rPr>
                <w:rFonts w:ascii="Times New Roman" w:cs="Times New Roman" w:eastAsia="Times New Roman" w:hAnsi="Times New Roman"/>
                <w:sz w:val="10"/>
                <w:szCs w:val="10"/>
                <w:b w:val="1"/>
                <w:bCs w:val="1"/>
                <w:color w:val="auto"/>
                <w:w w:val="95"/>
              </w:rPr>
              <w:t>Ground rent in</w:t>
            </w:r>
          </w:p>
        </w:tc>
        <w:tc>
          <w:tcPr>
            <w:tcW w:w="3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0"/>
                <w:szCs w:val="10"/>
                <w:b w:val="1"/>
                <w:bCs w:val="1"/>
                <w:color w:val="auto"/>
                <w:w w:val="90"/>
              </w:rPr>
              <w:t>Total income from</w:t>
            </w:r>
          </w:p>
        </w:tc>
        <w:tc>
          <w:tcPr>
            <w:tcW w:w="0" w:type="dxa"/>
            <w:vAlign w:val="bottom"/>
          </w:tcPr>
          <w:p>
            <w:pPr>
              <w:spacing w:after="0"/>
              <w:rPr>
                <w:sz w:val="1"/>
                <w:szCs w:val="1"/>
                <w:color w:val="auto"/>
              </w:rPr>
            </w:pPr>
          </w:p>
        </w:tc>
      </w:tr>
      <w:tr>
        <w:trPr>
          <w:trHeight w:val="97"/>
        </w:trPr>
        <w:tc>
          <w:tcPr>
            <w:tcW w:w="1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95"/>
              </w:rPr>
              <w:t>Nine Months Ended September 30, 2026</w:t>
            </w:r>
          </w:p>
        </w:tc>
        <w:tc>
          <w:tcPr>
            <w:tcW w:w="1060" w:type="dxa"/>
            <w:vAlign w:val="bottom"/>
            <w:vMerge w:val="restart"/>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0"/>
                <w:szCs w:val="10"/>
                <w:b w:val="1"/>
                <w:bCs w:val="1"/>
                <w:color w:val="auto"/>
                <w:w w:val="96"/>
              </w:rPr>
              <w:t>Building base rent</w:t>
            </w:r>
          </w:p>
        </w:tc>
        <w:tc>
          <w:tcPr>
            <w:tcW w:w="140" w:type="dxa"/>
            <w:vAlign w:val="bottom"/>
            <w:shd w:val="clear" w:color="auto" w:fill="CCEEFF"/>
          </w:tcPr>
          <w:p>
            <w:pPr>
              <w:spacing w:after="0"/>
              <w:rPr>
                <w:sz w:val="8"/>
                <w:szCs w:val="8"/>
                <w:color w:val="auto"/>
              </w:rPr>
            </w:pPr>
          </w:p>
        </w:tc>
        <w:tc>
          <w:tcPr>
            <w:tcW w:w="80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0"/>
                <w:szCs w:val="10"/>
                <w:b w:val="1"/>
                <w:bCs w:val="1"/>
                <w:color w:val="auto"/>
                <w:w w:val="99"/>
              </w:rPr>
              <w:t>Land base rent</w:t>
            </w:r>
          </w:p>
        </w:tc>
        <w:tc>
          <w:tcPr>
            <w:tcW w:w="940" w:type="dxa"/>
            <w:vAlign w:val="bottom"/>
            <w:gridSpan w:val="2"/>
            <w:vMerge w:val="continue"/>
            <w:shd w:val="clear" w:color="auto" w:fill="CCEEFF"/>
          </w:tcPr>
          <w:p>
            <w:pPr>
              <w:spacing w:after="0"/>
              <w:rPr>
                <w:sz w:val="8"/>
                <w:szCs w:val="8"/>
                <w:color w:val="auto"/>
              </w:rPr>
            </w:pPr>
          </w:p>
        </w:tc>
        <w:tc>
          <w:tcPr>
            <w:tcW w:w="10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w w:val="98"/>
              </w:rPr>
              <w:t>Total cash income</w:t>
            </w:r>
          </w:p>
        </w:tc>
        <w:tc>
          <w:tcPr>
            <w:tcW w:w="100" w:type="dxa"/>
            <w:vAlign w:val="bottom"/>
            <w:shd w:val="clear" w:color="auto" w:fill="CCEEFF"/>
          </w:tcPr>
          <w:p>
            <w:pPr>
              <w:spacing w:after="0"/>
              <w:rPr>
                <w:sz w:val="8"/>
                <w:szCs w:val="8"/>
                <w:color w:val="auto"/>
              </w:rPr>
            </w:pPr>
          </w:p>
        </w:tc>
        <w:tc>
          <w:tcPr>
            <w:tcW w:w="980" w:type="dxa"/>
            <w:vAlign w:val="bottom"/>
            <w:shd w:val="clear" w:color="auto" w:fill="CCEEFF"/>
          </w:tcPr>
          <w:p>
            <w:pPr>
              <w:jc w:val="center"/>
              <w:ind w:right="27"/>
              <w:spacing w:after="0" w:line="98" w:lineRule="exact"/>
              <w:rPr>
                <w:sz w:val="20"/>
                <w:szCs w:val="20"/>
                <w:color w:val="auto"/>
              </w:rPr>
            </w:pPr>
            <w:r>
              <w:rPr>
                <w:rFonts w:ascii="Times New Roman" w:cs="Times New Roman" w:eastAsia="Times New Roman" w:hAnsi="Times New Roman"/>
                <w:sz w:val="10"/>
                <w:szCs w:val="10"/>
                <w:b w:val="1"/>
                <w:bCs w:val="1"/>
                <w:color w:val="auto"/>
                <w:w w:val="94"/>
              </w:rPr>
              <w:t>deferred rent</w:t>
            </w:r>
          </w:p>
        </w:tc>
        <w:tc>
          <w:tcPr>
            <w:tcW w:w="10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Accretion on leases</w:t>
            </w:r>
          </w:p>
        </w:tc>
        <w:tc>
          <w:tcPr>
            <w:tcW w:w="8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660" w:type="dxa"/>
            <w:vAlign w:val="bottom"/>
            <w:tcBorders>
              <w:bottom w:val="single" w:sz="8" w:color="auto"/>
            </w:tcBorders>
            <w:vMerge w:val="continue"/>
            <w:shd w:val="clear" w:color="auto" w:fill="CCEEFF"/>
          </w:tcPr>
          <w:p>
            <w:pPr>
              <w:spacing w:after="0"/>
              <w:rPr>
                <w:sz w:val="10"/>
                <w:szCs w:val="10"/>
                <w:color w:val="auto"/>
              </w:rPr>
            </w:pPr>
          </w:p>
        </w:tc>
        <w:tc>
          <w:tcPr>
            <w:tcW w:w="106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vMerge w:val="continue"/>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vMerge w:val="continue"/>
            <w:shd w:val="clear" w:color="auto" w:fill="CCEEFF"/>
          </w:tcPr>
          <w:p>
            <w:pPr>
              <w:spacing w:after="0"/>
              <w:rPr>
                <w:sz w:val="10"/>
                <w:szCs w:val="10"/>
                <w:color w:val="auto"/>
              </w:rPr>
            </w:pPr>
          </w:p>
        </w:tc>
        <w:tc>
          <w:tcPr>
            <w:tcW w:w="940" w:type="dxa"/>
            <w:vAlign w:val="bottom"/>
            <w:tcBorders>
              <w:bottom w:val="single" w:sz="8" w:color="CCEEFF"/>
            </w:tcBorders>
            <w:gridSpan w:val="2"/>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other rental revenue</w:t>
            </w:r>
          </w:p>
        </w:tc>
        <w:tc>
          <w:tcPr>
            <w:tcW w:w="18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jc w:val="right"/>
              <w:ind w:right="207"/>
              <w:spacing w:after="0" w:line="79" w:lineRule="exact"/>
              <w:rPr>
                <w:sz w:val="20"/>
                <w:szCs w:val="20"/>
                <w:color w:val="auto"/>
              </w:rPr>
            </w:pPr>
            <w:r>
              <w:rPr>
                <w:rFonts w:ascii="Times New Roman" w:cs="Times New Roman" w:eastAsia="Times New Roman" w:hAnsi="Times New Roman"/>
                <w:sz w:val="8"/>
                <w:szCs w:val="8"/>
                <w:b w:val="1"/>
                <w:bCs w:val="1"/>
                <w:color w:val="auto"/>
              </w:rPr>
              <w:t>estate loans</w:t>
            </w:r>
          </w:p>
        </w:tc>
        <w:tc>
          <w:tcPr>
            <w:tcW w:w="10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shd w:val="clear" w:color="auto" w:fill="CCEEFF"/>
          </w:tcPr>
          <w:p>
            <w:pPr>
              <w:jc w:val="center"/>
              <w:ind w:right="27"/>
              <w:spacing w:after="0" w:line="79" w:lineRule="exact"/>
              <w:rPr>
                <w:sz w:val="20"/>
                <w:szCs w:val="20"/>
                <w:color w:val="auto"/>
              </w:rPr>
            </w:pPr>
            <w:r>
              <w:rPr>
                <w:rFonts w:ascii="Times New Roman" w:cs="Times New Roman" w:eastAsia="Times New Roman" w:hAnsi="Times New Roman"/>
                <w:sz w:val="8"/>
                <w:szCs w:val="8"/>
                <w:b w:val="1"/>
                <w:bCs w:val="1"/>
                <w:color w:val="auto"/>
              </w:rPr>
              <w:t>adjustments</w:t>
            </w:r>
          </w:p>
        </w:tc>
        <w:tc>
          <w:tcPr>
            <w:tcW w:w="10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shd w:val="clear" w:color="auto" w:fill="CCEEFF"/>
          </w:tcPr>
          <w:p>
            <w:pPr>
              <w:jc w:val="right"/>
              <w:ind w:right="207"/>
              <w:spacing w:after="0" w:line="79" w:lineRule="exact"/>
              <w:rPr>
                <w:sz w:val="20"/>
                <w:szCs w:val="20"/>
                <w:color w:val="auto"/>
              </w:rPr>
            </w:pPr>
            <w:r>
              <w:rPr>
                <w:rFonts w:ascii="Times New Roman" w:cs="Times New Roman" w:eastAsia="Times New Roman" w:hAnsi="Times New Roman"/>
                <w:sz w:val="8"/>
                <w:szCs w:val="8"/>
                <w:b w:val="1"/>
                <w:bCs w:val="1"/>
                <w:color w:val="auto"/>
              </w:rPr>
              <w:t>revenue</w:t>
            </w:r>
          </w:p>
        </w:tc>
        <w:tc>
          <w:tcPr>
            <w:tcW w:w="88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jc w:val="right"/>
              <w:ind w:right="187"/>
              <w:spacing w:after="0" w:line="79" w:lineRule="exact"/>
              <w:rPr>
                <w:sz w:val="20"/>
                <w:szCs w:val="20"/>
                <w:color w:val="auto"/>
              </w:rPr>
            </w:pPr>
            <w:r>
              <w:rPr>
                <w:rFonts w:ascii="Times New Roman" w:cs="Times New Roman" w:eastAsia="Times New Roman" w:hAnsi="Times New Roman"/>
                <w:sz w:val="8"/>
                <w:szCs w:val="8"/>
                <w:b w:val="1"/>
                <w:bCs w:val="1"/>
                <w:color w:val="auto"/>
              </w:rPr>
              <w:t>real estate</w:t>
            </w:r>
          </w:p>
        </w:tc>
        <w:tc>
          <w:tcPr>
            <w:tcW w:w="0" w:type="dxa"/>
            <w:vAlign w:val="bottom"/>
          </w:tcPr>
          <w:p>
            <w:pPr>
              <w:spacing w:after="0"/>
              <w:rPr>
                <w:sz w:val="1"/>
                <w:szCs w:val="1"/>
                <w:color w:val="auto"/>
              </w:rPr>
            </w:pPr>
          </w:p>
        </w:tc>
      </w:tr>
      <w:tr>
        <w:trPr>
          <w:trHeight w:val="151"/>
        </w:trPr>
        <w:tc>
          <w:tcPr>
            <w:tcW w:w="2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Amended PENN Master Lease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165,704</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32,276</w:t>
            </w:r>
          </w:p>
        </w:tc>
        <w:tc>
          <w:tcPr>
            <w:tcW w:w="340" w:type="dxa"/>
            <w:vAlign w:val="bottom"/>
          </w:tcPr>
          <w:p>
            <w:pPr>
              <w:jc w:val="right"/>
              <w:ind w:right="211"/>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19,487</w:t>
            </w:r>
          </w:p>
        </w:tc>
        <w:tc>
          <w:tcPr>
            <w:tcW w:w="180" w:type="dxa"/>
            <w:vAlign w:val="bottom"/>
          </w:tcPr>
          <w:p>
            <w:pPr>
              <w:jc w:val="right"/>
              <w:ind w:right="48"/>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217,467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14,856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1,853</w:t>
            </w:r>
          </w:p>
        </w:tc>
        <w:tc>
          <w:tcPr>
            <w:tcW w:w="320" w:type="dxa"/>
            <w:vAlign w:val="bottom"/>
          </w:tcPr>
          <w:p>
            <w:pPr>
              <w:jc w:val="right"/>
              <w:ind w:right="188"/>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234,176</w:t>
            </w:r>
          </w:p>
        </w:tc>
        <w:tc>
          <w:tcPr>
            <w:tcW w:w="0" w:type="dxa"/>
            <w:vAlign w:val="bottom"/>
          </w:tcPr>
          <w:p>
            <w:pPr>
              <w:spacing w:after="0"/>
              <w:rPr>
                <w:sz w:val="1"/>
                <w:szCs w:val="1"/>
                <w:color w:val="auto"/>
              </w:rPr>
            </w:pPr>
          </w:p>
        </w:tc>
      </w:tr>
      <w:tr>
        <w:trPr>
          <w:trHeight w:val="155"/>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PENN 2023 Master Lease</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203,125</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w:t>
            </w: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203,398</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12,599</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215,997</w:t>
            </w:r>
          </w:p>
        </w:tc>
        <w:tc>
          <w:tcPr>
            <w:tcW w:w="0" w:type="dxa"/>
            <w:vAlign w:val="bottom"/>
          </w:tcPr>
          <w:p>
            <w:pPr>
              <w:spacing w:after="0"/>
              <w:rPr>
                <w:sz w:val="1"/>
                <w:szCs w:val="1"/>
                <w:color w:val="auto"/>
              </w:rPr>
            </w:pPr>
          </w:p>
        </w:tc>
      </w:tr>
      <w:tr>
        <w:trPr>
          <w:trHeight w:val="151"/>
        </w:trPr>
        <w:tc>
          <w:tcPr>
            <w:tcW w:w="2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Amended Pinnacle Master Lease</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184,447</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53,442</w:t>
            </w:r>
          </w:p>
        </w:tc>
        <w:tc>
          <w:tcPr>
            <w:tcW w:w="3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23,022</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260,911</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5,574</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6,717</w:t>
            </w:r>
          </w:p>
        </w:tc>
        <w:tc>
          <w:tcPr>
            <w:tcW w:w="3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273,202</w:t>
            </w:r>
          </w:p>
        </w:tc>
        <w:tc>
          <w:tcPr>
            <w:tcW w:w="0" w:type="dxa"/>
            <w:vAlign w:val="bottom"/>
          </w:tcPr>
          <w:p>
            <w:pPr>
              <w:spacing w:after="0"/>
              <w:rPr>
                <w:sz w:val="1"/>
                <w:szCs w:val="1"/>
                <w:color w:val="auto"/>
              </w:rPr>
            </w:pPr>
          </w:p>
        </w:tc>
      </w:tr>
      <w:tr>
        <w:trPr>
          <w:trHeight w:val="155"/>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PENN Morgantown Lease</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2,418</w:t>
            </w: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2,418</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2,418</w:t>
            </w:r>
          </w:p>
        </w:tc>
        <w:tc>
          <w:tcPr>
            <w:tcW w:w="0" w:type="dxa"/>
            <w:vAlign w:val="bottom"/>
          </w:tcPr>
          <w:p>
            <w:pPr>
              <w:spacing w:after="0"/>
              <w:rPr>
                <w:sz w:val="1"/>
                <w:szCs w:val="1"/>
                <w:color w:val="auto"/>
              </w:rPr>
            </w:pPr>
          </w:p>
        </w:tc>
      </w:tr>
      <w:tr>
        <w:trPr>
          <w:trHeight w:val="151"/>
        </w:trPr>
        <w:tc>
          <w:tcPr>
            <w:tcW w:w="2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Caesars Master Lease</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49,762</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17,796</w:t>
            </w:r>
          </w:p>
        </w:tc>
        <w:tc>
          <w:tcPr>
            <w:tcW w:w="3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67,558</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4,892</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990</w:t>
            </w:r>
          </w:p>
        </w:tc>
        <w:tc>
          <w:tcPr>
            <w:tcW w:w="3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73,440</w:t>
            </w:r>
          </w:p>
        </w:tc>
        <w:tc>
          <w:tcPr>
            <w:tcW w:w="0" w:type="dxa"/>
            <w:vAlign w:val="bottom"/>
          </w:tcPr>
          <w:p>
            <w:pPr>
              <w:spacing w:after="0"/>
              <w:rPr>
                <w:sz w:val="1"/>
                <w:szCs w:val="1"/>
                <w:color w:val="auto"/>
              </w:rPr>
            </w:pPr>
          </w:p>
        </w:tc>
      </w:tr>
      <w:tr>
        <w:trPr>
          <w:trHeight w:val="155"/>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Horseshoe St. Louis Lease</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18,289</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18,289</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659</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18,948</w:t>
            </w:r>
          </w:p>
        </w:tc>
        <w:tc>
          <w:tcPr>
            <w:tcW w:w="0" w:type="dxa"/>
            <w:vAlign w:val="bottom"/>
          </w:tcPr>
          <w:p>
            <w:pPr>
              <w:spacing w:after="0"/>
              <w:rPr>
                <w:sz w:val="1"/>
                <w:szCs w:val="1"/>
                <w:color w:val="auto"/>
              </w:rPr>
            </w:pPr>
          </w:p>
        </w:tc>
      </w:tr>
      <w:tr>
        <w:trPr>
          <w:trHeight w:val="151"/>
        </w:trPr>
        <w:tc>
          <w:tcPr>
            <w:tcW w:w="2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Boyd Master Lease</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63,333</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8,839</w:t>
            </w:r>
          </w:p>
        </w:tc>
        <w:tc>
          <w:tcPr>
            <w:tcW w:w="3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9,106</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81,278</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(2,662)</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1,579</w:t>
            </w:r>
          </w:p>
        </w:tc>
        <w:tc>
          <w:tcPr>
            <w:tcW w:w="3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80,195</w:t>
            </w:r>
          </w:p>
        </w:tc>
        <w:tc>
          <w:tcPr>
            <w:tcW w:w="0" w:type="dxa"/>
            <w:vAlign w:val="bottom"/>
          </w:tcPr>
          <w:p>
            <w:pPr>
              <w:spacing w:after="0"/>
              <w:rPr>
                <w:sz w:val="1"/>
                <w:szCs w:val="1"/>
                <w:color w:val="auto"/>
              </w:rPr>
            </w:pPr>
          </w:p>
        </w:tc>
      </w:tr>
      <w:tr>
        <w:trPr>
          <w:trHeight w:val="155"/>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Boyd Belterra Lease</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2,239</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1,421</w:t>
            </w: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1,496</w:t>
            </w: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5,156</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4,859</w:t>
            </w:r>
          </w:p>
        </w:tc>
        <w:tc>
          <w:tcPr>
            <w:tcW w:w="0" w:type="dxa"/>
            <w:vAlign w:val="bottom"/>
          </w:tcPr>
          <w:p>
            <w:pPr>
              <w:spacing w:after="0"/>
              <w:rPr>
                <w:sz w:val="1"/>
                <w:szCs w:val="1"/>
                <w:color w:val="auto"/>
              </w:rPr>
            </w:pPr>
          </w:p>
        </w:tc>
      </w:tr>
      <w:tr>
        <w:trPr>
          <w:trHeight w:val="151"/>
        </w:trPr>
        <w:tc>
          <w:tcPr>
            <w:tcW w:w="2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Bally's Master Lease</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81,523</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81,523</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7,992</w:t>
            </w:r>
          </w:p>
        </w:tc>
        <w:tc>
          <w:tcPr>
            <w:tcW w:w="3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89,515</w:t>
            </w:r>
          </w:p>
        </w:tc>
        <w:tc>
          <w:tcPr>
            <w:tcW w:w="0" w:type="dxa"/>
            <w:vAlign w:val="bottom"/>
          </w:tcPr>
          <w:p>
            <w:pPr>
              <w:spacing w:after="0"/>
              <w:rPr>
                <w:sz w:val="1"/>
                <w:szCs w:val="1"/>
                <w:color w:val="auto"/>
              </w:rPr>
            </w:pPr>
          </w:p>
        </w:tc>
      </w:tr>
      <w:tr>
        <w:trPr>
          <w:trHeight w:val="155"/>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Bally's Master Lease II</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82,179</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82,179</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2,756</w:t>
            </w: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84,736</w:t>
            </w:r>
          </w:p>
        </w:tc>
        <w:tc>
          <w:tcPr>
            <w:tcW w:w="0" w:type="dxa"/>
            <w:vAlign w:val="bottom"/>
          </w:tcPr>
          <w:p>
            <w:pPr>
              <w:spacing w:after="0"/>
              <w:rPr>
                <w:sz w:val="1"/>
                <w:szCs w:val="1"/>
                <w:color w:val="auto"/>
              </w:rPr>
            </w:pPr>
          </w:p>
        </w:tc>
      </w:tr>
      <w:tr>
        <w:trPr>
          <w:trHeight w:val="151"/>
        </w:trPr>
        <w:tc>
          <w:tcPr>
            <w:tcW w:w="2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Maryland Live! Lease</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59,255</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59,255</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6,236</w:t>
            </w:r>
          </w:p>
        </w:tc>
        <w:tc>
          <w:tcPr>
            <w:tcW w:w="3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9,714</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75,205</w:t>
            </w:r>
          </w:p>
        </w:tc>
        <w:tc>
          <w:tcPr>
            <w:tcW w:w="0" w:type="dxa"/>
            <w:vAlign w:val="bottom"/>
          </w:tcPr>
          <w:p>
            <w:pPr>
              <w:spacing w:after="0"/>
              <w:rPr>
                <w:sz w:val="1"/>
                <w:szCs w:val="1"/>
                <w:color w:val="auto"/>
              </w:rPr>
            </w:pPr>
          </w:p>
        </w:tc>
      </w:tr>
      <w:tr>
        <w:trPr>
          <w:trHeight w:val="155"/>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Pennsylvania Live! Master Lease</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39,352</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39,352</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926</w:t>
            </w: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6,437</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46,715</w:t>
            </w:r>
          </w:p>
        </w:tc>
        <w:tc>
          <w:tcPr>
            <w:tcW w:w="0" w:type="dxa"/>
            <w:vAlign w:val="bottom"/>
          </w:tcPr>
          <w:p>
            <w:pPr>
              <w:spacing w:after="0"/>
              <w:rPr>
                <w:sz w:val="1"/>
                <w:szCs w:val="1"/>
                <w:color w:val="auto"/>
              </w:rPr>
            </w:pPr>
          </w:p>
        </w:tc>
      </w:tr>
      <w:tr>
        <w:trPr>
          <w:trHeight w:val="151"/>
        </w:trPr>
        <w:tc>
          <w:tcPr>
            <w:tcW w:w="2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Casino Queen Master Lease</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10,598</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10,598</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10,747</w:t>
            </w:r>
          </w:p>
        </w:tc>
        <w:tc>
          <w:tcPr>
            <w:tcW w:w="0" w:type="dxa"/>
            <w:vAlign w:val="bottom"/>
          </w:tcPr>
          <w:p>
            <w:pPr>
              <w:spacing w:after="0"/>
              <w:rPr>
                <w:sz w:val="1"/>
                <w:szCs w:val="1"/>
                <w:color w:val="auto"/>
              </w:rPr>
            </w:pPr>
          </w:p>
        </w:tc>
      </w:tr>
      <w:tr>
        <w:trPr>
          <w:trHeight w:val="155"/>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Tropicana Las Vegas Lease</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11,518</w:t>
            </w: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11,518</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11,517</w:t>
            </w:r>
          </w:p>
        </w:tc>
        <w:tc>
          <w:tcPr>
            <w:tcW w:w="0" w:type="dxa"/>
            <w:vAlign w:val="bottom"/>
          </w:tcPr>
          <w:p>
            <w:pPr>
              <w:spacing w:after="0"/>
              <w:rPr>
                <w:sz w:val="1"/>
                <w:szCs w:val="1"/>
                <w:color w:val="auto"/>
              </w:rPr>
            </w:pPr>
          </w:p>
        </w:tc>
      </w:tr>
      <w:tr>
        <w:trPr>
          <w:trHeight w:val="151"/>
        </w:trPr>
        <w:tc>
          <w:tcPr>
            <w:tcW w:w="2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Rockford Lease</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6,256</w:t>
            </w:r>
          </w:p>
        </w:tc>
        <w:tc>
          <w:tcPr>
            <w:tcW w:w="3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6,256</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1,579</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7,835</w:t>
            </w:r>
          </w:p>
        </w:tc>
        <w:tc>
          <w:tcPr>
            <w:tcW w:w="0" w:type="dxa"/>
            <w:vAlign w:val="bottom"/>
          </w:tcPr>
          <w:p>
            <w:pPr>
              <w:spacing w:after="0"/>
              <w:rPr>
                <w:sz w:val="1"/>
                <w:szCs w:val="1"/>
                <w:color w:val="auto"/>
              </w:rPr>
            </w:pPr>
          </w:p>
        </w:tc>
      </w:tr>
      <w:tr>
        <w:trPr>
          <w:trHeight w:val="155"/>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Rockford Loan</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8,766</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8,766</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8,766</w:t>
            </w:r>
          </w:p>
        </w:tc>
        <w:tc>
          <w:tcPr>
            <w:tcW w:w="0" w:type="dxa"/>
            <w:vAlign w:val="bottom"/>
          </w:tcPr>
          <w:p>
            <w:pPr>
              <w:spacing w:after="0"/>
              <w:rPr>
                <w:sz w:val="1"/>
                <w:szCs w:val="1"/>
                <w:color w:val="auto"/>
              </w:rPr>
            </w:pPr>
          </w:p>
        </w:tc>
      </w:tr>
      <w:tr>
        <w:trPr>
          <w:trHeight w:val="151"/>
        </w:trPr>
        <w:tc>
          <w:tcPr>
            <w:tcW w:w="2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Tioga Downs Lease</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11,235</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11,235</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3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1,696</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12,935</w:t>
            </w:r>
          </w:p>
        </w:tc>
        <w:tc>
          <w:tcPr>
            <w:tcW w:w="0" w:type="dxa"/>
            <w:vAlign w:val="bottom"/>
          </w:tcPr>
          <w:p>
            <w:pPr>
              <w:spacing w:after="0"/>
              <w:rPr>
                <w:sz w:val="1"/>
                <w:szCs w:val="1"/>
                <w:color w:val="auto"/>
              </w:rPr>
            </w:pPr>
          </w:p>
        </w:tc>
      </w:tr>
      <w:tr>
        <w:trPr>
          <w:trHeight w:val="155"/>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Strategic Gaming Leases</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18,309</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18,309</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317</w:t>
            </w: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2,688</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21,314</w:t>
            </w:r>
          </w:p>
        </w:tc>
        <w:tc>
          <w:tcPr>
            <w:tcW w:w="0" w:type="dxa"/>
            <w:vAlign w:val="bottom"/>
          </w:tcPr>
          <w:p>
            <w:pPr>
              <w:spacing w:after="0"/>
              <w:rPr>
                <w:sz w:val="1"/>
                <w:szCs w:val="1"/>
                <w:color w:val="auto"/>
              </w:rPr>
            </w:pPr>
          </w:p>
        </w:tc>
      </w:tr>
      <w:tr>
        <w:trPr>
          <w:trHeight w:val="151"/>
        </w:trPr>
        <w:tc>
          <w:tcPr>
            <w:tcW w:w="2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Ione Loan</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7,364</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7,364</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7,364</w:t>
            </w:r>
          </w:p>
        </w:tc>
        <w:tc>
          <w:tcPr>
            <w:tcW w:w="0" w:type="dxa"/>
            <w:vAlign w:val="bottom"/>
          </w:tcPr>
          <w:p>
            <w:pPr>
              <w:spacing w:after="0"/>
              <w:rPr>
                <w:sz w:val="1"/>
                <w:szCs w:val="1"/>
                <w:color w:val="auto"/>
              </w:rPr>
            </w:pPr>
          </w:p>
        </w:tc>
      </w:tr>
      <w:tr>
        <w:trPr>
          <w:trHeight w:val="155"/>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Bally's Chicago Lease</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26,756</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15,067</w:t>
            </w: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41,823</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(41,823)</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1"/>
        </w:trPr>
        <w:tc>
          <w:tcPr>
            <w:tcW w:w="2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Dry Creek Loan</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4,348</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4,348</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4,348</w:t>
            </w:r>
          </w:p>
        </w:tc>
        <w:tc>
          <w:tcPr>
            <w:tcW w:w="0" w:type="dxa"/>
            <w:vAlign w:val="bottom"/>
          </w:tcPr>
          <w:p>
            <w:pPr>
              <w:spacing w:after="0"/>
              <w:rPr>
                <w:sz w:val="1"/>
                <w:szCs w:val="1"/>
                <w:color w:val="auto"/>
              </w:rPr>
            </w:pPr>
          </w:p>
        </w:tc>
      </w:tr>
      <w:tr>
        <w:trPr>
          <w:trHeight w:val="153"/>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Virginia Live! Development</w:t>
            </w:r>
          </w:p>
        </w:tc>
        <w:tc>
          <w:tcPr>
            <w:tcW w:w="1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1,721</w:t>
            </w: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1,721</w:t>
            </w:r>
          </w:p>
        </w:tc>
        <w:tc>
          <w:tcPr>
            <w:tcW w:w="1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1,721</w:t>
            </w:r>
          </w:p>
        </w:tc>
        <w:tc>
          <w:tcPr>
            <w:tcW w:w="0" w:type="dxa"/>
            <w:vAlign w:val="bottom"/>
          </w:tcPr>
          <w:p>
            <w:pPr>
              <w:spacing w:after="0"/>
              <w:rPr>
                <w:sz w:val="1"/>
                <w:szCs w:val="1"/>
                <w:color w:val="auto"/>
              </w:rPr>
            </w:pPr>
          </w:p>
        </w:tc>
      </w:tr>
      <w:tr>
        <w:trPr>
          <w:trHeight w:val="144"/>
        </w:trPr>
        <w:tc>
          <w:tcPr>
            <w:tcW w:w="2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1,016,106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149,033</w:t>
            </w:r>
          </w:p>
        </w:tc>
        <w:tc>
          <w:tcPr>
            <w:tcW w:w="3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53,384</w:t>
            </w:r>
          </w:p>
        </w:tc>
        <w:tc>
          <w:tcPr>
            <w:tcW w:w="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22,199</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1,240,722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(6,252)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29,370</w:t>
            </w:r>
          </w:p>
        </w:tc>
        <w:tc>
          <w:tcPr>
            <w:tcW w:w="3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22,113</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1,285,953</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300"/>
          </w:cols>
          <w:pgMar w:left="300" w:top="638" w:right="2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2"/>
          <w:szCs w:val="12"/>
          <w:color w:val="auto"/>
        </w:rPr>
        <w:t>Reconciliation of Net income (GAAP) to FFO, FFO to AFFO, and AFFO to Adjusted EBITDA</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Gaming and Leisure Properties,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(in thousands, except per share and share data)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0" w:type="dxa"/>
            <w:vAlign w:val="bottom"/>
            <w:gridSpan w:val="5"/>
          </w:tcPr>
          <w:p>
            <w:pPr>
              <w:ind w:left="32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360" w:type="dxa"/>
            <w:vAlign w:val="bottom"/>
          </w:tcPr>
          <w:p>
            <w:pPr>
              <w:spacing w:after="0"/>
              <w:rPr>
                <w:sz w:val="12"/>
                <w:szCs w:val="12"/>
                <w:color w:val="auto"/>
              </w:rPr>
            </w:pPr>
          </w:p>
        </w:tc>
        <w:tc>
          <w:tcPr>
            <w:tcW w:w="2660" w:type="dxa"/>
            <w:vAlign w:val="bottom"/>
            <w:gridSpan w:val="4"/>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27"/>
        </w:trPr>
        <w:tc>
          <w:tcPr>
            <w:tcW w:w="5140" w:type="dxa"/>
            <w:vAlign w:val="bottom"/>
            <w:tcBorders>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Borders>
              <w:top w:val="single" w:sz="8" w:color="auto"/>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2025</w:t>
            </w:r>
          </w:p>
        </w:tc>
        <w:tc>
          <w:tcPr>
            <w:tcW w:w="140" w:type="dxa"/>
            <w:vAlign w:val="bottom"/>
            <w:tcBorders>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2026</w:t>
            </w:r>
          </w:p>
        </w:tc>
        <w:tc>
          <w:tcPr>
            <w:tcW w:w="60" w:type="dxa"/>
            <w:vAlign w:val="bottom"/>
            <w:tcBorders>
              <w:top w:val="single" w:sz="8" w:color="auto"/>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2025</w:t>
            </w:r>
          </w:p>
        </w:tc>
      </w:tr>
      <w:tr>
        <w:trPr>
          <w:trHeight w:val="15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213,829</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248,481</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688,175</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575,000</w:t>
            </w:r>
          </w:p>
        </w:tc>
      </w:tr>
      <w:tr>
        <w:trPr>
          <w:trHeight w:val="162"/>
        </w:trPr>
        <w:tc>
          <w:tcPr>
            <w:tcW w:w="5140" w:type="dxa"/>
            <w:vAlign w:val="bottom"/>
          </w:tcPr>
          <w:p>
            <w:pPr>
              <w:spacing w:after="0"/>
              <w:rPr>
                <w:sz w:val="20"/>
                <w:szCs w:val="20"/>
                <w:color w:val="auto"/>
              </w:rPr>
            </w:pPr>
            <w:r>
              <w:rPr>
                <w:rFonts w:ascii="Times New Roman" w:cs="Times New Roman" w:eastAsia="Times New Roman" w:hAnsi="Times New Roman"/>
                <w:sz w:val="12"/>
                <w:szCs w:val="12"/>
                <w:color w:val="auto"/>
              </w:rPr>
              <w:t>Losses (gains) from dispositions of property</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(6,768)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(5,598)</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w:t>
            </w:r>
          </w:p>
        </w:tc>
      </w:tr>
      <w:tr>
        <w:trPr>
          <w:trHeight w:val="162"/>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Real estate depreciation</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68,829</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66,985</w:t>
            </w:r>
          </w:p>
        </w:tc>
        <w:tc>
          <w:tcPr>
            <w:tcW w:w="14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199,567</w:t>
            </w:r>
          </w:p>
        </w:tc>
        <w:tc>
          <w:tcPr>
            <w:tcW w:w="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200,263</w:t>
            </w:r>
          </w:p>
        </w:tc>
      </w:tr>
      <w:tr>
        <w:trPr>
          <w:trHeight w:val="151"/>
        </w:trPr>
        <w:tc>
          <w:tcPr>
            <w:tcW w:w="5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Funds from operations</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275,890</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315,466</w:t>
            </w:r>
          </w:p>
        </w:tc>
        <w:tc>
          <w:tcPr>
            <w:tcW w:w="14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882,144</w:t>
            </w:r>
          </w:p>
        </w:tc>
        <w:tc>
          <w:tcPr>
            <w:tcW w:w="6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775,138</w:t>
            </w:r>
          </w:p>
        </w:tc>
      </w:tr>
      <w:tr>
        <w:trPr>
          <w:trHeight w:val="162"/>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Straight-line rent and deferred rent adjustments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4,326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(5,390)</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6,252</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(20,235)</w:t>
            </w:r>
          </w:p>
        </w:tc>
      </w:tr>
      <w:tr>
        <w:trPr>
          <w:trHeight w:val="162"/>
        </w:trPr>
        <w:tc>
          <w:tcPr>
            <w:tcW w:w="5140" w:type="dxa"/>
            <w:vAlign w:val="bottom"/>
          </w:tcPr>
          <w:p>
            <w:pPr>
              <w:spacing w:after="0"/>
              <w:rPr>
                <w:sz w:val="20"/>
                <w:szCs w:val="20"/>
                <w:color w:val="auto"/>
              </w:rPr>
            </w:pPr>
            <w:r>
              <w:rPr>
                <w:rFonts w:ascii="Times New Roman" w:cs="Times New Roman" w:eastAsia="Times New Roman" w:hAnsi="Times New Roman"/>
                <w:sz w:val="12"/>
                <w:szCs w:val="12"/>
                <w:color w:val="auto"/>
              </w:rPr>
              <w:t>Other depreciation</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488</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1,348</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1,457</w:t>
            </w:r>
          </w:p>
        </w:tc>
      </w:tr>
      <w:tr>
        <w:trPr>
          <w:trHeight w:val="162"/>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 (benefit) for credit losses, net</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36,224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(37,363)</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29,067</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55,611</w:t>
            </w:r>
          </w:p>
        </w:tc>
      </w:tr>
      <w:tr>
        <w:trPr>
          <w:trHeight w:val="162"/>
        </w:trPr>
        <w:tc>
          <w:tcPr>
            <w:tcW w:w="514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land rights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4,270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4,270</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12,810</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12,810</w:t>
            </w:r>
          </w:p>
        </w:tc>
      </w:tr>
      <w:tr>
        <w:trPr>
          <w:trHeight w:val="162"/>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debt issuance costs, bond premiums and original issuance discounts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3,425</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10,739</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9,884</w:t>
            </w:r>
          </w:p>
        </w:tc>
      </w:tr>
      <w:tr>
        <w:trPr>
          <w:trHeight w:val="162"/>
        </w:trPr>
        <w:tc>
          <w:tcPr>
            <w:tcW w:w="5140" w:type="dxa"/>
            <w:vAlign w:val="bottom"/>
          </w:tcPr>
          <w:p>
            <w:pPr>
              <w:spacing w:after="0"/>
              <w:rPr>
                <w:sz w:val="20"/>
                <w:szCs w:val="20"/>
                <w:color w:val="auto"/>
              </w:rPr>
            </w:pPr>
            <w:r>
              <w:rPr>
                <w:rFonts w:ascii="Times New Roman" w:cs="Times New Roman" w:eastAsia="Times New Roman" w:hAnsi="Times New Roman"/>
                <w:sz w:val="12"/>
                <w:szCs w:val="12"/>
                <w:color w:val="auto"/>
              </w:rPr>
              <w:t>Capitalized interest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(10,570)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(3,652)</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(25,484)</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(10,668)</w:t>
            </w:r>
          </w:p>
        </w:tc>
      </w:tr>
      <w:tr>
        <w:trPr>
          <w:trHeight w:val="162"/>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1,551</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17,443</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16,565</w:t>
            </w:r>
          </w:p>
        </w:tc>
      </w:tr>
      <w:tr>
        <w:trPr>
          <w:trHeight w:val="162"/>
        </w:trPr>
        <w:tc>
          <w:tcPr>
            <w:tcW w:w="5140" w:type="dxa"/>
            <w:vAlign w:val="bottom"/>
          </w:tcPr>
          <w:p>
            <w:pPr>
              <w:spacing w:after="0"/>
              <w:rPr>
                <w:sz w:val="20"/>
                <w:szCs w:val="20"/>
                <w:color w:val="auto"/>
              </w:rPr>
            </w:pPr>
            <w:r>
              <w:rPr>
                <w:rFonts w:ascii="Times New Roman" w:cs="Times New Roman" w:eastAsia="Times New Roman" w:hAnsi="Times New Roman"/>
                <w:sz w:val="12"/>
                <w:szCs w:val="12"/>
                <w:color w:val="auto"/>
              </w:rPr>
              <w:t>Severance charges</w:t>
            </w:r>
          </w:p>
        </w:tc>
        <w:tc>
          <w:tcPr>
            <w:tcW w:w="34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6,320</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6,320</w:t>
            </w:r>
          </w:p>
        </w:tc>
      </w:tr>
      <w:tr>
        <w:trPr>
          <w:trHeight w:val="162"/>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Losses on debt extinguishment and other financing costs</w:t>
            </w:r>
          </w:p>
        </w:tc>
        <w:tc>
          <w:tcPr>
            <w:tcW w:w="3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3,783</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268</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3,783</w:t>
            </w:r>
          </w:p>
        </w:tc>
      </w:tr>
      <w:tr>
        <w:trPr>
          <w:trHeight w:val="162"/>
        </w:trPr>
        <w:tc>
          <w:tcPr>
            <w:tcW w:w="5140" w:type="dxa"/>
            <w:vAlign w:val="bottom"/>
          </w:tcPr>
          <w:p>
            <w:pPr>
              <w:spacing w:after="0"/>
              <w:rPr>
                <w:sz w:val="20"/>
                <w:szCs w:val="20"/>
                <w:color w:val="auto"/>
              </w:rPr>
            </w:pPr>
            <w:r>
              <w:rPr>
                <w:rFonts w:ascii="Times New Roman" w:cs="Times New Roman" w:eastAsia="Times New Roman" w:hAnsi="Times New Roman"/>
                <w:sz w:val="12"/>
                <w:szCs w:val="12"/>
                <w:color w:val="auto"/>
              </w:rPr>
              <w:t>Accretion on investment in leases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(7,374)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(6,991)</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(22,113)</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(20,753)</w:t>
            </w:r>
          </w:p>
        </w:tc>
      </w:tr>
      <w:tr>
        <w:trPr>
          <w:trHeight w:val="162"/>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Non-cash adjustment to financing lease liabilities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316</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w:t>
            </w:r>
          </w:p>
        </w:tc>
      </w:tr>
      <w:tr>
        <w:trPr>
          <w:trHeight w:val="162"/>
        </w:trPr>
        <w:tc>
          <w:tcPr>
            <w:tcW w:w="5140" w:type="dxa"/>
            <w:vAlign w:val="bottom"/>
          </w:tcPr>
          <w:p>
            <w:pPr>
              <w:spacing w:after="0"/>
              <w:rPr>
                <w:sz w:val="20"/>
                <w:szCs w:val="20"/>
                <w:color w:val="auto"/>
              </w:rPr>
            </w:pPr>
            <w:r>
              <w:rPr>
                <w:rFonts w:ascii="Times New Roman" w:cs="Times New Roman" w:eastAsia="Times New Roman" w:hAnsi="Times New Roman"/>
                <w:sz w:val="12"/>
                <w:szCs w:val="12"/>
                <w:color w:val="auto"/>
              </w:rPr>
              <w:t>Capital maintenance expenditures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w:t>
            </w:r>
          </w:p>
        </w:tc>
      </w:tr>
      <w:tr>
        <w:trPr>
          <w:trHeight w:val="151"/>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funds from operations</w:t>
            </w:r>
          </w:p>
        </w:tc>
        <w:tc>
          <w:tcPr>
            <w:tcW w:w="340" w:type="dxa"/>
            <w:vAlign w:val="bottom"/>
            <w:tcBorders>
              <w:top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311,670</w:t>
            </w: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282,019</w:t>
            </w:r>
          </w:p>
        </w:tc>
        <w:tc>
          <w:tcPr>
            <w:tcW w:w="1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912,785</w:t>
            </w:r>
          </w:p>
        </w:tc>
        <w:tc>
          <w:tcPr>
            <w:tcW w:w="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830,072</w:t>
            </w:r>
          </w:p>
        </w:tc>
      </w:tr>
      <w:tr>
        <w:trPr>
          <w:trHeight w:val="162"/>
        </w:trPr>
        <w:tc>
          <w:tcPr>
            <w:tcW w:w="5140" w:type="dxa"/>
            <w:vAlign w:val="bottom"/>
          </w:tcPr>
          <w:p>
            <w:pPr>
              <w:spacing w:after="0" w:line="162" w:lineRule="exact"/>
              <w:rPr>
                <w:sz w:val="20"/>
                <w:szCs w:val="20"/>
                <w:color w:val="auto"/>
              </w:rPr>
            </w:pPr>
            <w:r>
              <w:rPr>
                <w:rFonts w:ascii="Times New Roman" w:cs="Times New Roman" w:eastAsia="Times New Roman" w:hAnsi="Times New Roman"/>
                <w:sz w:val="12"/>
                <w:szCs w:val="12"/>
                <w:color w:val="auto"/>
              </w:rPr>
              <w:t xml:space="preserve">Interest, net </w:t>
            </w:r>
            <w:r>
              <w:rPr>
                <w:rFonts w:ascii="Times New Roman" w:cs="Times New Roman" w:eastAsia="Times New Roman" w:hAnsi="Times New Roman"/>
                <w:sz w:val="15"/>
                <w:szCs w:val="15"/>
                <w:color w:val="auto"/>
                <w:vertAlign w:val="superscript"/>
              </w:rPr>
              <w:t>(1)</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94,787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83,552</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283,198</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255,277</w:t>
            </w:r>
          </w:p>
        </w:tc>
      </w:tr>
      <w:tr>
        <w:trPr>
          <w:trHeight w:val="162"/>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560</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1,695</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1,669</w:t>
            </w:r>
          </w:p>
        </w:tc>
      </w:tr>
      <w:tr>
        <w:trPr>
          <w:trHeight w:val="162"/>
        </w:trPr>
        <w:tc>
          <w:tcPr>
            <w:tcW w:w="5140" w:type="dxa"/>
            <w:vAlign w:val="bottom"/>
          </w:tcPr>
          <w:p>
            <w:pPr>
              <w:spacing w:after="0"/>
              <w:rPr>
                <w:sz w:val="20"/>
                <w:szCs w:val="20"/>
                <w:color w:val="auto"/>
              </w:rPr>
            </w:pPr>
            <w:r>
              <w:rPr>
                <w:rFonts w:ascii="Times New Roman" w:cs="Times New Roman" w:eastAsia="Times New Roman" w:hAnsi="Times New Roman"/>
                <w:sz w:val="12"/>
                <w:szCs w:val="12"/>
                <w:color w:val="auto"/>
              </w:rPr>
              <w:t>Capital maintenance expenditures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w:t>
            </w:r>
          </w:p>
        </w:tc>
      </w:tr>
      <w:tr>
        <w:trPr>
          <w:trHeight w:val="162"/>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debt issuance costs, bond premiums and original issuance discounts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(3,425)</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(10,739)</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(9,884)</w:t>
            </w:r>
          </w:p>
        </w:tc>
      </w:tr>
      <w:tr>
        <w:trPr>
          <w:trHeight w:val="162"/>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Capitalized interest</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10,570</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3,652</w:t>
            </w:r>
          </w:p>
        </w:tc>
        <w:tc>
          <w:tcPr>
            <w:tcW w:w="1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25,484</w:t>
            </w:r>
          </w:p>
        </w:tc>
        <w:tc>
          <w:tcPr>
            <w:tcW w:w="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10,668</w:t>
            </w:r>
          </w:p>
        </w:tc>
      </w:tr>
      <w:tr>
        <w:trPr>
          <w:trHeight w:val="167"/>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413,930</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366,358</w:t>
            </w:r>
          </w:p>
        </w:tc>
        <w:tc>
          <w:tcPr>
            <w:tcW w:w="1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1,212,428</w:t>
            </w:r>
          </w:p>
        </w:tc>
        <w:tc>
          <w:tcPr>
            <w:tcW w:w="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1,087,959</w:t>
            </w:r>
          </w:p>
        </w:tc>
      </w:tr>
      <w:tr>
        <w:trPr>
          <w:trHeight w:val="90"/>
        </w:trPr>
        <w:tc>
          <w:tcPr>
            <w:tcW w:w="5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162"/>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FFO, per diluted common share and OP/LTIP units</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0.92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1.08</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2.99</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2.70</w:t>
            </w:r>
          </w:p>
        </w:tc>
      </w:tr>
      <w:tr>
        <w:trPr>
          <w:trHeight w:val="162"/>
        </w:trPr>
        <w:tc>
          <w:tcPr>
            <w:tcW w:w="5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AFFO, per diluted common share and OP/LTIP units</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1.04</w:t>
            </w:r>
          </w:p>
        </w:tc>
        <w:tc>
          <w:tcPr>
            <w:tcW w:w="8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0.97</w:t>
            </w:r>
          </w:p>
        </w:tc>
        <w:tc>
          <w:tcPr>
            <w:tcW w:w="14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3.09</w:t>
            </w:r>
          </w:p>
        </w:tc>
        <w:tc>
          <w:tcPr>
            <w:tcW w:w="6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2.89</w:t>
            </w:r>
          </w:p>
        </w:tc>
      </w:tr>
      <w:tr>
        <w:trPr>
          <w:trHeight w:val="99"/>
        </w:trPr>
        <w:tc>
          <w:tcPr>
            <w:tcW w:w="51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r>
      <w:tr>
        <w:trPr>
          <w:trHeight w:val="162"/>
        </w:trPr>
        <w:tc>
          <w:tcPr>
            <w:tcW w:w="5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 average number of common shares and OP/LTIP units outstanding</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5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Diluted common shares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291,071,440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283,502,768</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286,774,444</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278,800,590</w:t>
            </w:r>
          </w:p>
        </w:tc>
      </w:tr>
      <w:tr>
        <w:trPr>
          <w:trHeight w:val="162"/>
        </w:trPr>
        <w:tc>
          <w:tcPr>
            <w:tcW w:w="51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Diluted OP/LTIP units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8,573,903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8,323,931</w:t>
            </w:r>
          </w:p>
        </w:tc>
        <w:tc>
          <w:tcPr>
            <w:tcW w:w="1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8,592,661</w:t>
            </w:r>
          </w:p>
        </w:tc>
        <w:tc>
          <w:tcPr>
            <w:tcW w:w="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8,319,581</w:t>
            </w:r>
          </w:p>
        </w:tc>
      </w:tr>
      <w:tr>
        <w:trPr>
          <w:trHeight w:val="151"/>
        </w:trPr>
        <w:tc>
          <w:tcPr>
            <w:tcW w:w="5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Diluted common shares and diluted OP/LTIP units</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299,645,343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291,826,699</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295,367,105</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287,120,171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85725</wp:posOffset>
            </wp:positionV>
            <wp:extent cx="280035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xml:space="preserve"> Excludes non-cash interest expense gross ups related to certain ground leases.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300"/>
          </w:cols>
          <w:pgMar w:left="300" w:top="642" w:right="299" w:bottom="1440" w:gutter="0" w:footer="0" w:header="0"/>
        </w:sectPr>
      </w:pPr>
    </w:p>
    <w:bookmarkStart w:id="11" w:name="page12"/>
    <w:bookmarkEnd w:id="11"/>
    <w:p>
      <w:pPr>
        <w:jc w:val="center"/>
        <w:ind w:right="-919"/>
        <w:spacing w:after="0"/>
        <w:rPr>
          <w:sz w:val="20"/>
          <w:szCs w:val="20"/>
          <w:color w:val="auto"/>
        </w:rPr>
      </w:pPr>
      <w:r>
        <w:rPr>
          <w:rFonts w:ascii="Times New Roman" w:cs="Times New Roman" w:eastAsia="Times New Roman" w:hAnsi="Times New Roman"/>
          <w:sz w:val="12"/>
          <w:szCs w:val="12"/>
          <w:color w:val="auto"/>
        </w:rPr>
        <w:t>Reconciliation of Cash Net Operating Income</w:t>
      </w:r>
    </w:p>
    <w:p>
      <w:pPr>
        <w:spacing w:after="0" w:line="17"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2"/>
          <w:szCs w:val="12"/>
          <w:color w:val="auto"/>
        </w:rPr>
        <w:t>Gaming and Leisure Properties, Inc. and Subsidiaries</w:t>
      </w:r>
    </w:p>
    <w:p>
      <w:pPr>
        <w:spacing w:after="0" w:line="6"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2"/>
          <w:szCs w:val="12"/>
          <w:b w:val="1"/>
          <w:bCs w:val="1"/>
          <w:color w:val="auto"/>
        </w:rPr>
        <w:t>CONSOLIDATED</w:t>
      </w:r>
    </w:p>
    <w:p>
      <w:pPr>
        <w:spacing w:after="0" w:line="6"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2"/>
          <w:szCs w:val="12"/>
          <w:color w:val="auto"/>
        </w:rPr>
        <w:t>(in thousands, except per share and share data) (unaudited)</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100" w:type="dxa"/>
            <w:vAlign w:val="bottom"/>
          </w:tcPr>
          <w:p>
            <w:pPr>
              <w:spacing w:after="0"/>
              <w:rPr>
                <w:sz w:val="12"/>
                <w:szCs w:val="12"/>
                <w:color w:val="auto"/>
              </w:rPr>
            </w:pPr>
          </w:p>
        </w:tc>
        <w:tc>
          <w:tcPr>
            <w:tcW w:w="196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60"/>
        </w:trPr>
        <w:tc>
          <w:tcPr>
            <w:tcW w:w="920" w:type="dxa"/>
            <w:vAlign w:val="bottom"/>
          </w:tcPr>
          <w:p>
            <w:pPr>
              <w:spacing w:after="0"/>
              <w:rPr>
                <w:sz w:val="13"/>
                <w:szCs w:val="13"/>
                <w:color w:val="auto"/>
              </w:rPr>
            </w:pPr>
          </w:p>
        </w:tc>
        <w:tc>
          <w:tcPr>
            <w:tcW w:w="3480" w:type="dxa"/>
            <w:vAlign w:val="bottom"/>
            <w:tcBorders>
              <w:bottom w:val="single" w:sz="8" w:color="CCEEFF"/>
            </w:tcBorders>
          </w:tcPr>
          <w:p>
            <w:pPr>
              <w:spacing w:after="0"/>
              <w:rPr>
                <w:sz w:val="13"/>
                <w:szCs w:val="13"/>
                <w:color w:val="auto"/>
              </w:rPr>
            </w:pPr>
          </w:p>
        </w:tc>
        <w:tc>
          <w:tcPr>
            <w:tcW w:w="16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2"/>
                <w:szCs w:val="12"/>
                <w:b w:val="1"/>
                <w:bCs w:val="1"/>
                <w:color w:val="auto"/>
              </w:rPr>
              <w:t>2026</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rPr>
              <w:t>2026</w:t>
            </w:r>
          </w:p>
        </w:tc>
      </w:tr>
      <w:tr>
        <w:trPr>
          <w:trHeight w:val="153"/>
        </w:trPr>
        <w:tc>
          <w:tcPr>
            <w:tcW w:w="920" w:type="dxa"/>
            <w:vAlign w:val="bottom"/>
          </w:tcPr>
          <w:p>
            <w:pPr>
              <w:spacing w:after="0"/>
              <w:rPr>
                <w:sz w:val="13"/>
                <w:szCs w:val="13"/>
                <w:color w:val="auto"/>
              </w:rPr>
            </w:pPr>
          </w:p>
        </w:tc>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413,930</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1,212,428</w:t>
            </w:r>
          </w:p>
        </w:tc>
      </w:tr>
      <w:tr>
        <w:trPr>
          <w:trHeight w:val="162"/>
        </w:trPr>
        <w:tc>
          <w:tcPr>
            <w:tcW w:w="920" w:type="dxa"/>
            <w:vAlign w:val="bottom"/>
          </w:tcPr>
          <w:p>
            <w:pPr>
              <w:spacing w:after="0"/>
              <w:rPr>
                <w:sz w:val="14"/>
                <w:szCs w:val="14"/>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10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12,871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44,054</w:t>
            </w:r>
          </w:p>
        </w:tc>
      </w:tr>
      <w:tr>
        <w:trPr>
          <w:trHeight w:val="162"/>
        </w:trPr>
        <w:tc>
          <w:tcPr>
            <w:tcW w:w="920" w:type="dxa"/>
            <w:vAlign w:val="bottom"/>
          </w:tcPr>
          <w:p>
            <w:pPr>
              <w:spacing w:after="0"/>
              <w:rPr>
                <w:sz w:val="14"/>
                <w:szCs w:val="14"/>
                <w:color w:val="auto"/>
              </w:rPr>
            </w:pPr>
          </w:p>
        </w:tc>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10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(4,695)</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(17,443)</w:t>
            </w:r>
          </w:p>
        </w:tc>
      </w:tr>
      <w:tr>
        <w:trPr>
          <w:trHeight w:val="151"/>
        </w:trPr>
        <w:tc>
          <w:tcPr>
            <w:tcW w:w="920" w:type="dxa"/>
            <w:vAlign w:val="bottom"/>
          </w:tcPr>
          <w:p>
            <w:pPr>
              <w:spacing w:after="0"/>
              <w:rPr>
                <w:sz w:val="13"/>
                <w:szCs w:val="13"/>
                <w:color w:val="auto"/>
              </w:rPr>
            </w:pPr>
          </w:p>
        </w:tc>
        <w:tc>
          <w:tcPr>
            <w:tcW w:w="5080" w:type="dxa"/>
            <w:vAlign w:val="bottom"/>
            <w:gridSpan w:val="2"/>
          </w:tcPr>
          <w:p>
            <w:pPr>
              <w:ind w:left="20"/>
              <w:spacing w:after="0" w:line="151" w:lineRule="exact"/>
              <w:rPr>
                <w:sz w:val="20"/>
                <w:szCs w:val="20"/>
                <w:color w:val="auto"/>
              </w:rPr>
            </w:pPr>
            <w:r>
              <w:rPr>
                <w:rFonts w:ascii="Times New Roman" w:cs="Times New Roman" w:eastAsia="Times New Roman" w:hAnsi="Times New Roman"/>
                <w:sz w:val="12"/>
                <w:szCs w:val="12"/>
                <w:b w:val="1"/>
                <w:bCs w:val="1"/>
                <w:color w:val="auto"/>
              </w:rPr>
              <w:t xml:space="preserve">Cash net operating income </w:t>
            </w:r>
            <w:r>
              <w:rPr>
                <w:rFonts w:ascii="Times New Roman" w:cs="Times New Roman" w:eastAsia="Times New Roman" w:hAnsi="Times New Roman"/>
                <w:sz w:val="15"/>
                <w:szCs w:val="15"/>
                <w:b w:val="1"/>
                <w:bCs w:val="1"/>
                <w:color w:val="auto"/>
                <w:vertAlign w:val="superscript"/>
              </w:rPr>
              <w:t>(1)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422,106</w:t>
            </w:r>
          </w:p>
        </w:tc>
        <w:tc>
          <w:tcPr>
            <w:tcW w:w="16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1,239,039</w:t>
            </w:r>
          </w:p>
        </w:tc>
      </w:tr>
      <w:tr>
        <w:trPr>
          <w:trHeight w:val="20"/>
        </w:trPr>
        <w:tc>
          <w:tcPr>
            <w:tcW w:w="9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28"/>
        </w:trPr>
        <w:tc>
          <w:tcPr>
            <w:tcW w:w="92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xml:space="preserve"> Cash net operating income is cash rental income and interest on real estate loans less cash property level expenses.</w:t>
      </w:r>
    </w:p>
    <w:p>
      <w:pPr>
        <w:spacing w:after="0" w:line="34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0360"/>
          </w:cols>
          <w:pgMar w:left="300" w:top="642" w:right="1239" w:bottom="1440" w:gutter="0" w:footer="0" w:header="0"/>
        </w:sectPr>
      </w:pPr>
    </w:p>
    <w:bookmarkStart w:id="12" w:name="page13"/>
    <w:bookmarkEnd w:id="12"/>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Gaming and Leisure Properties, Inc. and Subsidiaries</w:t>
      </w:r>
    </w:p>
    <w:p>
      <w:pPr>
        <w:spacing w:after="0" w:line="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(in thousands, except share and per share data)</w:t>
      </w:r>
    </w:p>
    <w:p>
      <w:pPr>
        <w:spacing w:after="0" w:line="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September 30, 2026</w:t>
            </w:r>
          </w:p>
        </w:tc>
        <w:tc>
          <w:tcPr>
            <w:tcW w:w="240" w:type="dxa"/>
            <w:vAlign w:val="bottom"/>
          </w:tcPr>
          <w:p>
            <w:pPr>
              <w:spacing w:after="0"/>
              <w:rPr>
                <w:sz w:val="11"/>
                <w:szCs w:val="11"/>
                <w:color w:val="auto"/>
              </w:rPr>
            </w:pPr>
          </w:p>
        </w:tc>
        <w:tc>
          <w:tcPr>
            <w:tcW w:w="1340" w:type="dxa"/>
            <w:vAlign w:val="bottom"/>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December 31, 2025</w:t>
            </w:r>
          </w:p>
        </w:tc>
      </w:tr>
      <w:tr>
        <w:trPr>
          <w:trHeight w:val="151"/>
        </w:trPr>
        <w:tc>
          <w:tcPr>
            <w:tcW w:w="7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2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r>
      <w:tr>
        <w:trPr>
          <w:trHeight w:val="162"/>
        </w:trPr>
        <w:tc>
          <w:tcPr>
            <w:tcW w:w="7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Real estate investments, net</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9,666,895</w:t>
            </w:r>
          </w:p>
        </w:tc>
        <w:tc>
          <w:tcPr>
            <w:tcW w:w="160" w:type="dxa"/>
            <w:vAlign w:val="bottom"/>
          </w:tcPr>
          <w:p>
            <w:pPr>
              <w:spacing w:after="0"/>
              <w:rPr>
                <w:sz w:val="14"/>
                <w:szCs w:val="14"/>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8,474,261</w:t>
            </w:r>
          </w:p>
        </w:tc>
      </w:tr>
      <w:tr>
        <w:trPr>
          <w:trHeight w:val="162"/>
        </w:trPr>
        <w:tc>
          <w:tcPr>
            <w:tcW w:w="7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Investment in leases, financing receivables, net</w:t>
            </w: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2,550,915</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2,557,504</w:t>
            </w:r>
          </w:p>
        </w:tc>
      </w:tr>
      <w:tr>
        <w:trPr>
          <w:trHeight w:val="162"/>
        </w:trPr>
        <w:tc>
          <w:tcPr>
            <w:tcW w:w="7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Investment in leases, sales-type, net</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245,121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248,421</w:t>
            </w:r>
          </w:p>
        </w:tc>
      </w:tr>
      <w:tr>
        <w:trPr>
          <w:trHeight w:val="162"/>
        </w:trPr>
        <w:tc>
          <w:tcPr>
            <w:tcW w:w="7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Real estate loans, net</w:t>
            </w: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315,634</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247,999</w:t>
            </w:r>
          </w:p>
        </w:tc>
      </w:tr>
      <w:tr>
        <w:trPr>
          <w:trHeight w:val="162"/>
        </w:trPr>
        <w:tc>
          <w:tcPr>
            <w:tcW w:w="7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Right-of-use assets and land rights, net</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1,057,047</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1,072,163</w:t>
            </w:r>
          </w:p>
        </w:tc>
      </w:tr>
      <w:tr>
        <w:trPr>
          <w:trHeight w:val="162"/>
        </w:trPr>
        <w:tc>
          <w:tcPr>
            <w:tcW w:w="7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165,752</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224,314</w:t>
            </w:r>
          </w:p>
        </w:tc>
      </w:tr>
      <w:tr>
        <w:trPr>
          <w:trHeight w:val="162"/>
        </w:trPr>
        <w:tc>
          <w:tcPr>
            <w:tcW w:w="78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Other assets</w:t>
            </w: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94,832</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84,947</w:t>
            </w:r>
          </w:p>
        </w:tc>
      </w:tr>
      <w:tr>
        <w:trPr>
          <w:trHeight w:val="149"/>
        </w:trPr>
        <w:tc>
          <w:tcPr>
            <w:tcW w:w="784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14,096,196</w:t>
            </w:r>
          </w:p>
        </w:tc>
        <w:tc>
          <w:tcPr>
            <w:tcW w:w="1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12,909,609</w:t>
            </w:r>
          </w:p>
        </w:tc>
      </w:tr>
      <w:tr>
        <w:trPr>
          <w:trHeight w:val="126"/>
        </w:trPr>
        <w:tc>
          <w:tcPr>
            <w:tcW w:w="7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62"/>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62"/>
        </w:trPr>
        <w:tc>
          <w:tcPr>
            <w:tcW w:w="7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9,353</w:t>
            </w:r>
          </w:p>
        </w:tc>
        <w:tc>
          <w:tcPr>
            <w:tcW w:w="160" w:type="dxa"/>
            <w:vAlign w:val="bottom"/>
          </w:tcPr>
          <w:p>
            <w:pPr>
              <w:spacing w:after="0"/>
              <w:rPr>
                <w:sz w:val="14"/>
                <w:szCs w:val="14"/>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6,641</w:t>
            </w:r>
          </w:p>
        </w:tc>
      </w:tr>
      <w:tr>
        <w:trPr>
          <w:trHeight w:val="162"/>
        </w:trPr>
        <w:tc>
          <w:tcPr>
            <w:tcW w:w="7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Accrued interest</w:t>
            </w: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74,010</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106,253</w:t>
            </w:r>
          </w:p>
        </w:tc>
      </w:tr>
      <w:tr>
        <w:trPr>
          <w:trHeight w:val="162"/>
        </w:trPr>
        <w:tc>
          <w:tcPr>
            <w:tcW w:w="7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Accrued salaries and wages</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6,106</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10,209</w:t>
            </w:r>
          </w:p>
        </w:tc>
      </w:tr>
      <w:tr>
        <w:trPr>
          <w:trHeight w:val="162"/>
        </w:trPr>
        <w:tc>
          <w:tcPr>
            <w:tcW w:w="7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240,149</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242,481</w:t>
            </w:r>
          </w:p>
        </w:tc>
      </w:tr>
      <w:tr>
        <w:trPr>
          <w:trHeight w:val="162"/>
        </w:trPr>
        <w:tc>
          <w:tcPr>
            <w:tcW w:w="7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Financing lease liabilities</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62,703</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61,219</w:t>
            </w:r>
          </w:p>
        </w:tc>
      </w:tr>
      <w:tr>
        <w:trPr>
          <w:trHeight w:val="162"/>
        </w:trPr>
        <w:tc>
          <w:tcPr>
            <w:tcW w:w="7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Long-term debt, net of unamortized debt issuance costs, bond premiums and original issuance discounts</w:t>
            </w: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8,080,546</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7,203,731</w:t>
            </w:r>
          </w:p>
        </w:tc>
      </w:tr>
      <w:tr>
        <w:trPr>
          <w:trHeight w:val="162"/>
        </w:trPr>
        <w:tc>
          <w:tcPr>
            <w:tcW w:w="7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Deferred rental revenue</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211,870</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205,786</w:t>
            </w:r>
          </w:p>
        </w:tc>
      </w:tr>
      <w:tr>
        <w:trPr>
          <w:trHeight w:val="162"/>
        </w:trPr>
        <w:tc>
          <w:tcPr>
            <w:tcW w:w="7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Other liabilities</w:t>
            </w:r>
          </w:p>
        </w:tc>
        <w:tc>
          <w:tcPr>
            <w:tcW w:w="22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57,524</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65,029</w:t>
            </w:r>
          </w:p>
        </w:tc>
      </w:tr>
      <w:tr>
        <w:trPr>
          <w:trHeight w:val="151"/>
        </w:trPr>
        <w:tc>
          <w:tcPr>
            <w:tcW w:w="7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Total liabilities</w:t>
            </w:r>
          </w:p>
        </w:tc>
        <w:tc>
          <w:tcPr>
            <w:tcW w:w="2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8,742,261</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7,901,349</w:t>
            </w:r>
          </w:p>
        </w:tc>
      </w:tr>
      <w:tr>
        <w:trPr>
          <w:trHeight w:val="124"/>
        </w:trPr>
        <w:tc>
          <w:tcPr>
            <w:tcW w:w="7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r>
      <w:tr>
        <w:trPr>
          <w:trHeight w:val="162"/>
        </w:trPr>
        <w:tc>
          <w:tcPr>
            <w:tcW w:w="7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7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Preferred stock ($.01 par value, 50,000,000 shares authorized, no shares issued or outstanding at September 30, 2026 and December 31, 2025)</w:t>
            </w:r>
          </w:p>
        </w:tc>
        <w:tc>
          <w:tcPr>
            <w:tcW w:w="2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26"/>
        </w:trPr>
        <w:tc>
          <w:tcPr>
            <w:tcW w:w="7840" w:type="dxa"/>
            <w:vAlign w:val="bottom"/>
          </w:tcPr>
          <w:p>
            <w:pPr>
              <w:ind w:left="80"/>
              <w:spacing w:after="0" w:line="126" w:lineRule="exact"/>
              <w:rPr>
                <w:sz w:val="20"/>
                <w:szCs w:val="20"/>
                <w:color w:val="auto"/>
              </w:rPr>
            </w:pPr>
            <w:r>
              <w:rPr>
                <w:rFonts w:ascii="Times New Roman" w:cs="Times New Roman" w:eastAsia="Times New Roman" w:hAnsi="Times New Roman"/>
                <w:sz w:val="12"/>
                <w:szCs w:val="12"/>
                <w:color w:val="auto"/>
              </w:rPr>
              <w:t>Common stock ($.01 par value, 500,000,000 shares authorized, 290,923,261 and 283,037,310 shares issued and outstanding at September 30, 2026 and</w:t>
            </w:r>
          </w:p>
        </w:tc>
        <w:tc>
          <w:tcPr>
            <w:tcW w:w="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62"/>
        </w:trPr>
        <w:tc>
          <w:tcPr>
            <w:tcW w:w="7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December 31, 2025, respectively)</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2,909</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2,830</w:t>
            </w:r>
          </w:p>
        </w:tc>
      </w:tr>
      <w:tr>
        <w:trPr>
          <w:trHeight w:val="162"/>
        </w:trPr>
        <w:tc>
          <w:tcPr>
            <w:tcW w:w="7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6,972,671</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6,613,488</w:t>
            </w:r>
          </w:p>
        </w:tc>
      </w:tr>
      <w:tr>
        <w:trPr>
          <w:trHeight w:val="162"/>
        </w:trPr>
        <w:tc>
          <w:tcPr>
            <w:tcW w:w="7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Accumulated deficit</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(2,021,301)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(1,990,770)</w:t>
            </w:r>
          </w:p>
        </w:tc>
      </w:tr>
      <w:tr>
        <w:trPr>
          <w:trHeight w:val="162"/>
        </w:trPr>
        <w:tc>
          <w:tcPr>
            <w:tcW w:w="7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22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904</w:t>
            </w:r>
          </w:p>
        </w:tc>
      </w:tr>
      <w:tr>
        <w:trPr>
          <w:trHeight w:val="151"/>
        </w:trPr>
        <w:tc>
          <w:tcPr>
            <w:tcW w:w="78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equity attributable to Gaming and Leisure Properties</w:t>
            </w:r>
          </w:p>
        </w:tc>
        <w:tc>
          <w:tcPr>
            <w:tcW w:w="2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4,955,114</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4,626,452</w:t>
            </w:r>
          </w:p>
        </w:tc>
      </w:tr>
      <w:tr>
        <w:trPr>
          <w:trHeight w:val="126"/>
        </w:trPr>
        <w:tc>
          <w:tcPr>
            <w:tcW w:w="78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Noncontrolling interests in GLPI's Operating Partnership (8,473,163 units and 8,224,939 units outstanding at September 30, 2026 and December 31, 2025,</w:t>
            </w:r>
          </w:p>
        </w:tc>
        <w:tc>
          <w:tcPr>
            <w:tcW w:w="2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r>
      <w:tr>
        <w:trPr>
          <w:trHeight w:val="162"/>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respectively)</w:t>
            </w:r>
          </w:p>
        </w:tc>
        <w:tc>
          <w:tcPr>
            <w:tcW w:w="22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398,821</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381,808</w:t>
            </w:r>
          </w:p>
        </w:tc>
      </w:tr>
      <w:tr>
        <w:trPr>
          <w:trHeight w:val="151"/>
        </w:trPr>
        <w:tc>
          <w:tcPr>
            <w:tcW w:w="7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Total equity</w:t>
            </w:r>
          </w:p>
        </w:tc>
        <w:tc>
          <w:tcPr>
            <w:tcW w:w="2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5,353,935</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5,008,260</w:t>
            </w:r>
          </w:p>
        </w:tc>
      </w:tr>
      <w:tr>
        <w:trPr>
          <w:trHeight w:val="171"/>
        </w:trPr>
        <w:tc>
          <w:tcPr>
            <w:tcW w:w="7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 and equity</w:t>
            </w: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14,096,196</w:t>
            </w:r>
          </w:p>
        </w:tc>
        <w:tc>
          <w:tcPr>
            <w:tcW w:w="1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12,909,609</w:t>
            </w:r>
          </w:p>
        </w:tc>
      </w:tr>
      <w:tr>
        <w:trPr>
          <w:trHeight w:val="752"/>
        </w:trPr>
        <w:tc>
          <w:tcPr>
            <w:tcW w:w="7840" w:type="dxa"/>
            <w:vAlign w:val="bottom"/>
          </w:tcPr>
          <w:p>
            <w:pPr>
              <w:ind w:left="5580"/>
              <w:spacing w:after="0"/>
              <w:rPr>
                <w:sz w:val="20"/>
                <w:szCs w:val="20"/>
                <w:color w:val="auto"/>
              </w:rPr>
            </w:pPr>
            <w:r>
              <w:rPr>
                <w:rFonts w:ascii="Times New Roman" w:cs="Times New Roman" w:eastAsia="Times New Roman" w:hAnsi="Times New Roman"/>
                <w:sz w:val="12"/>
                <w:szCs w:val="12"/>
                <w:color w:val="auto"/>
              </w:rPr>
              <w:t>10</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180"/>
          </w:cols>
          <w:pgMar w:left="300" w:top="638" w:right="4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b w:val="1"/>
          <w:bCs w:val="1"/>
          <w:u w:val="single" w:color="auto"/>
          <w:color w:val="auto"/>
        </w:rPr>
        <w:t>Debt Capitalization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debt structure as of September 30, 2026 was as follows: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1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0"/>
                <w:szCs w:val="10"/>
                <w:b w:val="1"/>
                <w:bCs w:val="1"/>
                <w:color w:val="auto"/>
                <w:w w:val="95"/>
              </w:rPr>
              <w:t>Years to Maturity</w:t>
            </w:r>
          </w:p>
        </w:tc>
        <w:tc>
          <w:tcPr>
            <w:tcW w:w="5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6"/>
              </w:rPr>
              <w:t>Interest Rate</w:t>
            </w:r>
          </w:p>
        </w:tc>
        <w:tc>
          <w:tcPr>
            <w:tcW w:w="1300" w:type="dxa"/>
            <w:vAlign w:val="bottom"/>
            <w:tcBorders>
              <w:top w:val="single" w:sz="8" w:color="auto"/>
            </w:tcBorders>
          </w:tcPr>
          <w:p>
            <w:pPr>
              <w:jc w:val="right"/>
              <w:ind w:right="421"/>
              <w:spacing w:after="0"/>
              <w:rPr>
                <w:sz w:val="20"/>
                <w:szCs w:val="20"/>
                <w:color w:val="auto"/>
              </w:rPr>
            </w:pPr>
            <w:r>
              <w:rPr>
                <w:rFonts w:ascii="Times New Roman" w:cs="Times New Roman" w:eastAsia="Times New Roman" w:hAnsi="Times New Roman"/>
                <w:sz w:val="10"/>
                <w:szCs w:val="10"/>
                <w:b w:val="1"/>
                <w:bCs w:val="1"/>
                <w:color w:val="auto"/>
              </w:rPr>
              <w:t>Balance</w:t>
            </w:r>
          </w:p>
        </w:tc>
      </w:tr>
      <w:tr>
        <w:trPr>
          <w:trHeight w:val="133"/>
        </w:trPr>
        <w:tc>
          <w:tcPr>
            <w:tcW w:w="7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Borders>
              <w:top w:val="single" w:sz="8" w:color="auto"/>
            </w:tcBorders>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rPr>
              <w:t>(in thousands)</w:t>
            </w:r>
          </w:p>
        </w:tc>
      </w:tr>
      <w:tr>
        <w:trPr>
          <w:trHeight w:val="170"/>
        </w:trPr>
        <w:tc>
          <w:tcPr>
            <w:tcW w:w="700" w:type="dxa"/>
            <w:vAlign w:val="bottom"/>
          </w:tcPr>
          <w:p>
            <w:pPr>
              <w:spacing w:after="0"/>
              <w:rPr>
                <w:sz w:val="14"/>
                <w:szCs w:val="14"/>
                <w:color w:val="auto"/>
              </w:rPr>
            </w:pPr>
          </w:p>
        </w:tc>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Unsecured $2,090 Million Revolver Due December 2028</w:t>
            </w:r>
          </w:p>
        </w:tc>
        <w:tc>
          <w:tcPr>
            <w:tcW w:w="50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2.2</w:t>
            </w:r>
          </w:p>
        </w:tc>
        <w:tc>
          <w:tcPr>
            <w:tcW w:w="1180" w:type="dxa"/>
            <w:vAlign w:val="bottom"/>
            <w:shd w:val="clear" w:color="auto" w:fill="CCEEFF"/>
          </w:tcPr>
          <w:p>
            <w:pPr>
              <w:jc w:val="center"/>
              <w:ind w:right="141"/>
              <w:spacing w:after="0"/>
              <w:rPr>
                <w:sz w:val="20"/>
                <w:szCs w:val="20"/>
                <w:color w:val="auto"/>
              </w:rPr>
            </w:pPr>
            <w:r>
              <w:rPr>
                <w:rFonts w:ascii="Times New Roman" w:cs="Times New Roman" w:eastAsia="Times New Roman" w:hAnsi="Times New Roman"/>
                <w:sz w:val="12"/>
                <w:szCs w:val="12"/>
                <w:color w:val="auto"/>
              </w:rPr>
              <w:t>5.201%</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329,130</w:t>
            </w:r>
          </w:p>
        </w:tc>
      </w:tr>
      <w:tr>
        <w:trPr>
          <w:trHeight w:val="162"/>
        </w:trPr>
        <w:tc>
          <w:tcPr>
            <w:tcW w:w="700" w:type="dxa"/>
            <w:vAlign w:val="bottom"/>
          </w:tcPr>
          <w:p>
            <w:pPr>
              <w:spacing w:after="0"/>
              <w:rPr>
                <w:sz w:val="14"/>
                <w:szCs w:val="14"/>
                <w:color w:val="auto"/>
              </w:rPr>
            </w:pPr>
          </w:p>
        </w:tc>
        <w:tc>
          <w:tcPr>
            <w:tcW w:w="6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Term Loan Due December 2028</w:t>
            </w:r>
          </w:p>
        </w:tc>
        <w:tc>
          <w:tcPr>
            <w:tcW w:w="50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2.2</w:t>
            </w:r>
          </w:p>
        </w:tc>
        <w:tc>
          <w:tcPr>
            <w:tcW w:w="1180" w:type="dxa"/>
            <w:vAlign w:val="bottom"/>
          </w:tcPr>
          <w:p>
            <w:pPr>
              <w:jc w:val="center"/>
              <w:ind w:right="141"/>
              <w:spacing w:after="0"/>
              <w:rPr>
                <w:sz w:val="20"/>
                <w:szCs w:val="20"/>
                <w:color w:val="auto"/>
              </w:rPr>
            </w:pPr>
            <w:r>
              <w:rPr>
                <w:rFonts w:ascii="Times New Roman" w:cs="Times New Roman" w:eastAsia="Times New Roman" w:hAnsi="Times New Roman"/>
                <w:sz w:val="12"/>
                <w:szCs w:val="12"/>
                <w:color w:val="auto"/>
              </w:rPr>
              <w:t>5.068%</w:t>
            </w:r>
          </w:p>
        </w:tc>
        <w:tc>
          <w:tcPr>
            <w:tcW w:w="100" w:type="dxa"/>
            <w:vAlign w:val="bottom"/>
          </w:tcPr>
          <w:p>
            <w:pPr>
              <w:spacing w:after="0"/>
              <w:rPr>
                <w:sz w:val="14"/>
                <w:szCs w:val="14"/>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679,000</w:t>
            </w:r>
          </w:p>
        </w:tc>
      </w:tr>
      <w:tr>
        <w:trPr>
          <w:trHeight w:val="162"/>
        </w:trPr>
        <w:tc>
          <w:tcPr>
            <w:tcW w:w="700" w:type="dxa"/>
            <w:vAlign w:val="bottom"/>
          </w:tcPr>
          <w:p>
            <w:pPr>
              <w:spacing w:after="0"/>
              <w:rPr>
                <w:sz w:val="14"/>
                <w:szCs w:val="14"/>
                <w:color w:val="auto"/>
              </w:rPr>
            </w:pPr>
          </w:p>
        </w:tc>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Senior Unsecured Notes Due June 2028</w:t>
            </w:r>
          </w:p>
        </w:tc>
        <w:tc>
          <w:tcPr>
            <w:tcW w:w="50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1.7</w:t>
            </w:r>
          </w:p>
        </w:tc>
        <w:tc>
          <w:tcPr>
            <w:tcW w:w="1180" w:type="dxa"/>
            <w:vAlign w:val="bottom"/>
            <w:shd w:val="clear" w:color="auto" w:fill="CCEEFF"/>
          </w:tcPr>
          <w:p>
            <w:pPr>
              <w:jc w:val="center"/>
              <w:ind w:right="141"/>
              <w:spacing w:after="0"/>
              <w:rPr>
                <w:sz w:val="20"/>
                <w:szCs w:val="20"/>
                <w:color w:val="auto"/>
              </w:rPr>
            </w:pPr>
            <w:r>
              <w:rPr>
                <w:rFonts w:ascii="Times New Roman" w:cs="Times New Roman" w:eastAsia="Times New Roman" w:hAnsi="Times New Roman"/>
                <w:sz w:val="12"/>
                <w:szCs w:val="12"/>
                <w:color w:val="auto"/>
              </w:rPr>
              <w:t>5.750%</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500,000</w:t>
            </w:r>
          </w:p>
        </w:tc>
      </w:tr>
      <w:tr>
        <w:trPr>
          <w:trHeight w:val="162"/>
        </w:trPr>
        <w:tc>
          <w:tcPr>
            <w:tcW w:w="700" w:type="dxa"/>
            <w:vAlign w:val="bottom"/>
          </w:tcPr>
          <w:p>
            <w:pPr>
              <w:spacing w:after="0"/>
              <w:rPr>
                <w:sz w:val="14"/>
                <w:szCs w:val="14"/>
                <w:color w:val="auto"/>
              </w:rPr>
            </w:pPr>
          </w:p>
        </w:tc>
        <w:tc>
          <w:tcPr>
            <w:tcW w:w="6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Senior Unsecured Notes Due January 2029</w:t>
            </w:r>
          </w:p>
        </w:tc>
        <w:tc>
          <w:tcPr>
            <w:tcW w:w="50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2.3</w:t>
            </w:r>
          </w:p>
        </w:tc>
        <w:tc>
          <w:tcPr>
            <w:tcW w:w="1180" w:type="dxa"/>
            <w:vAlign w:val="bottom"/>
          </w:tcPr>
          <w:p>
            <w:pPr>
              <w:jc w:val="center"/>
              <w:ind w:right="141"/>
              <w:spacing w:after="0"/>
              <w:rPr>
                <w:sz w:val="20"/>
                <w:szCs w:val="20"/>
                <w:color w:val="auto"/>
              </w:rPr>
            </w:pPr>
            <w:r>
              <w:rPr>
                <w:rFonts w:ascii="Times New Roman" w:cs="Times New Roman" w:eastAsia="Times New Roman" w:hAnsi="Times New Roman"/>
                <w:sz w:val="12"/>
                <w:szCs w:val="12"/>
                <w:color w:val="auto"/>
              </w:rPr>
              <w:t>5.300%</w:t>
            </w:r>
          </w:p>
        </w:tc>
        <w:tc>
          <w:tcPr>
            <w:tcW w:w="100" w:type="dxa"/>
            <w:vAlign w:val="bottom"/>
          </w:tcPr>
          <w:p>
            <w:pPr>
              <w:spacing w:after="0"/>
              <w:rPr>
                <w:sz w:val="14"/>
                <w:szCs w:val="14"/>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750,000</w:t>
            </w:r>
          </w:p>
        </w:tc>
      </w:tr>
      <w:tr>
        <w:trPr>
          <w:trHeight w:val="162"/>
        </w:trPr>
        <w:tc>
          <w:tcPr>
            <w:tcW w:w="700" w:type="dxa"/>
            <w:vAlign w:val="bottom"/>
          </w:tcPr>
          <w:p>
            <w:pPr>
              <w:spacing w:after="0"/>
              <w:rPr>
                <w:sz w:val="14"/>
                <w:szCs w:val="14"/>
                <w:color w:val="auto"/>
              </w:rPr>
            </w:pPr>
          </w:p>
        </w:tc>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Senior Unsecured Notes Due January 2030</w:t>
            </w:r>
          </w:p>
        </w:tc>
        <w:tc>
          <w:tcPr>
            <w:tcW w:w="50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3.3</w:t>
            </w:r>
          </w:p>
        </w:tc>
        <w:tc>
          <w:tcPr>
            <w:tcW w:w="1180" w:type="dxa"/>
            <w:vAlign w:val="bottom"/>
            <w:shd w:val="clear" w:color="auto" w:fill="CCEEFF"/>
          </w:tcPr>
          <w:p>
            <w:pPr>
              <w:jc w:val="center"/>
              <w:ind w:right="141"/>
              <w:spacing w:after="0"/>
              <w:rPr>
                <w:sz w:val="20"/>
                <w:szCs w:val="20"/>
                <w:color w:val="auto"/>
              </w:rPr>
            </w:pPr>
            <w:r>
              <w:rPr>
                <w:rFonts w:ascii="Times New Roman" w:cs="Times New Roman" w:eastAsia="Times New Roman" w:hAnsi="Times New Roman"/>
                <w:sz w:val="12"/>
                <w:szCs w:val="12"/>
                <w:color w:val="auto"/>
              </w:rPr>
              <w:t>4.000%</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700,000</w:t>
            </w:r>
          </w:p>
        </w:tc>
      </w:tr>
      <w:tr>
        <w:trPr>
          <w:trHeight w:val="162"/>
        </w:trPr>
        <w:tc>
          <w:tcPr>
            <w:tcW w:w="700" w:type="dxa"/>
            <w:vAlign w:val="bottom"/>
          </w:tcPr>
          <w:p>
            <w:pPr>
              <w:spacing w:after="0"/>
              <w:rPr>
                <w:sz w:val="14"/>
                <w:szCs w:val="14"/>
                <w:color w:val="auto"/>
              </w:rPr>
            </w:pPr>
          </w:p>
        </w:tc>
        <w:tc>
          <w:tcPr>
            <w:tcW w:w="6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Senior Unsecured Notes Due January 2031</w:t>
            </w:r>
          </w:p>
        </w:tc>
        <w:tc>
          <w:tcPr>
            <w:tcW w:w="50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4.3</w:t>
            </w:r>
          </w:p>
        </w:tc>
        <w:tc>
          <w:tcPr>
            <w:tcW w:w="1180" w:type="dxa"/>
            <w:vAlign w:val="bottom"/>
          </w:tcPr>
          <w:p>
            <w:pPr>
              <w:jc w:val="center"/>
              <w:ind w:right="141"/>
              <w:spacing w:after="0"/>
              <w:rPr>
                <w:sz w:val="20"/>
                <w:szCs w:val="20"/>
                <w:color w:val="auto"/>
              </w:rPr>
            </w:pPr>
            <w:r>
              <w:rPr>
                <w:rFonts w:ascii="Times New Roman" w:cs="Times New Roman" w:eastAsia="Times New Roman" w:hAnsi="Times New Roman"/>
                <w:sz w:val="12"/>
                <w:szCs w:val="12"/>
                <w:color w:val="auto"/>
              </w:rPr>
              <w:t>4.000%</w:t>
            </w:r>
          </w:p>
        </w:tc>
        <w:tc>
          <w:tcPr>
            <w:tcW w:w="100" w:type="dxa"/>
            <w:vAlign w:val="bottom"/>
          </w:tcPr>
          <w:p>
            <w:pPr>
              <w:spacing w:after="0"/>
              <w:rPr>
                <w:sz w:val="14"/>
                <w:szCs w:val="14"/>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700,000</w:t>
            </w:r>
          </w:p>
        </w:tc>
      </w:tr>
      <w:tr>
        <w:trPr>
          <w:trHeight w:val="162"/>
        </w:trPr>
        <w:tc>
          <w:tcPr>
            <w:tcW w:w="700" w:type="dxa"/>
            <w:vAlign w:val="bottom"/>
          </w:tcPr>
          <w:p>
            <w:pPr>
              <w:spacing w:after="0"/>
              <w:rPr>
                <w:sz w:val="14"/>
                <w:szCs w:val="14"/>
                <w:color w:val="auto"/>
              </w:rPr>
            </w:pPr>
          </w:p>
        </w:tc>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Senior Unsecured Notes Due January 2032</w:t>
            </w:r>
          </w:p>
        </w:tc>
        <w:tc>
          <w:tcPr>
            <w:tcW w:w="50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5.3</w:t>
            </w:r>
          </w:p>
        </w:tc>
        <w:tc>
          <w:tcPr>
            <w:tcW w:w="1180" w:type="dxa"/>
            <w:vAlign w:val="bottom"/>
            <w:shd w:val="clear" w:color="auto" w:fill="CCEEFF"/>
          </w:tcPr>
          <w:p>
            <w:pPr>
              <w:jc w:val="center"/>
              <w:ind w:right="141"/>
              <w:spacing w:after="0"/>
              <w:rPr>
                <w:sz w:val="20"/>
                <w:szCs w:val="20"/>
                <w:color w:val="auto"/>
              </w:rPr>
            </w:pPr>
            <w:r>
              <w:rPr>
                <w:rFonts w:ascii="Times New Roman" w:cs="Times New Roman" w:eastAsia="Times New Roman" w:hAnsi="Times New Roman"/>
                <w:sz w:val="12"/>
                <w:szCs w:val="12"/>
                <w:color w:val="auto"/>
              </w:rPr>
              <w:t>3.250%</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800,000</w:t>
            </w:r>
          </w:p>
        </w:tc>
      </w:tr>
      <w:tr>
        <w:trPr>
          <w:trHeight w:val="162"/>
        </w:trPr>
        <w:tc>
          <w:tcPr>
            <w:tcW w:w="700" w:type="dxa"/>
            <w:vAlign w:val="bottom"/>
          </w:tcPr>
          <w:p>
            <w:pPr>
              <w:spacing w:after="0"/>
              <w:rPr>
                <w:sz w:val="14"/>
                <w:szCs w:val="14"/>
                <w:color w:val="auto"/>
              </w:rPr>
            </w:pPr>
          </w:p>
        </w:tc>
        <w:tc>
          <w:tcPr>
            <w:tcW w:w="6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Senior Unsecured Notes Due February 2033</w:t>
            </w:r>
          </w:p>
        </w:tc>
        <w:tc>
          <w:tcPr>
            <w:tcW w:w="50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6.4</w:t>
            </w:r>
          </w:p>
        </w:tc>
        <w:tc>
          <w:tcPr>
            <w:tcW w:w="1180" w:type="dxa"/>
            <w:vAlign w:val="bottom"/>
          </w:tcPr>
          <w:p>
            <w:pPr>
              <w:jc w:val="center"/>
              <w:ind w:right="141"/>
              <w:spacing w:after="0"/>
              <w:rPr>
                <w:sz w:val="20"/>
                <w:szCs w:val="20"/>
                <w:color w:val="auto"/>
              </w:rPr>
            </w:pPr>
            <w:r>
              <w:rPr>
                <w:rFonts w:ascii="Times New Roman" w:cs="Times New Roman" w:eastAsia="Times New Roman" w:hAnsi="Times New Roman"/>
                <w:sz w:val="12"/>
                <w:szCs w:val="12"/>
                <w:color w:val="auto"/>
              </w:rPr>
              <w:t>5.250%</w:t>
            </w:r>
          </w:p>
        </w:tc>
        <w:tc>
          <w:tcPr>
            <w:tcW w:w="100" w:type="dxa"/>
            <w:vAlign w:val="bottom"/>
          </w:tcPr>
          <w:p>
            <w:pPr>
              <w:spacing w:after="0"/>
              <w:rPr>
                <w:sz w:val="14"/>
                <w:szCs w:val="14"/>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600,000</w:t>
            </w:r>
          </w:p>
        </w:tc>
      </w:tr>
      <w:tr>
        <w:trPr>
          <w:trHeight w:val="162"/>
        </w:trPr>
        <w:tc>
          <w:tcPr>
            <w:tcW w:w="700" w:type="dxa"/>
            <w:vAlign w:val="bottom"/>
          </w:tcPr>
          <w:p>
            <w:pPr>
              <w:spacing w:after="0"/>
              <w:rPr>
                <w:sz w:val="14"/>
                <w:szCs w:val="14"/>
                <w:color w:val="auto"/>
              </w:rPr>
            </w:pPr>
          </w:p>
        </w:tc>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Senior Unsecured Notes Due December 2033</w:t>
            </w:r>
          </w:p>
        </w:tc>
        <w:tc>
          <w:tcPr>
            <w:tcW w:w="50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7.2</w:t>
            </w:r>
          </w:p>
        </w:tc>
        <w:tc>
          <w:tcPr>
            <w:tcW w:w="1180" w:type="dxa"/>
            <w:vAlign w:val="bottom"/>
            <w:shd w:val="clear" w:color="auto" w:fill="CCEEFF"/>
          </w:tcPr>
          <w:p>
            <w:pPr>
              <w:jc w:val="center"/>
              <w:ind w:right="141"/>
              <w:spacing w:after="0"/>
              <w:rPr>
                <w:sz w:val="20"/>
                <w:szCs w:val="20"/>
                <w:color w:val="auto"/>
              </w:rPr>
            </w:pPr>
            <w:r>
              <w:rPr>
                <w:rFonts w:ascii="Times New Roman" w:cs="Times New Roman" w:eastAsia="Times New Roman" w:hAnsi="Times New Roman"/>
                <w:sz w:val="12"/>
                <w:szCs w:val="12"/>
                <w:color w:val="auto"/>
              </w:rPr>
              <w:t>6.750%</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400,000</w:t>
            </w:r>
          </w:p>
        </w:tc>
      </w:tr>
      <w:tr>
        <w:trPr>
          <w:trHeight w:val="162"/>
        </w:trPr>
        <w:tc>
          <w:tcPr>
            <w:tcW w:w="700" w:type="dxa"/>
            <w:vAlign w:val="bottom"/>
          </w:tcPr>
          <w:p>
            <w:pPr>
              <w:spacing w:after="0"/>
              <w:rPr>
                <w:sz w:val="14"/>
                <w:szCs w:val="14"/>
                <w:color w:val="auto"/>
              </w:rPr>
            </w:pPr>
          </w:p>
        </w:tc>
        <w:tc>
          <w:tcPr>
            <w:tcW w:w="6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Senior Unsecured Notes Due September 2034</w:t>
            </w:r>
          </w:p>
        </w:tc>
        <w:tc>
          <w:tcPr>
            <w:tcW w:w="50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8.0</w:t>
            </w:r>
          </w:p>
        </w:tc>
        <w:tc>
          <w:tcPr>
            <w:tcW w:w="1180" w:type="dxa"/>
            <w:vAlign w:val="bottom"/>
          </w:tcPr>
          <w:p>
            <w:pPr>
              <w:jc w:val="center"/>
              <w:ind w:right="141"/>
              <w:spacing w:after="0"/>
              <w:rPr>
                <w:sz w:val="20"/>
                <w:szCs w:val="20"/>
                <w:color w:val="auto"/>
              </w:rPr>
            </w:pPr>
            <w:r>
              <w:rPr>
                <w:rFonts w:ascii="Times New Roman" w:cs="Times New Roman" w:eastAsia="Times New Roman" w:hAnsi="Times New Roman"/>
                <w:sz w:val="12"/>
                <w:szCs w:val="12"/>
                <w:color w:val="auto"/>
              </w:rPr>
              <w:t>5.625%</w:t>
            </w:r>
          </w:p>
        </w:tc>
        <w:tc>
          <w:tcPr>
            <w:tcW w:w="100" w:type="dxa"/>
            <w:vAlign w:val="bottom"/>
          </w:tcPr>
          <w:p>
            <w:pPr>
              <w:spacing w:after="0"/>
              <w:rPr>
                <w:sz w:val="14"/>
                <w:szCs w:val="14"/>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800,000</w:t>
            </w:r>
          </w:p>
        </w:tc>
      </w:tr>
      <w:tr>
        <w:trPr>
          <w:trHeight w:val="162"/>
        </w:trPr>
        <w:tc>
          <w:tcPr>
            <w:tcW w:w="700" w:type="dxa"/>
            <w:vAlign w:val="bottom"/>
          </w:tcPr>
          <w:p>
            <w:pPr>
              <w:spacing w:after="0"/>
              <w:rPr>
                <w:sz w:val="14"/>
                <w:szCs w:val="14"/>
                <w:color w:val="auto"/>
              </w:rPr>
            </w:pPr>
          </w:p>
        </w:tc>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Senior Unsecured Notes Due March 2036</w:t>
            </w:r>
          </w:p>
        </w:tc>
        <w:tc>
          <w:tcPr>
            <w:tcW w:w="50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9.4</w:t>
            </w:r>
          </w:p>
        </w:tc>
        <w:tc>
          <w:tcPr>
            <w:tcW w:w="1180" w:type="dxa"/>
            <w:vAlign w:val="bottom"/>
            <w:shd w:val="clear" w:color="auto" w:fill="CCEEFF"/>
          </w:tcPr>
          <w:p>
            <w:pPr>
              <w:jc w:val="center"/>
              <w:ind w:right="141"/>
              <w:spacing w:after="0"/>
              <w:rPr>
                <w:sz w:val="20"/>
                <w:szCs w:val="20"/>
                <w:color w:val="auto"/>
              </w:rPr>
            </w:pPr>
            <w:r>
              <w:rPr>
                <w:rFonts w:ascii="Times New Roman" w:cs="Times New Roman" w:eastAsia="Times New Roman" w:hAnsi="Times New Roman"/>
                <w:sz w:val="12"/>
                <w:szCs w:val="12"/>
                <w:color w:val="auto"/>
              </w:rPr>
              <w:t>5.625%</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800,000</w:t>
            </w:r>
          </w:p>
        </w:tc>
      </w:tr>
      <w:tr>
        <w:trPr>
          <w:trHeight w:val="162"/>
        </w:trPr>
        <w:tc>
          <w:tcPr>
            <w:tcW w:w="700" w:type="dxa"/>
            <w:vAlign w:val="bottom"/>
          </w:tcPr>
          <w:p>
            <w:pPr>
              <w:spacing w:after="0"/>
              <w:rPr>
                <w:sz w:val="14"/>
                <w:szCs w:val="14"/>
                <w:color w:val="auto"/>
              </w:rPr>
            </w:pPr>
          </w:p>
        </w:tc>
        <w:tc>
          <w:tcPr>
            <w:tcW w:w="6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Senior Unsecured Notes Due November 2037</w:t>
            </w:r>
          </w:p>
        </w:tc>
        <w:tc>
          <w:tcPr>
            <w:tcW w:w="50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11.1</w:t>
            </w:r>
          </w:p>
        </w:tc>
        <w:tc>
          <w:tcPr>
            <w:tcW w:w="1180" w:type="dxa"/>
            <w:vAlign w:val="bottom"/>
          </w:tcPr>
          <w:p>
            <w:pPr>
              <w:jc w:val="center"/>
              <w:ind w:right="141"/>
              <w:spacing w:after="0"/>
              <w:rPr>
                <w:sz w:val="20"/>
                <w:szCs w:val="20"/>
                <w:color w:val="auto"/>
              </w:rPr>
            </w:pPr>
            <w:r>
              <w:rPr>
                <w:rFonts w:ascii="Times New Roman" w:cs="Times New Roman" w:eastAsia="Times New Roman" w:hAnsi="Times New Roman"/>
                <w:sz w:val="12"/>
                <w:szCs w:val="12"/>
                <w:color w:val="auto"/>
              </w:rPr>
              <w:t>5.750%</w:t>
            </w:r>
          </w:p>
        </w:tc>
        <w:tc>
          <w:tcPr>
            <w:tcW w:w="100" w:type="dxa"/>
            <w:vAlign w:val="bottom"/>
          </w:tcPr>
          <w:p>
            <w:pPr>
              <w:spacing w:after="0"/>
              <w:rPr>
                <w:sz w:val="14"/>
                <w:szCs w:val="14"/>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700,000</w:t>
            </w:r>
          </w:p>
        </w:tc>
      </w:tr>
      <w:tr>
        <w:trPr>
          <w:trHeight w:val="162"/>
        </w:trPr>
        <w:tc>
          <w:tcPr>
            <w:tcW w:w="700" w:type="dxa"/>
            <w:vAlign w:val="bottom"/>
          </w:tcPr>
          <w:p>
            <w:pPr>
              <w:spacing w:after="0"/>
              <w:rPr>
                <w:sz w:val="14"/>
                <w:szCs w:val="14"/>
                <w:color w:val="auto"/>
              </w:rPr>
            </w:pPr>
          </w:p>
        </w:tc>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Senior Unsecured Notes Due September 2054</w:t>
            </w:r>
          </w:p>
        </w:tc>
        <w:tc>
          <w:tcPr>
            <w:tcW w:w="50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28.0</w:t>
            </w:r>
          </w:p>
        </w:tc>
        <w:tc>
          <w:tcPr>
            <w:tcW w:w="1180" w:type="dxa"/>
            <w:vAlign w:val="bottom"/>
            <w:shd w:val="clear" w:color="auto" w:fill="CCEEFF"/>
          </w:tcPr>
          <w:p>
            <w:pPr>
              <w:jc w:val="center"/>
              <w:ind w:right="141"/>
              <w:spacing w:after="0"/>
              <w:rPr>
                <w:sz w:val="20"/>
                <w:szCs w:val="20"/>
                <w:color w:val="auto"/>
              </w:rPr>
            </w:pPr>
            <w:r>
              <w:rPr>
                <w:rFonts w:ascii="Times New Roman" w:cs="Times New Roman" w:eastAsia="Times New Roman" w:hAnsi="Times New Roman"/>
                <w:sz w:val="12"/>
                <w:szCs w:val="12"/>
                <w:color w:val="auto"/>
              </w:rPr>
              <w:t>6.250%</w:t>
            </w:r>
          </w:p>
        </w:tc>
        <w:tc>
          <w:tcPr>
            <w:tcW w:w="10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400,000</w:t>
            </w:r>
          </w:p>
        </w:tc>
      </w:tr>
      <w:tr>
        <w:trPr>
          <w:trHeight w:val="151"/>
        </w:trPr>
        <w:tc>
          <w:tcPr>
            <w:tcW w:w="700" w:type="dxa"/>
            <w:vAlign w:val="bottom"/>
          </w:tcPr>
          <w:p>
            <w:pPr>
              <w:spacing w:after="0"/>
              <w:rPr>
                <w:sz w:val="13"/>
                <w:szCs w:val="13"/>
                <w:color w:val="auto"/>
              </w:rPr>
            </w:pPr>
          </w:p>
        </w:tc>
        <w:tc>
          <w:tcPr>
            <w:tcW w:w="68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Total long-term debt</w:t>
            </w:r>
          </w:p>
        </w:tc>
        <w:tc>
          <w:tcPr>
            <w:tcW w:w="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8,158,130</w:t>
            </w:r>
          </w:p>
        </w:tc>
      </w:tr>
      <w:tr>
        <w:trPr>
          <w:trHeight w:val="162"/>
        </w:trPr>
        <w:tc>
          <w:tcPr>
            <w:tcW w:w="700" w:type="dxa"/>
            <w:vAlign w:val="bottom"/>
          </w:tcPr>
          <w:p>
            <w:pPr>
              <w:spacing w:after="0"/>
              <w:rPr>
                <w:sz w:val="14"/>
                <w:szCs w:val="14"/>
                <w:color w:val="auto"/>
              </w:rPr>
            </w:pPr>
          </w:p>
        </w:tc>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Less: unamortized debt issuance costs, bond premiums and original issuance discounts</w:t>
            </w: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(77,584)</w:t>
            </w:r>
          </w:p>
        </w:tc>
      </w:tr>
      <w:tr>
        <w:trPr>
          <w:trHeight w:val="167"/>
        </w:trPr>
        <w:tc>
          <w:tcPr>
            <w:tcW w:w="700" w:type="dxa"/>
            <w:vAlign w:val="bottom"/>
          </w:tcPr>
          <w:p>
            <w:pPr>
              <w:spacing w:after="0"/>
              <w:rPr>
                <w:sz w:val="14"/>
                <w:szCs w:val="14"/>
                <w:color w:val="auto"/>
              </w:rPr>
            </w:pPr>
          </w:p>
        </w:tc>
        <w:tc>
          <w:tcPr>
            <w:tcW w:w="68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Total long-term debt, net of unamortized debt issuance costs, bond premiums and original issuance discounts</w:t>
            </w:r>
          </w:p>
        </w:tc>
        <w:tc>
          <w:tcPr>
            <w:tcW w:w="50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8,080,546</w:t>
            </w:r>
          </w:p>
        </w:tc>
      </w:tr>
      <w:tr>
        <w:trPr>
          <w:trHeight w:val="144"/>
        </w:trPr>
        <w:tc>
          <w:tcPr>
            <w:tcW w:w="700" w:type="dxa"/>
            <w:vAlign w:val="bottom"/>
          </w:tcPr>
          <w:p>
            <w:pPr>
              <w:spacing w:after="0"/>
              <w:rPr>
                <w:sz w:val="12"/>
                <w:szCs w:val="12"/>
                <w:color w:val="auto"/>
              </w:rPr>
            </w:pPr>
          </w:p>
        </w:tc>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Weighted average</w:t>
            </w:r>
          </w:p>
        </w:tc>
        <w:tc>
          <w:tcPr>
            <w:tcW w:w="5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6.6</w:t>
            </w:r>
          </w:p>
        </w:tc>
        <w:tc>
          <w:tcPr>
            <w:tcW w:w="1180" w:type="dxa"/>
            <w:vAlign w:val="bottom"/>
            <w:shd w:val="clear" w:color="auto" w:fill="CCEEFF"/>
          </w:tcPr>
          <w:p>
            <w:pPr>
              <w:jc w:val="center"/>
              <w:ind w:right="141"/>
              <w:spacing w:after="0"/>
              <w:rPr>
                <w:sz w:val="20"/>
                <w:szCs w:val="20"/>
                <w:color w:val="auto"/>
              </w:rPr>
            </w:pPr>
            <w:r>
              <w:rPr>
                <w:rFonts w:ascii="Times New Roman" w:cs="Times New Roman" w:eastAsia="Times New Roman" w:hAnsi="Times New Roman"/>
                <w:sz w:val="12"/>
                <w:szCs w:val="12"/>
                <w:color w:val="auto"/>
              </w:rPr>
              <w:t>5.097%</w:t>
            </w: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225"/>
        </w:trPr>
        <w:tc>
          <w:tcPr>
            <w:tcW w:w="7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tcPr>
          <w:p>
            <w:pPr>
              <w:spacing w:after="0"/>
              <w:rPr>
                <w:sz w:val="19"/>
                <w:szCs w:val="19"/>
                <w:color w:val="auto"/>
              </w:rPr>
            </w:pPr>
          </w:p>
        </w:tc>
        <w:tc>
          <w:tcPr>
            <w:tcW w:w="20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Rating Agency - Issue Rating</w:t>
      </w:r>
    </w:p>
    <w:p>
      <w:pPr>
        <w:spacing w:after="0" w:line="42" w:lineRule="exact"/>
        <w:rPr>
          <w:sz w:val="20"/>
          <w:szCs w:val="20"/>
          <w:color w:val="auto"/>
        </w:rPr>
      </w:pPr>
    </w:p>
    <w:tbl>
      <w:tblPr>
        <w:tblLayout w:type="fixed"/>
        <w:tblInd w:w="3880" w:type="dxa"/>
        <w:tblCellMar>
          <w:top w:w="0" w:type="dxa"/>
          <w:left w:w="0" w:type="dxa"/>
          <w:bottom w:w="0" w:type="dxa"/>
          <w:right w:w="0" w:type="dxa"/>
        </w:tblCellMar>
      </w:tblPr>
      <w:tr>
        <w:trPr>
          <w:trHeight w:val="159"/>
        </w:trPr>
        <w:tc>
          <w:tcPr>
            <w:tcW w:w="1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Rating Agency</w:t>
            </w:r>
          </w:p>
        </w:tc>
        <w:tc>
          <w:tcPr>
            <w:tcW w:w="13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Rating</w:t>
            </w:r>
          </w:p>
        </w:tc>
      </w:tr>
      <w:tr>
        <w:trPr>
          <w:trHeight w:val="151"/>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Standard &amp; Poor's</w:t>
            </w: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BBB-</w:t>
            </w:r>
          </w:p>
        </w:tc>
      </w:tr>
      <w:tr>
        <w:trPr>
          <w:trHeight w:val="162"/>
        </w:trPr>
        <w:tc>
          <w:tcPr>
            <w:tcW w:w="1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Fitch</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2"/>
                <w:szCs w:val="12"/>
                <w:color w:val="auto"/>
              </w:rPr>
              <w:t>BBB-</w:t>
            </w:r>
          </w:p>
        </w:tc>
      </w:tr>
      <w:tr>
        <w:trPr>
          <w:trHeight w:val="162"/>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Moody's</w:t>
            </w: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Ba1</w:t>
            </w:r>
          </w:p>
        </w:tc>
      </w:tr>
      <w:tr>
        <w:trPr>
          <w:trHeight w:val="576"/>
        </w:trPr>
        <w:tc>
          <w:tcPr>
            <w:tcW w:w="1300" w:type="dxa"/>
            <w:vAlign w:val="bottom"/>
          </w:tcPr>
          <w:p>
            <w:pPr>
              <w:spacing w:after="0"/>
              <w:rPr>
                <w:sz w:val="24"/>
                <w:szCs w:val="24"/>
                <w:color w:val="auto"/>
              </w:rPr>
            </w:pPr>
          </w:p>
        </w:tc>
        <w:tc>
          <w:tcPr>
            <w:tcW w:w="130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580"/>
          </w:cols>
          <w:pgMar w:left="300" w:top="638" w:right="1019" w:bottom="1440" w:gutter="0" w:footer="0" w:header="0"/>
        </w:sectPr>
      </w:pPr>
    </w:p>
    <w:bookmarkStart w:id="14" w:name="page15"/>
    <w:bookmarkEnd w:id="14"/>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Funding Commitments</w:t>
      </w:r>
    </w:p>
    <w:p>
      <w:pPr>
        <w:spacing w:after="0" w:line="163"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As of September 30, 2026, the Company has entered into various commitments or call rights to finance/acquire future investments in gaming and related facilities for our tenants. These are detailed in the table below. Our tenants retain the option to decline our financing for certain projects and may seek alternative financing solutions. The inclusion of a commitment in this disclosure does not guarantee that the financing will be utilized by the tenant in circumstances where a tenant has the option.</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6240" w:type="dxa"/>
            <w:vAlign w:val="bottom"/>
            <w:shd w:val="clear" w:color="auto" w:fill="CCEEFF"/>
          </w:tcPr>
          <w:p>
            <w:pPr>
              <w:spacing w:after="0"/>
              <w:rPr>
                <w:sz w:val="12"/>
                <w:szCs w:val="12"/>
                <w:color w:val="auto"/>
              </w:rPr>
            </w:pPr>
          </w:p>
        </w:tc>
        <w:tc>
          <w:tcPr>
            <w:tcW w:w="3100" w:type="dxa"/>
            <w:vAlign w:val="bottom"/>
            <w:shd w:val="clear" w:color="auto" w:fill="CCEEFF"/>
          </w:tcPr>
          <w:p>
            <w:pPr>
              <w:jc w:val="center"/>
              <w:ind w:left="1780"/>
              <w:spacing w:after="0"/>
              <w:rPr>
                <w:sz w:val="20"/>
                <w:szCs w:val="20"/>
                <w:color w:val="auto"/>
              </w:rPr>
            </w:pPr>
            <w:r>
              <w:rPr>
                <w:rFonts w:ascii="Times New Roman" w:cs="Times New Roman" w:eastAsia="Times New Roman" w:hAnsi="Times New Roman"/>
                <w:sz w:val="12"/>
                <w:szCs w:val="12"/>
                <w:color w:val="auto"/>
                <w:w w:val="99"/>
              </w:rPr>
              <w:t>Estimated Commitment</w:t>
            </w:r>
          </w:p>
        </w:tc>
        <w:tc>
          <w:tcPr>
            <w:tcW w:w="1960" w:type="dxa"/>
            <w:vAlign w:val="bottom"/>
            <w:shd w:val="clear" w:color="auto" w:fill="CCEEFF"/>
          </w:tcPr>
          <w:p>
            <w:pPr>
              <w:spacing w:after="0"/>
              <w:rPr>
                <w:sz w:val="12"/>
                <w:szCs w:val="12"/>
                <w:color w:val="auto"/>
              </w:rPr>
            </w:pPr>
          </w:p>
        </w:tc>
      </w:tr>
      <w:tr>
        <w:trPr>
          <w:trHeight w:val="162"/>
        </w:trPr>
        <w:tc>
          <w:tcPr>
            <w:tcW w:w="6240" w:type="dxa"/>
            <w:vAlign w:val="bottom"/>
            <w:tcBorders>
              <w:bottom w:val="single" w:sz="8" w:color="auto"/>
            </w:tcBorders>
            <w:shd w:val="clear" w:color="auto" w:fill="CCEEFF"/>
          </w:tcPr>
          <w:p>
            <w:pPr>
              <w:ind w:left="3740"/>
              <w:spacing w:after="0"/>
              <w:rPr>
                <w:sz w:val="20"/>
                <w:szCs w:val="20"/>
                <w:color w:val="auto"/>
              </w:rPr>
            </w:pPr>
            <w:r>
              <w:rPr>
                <w:rFonts w:ascii="Times New Roman" w:cs="Times New Roman" w:eastAsia="Times New Roman" w:hAnsi="Times New Roman"/>
                <w:sz w:val="12"/>
                <w:szCs w:val="12"/>
                <w:color w:val="auto"/>
              </w:rPr>
              <w:t>Description</w:t>
            </w:r>
          </w:p>
        </w:tc>
        <w:tc>
          <w:tcPr>
            <w:tcW w:w="3100" w:type="dxa"/>
            <w:vAlign w:val="bottom"/>
            <w:tcBorders>
              <w:bottom w:val="single" w:sz="8" w:color="auto"/>
            </w:tcBorders>
            <w:shd w:val="clear" w:color="auto" w:fill="CCEEFF"/>
          </w:tcPr>
          <w:p>
            <w:pPr>
              <w:jc w:val="center"/>
              <w:ind w:left="1800"/>
              <w:spacing w:after="0"/>
              <w:rPr>
                <w:sz w:val="20"/>
                <w:szCs w:val="20"/>
                <w:color w:val="auto"/>
              </w:rPr>
            </w:pPr>
            <w:r>
              <w:rPr>
                <w:rFonts w:ascii="Times New Roman" w:cs="Times New Roman" w:eastAsia="Times New Roman" w:hAnsi="Times New Roman"/>
                <w:sz w:val="12"/>
                <w:szCs w:val="12"/>
                <w:color w:val="auto"/>
                <w:w w:val="99"/>
              </w:rPr>
              <w:t>amount</w:t>
            </w:r>
          </w:p>
        </w:tc>
        <w:tc>
          <w:tcPr>
            <w:tcW w:w="1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Amount funded at September 30, 2026</w:t>
            </w:r>
          </w:p>
        </w:tc>
      </w:tr>
      <w:tr>
        <w:trPr>
          <w:trHeight w:val="151"/>
        </w:trPr>
        <w:tc>
          <w:tcPr>
            <w:tcW w:w="6240" w:type="dxa"/>
            <w:vAlign w:val="bottom"/>
          </w:tcPr>
          <w:p>
            <w:pPr>
              <w:spacing w:after="0" w:line="151" w:lineRule="exact"/>
              <w:rPr>
                <w:sz w:val="20"/>
                <w:szCs w:val="20"/>
                <w:color w:val="auto"/>
              </w:rPr>
            </w:pPr>
            <w:r>
              <w:rPr>
                <w:rFonts w:ascii="Times New Roman" w:cs="Times New Roman" w:eastAsia="Times New Roman" w:hAnsi="Times New Roman"/>
                <w:sz w:val="12"/>
                <w:szCs w:val="12"/>
                <w:color w:val="auto"/>
              </w:rPr>
              <w:t xml:space="preserve">Funding associated with a landside move at Ameristar Casino Council Bluffs </w:t>
            </w:r>
            <w:r>
              <w:rPr>
                <w:rFonts w:ascii="Times New Roman" w:cs="Times New Roman" w:eastAsia="Times New Roman" w:hAnsi="Times New Roman"/>
                <w:sz w:val="15"/>
                <w:szCs w:val="15"/>
                <w:color w:val="auto"/>
                <w:vertAlign w:val="superscript"/>
              </w:rPr>
              <w:t>(1)</w:t>
            </w:r>
          </w:p>
        </w:tc>
        <w:tc>
          <w:tcPr>
            <w:tcW w:w="3100" w:type="dxa"/>
            <w:vAlign w:val="bottom"/>
          </w:tcPr>
          <w:p>
            <w:pPr>
              <w:jc w:val="center"/>
              <w:ind w:left="1780"/>
              <w:spacing w:after="0"/>
              <w:rPr>
                <w:sz w:val="20"/>
                <w:szCs w:val="20"/>
                <w:color w:val="auto"/>
              </w:rPr>
            </w:pPr>
            <w:r>
              <w:rPr>
                <w:rFonts w:ascii="Times New Roman" w:cs="Times New Roman" w:eastAsia="Times New Roman" w:hAnsi="Times New Roman"/>
                <w:sz w:val="12"/>
                <w:szCs w:val="12"/>
                <w:color w:val="auto"/>
              </w:rPr>
              <w:t>$150 million</w:t>
            </w:r>
          </w:p>
        </w:tc>
        <w:tc>
          <w:tcPr>
            <w:tcW w:w="1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None</w:t>
            </w:r>
          </w:p>
        </w:tc>
      </w:tr>
      <w:tr>
        <w:trPr>
          <w:trHeight w:val="16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Potential transaction at the former Tropicana Las Vegas site with Bally's</w:t>
            </w:r>
          </w:p>
        </w:tc>
        <w:tc>
          <w:tcPr>
            <w:tcW w:w="3100" w:type="dxa"/>
            <w:vAlign w:val="bottom"/>
            <w:shd w:val="clear" w:color="auto" w:fill="CCEEFF"/>
          </w:tcPr>
          <w:p>
            <w:pPr>
              <w:jc w:val="center"/>
              <w:ind w:left="1780"/>
              <w:spacing w:after="0"/>
              <w:rPr>
                <w:sz w:val="20"/>
                <w:szCs w:val="20"/>
                <w:color w:val="auto"/>
              </w:rPr>
            </w:pPr>
            <w:r>
              <w:rPr>
                <w:rFonts w:ascii="Times New Roman" w:cs="Times New Roman" w:eastAsia="Times New Roman" w:hAnsi="Times New Roman"/>
                <w:sz w:val="12"/>
                <w:szCs w:val="12"/>
                <w:color w:val="auto"/>
              </w:rPr>
              <w:t>$175 million</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$48.5 million</w:t>
            </w:r>
          </w:p>
        </w:tc>
      </w:tr>
      <w:tr>
        <w:trPr>
          <w:trHeight w:val="162"/>
        </w:trPr>
        <w:tc>
          <w:tcPr>
            <w:tcW w:w="6240" w:type="dxa"/>
            <w:vAlign w:val="bottom"/>
          </w:tcPr>
          <w:p>
            <w:pPr>
              <w:spacing w:after="0"/>
              <w:rPr>
                <w:sz w:val="20"/>
                <w:szCs w:val="20"/>
                <w:color w:val="auto"/>
              </w:rPr>
            </w:pPr>
            <w:r>
              <w:rPr>
                <w:rFonts w:ascii="Times New Roman" w:cs="Times New Roman" w:eastAsia="Times New Roman" w:hAnsi="Times New Roman"/>
                <w:sz w:val="12"/>
                <w:szCs w:val="12"/>
                <w:color w:val="auto"/>
              </w:rPr>
              <w:t>Real estate construction costs for Bally's Chicago</w:t>
            </w:r>
          </w:p>
        </w:tc>
        <w:tc>
          <w:tcPr>
            <w:tcW w:w="3100" w:type="dxa"/>
            <w:vAlign w:val="bottom"/>
          </w:tcPr>
          <w:p>
            <w:pPr>
              <w:jc w:val="center"/>
              <w:ind w:left="1780"/>
              <w:spacing w:after="0"/>
              <w:rPr>
                <w:sz w:val="20"/>
                <w:szCs w:val="20"/>
                <w:color w:val="auto"/>
              </w:rPr>
            </w:pPr>
            <w:r>
              <w:rPr>
                <w:rFonts w:ascii="Times New Roman" w:cs="Times New Roman" w:eastAsia="Times New Roman" w:hAnsi="Times New Roman"/>
                <w:sz w:val="12"/>
                <w:szCs w:val="12"/>
                <w:color w:val="auto"/>
              </w:rPr>
              <w:t>$940 million</w:t>
            </w:r>
          </w:p>
        </w:tc>
        <w:tc>
          <w:tcPr>
            <w:tcW w:w="19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$640.7 million</w:t>
            </w:r>
          </w:p>
        </w:tc>
      </w:tr>
      <w:tr>
        <w:trPr>
          <w:trHeight w:val="16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Ione Loan to fund a new casino development near Sacramento, California</w:t>
            </w:r>
          </w:p>
        </w:tc>
        <w:tc>
          <w:tcPr>
            <w:tcW w:w="3100" w:type="dxa"/>
            <w:vAlign w:val="bottom"/>
            <w:shd w:val="clear" w:color="auto" w:fill="CCEEFF"/>
          </w:tcPr>
          <w:p>
            <w:pPr>
              <w:jc w:val="center"/>
              <w:ind w:left="1800"/>
              <w:spacing w:after="0"/>
              <w:rPr>
                <w:sz w:val="20"/>
                <w:szCs w:val="20"/>
                <w:color w:val="auto"/>
              </w:rPr>
            </w:pPr>
            <w:r>
              <w:rPr>
                <w:rFonts w:ascii="Times New Roman" w:cs="Times New Roman" w:eastAsia="Times New Roman" w:hAnsi="Times New Roman"/>
                <w:sz w:val="12"/>
                <w:szCs w:val="12"/>
                <w:color w:val="auto"/>
                <w:w w:val="97"/>
              </w:rPr>
              <w:t>$110 million</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$98.9 million</w:t>
            </w:r>
          </w:p>
        </w:tc>
      </w:tr>
      <w:tr>
        <w:trPr>
          <w:trHeight w:val="162"/>
        </w:trPr>
        <w:tc>
          <w:tcPr>
            <w:tcW w:w="6240" w:type="dxa"/>
            <w:vAlign w:val="bottom"/>
          </w:tcPr>
          <w:p>
            <w:pPr>
              <w:spacing w:after="0"/>
              <w:rPr>
                <w:sz w:val="20"/>
                <w:szCs w:val="20"/>
                <w:color w:val="auto"/>
              </w:rPr>
            </w:pPr>
            <w:r>
              <w:rPr>
                <w:rFonts w:ascii="Times New Roman" w:cs="Times New Roman" w:eastAsia="Times New Roman" w:hAnsi="Times New Roman"/>
                <w:sz w:val="12"/>
                <w:szCs w:val="12"/>
                <w:color w:val="auto"/>
              </w:rPr>
              <w:t>Funding associated with the future site and construction for Live! Casino &amp; Hotel Virginia</w:t>
            </w:r>
          </w:p>
        </w:tc>
        <w:tc>
          <w:tcPr>
            <w:tcW w:w="3100" w:type="dxa"/>
            <w:vAlign w:val="bottom"/>
          </w:tcPr>
          <w:p>
            <w:pPr>
              <w:jc w:val="center"/>
              <w:ind w:left="1780"/>
              <w:spacing w:after="0"/>
              <w:rPr>
                <w:sz w:val="20"/>
                <w:szCs w:val="20"/>
                <w:color w:val="auto"/>
              </w:rPr>
            </w:pPr>
            <w:r>
              <w:rPr>
                <w:rFonts w:ascii="Times New Roman" w:cs="Times New Roman" w:eastAsia="Times New Roman" w:hAnsi="Times New Roman"/>
                <w:sz w:val="12"/>
                <w:szCs w:val="12"/>
                <w:color w:val="auto"/>
              </w:rPr>
              <w:t>$467 million</w:t>
            </w:r>
          </w:p>
        </w:tc>
        <w:tc>
          <w:tcPr>
            <w:tcW w:w="1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$48.6 million</w:t>
            </w:r>
          </w:p>
        </w:tc>
      </w:tr>
      <w:tr>
        <w:trPr>
          <w:trHeight w:val="16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Delayed draw term loan for Dry Creek Rancheria Resort development</w:t>
            </w:r>
          </w:p>
        </w:tc>
        <w:tc>
          <w:tcPr>
            <w:tcW w:w="3100" w:type="dxa"/>
            <w:vAlign w:val="bottom"/>
            <w:shd w:val="clear" w:color="auto" w:fill="CCEEFF"/>
          </w:tcPr>
          <w:p>
            <w:pPr>
              <w:jc w:val="center"/>
              <w:ind w:left="1780"/>
              <w:spacing w:after="0"/>
              <w:rPr>
                <w:sz w:val="20"/>
                <w:szCs w:val="20"/>
                <w:color w:val="auto"/>
              </w:rPr>
            </w:pPr>
            <w:r>
              <w:rPr>
                <w:rFonts w:ascii="Times New Roman" w:cs="Times New Roman" w:eastAsia="Times New Roman" w:hAnsi="Times New Roman"/>
                <w:sz w:val="12"/>
                <w:szCs w:val="12"/>
                <w:color w:val="auto"/>
              </w:rPr>
              <w:t>$180 million</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None</w:t>
            </w:r>
          </w:p>
        </w:tc>
      </w:tr>
    </w:tbl>
    <w:p>
      <w:pPr>
        <w:spacing w:after="0" w:line="214" w:lineRule="exact"/>
        <w:rPr>
          <w:sz w:val="20"/>
          <w:szCs w:val="20"/>
          <w:color w:val="auto"/>
        </w:rPr>
      </w:pPr>
    </w:p>
    <w:p>
      <w:pPr>
        <w:ind w:left="8" w:hanging="8"/>
        <w:spacing w:after="0" w:line="264" w:lineRule="auto"/>
        <w:tabs>
          <w:tab w:leader="none" w:pos="17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agreed to fund, if requested by PENN in its sole discretion on or before March 31, 2029, construction improvements in an amount not to exceed the greater of (i) the hard costs associated with the project and (ii) $150.0 million at a 7.10% capitalization rate.</w:t>
      </w:r>
    </w:p>
    <w:p>
      <w:pPr>
        <w:spacing w:after="0" w:line="3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308"/>
          </w:cols>
          <w:pgMar w:left="292" w:top="737"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i w:val="1"/>
          <w:iCs w:val="1"/>
          <w:color w:val="auto"/>
        </w:rPr>
        <w:t>Property and lease information</w:t>
      </w:r>
    </w:p>
    <w:p>
      <w:pPr>
        <w:spacing w:after="0" w:line="170" w:lineRule="exact"/>
        <w:rPr>
          <w:sz w:val="20"/>
          <w:szCs w:val="20"/>
          <w:color w:val="auto"/>
        </w:rPr>
      </w:pPr>
    </w:p>
    <w:p>
      <w:pPr>
        <w:ind w:firstLine="432"/>
        <w:spacing w:after="0" w:line="264" w:lineRule="auto"/>
        <w:rPr>
          <w:sz w:val="20"/>
          <w:szCs w:val="20"/>
          <w:color w:val="auto"/>
        </w:rPr>
      </w:pPr>
      <w:r>
        <w:rPr>
          <w:rFonts w:ascii="Times New Roman" w:cs="Times New Roman" w:eastAsia="Times New Roman" w:hAnsi="Times New Roman"/>
          <w:sz w:val="12"/>
          <w:szCs w:val="12"/>
          <w:color w:val="auto"/>
        </w:rPr>
        <w:t>The Company has disclosed the following key terms of its master leases and single-property leases in the tables below, along with the properties within each lease at September 30, 2026. We believe the following key terms are important for users of our financial statements to understand.</w:t>
      </w:r>
    </w:p>
    <w:p>
      <w:pPr>
        <w:spacing w:after="0" w:line="128" w:lineRule="exact"/>
        <w:rPr>
          <w:sz w:val="20"/>
          <w:szCs w:val="20"/>
          <w:color w:val="auto"/>
        </w:rPr>
      </w:pPr>
    </w:p>
    <w:p>
      <w:pPr>
        <w:ind w:left="860" w:hanging="220"/>
        <w:spacing w:after="0" w:line="264" w:lineRule="auto"/>
        <w:tabs>
          <w:tab w:leader="none" w:pos="857"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coverage ratio is a defined term in each respective lease agreement with our tenants and represents the ratio of Adjusted EBITDAR to rent expense for the properties contained within each lease. Adjusted EBITDAR is defined in each respective lease but is generally consistent with the Company's definition of Adjusted EBITDA plus rent expense paid to GLPI.</w:t>
      </w:r>
    </w:p>
    <w:p>
      <w:pPr>
        <w:spacing w:after="0" w:line="128" w:lineRule="exact"/>
        <w:rPr>
          <w:rFonts w:ascii="Times New Roman" w:cs="Times New Roman" w:eastAsia="Times New Roman" w:hAnsi="Times New Roman"/>
          <w:sz w:val="12"/>
          <w:szCs w:val="12"/>
          <w:color w:val="auto"/>
        </w:rPr>
      </w:pPr>
    </w:p>
    <w:p>
      <w:pPr>
        <w:ind w:left="860" w:hanging="220"/>
        <w:spacing w:after="0" w:line="264" w:lineRule="auto"/>
        <w:tabs>
          <w:tab w:leader="none" w:pos="857"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leases have a minimum escalator coverage ratio governor as disclosed below. Before a rent escalation of up to 2% on the building base rent component of each lease can occur, the minimum coverage ratio for these leases needs to be 1.8 to 1 for the applicable lease year.</w:t>
      </w:r>
    </w:p>
    <w:p>
      <w:pPr>
        <w:spacing w:after="0" w:line="128" w:lineRule="exact"/>
        <w:rPr>
          <w:rFonts w:ascii="Times New Roman" w:cs="Times New Roman" w:eastAsia="Times New Roman" w:hAnsi="Times New Roman"/>
          <w:sz w:val="12"/>
          <w:szCs w:val="12"/>
          <w:color w:val="auto"/>
        </w:rPr>
      </w:pPr>
    </w:p>
    <w:p>
      <w:pPr>
        <w:jc w:val="both"/>
        <w:ind w:left="860" w:hanging="220"/>
        <w:spacing w:after="0" w:line="249" w:lineRule="auto"/>
        <w:tabs>
          <w:tab w:leader="none" w:pos="857"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reported coverage ratios below with respect to our tenants' rent coverage over the trailing twelve months were provided by our tenants for the most recently available time period. GLPI has not independently verified the accuracy of the tenants' information and therefore makes no representation as to its accuracy. Rent coverage ratios are not reported for ground leases, leases with development projects or leases that have been in effect for less than twelve months.</w:t>
      </w:r>
    </w:p>
    <w:p>
      <w:pPr>
        <w:spacing w:after="0" w:line="137" w:lineRule="exact"/>
        <w:rPr>
          <w:rFonts w:ascii="Times New Roman" w:cs="Times New Roman" w:eastAsia="Times New Roman" w:hAnsi="Times New Roman"/>
          <w:sz w:val="12"/>
          <w:szCs w:val="12"/>
          <w:color w:val="auto"/>
        </w:rPr>
      </w:pPr>
    </w:p>
    <w:p>
      <w:pPr>
        <w:jc w:val="both"/>
        <w:ind w:left="860" w:hanging="220"/>
        <w:spacing w:after="0" w:line="241" w:lineRule="auto"/>
        <w:tabs>
          <w:tab w:leader="none" w:pos="857"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Amended PENN Master Lease, the Amended Pinnacle Master Lease, the Boyd Master Lease, and the Belterra Park Lease each include (i) a fixed rent component, a portion of which escalates annually by up to 2% if specified rent coverage thresholds are met, and (ii) a percentage rent component tied to property performance. The percentage rent component is recalculated periodically, every five years for the Amended PENN Master Lease and every two years for the other leases, based on 4% of the average annual net revenues of the applicable facilities in excess of a contractually defined baseline, subject to certain floors.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1300"/>
          </w:cols>
          <w:pgMar w:left="300" w:top="631" w:right="299" w:bottom="1440" w:gutter="0" w:footer="0" w:header="0"/>
        </w:sectPr>
      </w:pPr>
    </w:p>
    <w:bookmarkStart w:id="16" w:name="page17"/>
    <w:bookmarkEnd w:id="16"/>
    <w:p>
      <w:pPr>
        <w:jc w:val="center"/>
        <w:ind w:right="-7"/>
        <w:spacing w:after="0"/>
        <w:rPr>
          <w:sz w:val="20"/>
          <w:szCs w:val="20"/>
          <w:color w:val="auto"/>
        </w:rPr>
      </w:pPr>
      <w:r>
        <w:rPr>
          <w:rFonts w:ascii="Times New Roman" w:cs="Times New Roman" w:eastAsia="Times New Roman" w:hAnsi="Times New Roman"/>
          <w:sz w:val="10"/>
          <w:szCs w:val="10"/>
          <w:b w:val="1"/>
          <w:bCs w:val="1"/>
          <w:color w:val="auto"/>
        </w:rPr>
        <w:drawing>
          <wp:anchor simplePos="0" relativeHeight="251657728" behindDoc="1" locked="0" layoutInCell="0" allowOverlap="1">
            <wp:simplePos x="0" y="0"/>
            <wp:positionH relativeFrom="page">
              <wp:posOffset>185420</wp:posOffset>
            </wp:positionH>
            <wp:positionV relativeFrom="page">
              <wp:posOffset>648970</wp:posOffset>
            </wp:positionV>
            <wp:extent cx="7178040"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02870"/>
                    </a:xfrm>
                    <a:prstGeom prst="rect">
                      <a:avLst/>
                    </a:prstGeom>
                    <a:noFill/>
                  </pic:spPr>
                </pic:pic>
              </a:graphicData>
            </a:graphic>
          </wp:anchor>
        </w:drawing>
        <w:t>Master Leases</w:t>
      </w:r>
    </w:p>
    <w:p>
      <w:pPr>
        <w:spacing w:after="0" w:line="38"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980" w:type="dxa"/>
            <w:vAlign w:val="bottom"/>
            <w:gridSpan w:val="2"/>
          </w:tcPr>
          <w:p>
            <w:pPr>
              <w:jc w:val="right"/>
              <w:ind w:right="992"/>
              <w:spacing w:after="0"/>
              <w:rPr>
                <w:sz w:val="20"/>
                <w:szCs w:val="20"/>
                <w:color w:val="auto"/>
              </w:rPr>
            </w:pPr>
            <w:r>
              <w:rPr>
                <w:rFonts w:ascii="Times New Roman" w:cs="Times New Roman" w:eastAsia="Times New Roman" w:hAnsi="Times New Roman"/>
                <w:sz w:val="10"/>
                <w:szCs w:val="10"/>
                <w:b w:val="1"/>
                <w:bCs w:val="1"/>
                <w:color w:val="auto"/>
              </w:rPr>
              <w:t>Penn 2023 Master Lease</w:t>
            </w:r>
          </w:p>
        </w:tc>
        <w:tc>
          <w:tcPr>
            <w:tcW w:w="3300" w:type="dxa"/>
            <w:vAlign w:val="bottom"/>
            <w:gridSpan w:val="2"/>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Amended Penn Master Lease</w:t>
            </w:r>
          </w:p>
        </w:tc>
        <w:tc>
          <w:tcPr>
            <w:tcW w:w="1640" w:type="dxa"/>
            <w:vAlign w:val="bottom"/>
          </w:tcPr>
          <w:p>
            <w:pPr>
              <w:spacing w:after="0"/>
              <w:rPr>
                <w:sz w:val="11"/>
                <w:szCs w:val="11"/>
                <w:color w:val="auto"/>
              </w:rPr>
            </w:pPr>
          </w:p>
        </w:tc>
      </w:tr>
      <w:tr>
        <w:trPr>
          <w:trHeight w:val="153"/>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Operator</w:t>
            </w:r>
          </w:p>
        </w:tc>
        <w:tc>
          <w:tcPr>
            <w:tcW w:w="2160" w:type="dxa"/>
            <w:vAlign w:val="bottom"/>
            <w:shd w:val="clear" w:color="auto" w:fill="CCEEFF"/>
          </w:tcPr>
          <w:p>
            <w:pPr>
              <w:spacing w:after="0"/>
              <w:rPr>
                <w:sz w:val="13"/>
                <w:szCs w:val="13"/>
                <w:color w:val="auto"/>
              </w:rPr>
            </w:pPr>
          </w:p>
        </w:tc>
        <w:tc>
          <w:tcPr>
            <w:tcW w:w="1820" w:type="dxa"/>
            <w:vAlign w:val="bottom"/>
            <w:shd w:val="clear" w:color="auto" w:fill="CCEEFF"/>
          </w:tcPr>
          <w:p>
            <w:pPr>
              <w:jc w:val="right"/>
              <w:ind w:right="1352"/>
              <w:spacing w:after="0"/>
              <w:rPr>
                <w:sz w:val="20"/>
                <w:szCs w:val="20"/>
                <w:color w:val="auto"/>
              </w:rPr>
            </w:pPr>
            <w:r>
              <w:rPr>
                <w:rFonts w:ascii="Times New Roman" w:cs="Times New Roman" w:eastAsia="Times New Roman" w:hAnsi="Times New Roman"/>
                <w:sz w:val="10"/>
                <w:szCs w:val="10"/>
                <w:b w:val="1"/>
                <w:bCs w:val="1"/>
                <w:color w:val="auto"/>
              </w:rPr>
              <w:t>PENN</w:t>
            </w:r>
          </w:p>
        </w:tc>
        <w:tc>
          <w:tcPr>
            <w:tcW w:w="23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0"/>
                <w:szCs w:val="10"/>
                <w:b w:val="1"/>
                <w:bCs w:val="1"/>
                <w:color w:val="auto"/>
              </w:rPr>
              <w:t>PENN</w:t>
            </w:r>
          </w:p>
        </w:tc>
        <w:tc>
          <w:tcPr>
            <w:tcW w:w="1640" w:type="dxa"/>
            <w:vAlign w:val="bottom"/>
            <w:shd w:val="clear" w:color="auto" w:fill="CCEEFF"/>
          </w:tcPr>
          <w:p>
            <w:pPr>
              <w:spacing w:after="0"/>
              <w:rPr>
                <w:sz w:val="13"/>
                <w:szCs w:val="13"/>
                <w:color w:val="auto"/>
              </w:rPr>
            </w:pPr>
          </w:p>
        </w:tc>
      </w:tr>
      <w:tr>
        <w:trPr>
          <w:trHeight w:val="136"/>
        </w:trPr>
        <w:tc>
          <w:tcPr>
            <w:tcW w:w="23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Properties</w:t>
            </w:r>
          </w:p>
        </w:tc>
        <w:tc>
          <w:tcPr>
            <w:tcW w:w="21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Hollywood Casino Aurora</w:t>
            </w:r>
          </w:p>
        </w:tc>
        <w:tc>
          <w:tcPr>
            <w:tcW w:w="1820" w:type="dxa"/>
            <w:vAlign w:val="bottom"/>
          </w:tcPr>
          <w:p>
            <w:pPr>
              <w:ind w:left="900"/>
              <w:spacing w:after="0"/>
              <w:rPr>
                <w:sz w:val="20"/>
                <w:szCs w:val="20"/>
                <w:color w:val="auto"/>
              </w:rPr>
            </w:pPr>
            <w:r>
              <w:rPr>
                <w:rFonts w:ascii="Times New Roman" w:cs="Times New Roman" w:eastAsia="Times New Roman" w:hAnsi="Times New Roman"/>
                <w:sz w:val="10"/>
                <w:szCs w:val="10"/>
                <w:color w:val="auto"/>
              </w:rPr>
              <w:t>Aurora, IL</w:t>
            </w:r>
          </w:p>
        </w:tc>
        <w:tc>
          <w:tcPr>
            <w:tcW w:w="23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Hollywood Casino Lawrenceburg</w:t>
            </w:r>
          </w:p>
        </w:tc>
        <w:tc>
          <w:tcPr>
            <w:tcW w:w="960" w:type="dxa"/>
            <w:vAlign w:val="bottom"/>
          </w:tcPr>
          <w:p>
            <w:pPr>
              <w:spacing w:after="0"/>
              <w:rPr>
                <w:sz w:val="11"/>
                <w:szCs w:val="11"/>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Lawrenceburg, IN</w:t>
            </w:r>
          </w:p>
        </w:tc>
      </w:tr>
      <w:tr>
        <w:trPr>
          <w:trHeight w:val="152"/>
        </w:trPr>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0"/>
                <w:szCs w:val="10"/>
                <w:color w:val="auto"/>
              </w:rPr>
              <w:t>Hollywood Casino Joliet</w:t>
            </w:r>
          </w:p>
        </w:tc>
        <w:tc>
          <w:tcPr>
            <w:tcW w:w="18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0"/>
                <w:szCs w:val="10"/>
                <w:color w:val="auto"/>
              </w:rPr>
              <w:t>Joliet, IL</w:t>
            </w:r>
          </w:p>
        </w:tc>
        <w:tc>
          <w:tcPr>
            <w:tcW w:w="2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Argosy Casino Alton</w:t>
            </w:r>
          </w:p>
        </w:tc>
        <w:tc>
          <w:tcPr>
            <w:tcW w:w="960" w:type="dxa"/>
            <w:vAlign w:val="bottom"/>
            <w:shd w:val="clear" w:color="auto" w:fill="CCEEFF"/>
          </w:tcPr>
          <w:p>
            <w:pPr>
              <w:spacing w:after="0"/>
              <w:rPr>
                <w:sz w:val="13"/>
                <w:szCs w:val="13"/>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Alton, IL</w:t>
            </w:r>
          </w:p>
        </w:tc>
      </w:tr>
      <w:tr>
        <w:trPr>
          <w:trHeight w:val="136"/>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1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Hollywood Casino Toledo</w:t>
            </w:r>
          </w:p>
        </w:tc>
        <w:tc>
          <w:tcPr>
            <w:tcW w:w="1820" w:type="dxa"/>
            <w:vAlign w:val="bottom"/>
          </w:tcPr>
          <w:p>
            <w:pPr>
              <w:ind w:left="900"/>
              <w:spacing w:after="0"/>
              <w:rPr>
                <w:sz w:val="20"/>
                <w:szCs w:val="20"/>
                <w:color w:val="auto"/>
              </w:rPr>
            </w:pPr>
            <w:r>
              <w:rPr>
                <w:rFonts w:ascii="Times New Roman" w:cs="Times New Roman" w:eastAsia="Times New Roman" w:hAnsi="Times New Roman"/>
                <w:sz w:val="10"/>
                <w:szCs w:val="10"/>
                <w:color w:val="auto"/>
              </w:rPr>
              <w:t>Toledo, OH</w:t>
            </w:r>
          </w:p>
        </w:tc>
        <w:tc>
          <w:tcPr>
            <w:tcW w:w="23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Hollywood Casino at Charles Town Races</w:t>
            </w:r>
          </w:p>
        </w:tc>
        <w:tc>
          <w:tcPr>
            <w:tcW w:w="960" w:type="dxa"/>
            <w:vAlign w:val="bottom"/>
          </w:tcPr>
          <w:p>
            <w:pPr>
              <w:spacing w:after="0"/>
              <w:rPr>
                <w:sz w:val="11"/>
                <w:szCs w:val="11"/>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Charles Town, WV</w:t>
            </w:r>
          </w:p>
        </w:tc>
      </w:tr>
      <w:tr>
        <w:trPr>
          <w:trHeight w:val="153"/>
        </w:trPr>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0"/>
                <w:szCs w:val="10"/>
                <w:color w:val="auto"/>
              </w:rPr>
              <w:t>Hollywood Casino Columbus</w:t>
            </w:r>
          </w:p>
        </w:tc>
        <w:tc>
          <w:tcPr>
            <w:tcW w:w="18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0"/>
                <w:szCs w:val="10"/>
                <w:color w:val="auto"/>
              </w:rPr>
              <w:t>Columbus, OH</w:t>
            </w:r>
          </w:p>
        </w:tc>
        <w:tc>
          <w:tcPr>
            <w:tcW w:w="2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Hollywood Casino at Penn National Race Course</w:t>
            </w:r>
          </w:p>
        </w:tc>
        <w:tc>
          <w:tcPr>
            <w:tcW w:w="960" w:type="dxa"/>
            <w:vAlign w:val="bottom"/>
            <w:shd w:val="clear" w:color="auto" w:fill="CCEEFF"/>
          </w:tcPr>
          <w:p>
            <w:pPr>
              <w:spacing w:after="0"/>
              <w:rPr>
                <w:sz w:val="13"/>
                <w:szCs w:val="13"/>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Grantville, PA</w:t>
            </w:r>
          </w:p>
        </w:tc>
      </w:tr>
      <w:tr>
        <w:trPr>
          <w:trHeight w:val="136"/>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1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M Resort</w:t>
            </w:r>
          </w:p>
        </w:tc>
        <w:tc>
          <w:tcPr>
            <w:tcW w:w="1820" w:type="dxa"/>
            <w:vAlign w:val="bottom"/>
          </w:tcPr>
          <w:p>
            <w:pPr>
              <w:ind w:left="900"/>
              <w:spacing w:after="0"/>
              <w:rPr>
                <w:sz w:val="20"/>
                <w:szCs w:val="20"/>
                <w:color w:val="auto"/>
              </w:rPr>
            </w:pPr>
            <w:r>
              <w:rPr>
                <w:rFonts w:ascii="Times New Roman" w:cs="Times New Roman" w:eastAsia="Times New Roman" w:hAnsi="Times New Roman"/>
                <w:sz w:val="10"/>
                <w:szCs w:val="10"/>
                <w:color w:val="auto"/>
              </w:rPr>
              <w:t>Henderson, NV</w:t>
            </w:r>
          </w:p>
        </w:tc>
        <w:tc>
          <w:tcPr>
            <w:tcW w:w="23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Hollywood Casino Bangor</w:t>
            </w:r>
          </w:p>
        </w:tc>
        <w:tc>
          <w:tcPr>
            <w:tcW w:w="960" w:type="dxa"/>
            <w:vAlign w:val="bottom"/>
          </w:tcPr>
          <w:p>
            <w:pPr>
              <w:spacing w:after="0"/>
              <w:rPr>
                <w:sz w:val="11"/>
                <w:szCs w:val="11"/>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Bangor, ME</w:t>
            </w:r>
          </w:p>
        </w:tc>
      </w:tr>
      <w:tr>
        <w:trPr>
          <w:trHeight w:val="152"/>
        </w:trPr>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0"/>
                <w:szCs w:val="10"/>
                <w:color w:val="auto"/>
              </w:rPr>
              <w:t>Hollywood Casino at the Meadows</w:t>
            </w:r>
          </w:p>
        </w:tc>
        <w:tc>
          <w:tcPr>
            <w:tcW w:w="18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0"/>
                <w:szCs w:val="10"/>
                <w:color w:val="auto"/>
              </w:rPr>
              <w:t>Washington, PA</w:t>
            </w:r>
          </w:p>
        </w:tc>
        <w:tc>
          <w:tcPr>
            <w:tcW w:w="2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Zia Park Casino</w:t>
            </w:r>
          </w:p>
        </w:tc>
        <w:tc>
          <w:tcPr>
            <w:tcW w:w="960" w:type="dxa"/>
            <w:vAlign w:val="bottom"/>
            <w:shd w:val="clear" w:color="auto" w:fill="CCEEFF"/>
          </w:tcPr>
          <w:p>
            <w:pPr>
              <w:spacing w:after="0"/>
              <w:rPr>
                <w:sz w:val="13"/>
                <w:szCs w:val="13"/>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Hobbs, NM</w:t>
            </w:r>
          </w:p>
        </w:tc>
      </w:tr>
      <w:tr>
        <w:trPr>
          <w:trHeight w:val="136"/>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1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Hollywood Casino Perryville</w:t>
            </w:r>
          </w:p>
        </w:tc>
        <w:tc>
          <w:tcPr>
            <w:tcW w:w="1820" w:type="dxa"/>
            <w:vAlign w:val="bottom"/>
          </w:tcPr>
          <w:p>
            <w:pPr>
              <w:ind w:left="900"/>
              <w:spacing w:after="0"/>
              <w:rPr>
                <w:sz w:val="20"/>
                <w:szCs w:val="20"/>
                <w:color w:val="auto"/>
              </w:rPr>
            </w:pPr>
            <w:r>
              <w:rPr>
                <w:rFonts w:ascii="Times New Roman" w:cs="Times New Roman" w:eastAsia="Times New Roman" w:hAnsi="Times New Roman"/>
                <w:sz w:val="10"/>
                <w:szCs w:val="10"/>
                <w:color w:val="auto"/>
              </w:rPr>
              <w:t>Perryville, MD</w:t>
            </w:r>
          </w:p>
        </w:tc>
        <w:tc>
          <w:tcPr>
            <w:tcW w:w="23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Hollywood Casino Gulf Coast</w:t>
            </w:r>
          </w:p>
        </w:tc>
        <w:tc>
          <w:tcPr>
            <w:tcW w:w="960" w:type="dxa"/>
            <w:vAlign w:val="bottom"/>
          </w:tcPr>
          <w:p>
            <w:pPr>
              <w:spacing w:after="0"/>
              <w:rPr>
                <w:sz w:val="11"/>
                <w:szCs w:val="11"/>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Bay St. Louis, MS</w:t>
            </w:r>
          </w:p>
        </w:tc>
      </w:tr>
      <w:tr>
        <w:trPr>
          <w:trHeight w:val="153"/>
        </w:trPr>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2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Argosy Casino Riverside</w:t>
            </w:r>
          </w:p>
        </w:tc>
        <w:tc>
          <w:tcPr>
            <w:tcW w:w="960" w:type="dxa"/>
            <w:vAlign w:val="bottom"/>
            <w:shd w:val="clear" w:color="auto" w:fill="CCEEFF"/>
          </w:tcPr>
          <w:p>
            <w:pPr>
              <w:spacing w:after="0"/>
              <w:rPr>
                <w:sz w:val="13"/>
                <w:szCs w:val="13"/>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Riverside, MO</w:t>
            </w:r>
          </w:p>
        </w:tc>
      </w:tr>
      <w:tr>
        <w:trPr>
          <w:trHeight w:val="136"/>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3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Hollywood Casino Tunica</w:t>
            </w:r>
          </w:p>
        </w:tc>
        <w:tc>
          <w:tcPr>
            <w:tcW w:w="960" w:type="dxa"/>
            <w:vAlign w:val="bottom"/>
          </w:tcPr>
          <w:p>
            <w:pPr>
              <w:spacing w:after="0"/>
              <w:rPr>
                <w:sz w:val="11"/>
                <w:szCs w:val="11"/>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Tunica, MS</w:t>
            </w:r>
          </w:p>
        </w:tc>
      </w:tr>
      <w:tr>
        <w:trPr>
          <w:trHeight w:val="153"/>
        </w:trPr>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2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Boomtown Biloxi</w:t>
            </w:r>
          </w:p>
        </w:tc>
        <w:tc>
          <w:tcPr>
            <w:tcW w:w="960" w:type="dxa"/>
            <w:vAlign w:val="bottom"/>
            <w:shd w:val="clear" w:color="auto" w:fill="CCEEFF"/>
          </w:tcPr>
          <w:p>
            <w:pPr>
              <w:spacing w:after="0"/>
              <w:rPr>
                <w:sz w:val="13"/>
                <w:szCs w:val="13"/>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Biloxi, MS</w:t>
            </w:r>
          </w:p>
        </w:tc>
      </w:tr>
      <w:tr>
        <w:trPr>
          <w:trHeight w:val="135"/>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3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Hollywood Casino St. Louis</w:t>
            </w:r>
          </w:p>
        </w:tc>
        <w:tc>
          <w:tcPr>
            <w:tcW w:w="960" w:type="dxa"/>
            <w:vAlign w:val="bottom"/>
          </w:tcPr>
          <w:p>
            <w:pPr>
              <w:spacing w:after="0"/>
              <w:rPr>
                <w:sz w:val="11"/>
                <w:szCs w:val="11"/>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Maryland Heights, MO</w:t>
            </w:r>
          </w:p>
        </w:tc>
      </w:tr>
      <w:tr>
        <w:trPr>
          <w:trHeight w:val="153"/>
        </w:trPr>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2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Hollywood Gaming Casino at Dayton Raceway</w:t>
            </w:r>
          </w:p>
        </w:tc>
        <w:tc>
          <w:tcPr>
            <w:tcW w:w="960" w:type="dxa"/>
            <w:vAlign w:val="bottom"/>
            <w:shd w:val="clear" w:color="auto" w:fill="CCEEFF"/>
          </w:tcPr>
          <w:p>
            <w:pPr>
              <w:spacing w:after="0"/>
              <w:rPr>
                <w:sz w:val="13"/>
                <w:szCs w:val="13"/>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Dayton, OH</w:t>
            </w:r>
          </w:p>
        </w:tc>
      </w:tr>
      <w:tr>
        <w:trPr>
          <w:trHeight w:val="136"/>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300" w:type="dxa"/>
            <w:vAlign w:val="bottom"/>
            <w:gridSpan w:val="2"/>
          </w:tcPr>
          <w:p>
            <w:pPr>
              <w:ind w:left="300"/>
              <w:spacing w:after="0"/>
              <w:rPr>
                <w:sz w:val="20"/>
                <w:szCs w:val="20"/>
                <w:color w:val="auto"/>
              </w:rPr>
            </w:pPr>
            <w:r>
              <w:rPr>
                <w:rFonts w:ascii="Times New Roman" w:cs="Times New Roman" w:eastAsia="Times New Roman" w:hAnsi="Times New Roman"/>
                <w:sz w:val="10"/>
                <w:szCs w:val="10"/>
                <w:color w:val="auto"/>
              </w:rPr>
              <w:t>Hollywood Gaming Casino at Mahoning Valley Race Track</w:t>
            </w:r>
          </w:p>
        </w:tc>
        <w:tc>
          <w:tcPr>
            <w:tcW w:w="1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Youngstown, OH</w:t>
            </w:r>
          </w:p>
        </w:tc>
      </w:tr>
      <w:tr>
        <w:trPr>
          <w:trHeight w:val="153"/>
        </w:trPr>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2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1st Jackpot Casino</w:t>
            </w:r>
          </w:p>
        </w:tc>
        <w:tc>
          <w:tcPr>
            <w:tcW w:w="960" w:type="dxa"/>
            <w:vAlign w:val="bottom"/>
            <w:shd w:val="clear" w:color="auto" w:fill="CCEEFF"/>
          </w:tcPr>
          <w:p>
            <w:pPr>
              <w:spacing w:after="0"/>
              <w:rPr>
                <w:sz w:val="13"/>
                <w:szCs w:val="13"/>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Tunica, MS</w:t>
            </w:r>
          </w:p>
        </w:tc>
      </w:tr>
      <w:tr>
        <w:trPr>
          <w:trHeight w:val="136"/>
        </w:trPr>
        <w:tc>
          <w:tcPr>
            <w:tcW w:w="23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Commencement Date</w:t>
            </w:r>
          </w:p>
        </w:tc>
        <w:tc>
          <w:tcPr>
            <w:tcW w:w="2160" w:type="dxa"/>
            <w:vAlign w:val="bottom"/>
          </w:tcPr>
          <w:p>
            <w:pPr>
              <w:spacing w:after="0"/>
              <w:rPr>
                <w:sz w:val="11"/>
                <w:szCs w:val="11"/>
                <w:color w:val="auto"/>
              </w:rPr>
            </w:pPr>
          </w:p>
        </w:tc>
        <w:tc>
          <w:tcPr>
            <w:tcW w:w="1820" w:type="dxa"/>
            <w:vAlign w:val="bottom"/>
          </w:tcPr>
          <w:p>
            <w:pPr>
              <w:jc w:val="right"/>
              <w:ind w:right="892"/>
              <w:spacing w:after="0"/>
              <w:rPr>
                <w:sz w:val="20"/>
                <w:szCs w:val="20"/>
                <w:color w:val="auto"/>
              </w:rPr>
            </w:pPr>
            <w:r>
              <w:rPr>
                <w:rFonts w:ascii="Times New Roman" w:cs="Times New Roman" w:eastAsia="Times New Roman" w:hAnsi="Times New Roman"/>
                <w:sz w:val="10"/>
                <w:szCs w:val="10"/>
                <w:color w:val="auto"/>
              </w:rPr>
              <w:t>1/1/2023</w:t>
            </w:r>
          </w:p>
        </w:tc>
        <w:tc>
          <w:tcPr>
            <w:tcW w:w="234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11/1/2013</w:t>
            </w:r>
          </w:p>
        </w:tc>
        <w:tc>
          <w:tcPr>
            <w:tcW w:w="1640" w:type="dxa"/>
            <w:vAlign w:val="bottom"/>
          </w:tcPr>
          <w:p>
            <w:pPr>
              <w:spacing w:after="0"/>
              <w:rPr>
                <w:sz w:val="11"/>
                <w:szCs w:val="11"/>
                <w:color w:val="auto"/>
              </w:rPr>
            </w:pPr>
          </w:p>
        </w:tc>
      </w:tr>
      <w:tr>
        <w:trPr>
          <w:trHeight w:val="152"/>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Lease Expiration Date</w:t>
            </w:r>
          </w:p>
        </w:tc>
        <w:tc>
          <w:tcPr>
            <w:tcW w:w="2160" w:type="dxa"/>
            <w:vAlign w:val="bottom"/>
            <w:shd w:val="clear" w:color="auto" w:fill="CCEEFF"/>
          </w:tcPr>
          <w:p>
            <w:pPr>
              <w:spacing w:after="0"/>
              <w:rPr>
                <w:sz w:val="13"/>
                <w:szCs w:val="13"/>
                <w:color w:val="auto"/>
              </w:rPr>
            </w:pPr>
          </w:p>
        </w:tc>
        <w:tc>
          <w:tcPr>
            <w:tcW w:w="182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0"/>
                <w:szCs w:val="10"/>
                <w:color w:val="auto"/>
              </w:rPr>
              <w:t>10/31/2033</w:t>
            </w:r>
          </w:p>
        </w:tc>
        <w:tc>
          <w:tcPr>
            <w:tcW w:w="23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10/31/2033</w:t>
            </w:r>
          </w:p>
        </w:tc>
        <w:tc>
          <w:tcPr>
            <w:tcW w:w="1640" w:type="dxa"/>
            <w:vAlign w:val="bottom"/>
            <w:shd w:val="clear" w:color="auto" w:fill="CCEEFF"/>
          </w:tcPr>
          <w:p>
            <w:pPr>
              <w:spacing w:after="0"/>
              <w:rPr>
                <w:sz w:val="13"/>
                <w:szCs w:val="13"/>
                <w:color w:val="auto"/>
              </w:rPr>
            </w:pPr>
          </w:p>
        </w:tc>
      </w:tr>
      <w:tr>
        <w:trPr>
          <w:trHeight w:val="136"/>
        </w:trPr>
        <w:tc>
          <w:tcPr>
            <w:tcW w:w="23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Remaining Renewal Terms</w:t>
            </w:r>
          </w:p>
        </w:tc>
        <w:tc>
          <w:tcPr>
            <w:tcW w:w="2160" w:type="dxa"/>
            <w:vAlign w:val="bottom"/>
          </w:tcPr>
          <w:p>
            <w:pPr>
              <w:spacing w:after="0"/>
              <w:rPr>
                <w:sz w:val="11"/>
                <w:szCs w:val="11"/>
                <w:color w:val="auto"/>
              </w:rPr>
            </w:pPr>
          </w:p>
        </w:tc>
        <w:tc>
          <w:tcPr>
            <w:tcW w:w="1820" w:type="dxa"/>
            <w:vAlign w:val="bottom"/>
          </w:tcPr>
          <w:p>
            <w:pPr>
              <w:jc w:val="right"/>
              <w:ind w:right="892"/>
              <w:spacing w:after="0"/>
              <w:rPr>
                <w:sz w:val="20"/>
                <w:szCs w:val="20"/>
                <w:color w:val="auto"/>
              </w:rPr>
            </w:pPr>
            <w:r>
              <w:rPr>
                <w:rFonts w:ascii="Times New Roman" w:cs="Times New Roman" w:eastAsia="Times New Roman" w:hAnsi="Times New Roman"/>
                <w:sz w:val="10"/>
                <w:szCs w:val="10"/>
                <w:color w:val="auto"/>
              </w:rPr>
              <w:t>15 (3x5 years)</w:t>
            </w:r>
          </w:p>
        </w:tc>
        <w:tc>
          <w:tcPr>
            <w:tcW w:w="234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 (3x5 years)</w:t>
            </w:r>
          </w:p>
        </w:tc>
        <w:tc>
          <w:tcPr>
            <w:tcW w:w="1640" w:type="dxa"/>
            <w:vAlign w:val="bottom"/>
          </w:tcPr>
          <w:p>
            <w:pPr>
              <w:spacing w:after="0"/>
              <w:rPr>
                <w:sz w:val="11"/>
                <w:szCs w:val="11"/>
                <w:color w:val="auto"/>
              </w:rPr>
            </w:pPr>
          </w:p>
        </w:tc>
      </w:tr>
      <w:tr>
        <w:trPr>
          <w:trHeight w:val="153"/>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Corporate Guarantee</w:t>
            </w:r>
          </w:p>
        </w:tc>
        <w:tc>
          <w:tcPr>
            <w:tcW w:w="2160" w:type="dxa"/>
            <w:vAlign w:val="bottom"/>
            <w:shd w:val="clear" w:color="auto" w:fill="CCEEFF"/>
          </w:tcPr>
          <w:p>
            <w:pPr>
              <w:spacing w:after="0"/>
              <w:rPr>
                <w:sz w:val="13"/>
                <w:szCs w:val="13"/>
                <w:color w:val="auto"/>
              </w:rPr>
            </w:pPr>
          </w:p>
        </w:tc>
        <w:tc>
          <w:tcPr>
            <w:tcW w:w="182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0"/>
                <w:szCs w:val="10"/>
                <w:color w:val="auto"/>
              </w:rPr>
              <w:t>Yes</w:t>
            </w:r>
          </w:p>
        </w:tc>
        <w:tc>
          <w:tcPr>
            <w:tcW w:w="23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Yes</w:t>
            </w:r>
          </w:p>
        </w:tc>
        <w:tc>
          <w:tcPr>
            <w:tcW w:w="1640" w:type="dxa"/>
            <w:vAlign w:val="bottom"/>
            <w:shd w:val="clear" w:color="auto" w:fill="CCEEFF"/>
          </w:tcPr>
          <w:p>
            <w:pPr>
              <w:spacing w:after="0"/>
              <w:rPr>
                <w:sz w:val="13"/>
                <w:szCs w:val="13"/>
                <w:color w:val="auto"/>
              </w:rPr>
            </w:pPr>
          </w:p>
        </w:tc>
      </w:tr>
      <w:tr>
        <w:trPr>
          <w:trHeight w:val="136"/>
        </w:trPr>
        <w:tc>
          <w:tcPr>
            <w:tcW w:w="23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Master Lease with Cross Collateralization</w:t>
            </w:r>
          </w:p>
        </w:tc>
        <w:tc>
          <w:tcPr>
            <w:tcW w:w="2160" w:type="dxa"/>
            <w:vAlign w:val="bottom"/>
          </w:tcPr>
          <w:p>
            <w:pPr>
              <w:spacing w:after="0"/>
              <w:rPr>
                <w:sz w:val="11"/>
                <w:szCs w:val="11"/>
                <w:color w:val="auto"/>
              </w:rPr>
            </w:pPr>
          </w:p>
        </w:tc>
        <w:tc>
          <w:tcPr>
            <w:tcW w:w="1820" w:type="dxa"/>
            <w:vAlign w:val="bottom"/>
          </w:tcPr>
          <w:p>
            <w:pPr>
              <w:jc w:val="right"/>
              <w:ind w:right="892"/>
              <w:spacing w:after="0"/>
              <w:rPr>
                <w:sz w:val="20"/>
                <w:szCs w:val="20"/>
                <w:color w:val="auto"/>
              </w:rPr>
            </w:pPr>
            <w:r>
              <w:rPr>
                <w:rFonts w:ascii="Times New Roman" w:cs="Times New Roman" w:eastAsia="Times New Roman" w:hAnsi="Times New Roman"/>
                <w:sz w:val="10"/>
                <w:szCs w:val="10"/>
                <w:color w:val="auto"/>
              </w:rPr>
              <w:t>Yes</w:t>
            </w:r>
          </w:p>
        </w:tc>
        <w:tc>
          <w:tcPr>
            <w:tcW w:w="234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Yes</w:t>
            </w:r>
          </w:p>
        </w:tc>
        <w:tc>
          <w:tcPr>
            <w:tcW w:w="1640" w:type="dxa"/>
            <w:vAlign w:val="bottom"/>
          </w:tcPr>
          <w:p>
            <w:pPr>
              <w:spacing w:after="0"/>
              <w:rPr>
                <w:sz w:val="11"/>
                <w:szCs w:val="11"/>
                <w:color w:val="auto"/>
              </w:rPr>
            </w:pPr>
          </w:p>
        </w:tc>
      </w:tr>
      <w:tr>
        <w:trPr>
          <w:trHeight w:val="152"/>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Technical Default Landlord Protection</w:t>
            </w:r>
          </w:p>
        </w:tc>
        <w:tc>
          <w:tcPr>
            <w:tcW w:w="2160" w:type="dxa"/>
            <w:vAlign w:val="bottom"/>
            <w:shd w:val="clear" w:color="auto" w:fill="CCEEFF"/>
          </w:tcPr>
          <w:p>
            <w:pPr>
              <w:spacing w:after="0"/>
              <w:rPr>
                <w:sz w:val="13"/>
                <w:szCs w:val="13"/>
                <w:color w:val="auto"/>
              </w:rPr>
            </w:pPr>
          </w:p>
        </w:tc>
        <w:tc>
          <w:tcPr>
            <w:tcW w:w="182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0"/>
                <w:szCs w:val="10"/>
                <w:color w:val="auto"/>
              </w:rPr>
              <w:t>Yes</w:t>
            </w:r>
          </w:p>
        </w:tc>
        <w:tc>
          <w:tcPr>
            <w:tcW w:w="23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Yes</w:t>
            </w:r>
          </w:p>
        </w:tc>
        <w:tc>
          <w:tcPr>
            <w:tcW w:w="1640" w:type="dxa"/>
            <w:vAlign w:val="bottom"/>
            <w:shd w:val="clear" w:color="auto" w:fill="CCEEFF"/>
          </w:tcPr>
          <w:p>
            <w:pPr>
              <w:spacing w:after="0"/>
              <w:rPr>
                <w:sz w:val="13"/>
                <w:szCs w:val="13"/>
                <w:color w:val="auto"/>
              </w:rPr>
            </w:pPr>
          </w:p>
        </w:tc>
      </w:tr>
      <w:tr>
        <w:trPr>
          <w:trHeight w:val="136"/>
        </w:trPr>
        <w:tc>
          <w:tcPr>
            <w:tcW w:w="23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Default Adjusted Revenue to Rent Coverage</w:t>
            </w:r>
          </w:p>
        </w:tc>
        <w:tc>
          <w:tcPr>
            <w:tcW w:w="2160" w:type="dxa"/>
            <w:vAlign w:val="bottom"/>
          </w:tcPr>
          <w:p>
            <w:pPr>
              <w:spacing w:after="0"/>
              <w:rPr>
                <w:sz w:val="11"/>
                <w:szCs w:val="11"/>
                <w:color w:val="auto"/>
              </w:rPr>
            </w:pPr>
          </w:p>
        </w:tc>
        <w:tc>
          <w:tcPr>
            <w:tcW w:w="1820" w:type="dxa"/>
            <w:vAlign w:val="bottom"/>
          </w:tcPr>
          <w:p>
            <w:pPr>
              <w:jc w:val="right"/>
              <w:ind w:right="892"/>
              <w:spacing w:after="0"/>
              <w:rPr>
                <w:sz w:val="20"/>
                <w:szCs w:val="20"/>
                <w:color w:val="auto"/>
              </w:rPr>
            </w:pPr>
            <w:r>
              <w:rPr>
                <w:rFonts w:ascii="Times New Roman" w:cs="Times New Roman" w:eastAsia="Times New Roman" w:hAnsi="Times New Roman"/>
                <w:sz w:val="10"/>
                <w:szCs w:val="10"/>
                <w:color w:val="auto"/>
              </w:rPr>
              <w:t>1.1</w:t>
            </w:r>
          </w:p>
        </w:tc>
        <w:tc>
          <w:tcPr>
            <w:tcW w:w="234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1640" w:type="dxa"/>
            <w:vAlign w:val="bottom"/>
          </w:tcPr>
          <w:p>
            <w:pPr>
              <w:spacing w:after="0"/>
              <w:rPr>
                <w:sz w:val="11"/>
                <w:szCs w:val="11"/>
                <w:color w:val="auto"/>
              </w:rPr>
            </w:pPr>
          </w:p>
        </w:tc>
      </w:tr>
      <w:tr>
        <w:trPr>
          <w:trHeight w:val="153"/>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Competitive Radius Landlord Protection</w:t>
            </w:r>
          </w:p>
        </w:tc>
        <w:tc>
          <w:tcPr>
            <w:tcW w:w="2160" w:type="dxa"/>
            <w:vAlign w:val="bottom"/>
            <w:shd w:val="clear" w:color="auto" w:fill="CCEEFF"/>
          </w:tcPr>
          <w:p>
            <w:pPr>
              <w:spacing w:after="0"/>
              <w:rPr>
                <w:sz w:val="13"/>
                <w:szCs w:val="13"/>
                <w:color w:val="auto"/>
              </w:rPr>
            </w:pPr>
          </w:p>
        </w:tc>
        <w:tc>
          <w:tcPr>
            <w:tcW w:w="182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0"/>
                <w:szCs w:val="10"/>
                <w:color w:val="auto"/>
              </w:rPr>
              <w:t>Yes</w:t>
            </w:r>
          </w:p>
        </w:tc>
        <w:tc>
          <w:tcPr>
            <w:tcW w:w="23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Yes</w:t>
            </w:r>
          </w:p>
        </w:tc>
        <w:tc>
          <w:tcPr>
            <w:tcW w:w="1640" w:type="dxa"/>
            <w:vAlign w:val="bottom"/>
            <w:shd w:val="clear" w:color="auto" w:fill="CCEEFF"/>
          </w:tcPr>
          <w:p>
            <w:pPr>
              <w:spacing w:after="0"/>
              <w:rPr>
                <w:sz w:val="13"/>
                <w:szCs w:val="13"/>
                <w:color w:val="auto"/>
              </w:rPr>
            </w:pPr>
          </w:p>
        </w:tc>
      </w:tr>
      <w:tr>
        <w:trPr>
          <w:trHeight w:val="116"/>
        </w:trPr>
        <w:tc>
          <w:tcPr>
            <w:tcW w:w="700" w:type="dxa"/>
            <w:vAlign w:val="bottom"/>
            <w:tcBorders>
              <w:bottom w:val="single" w:sz="8" w:color="auto"/>
            </w:tcBorders>
          </w:tcPr>
          <w:p>
            <w:pPr>
              <w:spacing w:after="0" w:line="108" w:lineRule="exact"/>
              <w:rPr>
                <w:sz w:val="20"/>
                <w:szCs w:val="20"/>
                <w:color w:val="auto"/>
              </w:rPr>
            </w:pPr>
            <w:r>
              <w:rPr>
                <w:rFonts w:ascii="Times New Roman" w:cs="Times New Roman" w:eastAsia="Times New Roman" w:hAnsi="Times New Roman"/>
                <w:sz w:val="10"/>
                <w:szCs w:val="10"/>
                <w:b w:val="1"/>
                <w:bCs w:val="1"/>
                <w:color w:val="auto"/>
                <w:w w:val="93"/>
              </w:rPr>
              <w:t>Escalator Details</w:t>
            </w:r>
          </w:p>
        </w:tc>
        <w:tc>
          <w:tcPr>
            <w:tcW w:w="1680" w:type="dxa"/>
            <w:vAlign w:val="bottom"/>
            <w:gridSpan w:val="2"/>
          </w:tcPr>
          <w:p>
            <w:pPr>
              <w:spacing w:after="0"/>
              <w:rPr>
                <w:sz w:val="10"/>
                <w:szCs w:val="10"/>
                <w:color w:val="auto"/>
              </w:rPr>
            </w:pPr>
          </w:p>
        </w:tc>
        <w:tc>
          <w:tcPr>
            <w:tcW w:w="21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40" w:type="dxa"/>
            <w:vAlign w:val="bottom"/>
          </w:tcPr>
          <w:p>
            <w:pPr>
              <w:spacing w:after="0"/>
              <w:rPr>
                <w:sz w:val="10"/>
                <w:szCs w:val="10"/>
                <w:color w:val="auto"/>
              </w:rPr>
            </w:pPr>
          </w:p>
        </w:tc>
      </w:tr>
      <w:tr>
        <w:trPr>
          <w:trHeight w:val="152"/>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Yearly Base Rent Escalator Maximum</w:t>
            </w:r>
          </w:p>
        </w:tc>
        <w:tc>
          <w:tcPr>
            <w:tcW w:w="2160" w:type="dxa"/>
            <w:vAlign w:val="bottom"/>
            <w:shd w:val="clear" w:color="auto" w:fill="CCEEFF"/>
          </w:tcPr>
          <w:p>
            <w:pPr>
              <w:spacing w:after="0"/>
              <w:rPr>
                <w:sz w:val="13"/>
                <w:szCs w:val="13"/>
                <w:color w:val="auto"/>
              </w:rPr>
            </w:pPr>
          </w:p>
        </w:tc>
        <w:tc>
          <w:tcPr>
            <w:tcW w:w="182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0"/>
                <w:szCs w:val="10"/>
                <w:color w:val="auto"/>
              </w:rPr>
              <w:t>1.5% (1)</w:t>
            </w:r>
          </w:p>
        </w:tc>
        <w:tc>
          <w:tcPr>
            <w:tcW w:w="23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2 %</w:t>
            </w:r>
          </w:p>
        </w:tc>
        <w:tc>
          <w:tcPr>
            <w:tcW w:w="1640" w:type="dxa"/>
            <w:vAlign w:val="bottom"/>
            <w:shd w:val="clear" w:color="auto" w:fill="CCEEFF"/>
          </w:tcPr>
          <w:p>
            <w:pPr>
              <w:spacing w:after="0"/>
              <w:rPr>
                <w:sz w:val="13"/>
                <w:szCs w:val="13"/>
                <w:color w:val="auto"/>
              </w:rPr>
            </w:pPr>
          </w:p>
        </w:tc>
      </w:tr>
      <w:tr>
        <w:trPr>
          <w:trHeight w:val="135"/>
        </w:trPr>
        <w:tc>
          <w:tcPr>
            <w:tcW w:w="23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Coverage ratio at June 30, 2026</w:t>
            </w:r>
          </w:p>
        </w:tc>
        <w:tc>
          <w:tcPr>
            <w:tcW w:w="2160" w:type="dxa"/>
            <w:vAlign w:val="bottom"/>
          </w:tcPr>
          <w:p>
            <w:pPr>
              <w:spacing w:after="0"/>
              <w:rPr>
                <w:sz w:val="11"/>
                <w:szCs w:val="11"/>
                <w:color w:val="auto"/>
              </w:rPr>
            </w:pPr>
          </w:p>
        </w:tc>
        <w:tc>
          <w:tcPr>
            <w:tcW w:w="1820" w:type="dxa"/>
            <w:vAlign w:val="bottom"/>
          </w:tcPr>
          <w:p>
            <w:pPr>
              <w:jc w:val="right"/>
              <w:ind w:right="892"/>
              <w:spacing w:after="0"/>
              <w:rPr>
                <w:sz w:val="20"/>
                <w:szCs w:val="20"/>
                <w:color w:val="auto"/>
              </w:rPr>
            </w:pPr>
            <w:r>
              <w:rPr>
                <w:rFonts w:ascii="Times New Roman" w:cs="Times New Roman" w:eastAsia="Times New Roman" w:hAnsi="Times New Roman"/>
                <w:sz w:val="10"/>
                <w:szCs w:val="10"/>
                <w:color w:val="auto"/>
              </w:rPr>
              <w:t>1.84</w:t>
            </w:r>
          </w:p>
        </w:tc>
        <w:tc>
          <w:tcPr>
            <w:tcW w:w="234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2.12</w:t>
            </w:r>
          </w:p>
        </w:tc>
        <w:tc>
          <w:tcPr>
            <w:tcW w:w="1640" w:type="dxa"/>
            <w:vAlign w:val="bottom"/>
          </w:tcPr>
          <w:p>
            <w:pPr>
              <w:spacing w:after="0"/>
              <w:rPr>
                <w:sz w:val="11"/>
                <w:szCs w:val="11"/>
                <w:color w:val="auto"/>
              </w:rPr>
            </w:pPr>
          </w:p>
        </w:tc>
      </w:tr>
      <w:tr>
        <w:trPr>
          <w:trHeight w:val="153"/>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Minimum Escalator Coverage Governor</w:t>
            </w:r>
          </w:p>
        </w:tc>
        <w:tc>
          <w:tcPr>
            <w:tcW w:w="2160" w:type="dxa"/>
            <w:vAlign w:val="bottom"/>
            <w:shd w:val="clear" w:color="auto" w:fill="CCEEFF"/>
          </w:tcPr>
          <w:p>
            <w:pPr>
              <w:spacing w:after="0"/>
              <w:rPr>
                <w:sz w:val="13"/>
                <w:szCs w:val="13"/>
                <w:color w:val="auto"/>
              </w:rPr>
            </w:pPr>
          </w:p>
        </w:tc>
        <w:tc>
          <w:tcPr>
            <w:tcW w:w="182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0"/>
                <w:szCs w:val="10"/>
                <w:color w:val="auto"/>
              </w:rPr>
              <w:t>N/A</w:t>
            </w:r>
          </w:p>
        </w:tc>
        <w:tc>
          <w:tcPr>
            <w:tcW w:w="23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w:t>
            </w:r>
          </w:p>
        </w:tc>
        <w:tc>
          <w:tcPr>
            <w:tcW w:w="1640" w:type="dxa"/>
            <w:vAlign w:val="bottom"/>
            <w:shd w:val="clear" w:color="auto" w:fill="CCEEFF"/>
          </w:tcPr>
          <w:p>
            <w:pPr>
              <w:spacing w:after="0"/>
              <w:rPr>
                <w:sz w:val="13"/>
                <w:szCs w:val="13"/>
                <w:color w:val="auto"/>
              </w:rPr>
            </w:pPr>
          </w:p>
        </w:tc>
      </w:tr>
      <w:tr>
        <w:trPr>
          <w:trHeight w:val="136"/>
        </w:trPr>
        <w:tc>
          <w:tcPr>
            <w:tcW w:w="23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Yearly Anniversary for Realization</w:t>
            </w:r>
          </w:p>
        </w:tc>
        <w:tc>
          <w:tcPr>
            <w:tcW w:w="2160" w:type="dxa"/>
            <w:vAlign w:val="bottom"/>
          </w:tcPr>
          <w:p>
            <w:pPr>
              <w:spacing w:after="0"/>
              <w:rPr>
                <w:sz w:val="11"/>
                <w:szCs w:val="11"/>
                <w:color w:val="auto"/>
              </w:rPr>
            </w:pPr>
          </w:p>
        </w:tc>
        <w:tc>
          <w:tcPr>
            <w:tcW w:w="1820" w:type="dxa"/>
            <w:vAlign w:val="bottom"/>
          </w:tcPr>
          <w:p>
            <w:pPr>
              <w:jc w:val="right"/>
              <w:ind w:right="892"/>
              <w:spacing w:after="0"/>
              <w:rPr>
                <w:sz w:val="20"/>
                <w:szCs w:val="20"/>
                <w:color w:val="auto"/>
              </w:rPr>
            </w:pPr>
            <w:r>
              <w:rPr>
                <w:rFonts w:ascii="Times New Roman" w:cs="Times New Roman" w:eastAsia="Times New Roman" w:hAnsi="Times New Roman"/>
                <w:sz w:val="10"/>
                <w:szCs w:val="10"/>
                <w:color w:val="auto"/>
              </w:rPr>
              <w:t>November</w:t>
            </w:r>
          </w:p>
        </w:tc>
        <w:tc>
          <w:tcPr>
            <w:tcW w:w="234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November</w:t>
            </w:r>
          </w:p>
        </w:tc>
        <w:tc>
          <w:tcPr>
            <w:tcW w:w="1640" w:type="dxa"/>
            <w:vAlign w:val="bottom"/>
          </w:tcPr>
          <w:p>
            <w:pPr>
              <w:spacing w:after="0"/>
              <w:rPr>
                <w:sz w:val="11"/>
                <w:szCs w:val="11"/>
                <w:color w:val="auto"/>
              </w:rPr>
            </w:pPr>
          </w:p>
        </w:tc>
      </w:tr>
      <w:tr>
        <w:trPr>
          <w:trHeight w:val="133"/>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Percentage Rent Reset Details</w:t>
            </w:r>
          </w:p>
        </w:tc>
        <w:tc>
          <w:tcPr>
            <w:tcW w:w="216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r>
      <w:tr>
        <w:trPr>
          <w:trHeight w:val="136"/>
        </w:trPr>
        <w:tc>
          <w:tcPr>
            <w:tcW w:w="1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Reset Frequency</w:t>
            </w:r>
          </w:p>
        </w:tc>
        <w:tc>
          <w:tcPr>
            <w:tcW w:w="1160" w:type="dxa"/>
            <w:vAlign w:val="bottom"/>
            <w:tcBorders>
              <w:top w:val="single" w:sz="8" w:color="CCEEFF"/>
            </w:tcBorders>
          </w:tcPr>
          <w:p>
            <w:pPr>
              <w:spacing w:after="0"/>
              <w:rPr>
                <w:sz w:val="11"/>
                <w:szCs w:val="11"/>
                <w:color w:val="auto"/>
              </w:rPr>
            </w:pPr>
          </w:p>
        </w:tc>
        <w:tc>
          <w:tcPr>
            <w:tcW w:w="2160" w:type="dxa"/>
            <w:vAlign w:val="bottom"/>
            <w:tcBorders>
              <w:top w:val="single" w:sz="8" w:color="CCEEFF"/>
            </w:tcBorders>
          </w:tcPr>
          <w:p>
            <w:pPr>
              <w:spacing w:after="0"/>
              <w:rPr>
                <w:sz w:val="11"/>
                <w:szCs w:val="11"/>
                <w:color w:val="auto"/>
              </w:rPr>
            </w:pPr>
          </w:p>
        </w:tc>
        <w:tc>
          <w:tcPr>
            <w:tcW w:w="1820" w:type="dxa"/>
            <w:vAlign w:val="bottom"/>
            <w:tcBorders>
              <w:top w:val="single" w:sz="8" w:color="CCEEFF"/>
            </w:tcBorders>
          </w:tcPr>
          <w:p>
            <w:pPr>
              <w:jc w:val="right"/>
              <w:ind w:right="892"/>
              <w:spacing w:after="0"/>
              <w:rPr>
                <w:sz w:val="20"/>
                <w:szCs w:val="20"/>
                <w:color w:val="auto"/>
              </w:rPr>
            </w:pPr>
            <w:r>
              <w:rPr>
                <w:rFonts w:ascii="Times New Roman" w:cs="Times New Roman" w:eastAsia="Times New Roman" w:hAnsi="Times New Roman"/>
                <w:sz w:val="10"/>
                <w:szCs w:val="10"/>
                <w:color w:val="auto"/>
              </w:rPr>
              <w:t>N/A</w:t>
            </w:r>
          </w:p>
        </w:tc>
        <w:tc>
          <w:tcPr>
            <w:tcW w:w="2340" w:type="dxa"/>
            <w:vAlign w:val="bottom"/>
            <w:tcBorders>
              <w:top w:val="single" w:sz="8" w:color="CCEEFF"/>
            </w:tcBorders>
          </w:tcPr>
          <w:p>
            <w:pPr>
              <w:spacing w:after="0"/>
              <w:rPr>
                <w:sz w:val="11"/>
                <w:szCs w:val="11"/>
                <w:color w:val="auto"/>
              </w:rPr>
            </w:pP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5 years</w:t>
            </w:r>
          </w:p>
        </w:tc>
        <w:tc>
          <w:tcPr>
            <w:tcW w:w="1640" w:type="dxa"/>
            <w:vAlign w:val="bottom"/>
            <w:tcBorders>
              <w:top w:val="single" w:sz="8" w:color="CCEEFF"/>
            </w:tcBorders>
          </w:tcPr>
          <w:p>
            <w:pPr>
              <w:spacing w:after="0"/>
              <w:rPr>
                <w:sz w:val="11"/>
                <w:szCs w:val="11"/>
                <w:color w:val="auto"/>
              </w:rPr>
            </w:pPr>
          </w:p>
        </w:tc>
      </w:tr>
      <w:tr>
        <w:trPr>
          <w:trHeight w:val="152"/>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Next Reset</w:t>
            </w:r>
          </w:p>
        </w:tc>
        <w:tc>
          <w:tcPr>
            <w:tcW w:w="2160" w:type="dxa"/>
            <w:vAlign w:val="bottom"/>
            <w:shd w:val="clear" w:color="auto" w:fill="CCEEFF"/>
          </w:tcPr>
          <w:p>
            <w:pPr>
              <w:spacing w:after="0"/>
              <w:rPr>
                <w:sz w:val="13"/>
                <w:szCs w:val="13"/>
                <w:color w:val="auto"/>
              </w:rPr>
            </w:pPr>
          </w:p>
        </w:tc>
        <w:tc>
          <w:tcPr>
            <w:tcW w:w="182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0"/>
                <w:szCs w:val="10"/>
                <w:color w:val="auto"/>
              </w:rPr>
              <w:t>N/A</w:t>
            </w:r>
          </w:p>
        </w:tc>
        <w:tc>
          <w:tcPr>
            <w:tcW w:w="23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November-28</w:t>
            </w:r>
          </w:p>
        </w:tc>
        <w:tc>
          <w:tcPr>
            <w:tcW w:w="1640" w:type="dxa"/>
            <w:vAlign w:val="bottom"/>
            <w:shd w:val="clear" w:color="auto" w:fill="CCEEFF"/>
          </w:tcPr>
          <w:p>
            <w:pPr>
              <w:spacing w:after="0"/>
              <w:rPr>
                <w:sz w:val="13"/>
                <w:szCs w:val="13"/>
                <w:color w:val="auto"/>
              </w:rPr>
            </w:pPr>
          </w:p>
        </w:tc>
      </w:tr>
    </w:tbl>
    <w:p>
      <w:pPr>
        <w:spacing w:after="0" w:line="122" w:lineRule="exact"/>
        <w:rPr>
          <w:sz w:val="20"/>
          <w:szCs w:val="20"/>
          <w:color w:val="auto"/>
        </w:rPr>
      </w:pPr>
    </w:p>
    <w:p>
      <w:pPr>
        <w:ind w:left="208" w:hanging="208"/>
        <w:spacing w:after="0"/>
        <w:tabs>
          <w:tab w:leader="none" w:pos="208"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 addition to the annual escalation, a one-time annualized increase of $1.4 million occurs on November 1, 2027.</w:t>
      </w:r>
    </w:p>
    <w:p>
      <w:pPr>
        <w:spacing w:after="0" w:line="200" w:lineRule="exact"/>
        <w:rPr>
          <w:rFonts w:ascii="Times New Roman" w:cs="Times New Roman" w:eastAsia="Times New Roman" w:hAnsi="Times New Roman"/>
          <w:sz w:val="16"/>
          <w:szCs w:val="16"/>
          <w:color w:val="auto"/>
          <w:vertAlign w:val="superscript"/>
        </w:rPr>
      </w:pPr>
    </w:p>
    <w:p>
      <w:pPr>
        <w:spacing w:after="0" w:line="200" w:lineRule="exact"/>
        <w:rPr>
          <w:rFonts w:ascii="Times New Roman" w:cs="Times New Roman" w:eastAsia="Times New Roman" w:hAnsi="Times New Roman"/>
          <w:sz w:val="16"/>
          <w:szCs w:val="16"/>
          <w:color w:val="auto"/>
          <w:vertAlign w:val="superscript"/>
        </w:rPr>
      </w:pPr>
    </w:p>
    <w:p>
      <w:pPr>
        <w:spacing w:after="0" w:line="210" w:lineRule="exact"/>
        <w:rPr>
          <w:rFonts w:ascii="Times New Roman" w:cs="Times New Roman" w:eastAsia="Times New Roman" w:hAnsi="Times New Roman"/>
          <w:sz w:val="16"/>
          <w:szCs w:val="16"/>
          <w:color w:val="auto"/>
          <w:vertAlign w:val="superscript"/>
        </w:rPr>
      </w:pPr>
    </w:p>
    <w:p>
      <w:pPr>
        <w:ind w:left="5588"/>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14</w:t>
      </w:r>
    </w:p>
    <w:p>
      <w:pPr>
        <w:sectPr>
          <w:pgSz w:w="11900" w:h="16838" w:orient="portrait"/>
          <w:cols w:equalWidth="0" w:num="1">
            <w:col w:w="11308"/>
          </w:cols>
          <w:pgMar w:left="292" w:top="1032" w:right="299" w:bottom="1440" w:gutter="0" w:footer="0" w:header="0"/>
        </w:sectPr>
      </w:pPr>
    </w:p>
    <w:bookmarkStart w:id="17" w:name="page18"/>
    <w:bookmarkEnd w:id="17"/>
    <w:p>
      <w:pPr>
        <w:jc w:val="center"/>
        <w:ind w:right="-7"/>
        <w:spacing w:after="0"/>
        <w:rPr>
          <w:sz w:val="20"/>
          <w:szCs w:val="20"/>
          <w:color w:val="auto"/>
        </w:rPr>
      </w:pPr>
      <w:r>
        <w:rPr>
          <w:rFonts w:ascii="Times New Roman" w:cs="Times New Roman" w:eastAsia="Times New Roman" w:hAnsi="Times New Roman"/>
          <w:sz w:val="10"/>
          <w:szCs w:val="10"/>
          <w:b w:val="1"/>
          <w:bCs w:val="1"/>
          <w:color w:val="auto"/>
        </w:rPr>
        <w:drawing>
          <wp:anchor simplePos="0" relativeHeight="251657728" behindDoc="1" locked="0" layoutInCell="0" allowOverlap="1">
            <wp:simplePos x="0" y="0"/>
            <wp:positionH relativeFrom="page">
              <wp:posOffset>185420</wp:posOffset>
            </wp:positionH>
            <wp:positionV relativeFrom="page">
              <wp:posOffset>488950</wp:posOffset>
            </wp:positionV>
            <wp:extent cx="7183755"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3755" cy="102870"/>
                    </a:xfrm>
                    <a:prstGeom prst="rect">
                      <a:avLst/>
                    </a:prstGeom>
                    <a:noFill/>
                  </pic:spPr>
                </pic:pic>
              </a:graphicData>
            </a:graphic>
          </wp:anchor>
        </w:drawing>
        <w:t>Master Leases</w:t>
      </w:r>
    </w:p>
    <w:p>
      <w:pPr>
        <w:spacing w:after="0" w:line="38"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100" w:type="dxa"/>
            <w:vAlign w:val="bottom"/>
            <w:gridSpan w:val="2"/>
          </w:tcPr>
          <w:p>
            <w:pPr>
              <w:ind w:left="1880"/>
              <w:spacing w:after="0"/>
              <w:rPr>
                <w:sz w:val="20"/>
                <w:szCs w:val="20"/>
                <w:color w:val="auto"/>
              </w:rPr>
            </w:pPr>
            <w:r>
              <w:rPr>
                <w:rFonts w:ascii="Times New Roman" w:cs="Times New Roman" w:eastAsia="Times New Roman" w:hAnsi="Times New Roman"/>
                <w:sz w:val="10"/>
                <w:szCs w:val="10"/>
                <w:b w:val="1"/>
                <w:bCs w:val="1"/>
                <w:color w:val="auto"/>
              </w:rPr>
              <w:t>Amended Pinnacle Master Lease</w:t>
            </w:r>
          </w:p>
        </w:tc>
        <w:tc>
          <w:tcPr>
            <w:tcW w:w="342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Bally's Master Lease</w:t>
            </w:r>
          </w:p>
        </w:tc>
        <w:tc>
          <w:tcPr>
            <w:tcW w:w="1380" w:type="dxa"/>
            <w:vAlign w:val="bottom"/>
          </w:tcPr>
          <w:p>
            <w:pPr>
              <w:spacing w:after="0"/>
              <w:rPr>
                <w:sz w:val="11"/>
                <w:szCs w:val="11"/>
                <w:color w:val="auto"/>
              </w:rPr>
            </w:pPr>
          </w:p>
        </w:tc>
      </w:tr>
      <w:tr>
        <w:trPr>
          <w:trHeight w:val="153"/>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Operator</w:t>
            </w:r>
          </w:p>
        </w:tc>
        <w:tc>
          <w:tcPr>
            <w:tcW w:w="30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PENN</w:t>
            </w:r>
          </w:p>
        </w:tc>
        <w:tc>
          <w:tcPr>
            <w:tcW w:w="1060" w:type="dxa"/>
            <w:vAlign w:val="bottom"/>
            <w:shd w:val="clear" w:color="auto" w:fill="CCEEFF"/>
          </w:tcPr>
          <w:p>
            <w:pPr>
              <w:spacing w:after="0"/>
              <w:rPr>
                <w:sz w:val="13"/>
                <w:szCs w:val="13"/>
                <w:color w:val="auto"/>
              </w:rPr>
            </w:pPr>
          </w:p>
        </w:tc>
        <w:tc>
          <w:tcPr>
            <w:tcW w:w="342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0"/>
                <w:szCs w:val="10"/>
                <w:b w:val="1"/>
                <w:bCs w:val="1"/>
                <w:color w:val="auto"/>
              </w:rPr>
              <w:t>Bally's</w:t>
            </w:r>
          </w:p>
        </w:tc>
        <w:tc>
          <w:tcPr>
            <w:tcW w:w="1380" w:type="dxa"/>
            <w:vAlign w:val="bottom"/>
            <w:shd w:val="clear" w:color="auto" w:fill="CCEEFF"/>
          </w:tcPr>
          <w:p>
            <w:pPr>
              <w:spacing w:after="0"/>
              <w:rPr>
                <w:sz w:val="13"/>
                <w:szCs w:val="13"/>
                <w:color w:val="auto"/>
              </w:rPr>
            </w:pPr>
          </w:p>
        </w:tc>
      </w:tr>
      <w:tr>
        <w:trPr>
          <w:trHeight w:val="135"/>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Properties</w:t>
            </w:r>
          </w:p>
        </w:tc>
        <w:tc>
          <w:tcPr>
            <w:tcW w:w="3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Ameristar Black Hawk</w:t>
            </w:r>
          </w:p>
        </w:tc>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Black Hawk, CO</w:t>
            </w:r>
          </w:p>
        </w:tc>
        <w:tc>
          <w:tcPr>
            <w:tcW w:w="34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Bally's Evansville</w:t>
            </w:r>
          </w:p>
        </w:tc>
        <w:tc>
          <w:tcPr>
            <w:tcW w:w="13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Evansville, IN</w:t>
            </w:r>
          </w:p>
        </w:tc>
      </w:tr>
      <w:tr>
        <w:trPr>
          <w:trHeight w:val="153"/>
        </w:trPr>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3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Ameristar East Chicago</w:t>
            </w: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East Chicago, IN</w:t>
            </w:r>
          </w:p>
        </w:tc>
        <w:tc>
          <w:tcPr>
            <w:tcW w:w="3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Bally's Dover Casino Resort</w:t>
            </w: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Dover, DE</w:t>
            </w:r>
          </w:p>
        </w:tc>
      </w:tr>
      <w:tr>
        <w:trPr>
          <w:trHeight w:val="136"/>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Ameristar Council Bluffs</w:t>
            </w:r>
          </w:p>
        </w:tc>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Council Bluffs, IA</w:t>
            </w:r>
          </w:p>
        </w:tc>
        <w:tc>
          <w:tcPr>
            <w:tcW w:w="34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Black Hawk (Black Hawk North, West and East casinos)</w:t>
            </w:r>
          </w:p>
        </w:tc>
        <w:tc>
          <w:tcPr>
            <w:tcW w:w="13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 Hawk, CO</w:t>
            </w:r>
          </w:p>
        </w:tc>
      </w:tr>
      <w:tr>
        <w:trPr>
          <w:trHeight w:val="153"/>
        </w:trPr>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3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L'Auberge Baton Rouge</w:t>
            </w: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Baton Rouge, LA</w:t>
            </w:r>
          </w:p>
        </w:tc>
        <w:tc>
          <w:tcPr>
            <w:tcW w:w="3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Quad Cities Casino &amp; Hotel</w:t>
            </w: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Rock Island, IL</w:t>
            </w:r>
          </w:p>
        </w:tc>
      </w:tr>
      <w:tr>
        <w:trPr>
          <w:trHeight w:val="136"/>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Boomtown Bossier City</w:t>
            </w:r>
          </w:p>
        </w:tc>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Bossier City, LA</w:t>
            </w:r>
          </w:p>
        </w:tc>
        <w:tc>
          <w:tcPr>
            <w:tcW w:w="34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Bally's Tiverton Hotel &amp; Casino</w:t>
            </w:r>
          </w:p>
        </w:tc>
        <w:tc>
          <w:tcPr>
            <w:tcW w:w="13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Tiverton, RI</w:t>
            </w:r>
          </w:p>
        </w:tc>
      </w:tr>
      <w:tr>
        <w:trPr>
          <w:trHeight w:val="152"/>
        </w:trPr>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3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L'Auberge Lake Charles</w:t>
            </w: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Lake Charles, LA</w:t>
            </w:r>
          </w:p>
        </w:tc>
        <w:tc>
          <w:tcPr>
            <w:tcW w:w="3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Hard Rock Casino and Hotel Biloxi</w:t>
            </w: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Biloxi, MS</w:t>
            </w:r>
          </w:p>
        </w:tc>
      </w:tr>
      <w:tr>
        <w:trPr>
          <w:trHeight w:val="136"/>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Boomtown New Orleans</w:t>
            </w:r>
          </w:p>
        </w:tc>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New Orleans, LA</w:t>
            </w:r>
          </w:p>
        </w:tc>
        <w:tc>
          <w:tcPr>
            <w:tcW w:w="342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153"/>
        </w:trPr>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3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Ameristar Vicksburg</w:t>
            </w: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Vicksburg, MS</w:t>
            </w:r>
          </w:p>
        </w:tc>
        <w:tc>
          <w:tcPr>
            <w:tcW w:w="34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r>
      <w:tr>
        <w:trPr>
          <w:trHeight w:val="136"/>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River City Casino &amp; Hotel</w:t>
            </w:r>
          </w:p>
        </w:tc>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St. Louis, MO</w:t>
            </w:r>
          </w:p>
        </w:tc>
        <w:tc>
          <w:tcPr>
            <w:tcW w:w="342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153"/>
        </w:trPr>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3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Jackpot Properties (Cactus Petes and Horseshu)</w:t>
            </w: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Jackpot, NV</w:t>
            </w:r>
          </w:p>
        </w:tc>
        <w:tc>
          <w:tcPr>
            <w:tcW w:w="34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r>
      <w:tr>
        <w:trPr>
          <w:trHeight w:val="135"/>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Plainridge Park Casino</w:t>
            </w:r>
          </w:p>
        </w:tc>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Plainridge, MA</w:t>
            </w:r>
          </w:p>
        </w:tc>
        <w:tc>
          <w:tcPr>
            <w:tcW w:w="342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153"/>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Commencement Date</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4/28/2016</w:t>
            </w:r>
          </w:p>
        </w:tc>
        <w:tc>
          <w:tcPr>
            <w:tcW w:w="1060" w:type="dxa"/>
            <w:vAlign w:val="bottom"/>
            <w:shd w:val="clear" w:color="auto" w:fill="CCEEFF"/>
          </w:tcPr>
          <w:p>
            <w:pPr>
              <w:spacing w:after="0"/>
              <w:rPr>
                <w:sz w:val="13"/>
                <w:szCs w:val="13"/>
                <w:color w:val="auto"/>
              </w:rPr>
            </w:pP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6/3/2021</w:t>
            </w:r>
          </w:p>
        </w:tc>
        <w:tc>
          <w:tcPr>
            <w:tcW w:w="1380" w:type="dxa"/>
            <w:vAlign w:val="bottom"/>
            <w:shd w:val="clear" w:color="auto" w:fill="CCEEFF"/>
          </w:tcPr>
          <w:p>
            <w:pPr>
              <w:spacing w:after="0"/>
              <w:rPr>
                <w:sz w:val="13"/>
                <w:szCs w:val="13"/>
                <w:color w:val="auto"/>
              </w:rPr>
            </w:pPr>
          </w:p>
        </w:tc>
      </w:tr>
      <w:tr>
        <w:trPr>
          <w:trHeight w:val="136"/>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Lease Expiration Date</w:t>
            </w:r>
          </w:p>
        </w:tc>
        <w:tc>
          <w:tcPr>
            <w:tcW w:w="3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4/30/2031</w:t>
            </w:r>
          </w:p>
        </w:tc>
        <w:tc>
          <w:tcPr>
            <w:tcW w:w="1060" w:type="dxa"/>
            <w:vAlign w:val="bottom"/>
          </w:tcPr>
          <w:p>
            <w:pPr>
              <w:spacing w:after="0"/>
              <w:rPr>
                <w:sz w:val="11"/>
                <w:szCs w:val="11"/>
                <w:color w:val="auto"/>
              </w:rPr>
            </w:pPr>
          </w:p>
        </w:tc>
        <w:tc>
          <w:tcPr>
            <w:tcW w:w="3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6/2/2036</w:t>
            </w:r>
          </w:p>
        </w:tc>
        <w:tc>
          <w:tcPr>
            <w:tcW w:w="1380" w:type="dxa"/>
            <w:vAlign w:val="bottom"/>
          </w:tcPr>
          <w:p>
            <w:pPr>
              <w:spacing w:after="0"/>
              <w:rPr>
                <w:sz w:val="11"/>
                <w:szCs w:val="11"/>
                <w:color w:val="auto"/>
              </w:rPr>
            </w:pPr>
          </w:p>
        </w:tc>
      </w:tr>
      <w:tr>
        <w:trPr>
          <w:trHeight w:val="153"/>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Remaining Renewal Terms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 (4x5 years)</w:t>
            </w:r>
          </w:p>
        </w:tc>
        <w:tc>
          <w:tcPr>
            <w:tcW w:w="1060" w:type="dxa"/>
            <w:vAlign w:val="bottom"/>
            <w:shd w:val="clear" w:color="auto" w:fill="CCEEFF"/>
          </w:tcPr>
          <w:p>
            <w:pPr>
              <w:spacing w:after="0"/>
              <w:rPr>
                <w:sz w:val="13"/>
                <w:szCs w:val="13"/>
                <w:color w:val="auto"/>
              </w:rPr>
            </w:pP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 (4x5 years)</w:t>
            </w:r>
          </w:p>
        </w:tc>
        <w:tc>
          <w:tcPr>
            <w:tcW w:w="1380" w:type="dxa"/>
            <w:vAlign w:val="bottom"/>
            <w:shd w:val="clear" w:color="auto" w:fill="CCEEFF"/>
          </w:tcPr>
          <w:p>
            <w:pPr>
              <w:spacing w:after="0"/>
              <w:rPr>
                <w:sz w:val="13"/>
                <w:szCs w:val="13"/>
                <w:color w:val="auto"/>
              </w:rPr>
            </w:pPr>
          </w:p>
        </w:tc>
      </w:tr>
      <w:tr>
        <w:trPr>
          <w:trHeight w:val="135"/>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Corporate Guarantee</w:t>
            </w:r>
          </w:p>
        </w:tc>
        <w:tc>
          <w:tcPr>
            <w:tcW w:w="3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Yes</w:t>
            </w:r>
          </w:p>
        </w:tc>
        <w:tc>
          <w:tcPr>
            <w:tcW w:w="1060" w:type="dxa"/>
            <w:vAlign w:val="bottom"/>
          </w:tcPr>
          <w:p>
            <w:pPr>
              <w:spacing w:after="0"/>
              <w:rPr>
                <w:sz w:val="11"/>
                <w:szCs w:val="11"/>
                <w:color w:val="auto"/>
              </w:rPr>
            </w:pPr>
          </w:p>
        </w:tc>
        <w:tc>
          <w:tcPr>
            <w:tcW w:w="3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Yes</w:t>
            </w:r>
          </w:p>
        </w:tc>
        <w:tc>
          <w:tcPr>
            <w:tcW w:w="1380" w:type="dxa"/>
            <w:vAlign w:val="bottom"/>
          </w:tcPr>
          <w:p>
            <w:pPr>
              <w:spacing w:after="0"/>
              <w:rPr>
                <w:sz w:val="11"/>
                <w:szCs w:val="11"/>
                <w:color w:val="auto"/>
              </w:rPr>
            </w:pPr>
          </w:p>
        </w:tc>
      </w:tr>
      <w:tr>
        <w:trPr>
          <w:trHeight w:val="153"/>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Master Lease with Cross Collateralization</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Yes</w:t>
            </w:r>
          </w:p>
        </w:tc>
        <w:tc>
          <w:tcPr>
            <w:tcW w:w="1060" w:type="dxa"/>
            <w:vAlign w:val="bottom"/>
            <w:shd w:val="clear" w:color="auto" w:fill="CCEEFF"/>
          </w:tcPr>
          <w:p>
            <w:pPr>
              <w:spacing w:after="0"/>
              <w:rPr>
                <w:sz w:val="13"/>
                <w:szCs w:val="13"/>
                <w:color w:val="auto"/>
              </w:rPr>
            </w:pP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Yes</w:t>
            </w:r>
          </w:p>
        </w:tc>
        <w:tc>
          <w:tcPr>
            <w:tcW w:w="1380" w:type="dxa"/>
            <w:vAlign w:val="bottom"/>
            <w:shd w:val="clear" w:color="auto" w:fill="CCEEFF"/>
          </w:tcPr>
          <w:p>
            <w:pPr>
              <w:spacing w:after="0"/>
              <w:rPr>
                <w:sz w:val="13"/>
                <w:szCs w:val="13"/>
                <w:color w:val="auto"/>
              </w:rPr>
            </w:pPr>
          </w:p>
        </w:tc>
      </w:tr>
      <w:tr>
        <w:trPr>
          <w:trHeight w:val="136"/>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Technical Default Landlord Protection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Yes</w:t>
            </w:r>
          </w:p>
        </w:tc>
        <w:tc>
          <w:tcPr>
            <w:tcW w:w="1060" w:type="dxa"/>
            <w:vAlign w:val="bottom"/>
          </w:tcPr>
          <w:p>
            <w:pPr>
              <w:spacing w:after="0"/>
              <w:rPr>
                <w:sz w:val="11"/>
                <w:szCs w:val="11"/>
                <w:color w:val="auto"/>
              </w:rPr>
            </w:pPr>
          </w:p>
        </w:tc>
        <w:tc>
          <w:tcPr>
            <w:tcW w:w="3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Yes</w:t>
            </w:r>
          </w:p>
        </w:tc>
        <w:tc>
          <w:tcPr>
            <w:tcW w:w="1380" w:type="dxa"/>
            <w:vAlign w:val="bottom"/>
          </w:tcPr>
          <w:p>
            <w:pPr>
              <w:spacing w:after="0"/>
              <w:rPr>
                <w:sz w:val="11"/>
                <w:szCs w:val="11"/>
                <w:color w:val="auto"/>
              </w:rPr>
            </w:pPr>
          </w:p>
        </w:tc>
      </w:tr>
      <w:tr>
        <w:trPr>
          <w:trHeight w:val="153"/>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Default Adjusted Revenue to Rent Coverage</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1060" w:type="dxa"/>
            <w:vAlign w:val="bottom"/>
            <w:shd w:val="clear" w:color="auto" w:fill="CCEEFF"/>
          </w:tcPr>
          <w:p>
            <w:pPr>
              <w:spacing w:after="0"/>
              <w:rPr>
                <w:sz w:val="13"/>
                <w:szCs w:val="13"/>
                <w:color w:val="auto"/>
              </w:rPr>
            </w:pP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1.35 (1)</w:t>
            </w:r>
          </w:p>
        </w:tc>
        <w:tc>
          <w:tcPr>
            <w:tcW w:w="1380" w:type="dxa"/>
            <w:vAlign w:val="bottom"/>
            <w:shd w:val="clear" w:color="auto" w:fill="CCEEFF"/>
          </w:tcPr>
          <w:p>
            <w:pPr>
              <w:spacing w:after="0"/>
              <w:rPr>
                <w:sz w:val="13"/>
                <w:szCs w:val="13"/>
                <w:color w:val="auto"/>
              </w:rPr>
            </w:pPr>
          </w:p>
        </w:tc>
      </w:tr>
      <w:tr>
        <w:trPr>
          <w:trHeight w:val="136"/>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Competitive Radius Landlord Protection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Yes</w:t>
            </w:r>
          </w:p>
        </w:tc>
        <w:tc>
          <w:tcPr>
            <w:tcW w:w="1060" w:type="dxa"/>
            <w:vAlign w:val="bottom"/>
          </w:tcPr>
          <w:p>
            <w:pPr>
              <w:spacing w:after="0"/>
              <w:rPr>
                <w:sz w:val="11"/>
                <w:szCs w:val="11"/>
                <w:color w:val="auto"/>
              </w:rPr>
            </w:pPr>
          </w:p>
        </w:tc>
        <w:tc>
          <w:tcPr>
            <w:tcW w:w="3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Yes</w:t>
            </w:r>
          </w:p>
        </w:tc>
        <w:tc>
          <w:tcPr>
            <w:tcW w:w="1380" w:type="dxa"/>
            <w:vAlign w:val="bottom"/>
          </w:tcPr>
          <w:p>
            <w:pPr>
              <w:spacing w:after="0"/>
              <w:rPr>
                <w:sz w:val="11"/>
                <w:szCs w:val="11"/>
                <w:color w:val="auto"/>
              </w:rPr>
            </w:pPr>
          </w:p>
        </w:tc>
      </w:tr>
      <w:tr>
        <w:trPr>
          <w:trHeight w:val="132"/>
        </w:trPr>
        <w:tc>
          <w:tcPr>
            <w:tcW w:w="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93"/>
              </w:rPr>
              <w:t>Escalator Details</w:t>
            </w:r>
          </w:p>
        </w:tc>
        <w:tc>
          <w:tcPr>
            <w:tcW w:w="1700" w:type="dxa"/>
            <w:vAlign w:val="bottom"/>
            <w:tcBorders>
              <w:bottom w:val="single" w:sz="8" w:color="CCEEFF"/>
            </w:tcBorders>
            <w:gridSpan w:val="2"/>
            <w:shd w:val="clear" w:color="auto" w:fill="CCEEFF"/>
          </w:tcPr>
          <w:p>
            <w:pPr>
              <w:spacing w:after="0"/>
              <w:rPr>
                <w:sz w:val="11"/>
                <w:szCs w:val="11"/>
                <w:color w:val="auto"/>
              </w:rPr>
            </w:pPr>
          </w:p>
        </w:tc>
        <w:tc>
          <w:tcPr>
            <w:tcW w:w="304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spacing w:after="0"/>
              <w:rPr>
                <w:sz w:val="11"/>
                <w:szCs w:val="11"/>
                <w:color w:val="auto"/>
              </w:rPr>
            </w:pPr>
          </w:p>
        </w:tc>
        <w:tc>
          <w:tcPr>
            <w:tcW w:w="3420" w:type="dxa"/>
            <w:vAlign w:val="bottom"/>
            <w:tcBorders>
              <w:bottom w:val="single" w:sz="8" w:color="CCEEFF"/>
            </w:tcBorders>
            <w:shd w:val="clear" w:color="auto" w:fill="CCEEFF"/>
          </w:tcPr>
          <w:p>
            <w:pPr>
              <w:spacing w:after="0"/>
              <w:rPr>
                <w:sz w:val="11"/>
                <w:szCs w:val="11"/>
                <w:color w:val="auto"/>
              </w:rPr>
            </w:pPr>
          </w:p>
        </w:tc>
        <w:tc>
          <w:tcPr>
            <w:tcW w:w="1380" w:type="dxa"/>
            <w:vAlign w:val="bottom"/>
            <w:tcBorders>
              <w:bottom w:val="single" w:sz="8" w:color="CCEEFF"/>
            </w:tcBorders>
            <w:shd w:val="clear" w:color="auto" w:fill="CCEEFF"/>
          </w:tcPr>
          <w:p>
            <w:pPr>
              <w:spacing w:after="0"/>
              <w:rPr>
                <w:sz w:val="11"/>
                <w:szCs w:val="11"/>
                <w:color w:val="auto"/>
              </w:rPr>
            </w:pPr>
          </w:p>
        </w:tc>
      </w:tr>
      <w:tr>
        <w:trPr>
          <w:trHeight w:val="136"/>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Yearly Base Rent Escalator Maximum</w:t>
            </w:r>
          </w:p>
        </w:tc>
        <w:tc>
          <w:tcPr>
            <w:tcW w:w="3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2 %</w:t>
            </w:r>
          </w:p>
        </w:tc>
        <w:tc>
          <w:tcPr>
            <w:tcW w:w="1060" w:type="dxa"/>
            <w:vAlign w:val="bottom"/>
          </w:tcPr>
          <w:p>
            <w:pPr>
              <w:spacing w:after="0"/>
              <w:rPr>
                <w:sz w:val="11"/>
                <w:szCs w:val="11"/>
                <w:color w:val="auto"/>
              </w:rPr>
            </w:pPr>
          </w:p>
        </w:tc>
        <w:tc>
          <w:tcPr>
            <w:tcW w:w="3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380" w:type="dxa"/>
            <w:vAlign w:val="bottom"/>
          </w:tcPr>
          <w:p>
            <w:pPr>
              <w:spacing w:after="0"/>
              <w:rPr>
                <w:sz w:val="11"/>
                <w:szCs w:val="11"/>
                <w:color w:val="auto"/>
              </w:rPr>
            </w:pPr>
          </w:p>
        </w:tc>
      </w:tr>
      <w:tr>
        <w:trPr>
          <w:trHeight w:val="153"/>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Coverage ratio at June 30, 2026</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1.70 (3)</w:t>
            </w:r>
          </w:p>
        </w:tc>
        <w:tc>
          <w:tcPr>
            <w:tcW w:w="1060" w:type="dxa"/>
            <w:vAlign w:val="bottom"/>
            <w:shd w:val="clear" w:color="auto" w:fill="CCEEFF"/>
          </w:tcPr>
          <w:p>
            <w:pPr>
              <w:spacing w:after="0"/>
              <w:rPr>
                <w:sz w:val="13"/>
                <w:szCs w:val="13"/>
                <w:color w:val="auto"/>
              </w:rPr>
            </w:pP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1.98</w:t>
            </w:r>
          </w:p>
        </w:tc>
        <w:tc>
          <w:tcPr>
            <w:tcW w:w="1380" w:type="dxa"/>
            <w:vAlign w:val="bottom"/>
            <w:shd w:val="clear" w:color="auto" w:fill="CCEEFF"/>
          </w:tcPr>
          <w:p>
            <w:pPr>
              <w:spacing w:after="0"/>
              <w:rPr>
                <w:sz w:val="13"/>
                <w:szCs w:val="13"/>
                <w:color w:val="auto"/>
              </w:rPr>
            </w:pPr>
          </w:p>
        </w:tc>
      </w:tr>
      <w:tr>
        <w:trPr>
          <w:trHeight w:val="136"/>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Minimum Escalator Coverage Governor</w:t>
            </w:r>
          </w:p>
        </w:tc>
        <w:tc>
          <w:tcPr>
            <w:tcW w:w="3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w:t>
            </w:r>
          </w:p>
        </w:tc>
        <w:tc>
          <w:tcPr>
            <w:tcW w:w="1060" w:type="dxa"/>
            <w:vAlign w:val="bottom"/>
          </w:tcPr>
          <w:p>
            <w:pPr>
              <w:spacing w:after="0"/>
              <w:rPr>
                <w:sz w:val="11"/>
                <w:szCs w:val="11"/>
                <w:color w:val="auto"/>
              </w:rPr>
            </w:pPr>
          </w:p>
        </w:tc>
        <w:tc>
          <w:tcPr>
            <w:tcW w:w="3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N/A</w:t>
            </w:r>
          </w:p>
        </w:tc>
        <w:tc>
          <w:tcPr>
            <w:tcW w:w="1380" w:type="dxa"/>
            <w:vAlign w:val="bottom"/>
          </w:tcPr>
          <w:p>
            <w:pPr>
              <w:spacing w:after="0"/>
              <w:rPr>
                <w:sz w:val="11"/>
                <w:szCs w:val="11"/>
                <w:color w:val="auto"/>
              </w:rPr>
            </w:pPr>
          </w:p>
        </w:tc>
      </w:tr>
      <w:tr>
        <w:trPr>
          <w:trHeight w:val="153"/>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Yearly Anniversary for Realization</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May</w:t>
            </w:r>
          </w:p>
        </w:tc>
        <w:tc>
          <w:tcPr>
            <w:tcW w:w="1060" w:type="dxa"/>
            <w:vAlign w:val="bottom"/>
            <w:shd w:val="clear" w:color="auto" w:fill="CCEEFF"/>
          </w:tcPr>
          <w:p>
            <w:pPr>
              <w:spacing w:after="0"/>
              <w:rPr>
                <w:sz w:val="13"/>
                <w:szCs w:val="13"/>
                <w:color w:val="auto"/>
              </w:rPr>
            </w:pP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June</w:t>
            </w:r>
          </w:p>
        </w:tc>
        <w:tc>
          <w:tcPr>
            <w:tcW w:w="1380" w:type="dxa"/>
            <w:vAlign w:val="bottom"/>
            <w:shd w:val="clear" w:color="auto" w:fill="CCEEFF"/>
          </w:tcPr>
          <w:p>
            <w:pPr>
              <w:spacing w:after="0"/>
              <w:rPr>
                <w:sz w:val="13"/>
                <w:szCs w:val="13"/>
                <w:color w:val="auto"/>
              </w:rPr>
            </w:pPr>
          </w:p>
        </w:tc>
      </w:tr>
      <w:tr>
        <w:trPr>
          <w:trHeight w:val="116"/>
        </w:trPr>
        <w:tc>
          <w:tcPr>
            <w:tcW w:w="240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Percentage Rent Reset Details</w:t>
            </w:r>
          </w:p>
        </w:tc>
        <w:tc>
          <w:tcPr>
            <w:tcW w:w="3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380" w:type="dxa"/>
            <w:vAlign w:val="bottom"/>
          </w:tcPr>
          <w:p>
            <w:pPr>
              <w:spacing w:after="0"/>
              <w:rPr>
                <w:sz w:val="10"/>
                <w:szCs w:val="10"/>
                <w:color w:val="auto"/>
              </w:rPr>
            </w:pPr>
          </w:p>
        </w:tc>
      </w:tr>
      <w:tr>
        <w:trPr>
          <w:trHeight w:val="152"/>
        </w:trPr>
        <w:tc>
          <w:tcPr>
            <w:tcW w:w="1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Reset Frequency</w:t>
            </w:r>
          </w:p>
        </w:tc>
        <w:tc>
          <w:tcPr>
            <w:tcW w:w="1180" w:type="dxa"/>
            <w:vAlign w:val="bottom"/>
            <w:shd w:val="clear" w:color="auto" w:fill="CCEEFF"/>
          </w:tcPr>
          <w:p>
            <w:pPr>
              <w:spacing w:after="0"/>
              <w:rPr>
                <w:sz w:val="13"/>
                <w:szCs w:val="13"/>
                <w:color w:val="auto"/>
              </w:rPr>
            </w:pP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 years</w:t>
            </w:r>
          </w:p>
        </w:tc>
        <w:tc>
          <w:tcPr>
            <w:tcW w:w="1060" w:type="dxa"/>
            <w:vAlign w:val="bottom"/>
            <w:shd w:val="clear" w:color="auto" w:fill="CCEEFF"/>
          </w:tcPr>
          <w:p>
            <w:pPr>
              <w:spacing w:after="0"/>
              <w:rPr>
                <w:sz w:val="13"/>
                <w:szCs w:val="13"/>
                <w:color w:val="auto"/>
              </w:rPr>
            </w:pP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N/A</w:t>
            </w:r>
          </w:p>
        </w:tc>
        <w:tc>
          <w:tcPr>
            <w:tcW w:w="1380" w:type="dxa"/>
            <w:vAlign w:val="bottom"/>
            <w:shd w:val="clear" w:color="auto" w:fill="CCEEFF"/>
          </w:tcPr>
          <w:p>
            <w:pPr>
              <w:spacing w:after="0"/>
              <w:rPr>
                <w:sz w:val="13"/>
                <w:szCs w:val="13"/>
                <w:color w:val="auto"/>
              </w:rPr>
            </w:pPr>
          </w:p>
        </w:tc>
      </w:tr>
      <w:tr>
        <w:trPr>
          <w:trHeight w:val="127"/>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Next Reset</w:t>
            </w:r>
          </w:p>
        </w:tc>
        <w:tc>
          <w:tcPr>
            <w:tcW w:w="3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May-28</w:t>
            </w:r>
          </w:p>
        </w:tc>
        <w:tc>
          <w:tcPr>
            <w:tcW w:w="1060" w:type="dxa"/>
            <w:vAlign w:val="bottom"/>
          </w:tcPr>
          <w:p>
            <w:pPr>
              <w:spacing w:after="0"/>
              <w:rPr>
                <w:sz w:val="11"/>
                <w:szCs w:val="11"/>
                <w:color w:val="auto"/>
              </w:rPr>
            </w:pPr>
          </w:p>
        </w:tc>
        <w:tc>
          <w:tcPr>
            <w:tcW w:w="3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N/A</w:t>
            </w:r>
          </w:p>
        </w:tc>
        <w:tc>
          <w:tcPr>
            <w:tcW w:w="1380" w:type="dxa"/>
            <w:vAlign w:val="bottom"/>
          </w:tcPr>
          <w:p>
            <w:pPr>
              <w:spacing w:after="0"/>
              <w:rPr>
                <w:sz w:val="11"/>
                <w:szCs w:val="11"/>
                <w:color w:val="auto"/>
              </w:rPr>
            </w:pPr>
          </w:p>
        </w:tc>
      </w:tr>
    </w:tbl>
    <w:p>
      <w:pPr>
        <w:spacing w:after="0" w:line="159" w:lineRule="exact"/>
        <w:rPr>
          <w:sz w:val="20"/>
          <w:szCs w:val="20"/>
          <w:color w:val="auto"/>
        </w:rPr>
      </w:pPr>
    </w:p>
    <w:p>
      <w:pPr>
        <w:ind w:left="428" w:right="20" w:hanging="428"/>
        <w:spacing w:after="0" w:line="216" w:lineRule="auto"/>
        <w:tabs>
          <w:tab w:leader="none" w:pos="165"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If the tenant's parent's net leverage is greater than 5.5 to 1, then the adjusted revenue to rent coverage for the last two consecutive test periods must be at least 1.35. If the tenant's parent's net leverage is equal to or less than 5.5 to 1, then the ratio shall be reduced to 1.2.</w:t>
      </w:r>
    </w:p>
    <w:p>
      <w:pPr>
        <w:spacing w:after="0" w:line="79" w:lineRule="exact"/>
        <w:rPr>
          <w:rFonts w:ascii="Times New Roman" w:cs="Times New Roman" w:eastAsia="Times New Roman" w:hAnsi="Times New Roman"/>
          <w:sz w:val="16"/>
          <w:szCs w:val="16"/>
          <w:color w:val="auto"/>
          <w:vertAlign w:val="superscript"/>
        </w:rPr>
      </w:pPr>
    </w:p>
    <w:p>
      <w:pPr>
        <w:ind w:left="428" w:right="20" w:hanging="428"/>
        <w:spacing w:after="0" w:line="222" w:lineRule="auto"/>
        <w:tabs>
          <w:tab w:leader="none" w:pos="174"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w:t>
      </w:r>
    </w:p>
    <w:p>
      <w:pPr>
        <w:spacing w:after="0" w:line="114" w:lineRule="exact"/>
        <w:rPr>
          <w:rFonts w:ascii="Times New Roman" w:cs="Times New Roman" w:eastAsia="Times New Roman" w:hAnsi="Times New Roman"/>
          <w:sz w:val="16"/>
          <w:szCs w:val="16"/>
          <w:color w:val="auto"/>
          <w:vertAlign w:val="superscript"/>
        </w:rPr>
      </w:pPr>
    </w:p>
    <w:p>
      <w:pPr>
        <w:ind w:left="168" w:hanging="168"/>
        <w:spacing w:after="0"/>
        <w:tabs>
          <w:tab w:leader="none" w:pos="168"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Coverage ratio for escalation purposes excludes adjusted revenue and rent attributable to the Plainridge Park facility as well as certain other fixed rent amounts.</w:t>
      </w:r>
    </w:p>
    <w:p>
      <w:pPr>
        <w:spacing w:after="0" w:line="200" w:lineRule="exact"/>
        <w:rPr>
          <w:sz w:val="20"/>
          <w:szCs w:val="20"/>
          <w:color w:val="auto"/>
        </w:rPr>
      </w:pPr>
    </w:p>
    <w:p>
      <w:pPr>
        <w:spacing w:after="0" w:line="3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15</w:t>
      </w:r>
    </w:p>
    <w:p>
      <w:pPr>
        <w:sectPr>
          <w:pgSz w:w="11900" w:h="16838" w:orient="portrait"/>
          <w:cols w:equalWidth="0" w:num="1">
            <w:col w:w="11308"/>
          </w:cols>
          <w:pgMar w:left="292" w:top="780" w:right="299" w:bottom="1440" w:gutter="0" w:footer="0" w:header="0"/>
        </w:sectPr>
      </w:pPr>
    </w:p>
    <w:bookmarkStart w:id="18" w:name="page19"/>
    <w:bookmarkEnd w:id="18"/>
    <w:p>
      <w:pPr>
        <w:jc w:val="center"/>
        <w:ind w:right="-7"/>
        <w:spacing w:after="0"/>
        <w:rPr>
          <w:sz w:val="20"/>
          <w:szCs w:val="20"/>
          <w:color w:val="auto"/>
        </w:rPr>
      </w:pPr>
      <w:r>
        <w:rPr>
          <w:rFonts w:ascii="Times New Roman" w:cs="Times New Roman" w:eastAsia="Times New Roman" w:hAnsi="Times New Roman"/>
          <w:sz w:val="10"/>
          <w:szCs w:val="10"/>
          <w:b w:val="1"/>
          <w:bCs w:val="1"/>
          <w:color w:val="auto"/>
        </w:rPr>
        <w:drawing>
          <wp:anchor simplePos="0" relativeHeight="251657728" behindDoc="1" locked="0" layoutInCell="0" allowOverlap="1">
            <wp:simplePos x="0" y="0"/>
            <wp:positionH relativeFrom="page">
              <wp:posOffset>185420</wp:posOffset>
            </wp:positionH>
            <wp:positionV relativeFrom="page">
              <wp:posOffset>648970</wp:posOffset>
            </wp:positionV>
            <wp:extent cx="7183755" cy="102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3755" cy="102870"/>
                    </a:xfrm>
                    <a:prstGeom prst="rect">
                      <a:avLst/>
                    </a:prstGeom>
                    <a:noFill/>
                  </pic:spPr>
                </pic:pic>
              </a:graphicData>
            </a:graphic>
          </wp:anchor>
        </w:drawing>
        <w:t>Master Leases</w:t>
      </w:r>
    </w:p>
    <w:p>
      <w:pPr>
        <w:spacing w:after="0" w:line="38"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160" w:type="dxa"/>
            <w:vAlign w:val="bottom"/>
          </w:tcPr>
          <w:p>
            <w:pPr>
              <w:jc w:val="right"/>
              <w:ind w:right="1052"/>
              <w:spacing w:after="0"/>
              <w:rPr>
                <w:sz w:val="20"/>
                <w:szCs w:val="20"/>
                <w:color w:val="auto"/>
              </w:rPr>
            </w:pPr>
            <w:r>
              <w:rPr>
                <w:rFonts w:ascii="Times New Roman" w:cs="Times New Roman" w:eastAsia="Times New Roman" w:hAnsi="Times New Roman"/>
                <w:sz w:val="10"/>
                <w:szCs w:val="10"/>
                <w:b w:val="1"/>
                <w:bCs w:val="1"/>
                <w:color w:val="auto"/>
              </w:rPr>
              <w:t>Bally's Master Lease II</w:t>
            </w:r>
          </w:p>
        </w:tc>
        <w:tc>
          <w:tcPr>
            <w:tcW w:w="1620" w:type="dxa"/>
            <w:vAlign w:val="bottom"/>
          </w:tcPr>
          <w:p>
            <w:pPr>
              <w:spacing w:after="0"/>
              <w:rPr>
                <w:sz w:val="11"/>
                <w:szCs w:val="11"/>
                <w:color w:val="auto"/>
              </w:rPr>
            </w:pPr>
          </w:p>
        </w:tc>
        <w:tc>
          <w:tcPr>
            <w:tcW w:w="2980" w:type="dxa"/>
            <w:vAlign w:val="bottom"/>
          </w:tcPr>
          <w:p>
            <w:pPr>
              <w:jc w:val="right"/>
              <w:ind w:right="1432"/>
              <w:spacing w:after="0"/>
              <w:rPr>
                <w:sz w:val="20"/>
                <w:szCs w:val="20"/>
                <w:color w:val="auto"/>
              </w:rPr>
            </w:pPr>
            <w:r>
              <w:rPr>
                <w:rFonts w:ascii="Times New Roman" w:cs="Times New Roman" w:eastAsia="Times New Roman" w:hAnsi="Times New Roman"/>
                <w:sz w:val="10"/>
                <w:szCs w:val="10"/>
                <w:b w:val="1"/>
                <w:bCs w:val="1"/>
                <w:color w:val="auto"/>
              </w:rPr>
              <w:t>Casino Queen Master Lease</w:t>
            </w:r>
          </w:p>
        </w:tc>
      </w:tr>
      <w:tr>
        <w:trPr>
          <w:trHeight w:val="153"/>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Operator</w:t>
            </w:r>
          </w:p>
        </w:tc>
        <w:tc>
          <w:tcPr>
            <w:tcW w:w="2140" w:type="dxa"/>
            <w:vAlign w:val="bottom"/>
            <w:shd w:val="clear" w:color="auto" w:fill="CCEEFF"/>
          </w:tcPr>
          <w:p>
            <w:pPr>
              <w:spacing w:after="0"/>
              <w:rPr>
                <w:sz w:val="13"/>
                <w:szCs w:val="13"/>
                <w:color w:val="auto"/>
              </w:rPr>
            </w:pPr>
          </w:p>
        </w:tc>
        <w:tc>
          <w:tcPr>
            <w:tcW w:w="2160" w:type="dxa"/>
            <w:vAlign w:val="bottom"/>
            <w:shd w:val="clear" w:color="auto" w:fill="CCEEFF"/>
          </w:tcPr>
          <w:p>
            <w:pPr>
              <w:jc w:val="right"/>
              <w:ind w:right="1392"/>
              <w:spacing w:after="0"/>
              <w:rPr>
                <w:sz w:val="20"/>
                <w:szCs w:val="20"/>
                <w:color w:val="auto"/>
              </w:rPr>
            </w:pPr>
            <w:r>
              <w:rPr>
                <w:rFonts w:ascii="Times New Roman" w:cs="Times New Roman" w:eastAsia="Times New Roman" w:hAnsi="Times New Roman"/>
                <w:sz w:val="10"/>
                <w:szCs w:val="10"/>
                <w:b w:val="1"/>
                <w:bCs w:val="1"/>
                <w:color w:val="auto"/>
              </w:rPr>
              <w:t>Bally's</w:t>
            </w:r>
          </w:p>
        </w:tc>
        <w:tc>
          <w:tcPr>
            <w:tcW w:w="1620" w:type="dxa"/>
            <w:vAlign w:val="bottom"/>
            <w:shd w:val="clear" w:color="auto" w:fill="CCEEFF"/>
          </w:tcPr>
          <w:p>
            <w:pPr>
              <w:spacing w:after="0"/>
              <w:rPr>
                <w:sz w:val="13"/>
                <w:szCs w:val="13"/>
                <w:color w:val="auto"/>
              </w:rPr>
            </w:pPr>
          </w:p>
        </w:tc>
        <w:tc>
          <w:tcPr>
            <w:tcW w:w="2980" w:type="dxa"/>
            <w:vAlign w:val="bottom"/>
            <w:shd w:val="clear" w:color="auto" w:fill="CCEEFF"/>
          </w:tcPr>
          <w:p>
            <w:pPr>
              <w:jc w:val="right"/>
              <w:ind w:right="1872"/>
              <w:spacing w:after="0"/>
              <w:rPr>
                <w:sz w:val="20"/>
                <w:szCs w:val="20"/>
                <w:color w:val="auto"/>
              </w:rPr>
            </w:pPr>
            <w:r>
              <w:rPr>
                <w:rFonts w:ascii="Times New Roman" w:cs="Times New Roman" w:eastAsia="Times New Roman" w:hAnsi="Times New Roman"/>
                <w:sz w:val="10"/>
                <w:szCs w:val="10"/>
                <w:b w:val="1"/>
                <w:bCs w:val="1"/>
                <w:color w:val="auto"/>
              </w:rPr>
              <w:t>Bally's</w:t>
            </w:r>
          </w:p>
        </w:tc>
      </w:tr>
      <w:tr>
        <w:trPr>
          <w:trHeight w:val="136"/>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Properties</w:t>
            </w:r>
          </w:p>
        </w:tc>
        <w:tc>
          <w:tcPr>
            <w:tcW w:w="214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Bally's Kansas City</w:t>
            </w:r>
          </w:p>
        </w:tc>
        <w:tc>
          <w:tcPr>
            <w:tcW w:w="2160" w:type="dxa"/>
            <w:vAlign w:val="bottom"/>
          </w:tcPr>
          <w:p>
            <w:pPr>
              <w:ind w:left="1000"/>
              <w:spacing w:after="0"/>
              <w:rPr>
                <w:sz w:val="20"/>
                <w:szCs w:val="20"/>
                <w:color w:val="auto"/>
              </w:rPr>
            </w:pPr>
            <w:r>
              <w:rPr>
                <w:rFonts w:ascii="Times New Roman" w:cs="Times New Roman" w:eastAsia="Times New Roman" w:hAnsi="Times New Roman"/>
                <w:sz w:val="10"/>
                <w:szCs w:val="10"/>
                <w:color w:val="auto"/>
              </w:rPr>
              <w:t>Kansas City, MO</w:t>
            </w:r>
          </w:p>
        </w:tc>
        <w:tc>
          <w:tcPr>
            <w:tcW w:w="1620" w:type="dxa"/>
            <w:vAlign w:val="bottom"/>
          </w:tcPr>
          <w:p>
            <w:pPr>
              <w:ind w:left="500"/>
              <w:spacing w:after="0"/>
              <w:rPr>
                <w:sz w:val="20"/>
                <w:szCs w:val="20"/>
                <w:color w:val="auto"/>
              </w:rPr>
            </w:pPr>
            <w:r>
              <w:rPr>
                <w:rFonts w:ascii="Times New Roman" w:cs="Times New Roman" w:eastAsia="Times New Roman" w:hAnsi="Times New Roman"/>
                <w:sz w:val="10"/>
                <w:szCs w:val="10"/>
                <w:color w:val="auto"/>
              </w:rPr>
              <w:t>Bally's Marquette</w:t>
            </w:r>
          </w:p>
        </w:tc>
        <w:tc>
          <w:tcPr>
            <w:tcW w:w="2980" w:type="dxa"/>
            <w:vAlign w:val="bottom"/>
          </w:tcPr>
          <w:p>
            <w:pPr>
              <w:ind w:left="1340"/>
              <w:spacing w:after="0"/>
              <w:rPr>
                <w:sz w:val="20"/>
                <w:szCs w:val="20"/>
                <w:color w:val="auto"/>
              </w:rPr>
            </w:pPr>
            <w:r>
              <w:rPr>
                <w:rFonts w:ascii="Times New Roman" w:cs="Times New Roman" w:eastAsia="Times New Roman" w:hAnsi="Times New Roman"/>
                <w:sz w:val="10"/>
                <w:szCs w:val="10"/>
                <w:color w:val="auto"/>
              </w:rPr>
              <w:t>Marquette, IA</w:t>
            </w:r>
          </w:p>
        </w:tc>
      </w:tr>
      <w:tr>
        <w:trPr>
          <w:trHeight w:val="153"/>
        </w:trPr>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0"/>
                <w:szCs w:val="10"/>
                <w:color w:val="auto"/>
              </w:rPr>
              <w:t>Bally's Shreveport Casino &amp; Hotel</w:t>
            </w:r>
          </w:p>
        </w:tc>
        <w:tc>
          <w:tcPr>
            <w:tcW w:w="21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rPr>
              <w:t>Shreveport, LA</w:t>
            </w:r>
          </w:p>
        </w:tc>
        <w:tc>
          <w:tcPr>
            <w:tcW w:w="1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Bally's Baton Rouge</w:t>
            </w:r>
          </w:p>
        </w:tc>
        <w:tc>
          <w:tcPr>
            <w:tcW w:w="29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0"/>
                <w:szCs w:val="10"/>
                <w:color w:val="auto"/>
              </w:rPr>
              <w:t>Baton Rouge, LA</w:t>
            </w:r>
          </w:p>
        </w:tc>
      </w:tr>
      <w:tr>
        <w:trPr>
          <w:trHeight w:val="136"/>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14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DraftKings at Casino Queen (4)</w:t>
            </w:r>
          </w:p>
        </w:tc>
        <w:tc>
          <w:tcPr>
            <w:tcW w:w="2160" w:type="dxa"/>
            <w:vAlign w:val="bottom"/>
          </w:tcPr>
          <w:p>
            <w:pPr>
              <w:ind w:left="1000"/>
              <w:spacing w:after="0"/>
              <w:rPr>
                <w:sz w:val="20"/>
                <w:szCs w:val="20"/>
                <w:color w:val="auto"/>
              </w:rPr>
            </w:pPr>
            <w:r>
              <w:rPr>
                <w:rFonts w:ascii="Times New Roman" w:cs="Times New Roman" w:eastAsia="Times New Roman" w:hAnsi="Times New Roman"/>
                <w:sz w:val="10"/>
                <w:szCs w:val="10"/>
                <w:color w:val="auto"/>
              </w:rPr>
              <w:t>East St. Louis, IL</w:t>
            </w:r>
          </w:p>
        </w:tc>
        <w:tc>
          <w:tcPr>
            <w:tcW w:w="1620" w:type="dxa"/>
            <w:vAlign w:val="bottom"/>
          </w:tcPr>
          <w:p>
            <w:pPr>
              <w:spacing w:after="0"/>
              <w:rPr>
                <w:sz w:val="11"/>
                <w:szCs w:val="11"/>
                <w:color w:val="auto"/>
              </w:rPr>
            </w:pPr>
          </w:p>
        </w:tc>
        <w:tc>
          <w:tcPr>
            <w:tcW w:w="2980" w:type="dxa"/>
            <w:vAlign w:val="bottom"/>
          </w:tcPr>
          <w:p>
            <w:pPr>
              <w:spacing w:after="0"/>
              <w:rPr>
                <w:sz w:val="11"/>
                <w:szCs w:val="11"/>
                <w:color w:val="auto"/>
              </w:rPr>
            </w:pPr>
          </w:p>
        </w:tc>
      </w:tr>
      <w:tr>
        <w:trPr>
          <w:trHeight w:val="152"/>
        </w:trPr>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0"/>
                <w:szCs w:val="10"/>
                <w:color w:val="auto"/>
              </w:rPr>
              <w:t>The Queen Baton Rouge (4)</w:t>
            </w:r>
          </w:p>
        </w:tc>
        <w:tc>
          <w:tcPr>
            <w:tcW w:w="21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rPr>
              <w:t>Baton Rouge, LA</w:t>
            </w:r>
          </w:p>
        </w:tc>
        <w:tc>
          <w:tcPr>
            <w:tcW w:w="1620" w:type="dxa"/>
            <w:vAlign w:val="bottom"/>
            <w:shd w:val="clear" w:color="auto" w:fill="CCEEFF"/>
          </w:tcPr>
          <w:p>
            <w:pPr>
              <w:spacing w:after="0"/>
              <w:rPr>
                <w:sz w:val="13"/>
                <w:szCs w:val="13"/>
                <w:color w:val="auto"/>
              </w:rPr>
            </w:pPr>
          </w:p>
        </w:tc>
        <w:tc>
          <w:tcPr>
            <w:tcW w:w="2980" w:type="dxa"/>
            <w:vAlign w:val="bottom"/>
            <w:shd w:val="clear" w:color="auto" w:fill="CCEEFF"/>
          </w:tcPr>
          <w:p>
            <w:pPr>
              <w:spacing w:after="0"/>
              <w:rPr>
                <w:sz w:val="13"/>
                <w:szCs w:val="13"/>
                <w:color w:val="auto"/>
              </w:rPr>
            </w:pPr>
          </w:p>
        </w:tc>
      </w:tr>
      <w:tr>
        <w:trPr>
          <w:trHeight w:val="136"/>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14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Bally's Lincoln Casino Resort</w:t>
            </w:r>
          </w:p>
        </w:tc>
        <w:tc>
          <w:tcPr>
            <w:tcW w:w="2160" w:type="dxa"/>
            <w:vAlign w:val="bottom"/>
          </w:tcPr>
          <w:p>
            <w:pPr>
              <w:ind w:left="1000"/>
              <w:spacing w:after="0"/>
              <w:rPr>
                <w:sz w:val="20"/>
                <w:szCs w:val="20"/>
                <w:color w:val="auto"/>
              </w:rPr>
            </w:pPr>
            <w:r>
              <w:rPr>
                <w:rFonts w:ascii="Times New Roman" w:cs="Times New Roman" w:eastAsia="Times New Roman" w:hAnsi="Times New Roman"/>
                <w:sz w:val="10"/>
                <w:szCs w:val="10"/>
                <w:color w:val="auto"/>
              </w:rPr>
              <w:t>Lincoln, RI</w:t>
            </w:r>
          </w:p>
        </w:tc>
        <w:tc>
          <w:tcPr>
            <w:tcW w:w="1620" w:type="dxa"/>
            <w:vAlign w:val="bottom"/>
          </w:tcPr>
          <w:p>
            <w:pPr>
              <w:spacing w:after="0"/>
              <w:rPr>
                <w:sz w:val="11"/>
                <w:szCs w:val="11"/>
                <w:color w:val="auto"/>
              </w:rPr>
            </w:pPr>
          </w:p>
        </w:tc>
        <w:tc>
          <w:tcPr>
            <w:tcW w:w="2980" w:type="dxa"/>
            <w:vAlign w:val="bottom"/>
          </w:tcPr>
          <w:p>
            <w:pPr>
              <w:spacing w:after="0"/>
              <w:rPr>
                <w:sz w:val="11"/>
                <w:szCs w:val="11"/>
                <w:color w:val="auto"/>
              </w:rPr>
            </w:pPr>
          </w:p>
        </w:tc>
      </w:tr>
      <w:tr>
        <w:trPr>
          <w:trHeight w:val="188"/>
        </w:trPr>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2980" w:type="dxa"/>
            <w:vAlign w:val="bottom"/>
            <w:shd w:val="clear" w:color="auto" w:fill="CCEEFF"/>
          </w:tcPr>
          <w:p>
            <w:pPr>
              <w:spacing w:after="0"/>
              <w:rPr>
                <w:sz w:val="16"/>
                <w:szCs w:val="16"/>
                <w:color w:val="auto"/>
              </w:rPr>
            </w:pPr>
          </w:p>
        </w:tc>
      </w:tr>
      <w:tr>
        <w:trPr>
          <w:trHeight w:val="136"/>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Commencement Date</w:t>
            </w:r>
          </w:p>
        </w:tc>
        <w:tc>
          <w:tcPr>
            <w:tcW w:w="2140" w:type="dxa"/>
            <w:vAlign w:val="bottom"/>
          </w:tcPr>
          <w:p>
            <w:pPr>
              <w:spacing w:after="0"/>
              <w:rPr>
                <w:sz w:val="11"/>
                <w:szCs w:val="11"/>
                <w:color w:val="auto"/>
              </w:rPr>
            </w:pPr>
          </w:p>
        </w:tc>
        <w:tc>
          <w:tcPr>
            <w:tcW w:w="2160" w:type="dxa"/>
            <w:vAlign w:val="bottom"/>
          </w:tcPr>
          <w:p>
            <w:pPr>
              <w:jc w:val="right"/>
              <w:ind w:right="1132"/>
              <w:spacing w:after="0"/>
              <w:rPr>
                <w:sz w:val="20"/>
                <w:szCs w:val="20"/>
                <w:color w:val="auto"/>
              </w:rPr>
            </w:pPr>
            <w:r>
              <w:rPr>
                <w:rFonts w:ascii="Times New Roman" w:cs="Times New Roman" w:eastAsia="Times New Roman" w:hAnsi="Times New Roman"/>
                <w:sz w:val="10"/>
                <w:szCs w:val="10"/>
                <w:color w:val="auto"/>
              </w:rPr>
              <w:t>12/16/2024</w:t>
            </w:r>
          </w:p>
        </w:tc>
        <w:tc>
          <w:tcPr>
            <w:tcW w:w="1620" w:type="dxa"/>
            <w:vAlign w:val="bottom"/>
          </w:tcPr>
          <w:p>
            <w:pPr>
              <w:spacing w:after="0"/>
              <w:rPr>
                <w:sz w:val="11"/>
                <w:szCs w:val="11"/>
                <w:color w:val="auto"/>
              </w:rPr>
            </w:pPr>
          </w:p>
        </w:tc>
        <w:tc>
          <w:tcPr>
            <w:tcW w:w="2980" w:type="dxa"/>
            <w:vAlign w:val="bottom"/>
          </w:tcPr>
          <w:p>
            <w:pPr>
              <w:jc w:val="right"/>
              <w:ind w:right="1632"/>
              <w:spacing w:after="0"/>
              <w:rPr>
                <w:sz w:val="20"/>
                <w:szCs w:val="20"/>
                <w:color w:val="auto"/>
              </w:rPr>
            </w:pPr>
            <w:r>
              <w:rPr>
                <w:rFonts w:ascii="Times New Roman" w:cs="Times New Roman" w:eastAsia="Times New Roman" w:hAnsi="Times New Roman"/>
                <w:sz w:val="10"/>
                <w:szCs w:val="10"/>
                <w:color w:val="auto"/>
              </w:rPr>
              <w:t>12/17/2021</w:t>
            </w:r>
          </w:p>
        </w:tc>
      </w:tr>
      <w:tr>
        <w:trPr>
          <w:trHeight w:val="153"/>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Lease Expiration Date</w:t>
            </w:r>
          </w:p>
        </w:tc>
        <w:tc>
          <w:tcPr>
            <w:tcW w:w="2140" w:type="dxa"/>
            <w:vAlign w:val="bottom"/>
            <w:shd w:val="clear" w:color="auto" w:fill="CCEEFF"/>
          </w:tcPr>
          <w:p>
            <w:pPr>
              <w:spacing w:after="0"/>
              <w:rPr>
                <w:sz w:val="13"/>
                <w:szCs w:val="13"/>
                <w:color w:val="auto"/>
              </w:rPr>
            </w:pPr>
          </w:p>
        </w:tc>
        <w:tc>
          <w:tcPr>
            <w:tcW w:w="216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0"/>
                <w:szCs w:val="10"/>
                <w:color w:val="auto"/>
              </w:rPr>
              <w:t>12/15/2039</w:t>
            </w:r>
          </w:p>
        </w:tc>
        <w:tc>
          <w:tcPr>
            <w:tcW w:w="1620" w:type="dxa"/>
            <w:vAlign w:val="bottom"/>
            <w:shd w:val="clear" w:color="auto" w:fill="CCEEFF"/>
          </w:tcPr>
          <w:p>
            <w:pPr>
              <w:spacing w:after="0"/>
              <w:rPr>
                <w:sz w:val="13"/>
                <w:szCs w:val="13"/>
                <w:color w:val="auto"/>
              </w:rPr>
            </w:pPr>
          </w:p>
        </w:tc>
        <w:tc>
          <w:tcPr>
            <w:tcW w:w="2980" w:type="dxa"/>
            <w:vAlign w:val="bottom"/>
            <w:shd w:val="clear" w:color="auto" w:fill="CCEEFF"/>
          </w:tcPr>
          <w:p>
            <w:pPr>
              <w:jc w:val="right"/>
              <w:ind w:right="1632"/>
              <w:spacing w:after="0"/>
              <w:rPr>
                <w:sz w:val="20"/>
                <w:szCs w:val="20"/>
                <w:color w:val="auto"/>
              </w:rPr>
            </w:pPr>
            <w:r>
              <w:rPr>
                <w:rFonts w:ascii="Times New Roman" w:cs="Times New Roman" w:eastAsia="Times New Roman" w:hAnsi="Times New Roman"/>
                <w:sz w:val="10"/>
                <w:szCs w:val="10"/>
                <w:color w:val="auto"/>
              </w:rPr>
              <w:t>12/31/2036</w:t>
            </w:r>
          </w:p>
        </w:tc>
      </w:tr>
      <w:tr>
        <w:trPr>
          <w:trHeight w:val="136"/>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Remaining Renewal Terms</w:t>
            </w:r>
          </w:p>
        </w:tc>
        <w:tc>
          <w:tcPr>
            <w:tcW w:w="2140" w:type="dxa"/>
            <w:vAlign w:val="bottom"/>
          </w:tcPr>
          <w:p>
            <w:pPr>
              <w:spacing w:after="0"/>
              <w:rPr>
                <w:sz w:val="11"/>
                <w:szCs w:val="11"/>
                <w:color w:val="auto"/>
              </w:rPr>
            </w:pPr>
          </w:p>
        </w:tc>
        <w:tc>
          <w:tcPr>
            <w:tcW w:w="2160" w:type="dxa"/>
            <w:vAlign w:val="bottom"/>
          </w:tcPr>
          <w:p>
            <w:pPr>
              <w:jc w:val="right"/>
              <w:ind w:right="1132"/>
              <w:spacing w:after="0"/>
              <w:rPr>
                <w:sz w:val="20"/>
                <w:szCs w:val="20"/>
                <w:color w:val="auto"/>
              </w:rPr>
            </w:pPr>
            <w:r>
              <w:rPr>
                <w:rFonts w:ascii="Times New Roman" w:cs="Times New Roman" w:eastAsia="Times New Roman" w:hAnsi="Times New Roman"/>
                <w:sz w:val="10"/>
                <w:szCs w:val="10"/>
                <w:color w:val="auto"/>
              </w:rPr>
              <w:t>20 (4x5 years)</w:t>
            </w:r>
          </w:p>
        </w:tc>
        <w:tc>
          <w:tcPr>
            <w:tcW w:w="1620" w:type="dxa"/>
            <w:vAlign w:val="bottom"/>
          </w:tcPr>
          <w:p>
            <w:pPr>
              <w:spacing w:after="0"/>
              <w:rPr>
                <w:sz w:val="11"/>
                <w:szCs w:val="11"/>
                <w:color w:val="auto"/>
              </w:rPr>
            </w:pPr>
          </w:p>
        </w:tc>
        <w:tc>
          <w:tcPr>
            <w:tcW w:w="2980" w:type="dxa"/>
            <w:vAlign w:val="bottom"/>
          </w:tcPr>
          <w:p>
            <w:pPr>
              <w:jc w:val="right"/>
              <w:ind w:right="1632"/>
              <w:spacing w:after="0"/>
              <w:rPr>
                <w:sz w:val="20"/>
                <w:szCs w:val="20"/>
                <w:color w:val="auto"/>
              </w:rPr>
            </w:pPr>
            <w:r>
              <w:rPr>
                <w:rFonts w:ascii="Times New Roman" w:cs="Times New Roman" w:eastAsia="Times New Roman" w:hAnsi="Times New Roman"/>
                <w:sz w:val="10"/>
                <w:szCs w:val="10"/>
                <w:color w:val="auto"/>
              </w:rPr>
              <w:t>20 (4x5 years)</w:t>
            </w:r>
          </w:p>
        </w:tc>
      </w:tr>
      <w:tr>
        <w:trPr>
          <w:trHeight w:val="152"/>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Corporate Guarantee</w:t>
            </w:r>
          </w:p>
        </w:tc>
        <w:tc>
          <w:tcPr>
            <w:tcW w:w="2140" w:type="dxa"/>
            <w:vAlign w:val="bottom"/>
            <w:shd w:val="clear" w:color="auto" w:fill="CCEEFF"/>
          </w:tcPr>
          <w:p>
            <w:pPr>
              <w:spacing w:after="0"/>
              <w:rPr>
                <w:sz w:val="13"/>
                <w:szCs w:val="13"/>
                <w:color w:val="auto"/>
              </w:rPr>
            </w:pPr>
          </w:p>
        </w:tc>
        <w:tc>
          <w:tcPr>
            <w:tcW w:w="216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0"/>
                <w:szCs w:val="10"/>
                <w:color w:val="auto"/>
              </w:rPr>
              <w:t>Yes</w:t>
            </w:r>
          </w:p>
        </w:tc>
        <w:tc>
          <w:tcPr>
            <w:tcW w:w="1620" w:type="dxa"/>
            <w:vAlign w:val="bottom"/>
            <w:shd w:val="clear" w:color="auto" w:fill="CCEEFF"/>
          </w:tcPr>
          <w:p>
            <w:pPr>
              <w:spacing w:after="0"/>
              <w:rPr>
                <w:sz w:val="13"/>
                <w:szCs w:val="13"/>
                <w:color w:val="auto"/>
              </w:rPr>
            </w:pPr>
          </w:p>
        </w:tc>
        <w:tc>
          <w:tcPr>
            <w:tcW w:w="2980" w:type="dxa"/>
            <w:vAlign w:val="bottom"/>
            <w:shd w:val="clear" w:color="auto" w:fill="CCEEFF"/>
          </w:tcPr>
          <w:p>
            <w:pPr>
              <w:jc w:val="right"/>
              <w:ind w:right="1632"/>
              <w:spacing w:after="0"/>
              <w:rPr>
                <w:sz w:val="20"/>
                <w:szCs w:val="20"/>
                <w:color w:val="auto"/>
              </w:rPr>
            </w:pPr>
            <w:r>
              <w:rPr>
                <w:rFonts w:ascii="Times New Roman" w:cs="Times New Roman" w:eastAsia="Times New Roman" w:hAnsi="Times New Roman"/>
                <w:sz w:val="10"/>
                <w:szCs w:val="10"/>
                <w:color w:val="auto"/>
              </w:rPr>
              <w:t>(5)</w:t>
            </w:r>
          </w:p>
        </w:tc>
      </w:tr>
      <w:tr>
        <w:trPr>
          <w:trHeight w:val="136"/>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Master Lease with Cross Collateralization</w:t>
            </w:r>
          </w:p>
        </w:tc>
        <w:tc>
          <w:tcPr>
            <w:tcW w:w="2140" w:type="dxa"/>
            <w:vAlign w:val="bottom"/>
          </w:tcPr>
          <w:p>
            <w:pPr>
              <w:spacing w:after="0"/>
              <w:rPr>
                <w:sz w:val="11"/>
                <w:szCs w:val="11"/>
                <w:color w:val="auto"/>
              </w:rPr>
            </w:pPr>
          </w:p>
        </w:tc>
        <w:tc>
          <w:tcPr>
            <w:tcW w:w="2160" w:type="dxa"/>
            <w:vAlign w:val="bottom"/>
          </w:tcPr>
          <w:p>
            <w:pPr>
              <w:jc w:val="right"/>
              <w:ind w:right="1132"/>
              <w:spacing w:after="0"/>
              <w:rPr>
                <w:sz w:val="20"/>
                <w:szCs w:val="20"/>
                <w:color w:val="auto"/>
              </w:rPr>
            </w:pPr>
            <w:r>
              <w:rPr>
                <w:rFonts w:ascii="Times New Roman" w:cs="Times New Roman" w:eastAsia="Times New Roman" w:hAnsi="Times New Roman"/>
                <w:sz w:val="10"/>
                <w:szCs w:val="10"/>
                <w:color w:val="auto"/>
              </w:rPr>
              <w:t>Yes</w:t>
            </w:r>
          </w:p>
        </w:tc>
        <w:tc>
          <w:tcPr>
            <w:tcW w:w="1620" w:type="dxa"/>
            <w:vAlign w:val="bottom"/>
          </w:tcPr>
          <w:p>
            <w:pPr>
              <w:spacing w:after="0"/>
              <w:rPr>
                <w:sz w:val="11"/>
                <w:szCs w:val="11"/>
                <w:color w:val="auto"/>
              </w:rPr>
            </w:pPr>
          </w:p>
        </w:tc>
        <w:tc>
          <w:tcPr>
            <w:tcW w:w="2980" w:type="dxa"/>
            <w:vAlign w:val="bottom"/>
          </w:tcPr>
          <w:p>
            <w:pPr>
              <w:jc w:val="right"/>
              <w:ind w:right="1632"/>
              <w:spacing w:after="0"/>
              <w:rPr>
                <w:sz w:val="20"/>
                <w:szCs w:val="20"/>
                <w:color w:val="auto"/>
              </w:rPr>
            </w:pPr>
            <w:r>
              <w:rPr>
                <w:rFonts w:ascii="Times New Roman" w:cs="Times New Roman" w:eastAsia="Times New Roman" w:hAnsi="Times New Roman"/>
                <w:sz w:val="10"/>
                <w:szCs w:val="10"/>
                <w:color w:val="auto"/>
              </w:rPr>
              <w:t>Yes</w:t>
            </w:r>
          </w:p>
        </w:tc>
      </w:tr>
      <w:tr>
        <w:trPr>
          <w:trHeight w:val="153"/>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Technical Default Landlord Protection</w:t>
            </w:r>
          </w:p>
        </w:tc>
        <w:tc>
          <w:tcPr>
            <w:tcW w:w="2140" w:type="dxa"/>
            <w:vAlign w:val="bottom"/>
            <w:shd w:val="clear" w:color="auto" w:fill="CCEEFF"/>
          </w:tcPr>
          <w:p>
            <w:pPr>
              <w:spacing w:after="0"/>
              <w:rPr>
                <w:sz w:val="13"/>
                <w:szCs w:val="13"/>
                <w:color w:val="auto"/>
              </w:rPr>
            </w:pPr>
          </w:p>
        </w:tc>
        <w:tc>
          <w:tcPr>
            <w:tcW w:w="216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0"/>
                <w:szCs w:val="10"/>
                <w:color w:val="auto"/>
              </w:rPr>
              <w:t>Yes</w:t>
            </w:r>
          </w:p>
        </w:tc>
        <w:tc>
          <w:tcPr>
            <w:tcW w:w="1620" w:type="dxa"/>
            <w:vAlign w:val="bottom"/>
            <w:shd w:val="clear" w:color="auto" w:fill="CCEEFF"/>
          </w:tcPr>
          <w:p>
            <w:pPr>
              <w:spacing w:after="0"/>
              <w:rPr>
                <w:sz w:val="13"/>
                <w:szCs w:val="13"/>
                <w:color w:val="auto"/>
              </w:rPr>
            </w:pPr>
          </w:p>
        </w:tc>
        <w:tc>
          <w:tcPr>
            <w:tcW w:w="2980" w:type="dxa"/>
            <w:vAlign w:val="bottom"/>
            <w:shd w:val="clear" w:color="auto" w:fill="CCEEFF"/>
          </w:tcPr>
          <w:p>
            <w:pPr>
              <w:jc w:val="right"/>
              <w:ind w:right="1632"/>
              <w:spacing w:after="0"/>
              <w:rPr>
                <w:sz w:val="20"/>
                <w:szCs w:val="20"/>
                <w:color w:val="auto"/>
              </w:rPr>
            </w:pPr>
            <w:r>
              <w:rPr>
                <w:rFonts w:ascii="Times New Roman" w:cs="Times New Roman" w:eastAsia="Times New Roman" w:hAnsi="Times New Roman"/>
                <w:sz w:val="10"/>
                <w:szCs w:val="10"/>
                <w:color w:val="auto"/>
              </w:rPr>
              <w:t>Yes</w:t>
            </w:r>
          </w:p>
        </w:tc>
      </w:tr>
      <w:tr>
        <w:trPr>
          <w:trHeight w:val="136"/>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Default Adjusted Revenue to Rent Coverage</w:t>
            </w:r>
          </w:p>
        </w:tc>
        <w:tc>
          <w:tcPr>
            <w:tcW w:w="2140" w:type="dxa"/>
            <w:vAlign w:val="bottom"/>
          </w:tcPr>
          <w:p>
            <w:pPr>
              <w:spacing w:after="0"/>
              <w:rPr>
                <w:sz w:val="11"/>
                <w:szCs w:val="11"/>
                <w:color w:val="auto"/>
              </w:rPr>
            </w:pPr>
          </w:p>
        </w:tc>
        <w:tc>
          <w:tcPr>
            <w:tcW w:w="2160" w:type="dxa"/>
            <w:vAlign w:val="bottom"/>
          </w:tcPr>
          <w:p>
            <w:pPr>
              <w:jc w:val="right"/>
              <w:ind w:right="1132"/>
              <w:spacing w:after="0"/>
              <w:rPr>
                <w:sz w:val="20"/>
                <w:szCs w:val="20"/>
                <w:color w:val="auto"/>
              </w:rPr>
            </w:pPr>
            <w:r>
              <w:rPr>
                <w:rFonts w:ascii="Times New Roman" w:cs="Times New Roman" w:eastAsia="Times New Roman" w:hAnsi="Times New Roman"/>
                <w:sz w:val="10"/>
                <w:szCs w:val="10"/>
                <w:color w:val="auto"/>
              </w:rPr>
              <w:t>1.35 (1)</w:t>
            </w:r>
          </w:p>
        </w:tc>
        <w:tc>
          <w:tcPr>
            <w:tcW w:w="1620" w:type="dxa"/>
            <w:vAlign w:val="bottom"/>
          </w:tcPr>
          <w:p>
            <w:pPr>
              <w:spacing w:after="0"/>
              <w:rPr>
                <w:sz w:val="11"/>
                <w:szCs w:val="11"/>
                <w:color w:val="auto"/>
              </w:rPr>
            </w:pPr>
          </w:p>
        </w:tc>
        <w:tc>
          <w:tcPr>
            <w:tcW w:w="2980" w:type="dxa"/>
            <w:vAlign w:val="bottom"/>
          </w:tcPr>
          <w:p>
            <w:pPr>
              <w:jc w:val="right"/>
              <w:ind w:right="1632"/>
              <w:spacing w:after="0"/>
              <w:rPr>
                <w:sz w:val="20"/>
                <w:szCs w:val="20"/>
                <w:color w:val="auto"/>
              </w:rPr>
            </w:pPr>
            <w:r>
              <w:rPr>
                <w:rFonts w:ascii="Times New Roman" w:cs="Times New Roman" w:eastAsia="Times New Roman" w:hAnsi="Times New Roman"/>
                <w:sz w:val="10"/>
                <w:szCs w:val="10"/>
                <w:color w:val="auto"/>
              </w:rPr>
              <w:t>1.35 (1)</w:t>
            </w:r>
          </w:p>
        </w:tc>
      </w:tr>
      <w:tr>
        <w:trPr>
          <w:trHeight w:val="153"/>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Competitive Radius Landlord Protection</w:t>
            </w:r>
          </w:p>
        </w:tc>
        <w:tc>
          <w:tcPr>
            <w:tcW w:w="2140" w:type="dxa"/>
            <w:vAlign w:val="bottom"/>
            <w:shd w:val="clear" w:color="auto" w:fill="CCEEFF"/>
          </w:tcPr>
          <w:p>
            <w:pPr>
              <w:spacing w:after="0"/>
              <w:rPr>
                <w:sz w:val="13"/>
                <w:szCs w:val="13"/>
                <w:color w:val="auto"/>
              </w:rPr>
            </w:pPr>
          </w:p>
        </w:tc>
        <w:tc>
          <w:tcPr>
            <w:tcW w:w="216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0"/>
                <w:szCs w:val="10"/>
                <w:color w:val="auto"/>
              </w:rPr>
              <w:t>Yes</w:t>
            </w:r>
          </w:p>
        </w:tc>
        <w:tc>
          <w:tcPr>
            <w:tcW w:w="1620" w:type="dxa"/>
            <w:vAlign w:val="bottom"/>
            <w:shd w:val="clear" w:color="auto" w:fill="CCEEFF"/>
          </w:tcPr>
          <w:p>
            <w:pPr>
              <w:spacing w:after="0"/>
              <w:rPr>
                <w:sz w:val="13"/>
                <w:szCs w:val="13"/>
                <w:color w:val="auto"/>
              </w:rPr>
            </w:pPr>
          </w:p>
        </w:tc>
        <w:tc>
          <w:tcPr>
            <w:tcW w:w="2980" w:type="dxa"/>
            <w:vAlign w:val="bottom"/>
            <w:shd w:val="clear" w:color="auto" w:fill="CCEEFF"/>
          </w:tcPr>
          <w:p>
            <w:pPr>
              <w:jc w:val="right"/>
              <w:ind w:right="1632"/>
              <w:spacing w:after="0"/>
              <w:rPr>
                <w:sz w:val="20"/>
                <w:szCs w:val="20"/>
                <w:color w:val="auto"/>
              </w:rPr>
            </w:pPr>
            <w:r>
              <w:rPr>
                <w:rFonts w:ascii="Times New Roman" w:cs="Times New Roman" w:eastAsia="Times New Roman" w:hAnsi="Times New Roman"/>
                <w:sz w:val="10"/>
                <w:szCs w:val="10"/>
                <w:color w:val="auto"/>
              </w:rPr>
              <w:t>Yes</w:t>
            </w:r>
          </w:p>
        </w:tc>
      </w:tr>
      <w:tr>
        <w:trPr>
          <w:trHeight w:val="116"/>
        </w:trPr>
        <w:tc>
          <w:tcPr>
            <w:tcW w:w="700" w:type="dxa"/>
            <w:vAlign w:val="bottom"/>
            <w:tcBorders>
              <w:bottom w:val="single" w:sz="8" w:color="auto"/>
            </w:tcBorders>
          </w:tcPr>
          <w:p>
            <w:pPr>
              <w:spacing w:after="0" w:line="108" w:lineRule="exact"/>
              <w:rPr>
                <w:sz w:val="20"/>
                <w:szCs w:val="20"/>
                <w:color w:val="auto"/>
              </w:rPr>
            </w:pPr>
            <w:r>
              <w:rPr>
                <w:rFonts w:ascii="Times New Roman" w:cs="Times New Roman" w:eastAsia="Times New Roman" w:hAnsi="Times New Roman"/>
                <w:sz w:val="10"/>
                <w:szCs w:val="10"/>
                <w:b w:val="1"/>
                <w:bCs w:val="1"/>
                <w:color w:val="auto"/>
                <w:w w:val="93"/>
              </w:rPr>
              <w:t>Escalator Details</w:t>
            </w:r>
          </w:p>
        </w:tc>
        <w:tc>
          <w:tcPr>
            <w:tcW w:w="1700" w:type="dxa"/>
            <w:vAlign w:val="bottom"/>
            <w:gridSpan w:val="2"/>
          </w:tcPr>
          <w:p>
            <w:pPr>
              <w:spacing w:after="0"/>
              <w:rPr>
                <w:sz w:val="10"/>
                <w:szCs w:val="10"/>
                <w:color w:val="auto"/>
              </w:rPr>
            </w:pPr>
          </w:p>
        </w:tc>
        <w:tc>
          <w:tcPr>
            <w:tcW w:w="214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980" w:type="dxa"/>
            <w:vAlign w:val="bottom"/>
          </w:tcPr>
          <w:p>
            <w:pPr>
              <w:spacing w:after="0"/>
              <w:rPr>
                <w:sz w:val="10"/>
                <w:szCs w:val="10"/>
                <w:color w:val="auto"/>
              </w:rPr>
            </w:pPr>
          </w:p>
        </w:tc>
      </w:tr>
      <w:tr>
        <w:trPr>
          <w:trHeight w:val="152"/>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Yearly Base Rent Escalator Maximum</w:t>
            </w:r>
          </w:p>
        </w:tc>
        <w:tc>
          <w:tcPr>
            <w:tcW w:w="2140" w:type="dxa"/>
            <w:vAlign w:val="bottom"/>
            <w:shd w:val="clear" w:color="auto" w:fill="CCEEFF"/>
          </w:tcPr>
          <w:p>
            <w:pPr>
              <w:spacing w:after="0"/>
              <w:rPr>
                <w:sz w:val="13"/>
                <w:szCs w:val="13"/>
                <w:color w:val="auto"/>
              </w:rPr>
            </w:pPr>
          </w:p>
        </w:tc>
        <w:tc>
          <w:tcPr>
            <w:tcW w:w="216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0"/>
                <w:szCs w:val="10"/>
                <w:color w:val="auto"/>
              </w:rPr>
              <w:t>(2)</w:t>
            </w:r>
          </w:p>
        </w:tc>
        <w:tc>
          <w:tcPr>
            <w:tcW w:w="1620" w:type="dxa"/>
            <w:vAlign w:val="bottom"/>
            <w:shd w:val="clear" w:color="auto" w:fill="CCEEFF"/>
          </w:tcPr>
          <w:p>
            <w:pPr>
              <w:spacing w:after="0"/>
              <w:rPr>
                <w:sz w:val="13"/>
                <w:szCs w:val="13"/>
                <w:color w:val="auto"/>
              </w:rPr>
            </w:pPr>
          </w:p>
        </w:tc>
        <w:tc>
          <w:tcPr>
            <w:tcW w:w="2980" w:type="dxa"/>
            <w:vAlign w:val="bottom"/>
            <w:shd w:val="clear" w:color="auto" w:fill="CCEEFF"/>
          </w:tcPr>
          <w:p>
            <w:pPr>
              <w:jc w:val="right"/>
              <w:ind w:right="1632"/>
              <w:spacing w:after="0"/>
              <w:rPr>
                <w:sz w:val="20"/>
                <w:szCs w:val="20"/>
                <w:color w:val="auto"/>
              </w:rPr>
            </w:pPr>
            <w:r>
              <w:rPr>
                <w:rFonts w:ascii="Times New Roman" w:cs="Times New Roman" w:eastAsia="Times New Roman" w:hAnsi="Times New Roman"/>
                <w:sz w:val="10"/>
                <w:szCs w:val="10"/>
                <w:color w:val="auto"/>
              </w:rPr>
              <w:t>(3)</w:t>
            </w:r>
          </w:p>
        </w:tc>
      </w:tr>
      <w:tr>
        <w:trPr>
          <w:trHeight w:val="136"/>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Coverage ratio at June 30, 2026</w:t>
            </w:r>
          </w:p>
        </w:tc>
        <w:tc>
          <w:tcPr>
            <w:tcW w:w="2140" w:type="dxa"/>
            <w:vAlign w:val="bottom"/>
          </w:tcPr>
          <w:p>
            <w:pPr>
              <w:spacing w:after="0"/>
              <w:rPr>
                <w:sz w:val="11"/>
                <w:szCs w:val="11"/>
                <w:color w:val="auto"/>
              </w:rPr>
            </w:pPr>
          </w:p>
        </w:tc>
        <w:tc>
          <w:tcPr>
            <w:tcW w:w="2160" w:type="dxa"/>
            <w:vAlign w:val="bottom"/>
          </w:tcPr>
          <w:p>
            <w:pPr>
              <w:jc w:val="right"/>
              <w:ind w:right="1132"/>
              <w:spacing w:after="0"/>
              <w:rPr>
                <w:sz w:val="20"/>
                <w:szCs w:val="20"/>
                <w:color w:val="auto"/>
              </w:rPr>
            </w:pPr>
            <w:r>
              <w:rPr>
                <w:rFonts w:ascii="Times New Roman" w:cs="Times New Roman" w:eastAsia="Times New Roman" w:hAnsi="Times New Roman"/>
                <w:sz w:val="10"/>
                <w:szCs w:val="10"/>
                <w:color w:val="auto"/>
              </w:rPr>
              <w:t>2.13 (6)</w:t>
            </w:r>
          </w:p>
        </w:tc>
        <w:tc>
          <w:tcPr>
            <w:tcW w:w="1620" w:type="dxa"/>
            <w:vAlign w:val="bottom"/>
          </w:tcPr>
          <w:p>
            <w:pPr>
              <w:spacing w:after="0"/>
              <w:rPr>
                <w:sz w:val="11"/>
                <w:szCs w:val="11"/>
                <w:color w:val="auto"/>
              </w:rPr>
            </w:pPr>
          </w:p>
        </w:tc>
        <w:tc>
          <w:tcPr>
            <w:tcW w:w="2980" w:type="dxa"/>
            <w:vAlign w:val="bottom"/>
          </w:tcPr>
          <w:p>
            <w:pPr>
              <w:jc w:val="right"/>
              <w:ind w:right="1632"/>
              <w:spacing w:after="0"/>
              <w:rPr>
                <w:sz w:val="20"/>
                <w:szCs w:val="20"/>
                <w:color w:val="auto"/>
              </w:rPr>
            </w:pPr>
            <w:r>
              <w:rPr>
                <w:rFonts w:ascii="Times New Roman" w:cs="Times New Roman" w:eastAsia="Times New Roman" w:hAnsi="Times New Roman"/>
                <w:sz w:val="10"/>
                <w:szCs w:val="10"/>
                <w:color w:val="auto"/>
              </w:rPr>
              <w:t>N/A</w:t>
            </w:r>
          </w:p>
        </w:tc>
      </w:tr>
      <w:tr>
        <w:trPr>
          <w:trHeight w:val="153"/>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Minimum Escalator Coverage Governor</w:t>
            </w:r>
          </w:p>
        </w:tc>
        <w:tc>
          <w:tcPr>
            <w:tcW w:w="2140" w:type="dxa"/>
            <w:vAlign w:val="bottom"/>
            <w:shd w:val="clear" w:color="auto" w:fill="CCEEFF"/>
          </w:tcPr>
          <w:p>
            <w:pPr>
              <w:spacing w:after="0"/>
              <w:rPr>
                <w:sz w:val="13"/>
                <w:szCs w:val="13"/>
                <w:color w:val="auto"/>
              </w:rPr>
            </w:pPr>
          </w:p>
        </w:tc>
        <w:tc>
          <w:tcPr>
            <w:tcW w:w="216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0"/>
                <w:szCs w:val="10"/>
                <w:color w:val="auto"/>
              </w:rPr>
              <w:t>N/A</w:t>
            </w:r>
          </w:p>
        </w:tc>
        <w:tc>
          <w:tcPr>
            <w:tcW w:w="1620" w:type="dxa"/>
            <w:vAlign w:val="bottom"/>
            <w:shd w:val="clear" w:color="auto" w:fill="CCEEFF"/>
          </w:tcPr>
          <w:p>
            <w:pPr>
              <w:spacing w:after="0"/>
              <w:rPr>
                <w:sz w:val="13"/>
                <w:szCs w:val="13"/>
                <w:color w:val="auto"/>
              </w:rPr>
            </w:pPr>
          </w:p>
        </w:tc>
        <w:tc>
          <w:tcPr>
            <w:tcW w:w="2980" w:type="dxa"/>
            <w:vAlign w:val="bottom"/>
            <w:shd w:val="clear" w:color="auto" w:fill="CCEEFF"/>
          </w:tcPr>
          <w:p>
            <w:pPr>
              <w:jc w:val="right"/>
              <w:ind w:right="1632"/>
              <w:spacing w:after="0"/>
              <w:rPr>
                <w:sz w:val="20"/>
                <w:szCs w:val="20"/>
                <w:color w:val="auto"/>
              </w:rPr>
            </w:pPr>
            <w:r>
              <w:rPr>
                <w:rFonts w:ascii="Times New Roman" w:cs="Times New Roman" w:eastAsia="Times New Roman" w:hAnsi="Times New Roman"/>
                <w:sz w:val="10"/>
                <w:szCs w:val="10"/>
                <w:color w:val="auto"/>
              </w:rPr>
              <w:t>N/A</w:t>
            </w:r>
          </w:p>
        </w:tc>
      </w:tr>
      <w:tr>
        <w:trPr>
          <w:trHeight w:val="135"/>
        </w:trPr>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Yearly Anniversary for Realization</w:t>
            </w:r>
          </w:p>
        </w:tc>
        <w:tc>
          <w:tcPr>
            <w:tcW w:w="2140" w:type="dxa"/>
            <w:vAlign w:val="bottom"/>
          </w:tcPr>
          <w:p>
            <w:pPr>
              <w:spacing w:after="0"/>
              <w:rPr>
                <w:sz w:val="11"/>
                <w:szCs w:val="11"/>
                <w:color w:val="auto"/>
              </w:rPr>
            </w:pPr>
          </w:p>
        </w:tc>
        <w:tc>
          <w:tcPr>
            <w:tcW w:w="2160" w:type="dxa"/>
            <w:vAlign w:val="bottom"/>
          </w:tcPr>
          <w:p>
            <w:pPr>
              <w:jc w:val="right"/>
              <w:ind w:right="1132"/>
              <w:spacing w:after="0"/>
              <w:rPr>
                <w:sz w:val="20"/>
                <w:szCs w:val="20"/>
                <w:color w:val="auto"/>
              </w:rPr>
            </w:pPr>
            <w:r>
              <w:rPr>
                <w:rFonts w:ascii="Times New Roman" w:cs="Times New Roman" w:eastAsia="Times New Roman" w:hAnsi="Times New Roman"/>
                <w:sz w:val="10"/>
                <w:szCs w:val="10"/>
                <w:color w:val="auto"/>
              </w:rPr>
              <w:t>December</w:t>
            </w:r>
          </w:p>
        </w:tc>
        <w:tc>
          <w:tcPr>
            <w:tcW w:w="1620" w:type="dxa"/>
            <w:vAlign w:val="bottom"/>
          </w:tcPr>
          <w:p>
            <w:pPr>
              <w:spacing w:after="0"/>
              <w:rPr>
                <w:sz w:val="11"/>
                <w:szCs w:val="11"/>
                <w:color w:val="auto"/>
              </w:rPr>
            </w:pPr>
          </w:p>
        </w:tc>
        <w:tc>
          <w:tcPr>
            <w:tcW w:w="2980" w:type="dxa"/>
            <w:vAlign w:val="bottom"/>
          </w:tcPr>
          <w:p>
            <w:pPr>
              <w:jc w:val="right"/>
              <w:ind w:right="1632"/>
              <w:spacing w:after="0"/>
              <w:rPr>
                <w:sz w:val="20"/>
                <w:szCs w:val="20"/>
                <w:color w:val="auto"/>
              </w:rPr>
            </w:pPr>
            <w:r>
              <w:rPr>
                <w:rFonts w:ascii="Times New Roman" w:cs="Times New Roman" w:eastAsia="Times New Roman" w:hAnsi="Times New Roman"/>
                <w:sz w:val="10"/>
                <w:szCs w:val="10"/>
                <w:color w:val="auto"/>
              </w:rPr>
              <w:t>December</w:t>
            </w:r>
          </w:p>
        </w:tc>
      </w:tr>
      <w:tr>
        <w:trPr>
          <w:trHeight w:val="133"/>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Percentage Rent Reset Details</w:t>
            </w:r>
          </w:p>
        </w:tc>
        <w:tc>
          <w:tcPr>
            <w:tcW w:w="2140" w:type="dxa"/>
            <w:vAlign w:val="bottom"/>
            <w:shd w:val="clear" w:color="auto" w:fill="CCEEFF"/>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rPr>
                <w:sz w:val="11"/>
                <w:szCs w:val="11"/>
                <w:color w:val="auto"/>
              </w:rPr>
            </w:pPr>
          </w:p>
        </w:tc>
      </w:tr>
      <w:tr>
        <w:trPr>
          <w:trHeight w:val="136"/>
        </w:trPr>
        <w:tc>
          <w:tcPr>
            <w:tcW w:w="1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Reset Frequency</w:t>
            </w:r>
          </w:p>
        </w:tc>
        <w:tc>
          <w:tcPr>
            <w:tcW w:w="1180" w:type="dxa"/>
            <w:vAlign w:val="bottom"/>
            <w:tcBorders>
              <w:top w:val="single" w:sz="8" w:color="CCEEFF"/>
            </w:tcBorders>
          </w:tcPr>
          <w:p>
            <w:pPr>
              <w:spacing w:after="0"/>
              <w:rPr>
                <w:sz w:val="11"/>
                <w:szCs w:val="11"/>
                <w:color w:val="auto"/>
              </w:rPr>
            </w:pPr>
          </w:p>
        </w:tc>
        <w:tc>
          <w:tcPr>
            <w:tcW w:w="2140" w:type="dxa"/>
            <w:vAlign w:val="bottom"/>
            <w:tcBorders>
              <w:top w:val="single" w:sz="8" w:color="CCEEFF"/>
            </w:tcBorders>
          </w:tcPr>
          <w:p>
            <w:pPr>
              <w:spacing w:after="0"/>
              <w:rPr>
                <w:sz w:val="11"/>
                <w:szCs w:val="11"/>
                <w:color w:val="auto"/>
              </w:rPr>
            </w:pPr>
          </w:p>
        </w:tc>
        <w:tc>
          <w:tcPr>
            <w:tcW w:w="2160" w:type="dxa"/>
            <w:vAlign w:val="bottom"/>
            <w:tcBorders>
              <w:top w:val="single" w:sz="8" w:color="CCEEFF"/>
            </w:tcBorders>
          </w:tcPr>
          <w:p>
            <w:pPr>
              <w:jc w:val="right"/>
              <w:ind w:right="1132"/>
              <w:spacing w:after="0"/>
              <w:rPr>
                <w:sz w:val="20"/>
                <w:szCs w:val="20"/>
                <w:color w:val="auto"/>
              </w:rPr>
            </w:pPr>
            <w:r>
              <w:rPr>
                <w:rFonts w:ascii="Times New Roman" w:cs="Times New Roman" w:eastAsia="Times New Roman" w:hAnsi="Times New Roman"/>
                <w:sz w:val="10"/>
                <w:szCs w:val="10"/>
                <w:color w:val="auto"/>
              </w:rPr>
              <w:t>N/A</w:t>
            </w:r>
          </w:p>
        </w:tc>
        <w:tc>
          <w:tcPr>
            <w:tcW w:w="1620" w:type="dxa"/>
            <w:vAlign w:val="bottom"/>
            <w:tcBorders>
              <w:top w:val="single" w:sz="8" w:color="CCEEFF"/>
            </w:tcBorders>
          </w:tcPr>
          <w:p>
            <w:pPr>
              <w:spacing w:after="0"/>
              <w:rPr>
                <w:sz w:val="11"/>
                <w:szCs w:val="11"/>
                <w:color w:val="auto"/>
              </w:rPr>
            </w:pPr>
          </w:p>
        </w:tc>
        <w:tc>
          <w:tcPr>
            <w:tcW w:w="2980" w:type="dxa"/>
            <w:vAlign w:val="bottom"/>
            <w:tcBorders>
              <w:top w:val="single" w:sz="8" w:color="CCEEFF"/>
            </w:tcBorders>
          </w:tcPr>
          <w:p>
            <w:pPr>
              <w:jc w:val="right"/>
              <w:ind w:right="1632"/>
              <w:spacing w:after="0"/>
              <w:rPr>
                <w:sz w:val="20"/>
                <w:szCs w:val="20"/>
                <w:color w:val="auto"/>
              </w:rPr>
            </w:pPr>
            <w:r>
              <w:rPr>
                <w:rFonts w:ascii="Times New Roman" w:cs="Times New Roman" w:eastAsia="Times New Roman" w:hAnsi="Times New Roman"/>
                <w:sz w:val="10"/>
                <w:szCs w:val="10"/>
                <w:color w:val="auto"/>
              </w:rPr>
              <w:t>N/A</w:t>
            </w:r>
          </w:p>
        </w:tc>
      </w:tr>
      <w:tr>
        <w:trPr>
          <w:trHeight w:val="153"/>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Next Reset</w:t>
            </w:r>
          </w:p>
        </w:tc>
        <w:tc>
          <w:tcPr>
            <w:tcW w:w="2140" w:type="dxa"/>
            <w:vAlign w:val="bottom"/>
            <w:shd w:val="clear" w:color="auto" w:fill="CCEEFF"/>
          </w:tcPr>
          <w:p>
            <w:pPr>
              <w:spacing w:after="0"/>
              <w:rPr>
                <w:sz w:val="13"/>
                <w:szCs w:val="13"/>
                <w:color w:val="auto"/>
              </w:rPr>
            </w:pPr>
          </w:p>
        </w:tc>
        <w:tc>
          <w:tcPr>
            <w:tcW w:w="216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0"/>
                <w:szCs w:val="10"/>
                <w:color w:val="auto"/>
              </w:rPr>
              <w:t>N/A</w:t>
            </w:r>
          </w:p>
        </w:tc>
        <w:tc>
          <w:tcPr>
            <w:tcW w:w="1620" w:type="dxa"/>
            <w:vAlign w:val="bottom"/>
            <w:shd w:val="clear" w:color="auto" w:fill="CCEEFF"/>
          </w:tcPr>
          <w:p>
            <w:pPr>
              <w:spacing w:after="0"/>
              <w:rPr>
                <w:sz w:val="13"/>
                <w:szCs w:val="13"/>
                <w:color w:val="auto"/>
              </w:rPr>
            </w:pPr>
          </w:p>
        </w:tc>
        <w:tc>
          <w:tcPr>
            <w:tcW w:w="2980" w:type="dxa"/>
            <w:vAlign w:val="bottom"/>
            <w:shd w:val="clear" w:color="auto" w:fill="CCEEFF"/>
          </w:tcPr>
          <w:p>
            <w:pPr>
              <w:jc w:val="right"/>
              <w:ind w:right="1632"/>
              <w:spacing w:after="0"/>
              <w:rPr>
                <w:sz w:val="20"/>
                <w:szCs w:val="20"/>
                <w:color w:val="auto"/>
              </w:rPr>
            </w:pPr>
            <w:r>
              <w:rPr>
                <w:rFonts w:ascii="Times New Roman" w:cs="Times New Roman" w:eastAsia="Times New Roman" w:hAnsi="Times New Roman"/>
                <w:sz w:val="10"/>
                <w:szCs w:val="10"/>
                <w:color w:val="auto"/>
              </w:rPr>
              <w:t>N/A</w:t>
            </w:r>
          </w:p>
        </w:tc>
      </w:tr>
    </w:tbl>
    <w:p>
      <w:pPr>
        <w:spacing w:after="0" w:line="151" w:lineRule="exact"/>
        <w:rPr>
          <w:sz w:val="20"/>
          <w:szCs w:val="20"/>
          <w:color w:val="auto"/>
        </w:rPr>
      </w:pPr>
    </w:p>
    <w:p>
      <w:pPr>
        <w:ind w:left="428" w:right="20" w:hanging="428"/>
        <w:spacing w:after="0" w:line="216" w:lineRule="auto"/>
        <w:tabs>
          <w:tab w:leader="none" w:pos="165"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If the tenant's parent's net leverage is greater than 5.5 to 1, then the adjusted revenue to rent coverage for the last two consecutive test periods must be at least 1.35. If the tenant's parent's net leverage is equal to or less than 5.5 to 1, then the ratio shall be reduced to 1.2. For the Casino Queen Master Lease the test begins on the first anniversary after both development projects are completed and open to the public.</w:t>
      </w:r>
    </w:p>
    <w:p>
      <w:pPr>
        <w:spacing w:after="0" w:line="79" w:lineRule="exact"/>
        <w:rPr>
          <w:rFonts w:ascii="Times New Roman" w:cs="Times New Roman" w:eastAsia="Times New Roman" w:hAnsi="Times New Roman"/>
          <w:sz w:val="16"/>
          <w:szCs w:val="16"/>
          <w:color w:val="auto"/>
          <w:vertAlign w:val="superscript"/>
        </w:rPr>
      </w:pPr>
    </w:p>
    <w:p>
      <w:pPr>
        <w:ind w:left="428" w:right="20" w:hanging="428"/>
        <w:spacing w:after="0" w:line="216" w:lineRule="auto"/>
        <w:tabs>
          <w:tab w:leader="none" w:pos="174"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w:t>
      </w:r>
    </w:p>
    <w:p>
      <w:pPr>
        <w:spacing w:after="0" w:line="151" w:lineRule="exact"/>
        <w:rPr>
          <w:rFonts w:ascii="Times New Roman" w:cs="Times New Roman" w:eastAsia="Times New Roman" w:hAnsi="Times New Roman"/>
          <w:sz w:val="16"/>
          <w:szCs w:val="16"/>
          <w:color w:val="auto"/>
          <w:vertAlign w:val="superscript"/>
        </w:rPr>
      </w:pPr>
    </w:p>
    <w:p>
      <w:pPr>
        <w:ind w:left="428" w:right="20" w:hanging="428"/>
        <w:spacing w:after="0" w:line="222" w:lineRule="auto"/>
        <w:tabs>
          <w:tab w:leader="none" w:pos="165"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Rent increases by 0.5% for the first six years. Beginning in the seventh lease year through the remainder of the lease term, if the CPI increases by at least 0.25% for any lease year then annual rent shall be increased by 1.25%, and if the CPI is less than 0.25% then rent will remain unchanged for such lease year.</w:t>
      </w:r>
    </w:p>
    <w:p>
      <w:pPr>
        <w:spacing w:after="0" w:line="123" w:lineRule="exact"/>
        <w:rPr>
          <w:rFonts w:ascii="Times New Roman" w:cs="Times New Roman" w:eastAsia="Times New Roman" w:hAnsi="Times New Roman"/>
          <w:sz w:val="16"/>
          <w:szCs w:val="16"/>
          <w:color w:val="auto"/>
          <w:vertAlign w:val="superscript"/>
        </w:rPr>
      </w:pPr>
    </w:p>
    <w:p>
      <w:pPr>
        <w:ind w:left="168" w:hanging="168"/>
        <w:spacing w:after="0"/>
        <w:tabs>
          <w:tab w:leader="none" w:pos="168"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Effective July 1, 2025, these properties were transferred to Bally's Master Lease II and the associated annual rental income of $28.9 million was reallocated from the Casino Queen Master Lease to Bally's Master Lease II.</w:t>
      </w:r>
    </w:p>
    <w:p>
      <w:pPr>
        <w:spacing w:after="0" w:line="113" w:lineRule="exact"/>
        <w:rPr>
          <w:rFonts w:ascii="Times New Roman" w:cs="Times New Roman" w:eastAsia="Times New Roman" w:hAnsi="Times New Roman"/>
          <w:sz w:val="16"/>
          <w:szCs w:val="16"/>
          <w:color w:val="auto"/>
          <w:vertAlign w:val="superscript"/>
        </w:rPr>
      </w:pPr>
    </w:p>
    <w:p>
      <w:pPr>
        <w:ind w:left="168" w:hanging="168"/>
        <w:spacing w:after="0"/>
        <w:tabs>
          <w:tab w:leader="none" w:pos="168"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If a default were to occur under the Casino Queen Master Lease, the Company has the right under the terms of the lease to elect to amend Bally’s Master Lease II and place the assets into it, which carries a corporate guarantee.</w:t>
      </w:r>
    </w:p>
    <w:p>
      <w:pPr>
        <w:spacing w:after="0" w:line="113" w:lineRule="exact"/>
        <w:rPr>
          <w:rFonts w:ascii="Times New Roman" w:cs="Times New Roman" w:eastAsia="Times New Roman" w:hAnsi="Times New Roman"/>
          <w:sz w:val="16"/>
          <w:szCs w:val="16"/>
          <w:color w:val="auto"/>
          <w:vertAlign w:val="superscript"/>
        </w:rPr>
      </w:pPr>
    </w:p>
    <w:p>
      <w:pPr>
        <w:ind w:left="168" w:hanging="168"/>
        <w:spacing w:after="0"/>
        <w:tabs>
          <w:tab w:leader="none" w:pos="168"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Coverage ratio above is pro forma for the acquisition of the real estate assets of Bally's Twin River Lincoln Casino Resort which closed on February 11,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11308"/>
          </w:cols>
          <w:pgMar w:left="292" w:top="1032" w:right="29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0"/>
          <w:szCs w:val="10"/>
          <w:b w:val="1"/>
          <w:bCs w:val="1"/>
          <w:color w:val="auto"/>
        </w:rPr>
        <w:drawing>
          <wp:anchor simplePos="0" relativeHeight="251657728" behindDoc="1" locked="0" layoutInCell="0" allowOverlap="1">
            <wp:simplePos x="0" y="0"/>
            <wp:positionH relativeFrom="page">
              <wp:posOffset>185420</wp:posOffset>
            </wp:positionH>
            <wp:positionV relativeFrom="page">
              <wp:posOffset>648970</wp:posOffset>
            </wp:positionV>
            <wp:extent cx="7183755"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3755" cy="102870"/>
                    </a:xfrm>
                    <a:prstGeom prst="rect">
                      <a:avLst/>
                    </a:prstGeom>
                    <a:noFill/>
                  </pic:spPr>
                </pic:pic>
              </a:graphicData>
            </a:graphic>
          </wp:anchor>
        </w:drawing>
        <w:t>Master Leases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400" w:type="dxa"/>
            <w:vAlign w:val="bottom"/>
          </w:tcPr>
          <w:p>
            <w:pPr>
              <w:jc w:val="right"/>
              <w:ind w:right="1152"/>
              <w:spacing w:after="0"/>
              <w:rPr>
                <w:sz w:val="20"/>
                <w:szCs w:val="20"/>
                <w:color w:val="auto"/>
              </w:rPr>
            </w:pPr>
            <w:r>
              <w:rPr>
                <w:rFonts w:ascii="Times New Roman" w:cs="Times New Roman" w:eastAsia="Times New Roman" w:hAnsi="Times New Roman"/>
                <w:sz w:val="10"/>
                <w:szCs w:val="10"/>
                <w:b w:val="1"/>
                <w:bCs w:val="1"/>
                <w:color w:val="auto"/>
              </w:rPr>
              <w:t>Boyd Master Lease</w:t>
            </w:r>
          </w:p>
        </w:tc>
        <w:tc>
          <w:tcPr>
            <w:tcW w:w="1600" w:type="dxa"/>
            <w:vAlign w:val="bottom"/>
          </w:tcPr>
          <w:p>
            <w:pPr>
              <w:spacing w:after="0"/>
              <w:rPr>
                <w:sz w:val="11"/>
                <w:szCs w:val="11"/>
                <w:color w:val="auto"/>
              </w:rPr>
            </w:pPr>
          </w:p>
        </w:tc>
        <w:tc>
          <w:tcPr>
            <w:tcW w:w="3020" w:type="dxa"/>
            <w:vAlign w:val="bottom"/>
          </w:tcPr>
          <w:p>
            <w:pPr>
              <w:jc w:val="right"/>
              <w:ind w:right="1092"/>
              <w:spacing w:after="0"/>
              <w:rPr>
                <w:sz w:val="20"/>
                <w:szCs w:val="20"/>
                <w:color w:val="auto"/>
              </w:rPr>
            </w:pPr>
            <w:r>
              <w:rPr>
                <w:rFonts w:ascii="Times New Roman" w:cs="Times New Roman" w:eastAsia="Times New Roman" w:hAnsi="Times New Roman"/>
                <w:sz w:val="10"/>
                <w:szCs w:val="10"/>
                <w:b w:val="1"/>
                <w:bCs w:val="1"/>
                <w:color w:val="auto"/>
                <w:w w:val="94"/>
              </w:rPr>
              <w:t>Caesars Amended and Restated Master Lease</w:t>
            </w:r>
          </w:p>
        </w:tc>
      </w:tr>
      <w:tr>
        <w:trPr>
          <w:trHeight w:val="153"/>
        </w:trPr>
        <w:tc>
          <w:tcPr>
            <w:tcW w:w="2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Operator</w:t>
            </w:r>
          </w:p>
        </w:tc>
        <w:tc>
          <w:tcPr>
            <w:tcW w:w="1920" w:type="dxa"/>
            <w:vAlign w:val="bottom"/>
            <w:shd w:val="clear" w:color="auto" w:fill="CCEEFF"/>
          </w:tcPr>
          <w:p>
            <w:pPr>
              <w:spacing w:after="0"/>
              <w:rPr>
                <w:sz w:val="13"/>
                <w:szCs w:val="13"/>
                <w:color w:val="auto"/>
              </w:rPr>
            </w:pPr>
          </w:p>
        </w:tc>
        <w:tc>
          <w:tcPr>
            <w:tcW w:w="2400" w:type="dxa"/>
            <w:vAlign w:val="bottom"/>
            <w:shd w:val="clear" w:color="auto" w:fill="CCEEFF"/>
          </w:tcPr>
          <w:p>
            <w:pPr>
              <w:jc w:val="right"/>
              <w:ind w:right="1452"/>
              <w:spacing w:after="0"/>
              <w:rPr>
                <w:sz w:val="20"/>
                <w:szCs w:val="20"/>
                <w:color w:val="auto"/>
              </w:rPr>
            </w:pPr>
            <w:r>
              <w:rPr>
                <w:rFonts w:ascii="Times New Roman" w:cs="Times New Roman" w:eastAsia="Times New Roman" w:hAnsi="Times New Roman"/>
                <w:sz w:val="10"/>
                <w:szCs w:val="10"/>
                <w:b w:val="1"/>
                <w:bCs w:val="1"/>
                <w:color w:val="auto"/>
              </w:rPr>
              <w:t>Boyd</w:t>
            </w:r>
          </w:p>
        </w:tc>
        <w:tc>
          <w:tcPr>
            <w:tcW w:w="1600" w:type="dxa"/>
            <w:vAlign w:val="bottom"/>
            <w:shd w:val="clear" w:color="auto" w:fill="CCEEFF"/>
          </w:tcPr>
          <w:p>
            <w:pPr>
              <w:spacing w:after="0"/>
              <w:rPr>
                <w:sz w:val="13"/>
                <w:szCs w:val="13"/>
                <w:color w:val="auto"/>
              </w:rPr>
            </w:pPr>
          </w:p>
        </w:tc>
        <w:tc>
          <w:tcPr>
            <w:tcW w:w="3020" w:type="dxa"/>
            <w:vAlign w:val="bottom"/>
            <w:shd w:val="clear" w:color="auto" w:fill="CCEEFF"/>
          </w:tcPr>
          <w:p>
            <w:pPr>
              <w:jc w:val="right"/>
              <w:ind w:right="1872"/>
              <w:spacing w:after="0"/>
              <w:rPr>
                <w:sz w:val="20"/>
                <w:szCs w:val="20"/>
                <w:color w:val="auto"/>
              </w:rPr>
            </w:pPr>
            <w:r>
              <w:rPr>
                <w:rFonts w:ascii="Times New Roman" w:cs="Times New Roman" w:eastAsia="Times New Roman" w:hAnsi="Times New Roman"/>
                <w:sz w:val="10"/>
                <w:szCs w:val="10"/>
                <w:b w:val="1"/>
                <w:bCs w:val="1"/>
                <w:color w:val="auto"/>
              </w:rPr>
              <w:t>Caesars</w:t>
            </w:r>
          </w:p>
        </w:tc>
      </w:tr>
      <w:tr>
        <w:trPr>
          <w:trHeight w:val="135"/>
        </w:trPr>
        <w:tc>
          <w:tcPr>
            <w:tcW w:w="2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Properties</w:t>
            </w:r>
          </w:p>
        </w:tc>
        <w:tc>
          <w:tcPr>
            <w:tcW w:w="1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Belterra Casino Resort</w:t>
            </w:r>
          </w:p>
        </w:tc>
        <w:tc>
          <w:tcPr>
            <w:tcW w:w="2400" w:type="dxa"/>
            <w:vAlign w:val="bottom"/>
          </w:tcPr>
          <w:p>
            <w:pPr>
              <w:ind w:left="1240"/>
              <w:spacing w:after="0"/>
              <w:rPr>
                <w:sz w:val="20"/>
                <w:szCs w:val="20"/>
                <w:color w:val="auto"/>
              </w:rPr>
            </w:pPr>
            <w:r>
              <w:rPr>
                <w:rFonts w:ascii="Times New Roman" w:cs="Times New Roman" w:eastAsia="Times New Roman" w:hAnsi="Times New Roman"/>
                <w:sz w:val="10"/>
                <w:szCs w:val="10"/>
                <w:color w:val="auto"/>
              </w:rPr>
              <w:t>Florence, IN</w:t>
            </w:r>
          </w:p>
        </w:tc>
        <w:tc>
          <w:tcPr>
            <w:tcW w:w="160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Tropicana Atlantic City</w:t>
            </w:r>
          </w:p>
        </w:tc>
        <w:tc>
          <w:tcPr>
            <w:tcW w:w="3020" w:type="dxa"/>
            <w:vAlign w:val="bottom"/>
          </w:tcPr>
          <w:p>
            <w:pPr>
              <w:ind w:left="1400"/>
              <w:spacing w:after="0"/>
              <w:rPr>
                <w:sz w:val="20"/>
                <w:szCs w:val="20"/>
                <w:color w:val="auto"/>
              </w:rPr>
            </w:pPr>
            <w:r>
              <w:rPr>
                <w:rFonts w:ascii="Times New Roman" w:cs="Times New Roman" w:eastAsia="Times New Roman" w:hAnsi="Times New Roman"/>
                <w:sz w:val="10"/>
                <w:szCs w:val="10"/>
                <w:color w:val="auto"/>
              </w:rPr>
              <w:t>Atlantic City, NJ</w:t>
            </w:r>
          </w:p>
        </w:tc>
      </w:tr>
      <w:tr>
        <w:trPr>
          <w:trHeight w:val="153"/>
        </w:trPr>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0"/>
                <w:szCs w:val="10"/>
                <w:color w:val="auto"/>
              </w:rPr>
              <w:t>Ameristar Kansas City</w:t>
            </w:r>
          </w:p>
        </w:tc>
        <w:tc>
          <w:tcPr>
            <w:tcW w:w="24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0"/>
                <w:szCs w:val="10"/>
                <w:color w:val="auto"/>
              </w:rPr>
              <w:t>Kansas City, MO</w:t>
            </w:r>
          </w:p>
        </w:tc>
        <w:tc>
          <w:tcPr>
            <w:tcW w:w="1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0"/>
                <w:szCs w:val="10"/>
                <w:color w:val="auto"/>
              </w:rPr>
              <w:t>Tropicana Laughlin</w:t>
            </w:r>
          </w:p>
        </w:tc>
        <w:tc>
          <w:tcPr>
            <w:tcW w:w="302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0"/>
                <w:szCs w:val="10"/>
                <w:color w:val="auto"/>
              </w:rPr>
              <w:t>Laughlin, NV</w:t>
            </w:r>
          </w:p>
        </w:tc>
      </w:tr>
      <w:tr>
        <w:trPr>
          <w:trHeight w:val="136"/>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Ameristar St. Charles</w:t>
            </w:r>
          </w:p>
        </w:tc>
        <w:tc>
          <w:tcPr>
            <w:tcW w:w="2400" w:type="dxa"/>
            <w:vAlign w:val="bottom"/>
          </w:tcPr>
          <w:p>
            <w:pPr>
              <w:ind w:left="1240"/>
              <w:spacing w:after="0"/>
              <w:rPr>
                <w:sz w:val="20"/>
                <w:szCs w:val="20"/>
                <w:color w:val="auto"/>
              </w:rPr>
            </w:pPr>
            <w:r>
              <w:rPr>
                <w:rFonts w:ascii="Times New Roman" w:cs="Times New Roman" w:eastAsia="Times New Roman" w:hAnsi="Times New Roman"/>
                <w:sz w:val="10"/>
                <w:szCs w:val="10"/>
                <w:color w:val="auto"/>
              </w:rPr>
              <w:t>St. Charles, MO</w:t>
            </w:r>
          </w:p>
        </w:tc>
        <w:tc>
          <w:tcPr>
            <w:tcW w:w="160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Trop Casino Greenville</w:t>
            </w:r>
          </w:p>
        </w:tc>
        <w:tc>
          <w:tcPr>
            <w:tcW w:w="3020" w:type="dxa"/>
            <w:vAlign w:val="bottom"/>
          </w:tcPr>
          <w:p>
            <w:pPr>
              <w:ind w:left="1400"/>
              <w:spacing w:after="0"/>
              <w:rPr>
                <w:sz w:val="20"/>
                <w:szCs w:val="20"/>
                <w:color w:val="auto"/>
              </w:rPr>
            </w:pPr>
            <w:r>
              <w:rPr>
                <w:rFonts w:ascii="Times New Roman" w:cs="Times New Roman" w:eastAsia="Times New Roman" w:hAnsi="Times New Roman"/>
                <w:sz w:val="10"/>
                <w:szCs w:val="10"/>
                <w:color w:val="auto"/>
              </w:rPr>
              <w:t>Greenville, MS</w:t>
            </w:r>
          </w:p>
        </w:tc>
      </w:tr>
      <w:tr>
        <w:trPr>
          <w:trHeight w:val="153"/>
        </w:trPr>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1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0"/>
                <w:szCs w:val="10"/>
                <w:color w:val="auto"/>
                <w:w w:val="95"/>
              </w:rPr>
              <w:t>Isle Casino Hotel Bettendorf</w:t>
            </w:r>
          </w:p>
        </w:tc>
        <w:tc>
          <w:tcPr>
            <w:tcW w:w="302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0"/>
                <w:szCs w:val="10"/>
                <w:color w:val="auto"/>
              </w:rPr>
              <w:t>Bettendorf, IA</w:t>
            </w:r>
          </w:p>
        </w:tc>
      </w:tr>
      <w:tr>
        <w:trPr>
          <w:trHeight w:val="135"/>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0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Isle Casino Hotel Waterloo</w:t>
            </w:r>
          </w:p>
        </w:tc>
        <w:tc>
          <w:tcPr>
            <w:tcW w:w="3020" w:type="dxa"/>
            <w:vAlign w:val="bottom"/>
          </w:tcPr>
          <w:p>
            <w:pPr>
              <w:ind w:left="1400"/>
              <w:spacing w:after="0"/>
              <w:rPr>
                <w:sz w:val="20"/>
                <w:szCs w:val="20"/>
                <w:color w:val="auto"/>
              </w:rPr>
            </w:pPr>
            <w:r>
              <w:rPr>
                <w:rFonts w:ascii="Times New Roman" w:cs="Times New Roman" w:eastAsia="Times New Roman" w:hAnsi="Times New Roman"/>
                <w:sz w:val="10"/>
                <w:szCs w:val="10"/>
                <w:color w:val="auto"/>
              </w:rPr>
              <w:t>Waterloo, IA</w:t>
            </w:r>
          </w:p>
        </w:tc>
      </w:tr>
      <w:tr>
        <w:trPr>
          <w:trHeight w:val="153"/>
        </w:trPr>
        <w:tc>
          <w:tcPr>
            <w:tcW w:w="2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Commencement Date</w:t>
            </w:r>
          </w:p>
        </w:tc>
        <w:tc>
          <w:tcPr>
            <w:tcW w:w="1920" w:type="dxa"/>
            <w:vAlign w:val="bottom"/>
            <w:shd w:val="clear" w:color="auto" w:fill="CCEEFF"/>
          </w:tcPr>
          <w:p>
            <w:pPr>
              <w:spacing w:after="0"/>
              <w:rPr>
                <w:sz w:val="13"/>
                <w:szCs w:val="13"/>
                <w:color w:val="auto"/>
              </w:rPr>
            </w:pPr>
          </w:p>
        </w:tc>
        <w:tc>
          <w:tcPr>
            <w:tcW w:w="240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0"/>
                <w:szCs w:val="10"/>
                <w:color w:val="auto"/>
              </w:rPr>
              <w:t>10/15/2018</w:t>
            </w:r>
          </w:p>
        </w:tc>
        <w:tc>
          <w:tcPr>
            <w:tcW w:w="1600" w:type="dxa"/>
            <w:vAlign w:val="bottom"/>
            <w:shd w:val="clear" w:color="auto" w:fill="CCEEFF"/>
          </w:tcPr>
          <w:p>
            <w:pPr>
              <w:spacing w:after="0"/>
              <w:rPr>
                <w:sz w:val="13"/>
                <w:szCs w:val="13"/>
                <w:color w:val="auto"/>
              </w:rPr>
            </w:pPr>
          </w:p>
        </w:tc>
        <w:tc>
          <w:tcPr>
            <w:tcW w:w="3020" w:type="dxa"/>
            <w:vAlign w:val="bottom"/>
            <w:shd w:val="clear" w:color="auto" w:fill="CCEEFF"/>
          </w:tcPr>
          <w:p>
            <w:pPr>
              <w:jc w:val="right"/>
              <w:ind w:right="1612"/>
              <w:spacing w:after="0"/>
              <w:rPr>
                <w:sz w:val="20"/>
                <w:szCs w:val="20"/>
                <w:color w:val="auto"/>
              </w:rPr>
            </w:pPr>
            <w:r>
              <w:rPr>
                <w:rFonts w:ascii="Times New Roman" w:cs="Times New Roman" w:eastAsia="Times New Roman" w:hAnsi="Times New Roman"/>
                <w:sz w:val="10"/>
                <w:szCs w:val="10"/>
                <w:color w:val="auto"/>
              </w:rPr>
              <w:t>10/1/2018</w:t>
            </w:r>
          </w:p>
        </w:tc>
      </w:tr>
      <w:tr>
        <w:trPr>
          <w:trHeight w:val="136"/>
        </w:trPr>
        <w:tc>
          <w:tcPr>
            <w:tcW w:w="2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Lease Expiration Date</w:t>
            </w:r>
          </w:p>
        </w:tc>
        <w:tc>
          <w:tcPr>
            <w:tcW w:w="1920" w:type="dxa"/>
            <w:vAlign w:val="bottom"/>
          </w:tcPr>
          <w:p>
            <w:pPr>
              <w:spacing w:after="0"/>
              <w:rPr>
                <w:sz w:val="11"/>
                <w:szCs w:val="11"/>
                <w:color w:val="auto"/>
              </w:rPr>
            </w:pPr>
          </w:p>
        </w:tc>
        <w:tc>
          <w:tcPr>
            <w:tcW w:w="2400" w:type="dxa"/>
            <w:vAlign w:val="bottom"/>
          </w:tcPr>
          <w:p>
            <w:pPr>
              <w:jc w:val="right"/>
              <w:ind w:right="1132"/>
              <w:spacing w:after="0"/>
              <w:rPr>
                <w:sz w:val="20"/>
                <w:szCs w:val="20"/>
                <w:color w:val="auto"/>
              </w:rPr>
            </w:pPr>
            <w:r>
              <w:rPr>
                <w:rFonts w:ascii="Times New Roman" w:cs="Times New Roman" w:eastAsia="Times New Roman" w:hAnsi="Times New Roman"/>
                <w:sz w:val="10"/>
                <w:szCs w:val="10"/>
                <w:color w:val="auto"/>
              </w:rPr>
              <w:t>4/30/2031</w:t>
            </w:r>
          </w:p>
        </w:tc>
        <w:tc>
          <w:tcPr>
            <w:tcW w:w="1600" w:type="dxa"/>
            <w:vAlign w:val="bottom"/>
          </w:tcPr>
          <w:p>
            <w:pPr>
              <w:spacing w:after="0"/>
              <w:rPr>
                <w:sz w:val="11"/>
                <w:szCs w:val="11"/>
                <w:color w:val="auto"/>
              </w:rPr>
            </w:pPr>
          </w:p>
        </w:tc>
        <w:tc>
          <w:tcPr>
            <w:tcW w:w="3020" w:type="dxa"/>
            <w:vAlign w:val="bottom"/>
          </w:tcPr>
          <w:p>
            <w:pPr>
              <w:jc w:val="right"/>
              <w:ind w:right="1612"/>
              <w:spacing w:after="0"/>
              <w:rPr>
                <w:sz w:val="20"/>
                <w:szCs w:val="20"/>
                <w:color w:val="auto"/>
              </w:rPr>
            </w:pPr>
            <w:r>
              <w:rPr>
                <w:rFonts w:ascii="Times New Roman" w:cs="Times New Roman" w:eastAsia="Times New Roman" w:hAnsi="Times New Roman"/>
                <w:sz w:val="10"/>
                <w:szCs w:val="10"/>
                <w:color w:val="auto"/>
              </w:rPr>
              <w:t>9/30/2038</w:t>
            </w:r>
          </w:p>
        </w:tc>
      </w:tr>
      <w:tr>
        <w:trPr>
          <w:trHeight w:val="153"/>
        </w:trPr>
        <w:tc>
          <w:tcPr>
            <w:tcW w:w="2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Remaining Renewal Terms</w:t>
            </w:r>
          </w:p>
        </w:tc>
        <w:tc>
          <w:tcPr>
            <w:tcW w:w="1920" w:type="dxa"/>
            <w:vAlign w:val="bottom"/>
            <w:shd w:val="clear" w:color="auto" w:fill="CCEEFF"/>
          </w:tcPr>
          <w:p>
            <w:pPr>
              <w:spacing w:after="0"/>
              <w:rPr>
                <w:sz w:val="13"/>
                <w:szCs w:val="13"/>
                <w:color w:val="auto"/>
              </w:rPr>
            </w:pPr>
          </w:p>
        </w:tc>
        <w:tc>
          <w:tcPr>
            <w:tcW w:w="240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0"/>
                <w:szCs w:val="10"/>
                <w:color w:val="auto"/>
              </w:rPr>
              <w:t>20 (4x5 years)</w:t>
            </w:r>
          </w:p>
        </w:tc>
        <w:tc>
          <w:tcPr>
            <w:tcW w:w="1600" w:type="dxa"/>
            <w:vAlign w:val="bottom"/>
            <w:shd w:val="clear" w:color="auto" w:fill="CCEEFF"/>
          </w:tcPr>
          <w:p>
            <w:pPr>
              <w:spacing w:after="0"/>
              <w:rPr>
                <w:sz w:val="13"/>
                <w:szCs w:val="13"/>
                <w:color w:val="auto"/>
              </w:rPr>
            </w:pPr>
          </w:p>
        </w:tc>
        <w:tc>
          <w:tcPr>
            <w:tcW w:w="3020" w:type="dxa"/>
            <w:vAlign w:val="bottom"/>
            <w:shd w:val="clear" w:color="auto" w:fill="CCEEFF"/>
          </w:tcPr>
          <w:p>
            <w:pPr>
              <w:jc w:val="right"/>
              <w:ind w:right="1612"/>
              <w:spacing w:after="0"/>
              <w:rPr>
                <w:sz w:val="20"/>
                <w:szCs w:val="20"/>
                <w:color w:val="auto"/>
              </w:rPr>
            </w:pPr>
            <w:r>
              <w:rPr>
                <w:rFonts w:ascii="Times New Roman" w:cs="Times New Roman" w:eastAsia="Times New Roman" w:hAnsi="Times New Roman"/>
                <w:sz w:val="10"/>
                <w:szCs w:val="10"/>
                <w:color w:val="auto"/>
              </w:rPr>
              <w:t>20 (4x5 years)</w:t>
            </w:r>
          </w:p>
        </w:tc>
      </w:tr>
      <w:tr>
        <w:trPr>
          <w:trHeight w:val="136"/>
        </w:trPr>
        <w:tc>
          <w:tcPr>
            <w:tcW w:w="2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Corporate Guarantee</w:t>
            </w:r>
          </w:p>
        </w:tc>
        <w:tc>
          <w:tcPr>
            <w:tcW w:w="1920" w:type="dxa"/>
            <w:vAlign w:val="bottom"/>
          </w:tcPr>
          <w:p>
            <w:pPr>
              <w:spacing w:after="0"/>
              <w:rPr>
                <w:sz w:val="11"/>
                <w:szCs w:val="11"/>
                <w:color w:val="auto"/>
              </w:rPr>
            </w:pPr>
          </w:p>
        </w:tc>
        <w:tc>
          <w:tcPr>
            <w:tcW w:w="2400" w:type="dxa"/>
            <w:vAlign w:val="bottom"/>
          </w:tcPr>
          <w:p>
            <w:pPr>
              <w:jc w:val="right"/>
              <w:ind w:right="1132"/>
              <w:spacing w:after="0"/>
              <w:rPr>
                <w:sz w:val="20"/>
                <w:szCs w:val="20"/>
                <w:color w:val="auto"/>
              </w:rPr>
            </w:pPr>
            <w:r>
              <w:rPr>
                <w:rFonts w:ascii="Times New Roman" w:cs="Times New Roman" w:eastAsia="Times New Roman" w:hAnsi="Times New Roman"/>
                <w:sz w:val="10"/>
                <w:szCs w:val="10"/>
                <w:color w:val="auto"/>
              </w:rPr>
              <w:t>No</w:t>
            </w:r>
          </w:p>
        </w:tc>
        <w:tc>
          <w:tcPr>
            <w:tcW w:w="1600" w:type="dxa"/>
            <w:vAlign w:val="bottom"/>
          </w:tcPr>
          <w:p>
            <w:pPr>
              <w:spacing w:after="0"/>
              <w:rPr>
                <w:sz w:val="11"/>
                <w:szCs w:val="11"/>
                <w:color w:val="auto"/>
              </w:rPr>
            </w:pPr>
          </w:p>
        </w:tc>
        <w:tc>
          <w:tcPr>
            <w:tcW w:w="3020" w:type="dxa"/>
            <w:vAlign w:val="bottom"/>
          </w:tcPr>
          <w:p>
            <w:pPr>
              <w:jc w:val="right"/>
              <w:ind w:right="1612"/>
              <w:spacing w:after="0"/>
              <w:rPr>
                <w:sz w:val="20"/>
                <w:szCs w:val="20"/>
                <w:color w:val="auto"/>
              </w:rPr>
            </w:pPr>
            <w:r>
              <w:rPr>
                <w:rFonts w:ascii="Times New Roman" w:cs="Times New Roman" w:eastAsia="Times New Roman" w:hAnsi="Times New Roman"/>
                <w:sz w:val="10"/>
                <w:szCs w:val="10"/>
                <w:color w:val="auto"/>
              </w:rPr>
              <w:t>Yes</w:t>
            </w:r>
          </w:p>
        </w:tc>
      </w:tr>
      <w:tr>
        <w:trPr>
          <w:trHeight w:val="152"/>
        </w:trPr>
        <w:tc>
          <w:tcPr>
            <w:tcW w:w="2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Master Lease with Cross Collateralization</w:t>
            </w:r>
          </w:p>
        </w:tc>
        <w:tc>
          <w:tcPr>
            <w:tcW w:w="1920" w:type="dxa"/>
            <w:vAlign w:val="bottom"/>
            <w:shd w:val="clear" w:color="auto" w:fill="CCEEFF"/>
          </w:tcPr>
          <w:p>
            <w:pPr>
              <w:spacing w:after="0"/>
              <w:rPr>
                <w:sz w:val="13"/>
                <w:szCs w:val="13"/>
                <w:color w:val="auto"/>
              </w:rPr>
            </w:pPr>
          </w:p>
        </w:tc>
        <w:tc>
          <w:tcPr>
            <w:tcW w:w="240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0"/>
                <w:szCs w:val="10"/>
                <w:color w:val="auto"/>
              </w:rPr>
              <w:t>Yes</w:t>
            </w:r>
          </w:p>
        </w:tc>
        <w:tc>
          <w:tcPr>
            <w:tcW w:w="1600" w:type="dxa"/>
            <w:vAlign w:val="bottom"/>
            <w:shd w:val="clear" w:color="auto" w:fill="CCEEFF"/>
          </w:tcPr>
          <w:p>
            <w:pPr>
              <w:spacing w:after="0"/>
              <w:rPr>
                <w:sz w:val="13"/>
                <w:szCs w:val="13"/>
                <w:color w:val="auto"/>
              </w:rPr>
            </w:pPr>
          </w:p>
        </w:tc>
        <w:tc>
          <w:tcPr>
            <w:tcW w:w="3020" w:type="dxa"/>
            <w:vAlign w:val="bottom"/>
            <w:shd w:val="clear" w:color="auto" w:fill="CCEEFF"/>
          </w:tcPr>
          <w:p>
            <w:pPr>
              <w:jc w:val="right"/>
              <w:ind w:right="1612"/>
              <w:spacing w:after="0"/>
              <w:rPr>
                <w:sz w:val="20"/>
                <w:szCs w:val="20"/>
                <w:color w:val="auto"/>
              </w:rPr>
            </w:pPr>
            <w:r>
              <w:rPr>
                <w:rFonts w:ascii="Times New Roman" w:cs="Times New Roman" w:eastAsia="Times New Roman" w:hAnsi="Times New Roman"/>
                <w:sz w:val="10"/>
                <w:szCs w:val="10"/>
                <w:color w:val="auto"/>
              </w:rPr>
              <w:t>Yes</w:t>
            </w:r>
          </w:p>
        </w:tc>
      </w:tr>
      <w:tr>
        <w:trPr>
          <w:trHeight w:val="136"/>
        </w:trPr>
        <w:tc>
          <w:tcPr>
            <w:tcW w:w="2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Technical Default Landlord Protection</w:t>
            </w:r>
          </w:p>
        </w:tc>
        <w:tc>
          <w:tcPr>
            <w:tcW w:w="1920" w:type="dxa"/>
            <w:vAlign w:val="bottom"/>
          </w:tcPr>
          <w:p>
            <w:pPr>
              <w:spacing w:after="0"/>
              <w:rPr>
                <w:sz w:val="11"/>
                <w:szCs w:val="11"/>
                <w:color w:val="auto"/>
              </w:rPr>
            </w:pPr>
          </w:p>
        </w:tc>
        <w:tc>
          <w:tcPr>
            <w:tcW w:w="2400" w:type="dxa"/>
            <w:vAlign w:val="bottom"/>
          </w:tcPr>
          <w:p>
            <w:pPr>
              <w:jc w:val="right"/>
              <w:ind w:right="1132"/>
              <w:spacing w:after="0"/>
              <w:rPr>
                <w:sz w:val="20"/>
                <w:szCs w:val="20"/>
                <w:color w:val="auto"/>
              </w:rPr>
            </w:pPr>
            <w:r>
              <w:rPr>
                <w:rFonts w:ascii="Times New Roman" w:cs="Times New Roman" w:eastAsia="Times New Roman" w:hAnsi="Times New Roman"/>
                <w:sz w:val="10"/>
                <w:szCs w:val="10"/>
                <w:color w:val="auto"/>
              </w:rPr>
              <w:t>Yes</w:t>
            </w:r>
          </w:p>
        </w:tc>
        <w:tc>
          <w:tcPr>
            <w:tcW w:w="1600" w:type="dxa"/>
            <w:vAlign w:val="bottom"/>
          </w:tcPr>
          <w:p>
            <w:pPr>
              <w:spacing w:after="0"/>
              <w:rPr>
                <w:sz w:val="11"/>
                <w:szCs w:val="11"/>
                <w:color w:val="auto"/>
              </w:rPr>
            </w:pPr>
          </w:p>
        </w:tc>
        <w:tc>
          <w:tcPr>
            <w:tcW w:w="3020" w:type="dxa"/>
            <w:vAlign w:val="bottom"/>
          </w:tcPr>
          <w:p>
            <w:pPr>
              <w:jc w:val="right"/>
              <w:ind w:right="1612"/>
              <w:spacing w:after="0"/>
              <w:rPr>
                <w:sz w:val="20"/>
                <w:szCs w:val="20"/>
                <w:color w:val="auto"/>
              </w:rPr>
            </w:pPr>
            <w:r>
              <w:rPr>
                <w:rFonts w:ascii="Times New Roman" w:cs="Times New Roman" w:eastAsia="Times New Roman" w:hAnsi="Times New Roman"/>
                <w:sz w:val="10"/>
                <w:szCs w:val="10"/>
                <w:color w:val="auto"/>
              </w:rPr>
              <w:t>Yes</w:t>
            </w:r>
          </w:p>
        </w:tc>
      </w:tr>
      <w:tr>
        <w:trPr>
          <w:trHeight w:val="153"/>
        </w:trPr>
        <w:tc>
          <w:tcPr>
            <w:tcW w:w="2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Default Adjusted Revenue to Rent Coverage</w:t>
            </w:r>
          </w:p>
        </w:tc>
        <w:tc>
          <w:tcPr>
            <w:tcW w:w="1920" w:type="dxa"/>
            <w:vAlign w:val="bottom"/>
            <w:shd w:val="clear" w:color="auto" w:fill="CCEEFF"/>
          </w:tcPr>
          <w:p>
            <w:pPr>
              <w:spacing w:after="0"/>
              <w:rPr>
                <w:sz w:val="13"/>
                <w:szCs w:val="13"/>
                <w:color w:val="auto"/>
              </w:rPr>
            </w:pPr>
          </w:p>
        </w:tc>
        <w:tc>
          <w:tcPr>
            <w:tcW w:w="240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0"/>
                <w:szCs w:val="10"/>
                <w:color w:val="auto"/>
              </w:rPr>
              <w:t>1.4</w:t>
            </w:r>
          </w:p>
        </w:tc>
        <w:tc>
          <w:tcPr>
            <w:tcW w:w="1600" w:type="dxa"/>
            <w:vAlign w:val="bottom"/>
            <w:shd w:val="clear" w:color="auto" w:fill="CCEEFF"/>
          </w:tcPr>
          <w:p>
            <w:pPr>
              <w:spacing w:after="0"/>
              <w:rPr>
                <w:sz w:val="13"/>
                <w:szCs w:val="13"/>
                <w:color w:val="auto"/>
              </w:rPr>
            </w:pPr>
          </w:p>
        </w:tc>
        <w:tc>
          <w:tcPr>
            <w:tcW w:w="3020" w:type="dxa"/>
            <w:vAlign w:val="bottom"/>
            <w:shd w:val="clear" w:color="auto" w:fill="CCEEFF"/>
          </w:tcPr>
          <w:p>
            <w:pPr>
              <w:jc w:val="right"/>
              <w:ind w:right="1612"/>
              <w:spacing w:after="0"/>
              <w:rPr>
                <w:sz w:val="20"/>
                <w:szCs w:val="20"/>
                <w:color w:val="auto"/>
              </w:rPr>
            </w:pPr>
            <w:r>
              <w:rPr>
                <w:rFonts w:ascii="Times New Roman" w:cs="Times New Roman" w:eastAsia="Times New Roman" w:hAnsi="Times New Roman"/>
                <w:sz w:val="10"/>
                <w:szCs w:val="10"/>
                <w:color w:val="auto"/>
              </w:rPr>
              <w:t>1.2</w:t>
            </w:r>
          </w:p>
        </w:tc>
      </w:tr>
      <w:tr>
        <w:trPr>
          <w:trHeight w:val="136"/>
        </w:trPr>
        <w:tc>
          <w:tcPr>
            <w:tcW w:w="2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Competitive Radius Landlord Protection</w:t>
            </w:r>
          </w:p>
        </w:tc>
        <w:tc>
          <w:tcPr>
            <w:tcW w:w="1920" w:type="dxa"/>
            <w:vAlign w:val="bottom"/>
          </w:tcPr>
          <w:p>
            <w:pPr>
              <w:spacing w:after="0"/>
              <w:rPr>
                <w:sz w:val="11"/>
                <w:szCs w:val="11"/>
                <w:color w:val="auto"/>
              </w:rPr>
            </w:pPr>
          </w:p>
        </w:tc>
        <w:tc>
          <w:tcPr>
            <w:tcW w:w="2400" w:type="dxa"/>
            <w:vAlign w:val="bottom"/>
          </w:tcPr>
          <w:p>
            <w:pPr>
              <w:jc w:val="right"/>
              <w:ind w:right="1132"/>
              <w:spacing w:after="0"/>
              <w:rPr>
                <w:sz w:val="20"/>
                <w:szCs w:val="20"/>
                <w:color w:val="auto"/>
              </w:rPr>
            </w:pPr>
            <w:r>
              <w:rPr>
                <w:rFonts w:ascii="Times New Roman" w:cs="Times New Roman" w:eastAsia="Times New Roman" w:hAnsi="Times New Roman"/>
                <w:sz w:val="10"/>
                <w:szCs w:val="10"/>
                <w:color w:val="auto"/>
              </w:rPr>
              <w:t>Yes</w:t>
            </w:r>
          </w:p>
        </w:tc>
        <w:tc>
          <w:tcPr>
            <w:tcW w:w="1600" w:type="dxa"/>
            <w:vAlign w:val="bottom"/>
          </w:tcPr>
          <w:p>
            <w:pPr>
              <w:spacing w:after="0"/>
              <w:rPr>
                <w:sz w:val="11"/>
                <w:szCs w:val="11"/>
                <w:color w:val="auto"/>
              </w:rPr>
            </w:pPr>
          </w:p>
        </w:tc>
        <w:tc>
          <w:tcPr>
            <w:tcW w:w="3020" w:type="dxa"/>
            <w:vAlign w:val="bottom"/>
          </w:tcPr>
          <w:p>
            <w:pPr>
              <w:jc w:val="right"/>
              <w:ind w:right="1612"/>
              <w:spacing w:after="0"/>
              <w:rPr>
                <w:sz w:val="20"/>
                <w:szCs w:val="20"/>
                <w:color w:val="auto"/>
              </w:rPr>
            </w:pPr>
            <w:r>
              <w:rPr>
                <w:rFonts w:ascii="Times New Roman" w:cs="Times New Roman" w:eastAsia="Times New Roman" w:hAnsi="Times New Roman"/>
                <w:sz w:val="10"/>
                <w:szCs w:val="10"/>
                <w:color w:val="auto"/>
              </w:rPr>
              <w:t>Yes</w:t>
            </w:r>
          </w:p>
        </w:tc>
      </w:tr>
      <w:tr>
        <w:trPr>
          <w:trHeight w:val="133"/>
        </w:trPr>
        <w:tc>
          <w:tcPr>
            <w:tcW w:w="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93"/>
              </w:rPr>
              <w:t>Escalator Details</w:t>
            </w:r>
          </w:p>
        </w:tc>
        <w:tc>
          <w:tcPr>
            <w:tcW w:w="1660" w:type="dxa"/>
            <w:vAlign w:val="bottom"/>
            <w:tcBorders>
              <w:bottom w:val="single" w:sz="8" w:color="CCEEFF"/>
            </w:tcBorders>
            <w:gridSpan w:val="2"/>
            <w:shd w:val="clear" w:color="auto" w:fill="CCEEFF"/>
          </w:tcPr>
          <w:p>
            <w:pPr>
              <w:spacing w:after="0"/>
              <w:rPr>
                <w:sz w:val="11"/>
                <w:szCs w:val="11"/>
                <w:color w:val="auto"/>
              </w:rPr>
            </w:pPr>
          </w:p>
        </w:tc>
        <w:tc>
          <w:tcPr>
            <w:tcW w:w="1920" w:type="dxa"/>
            <w:vAlign w:val="bottom"/>
            <w:tcBorders>
              <w:bottom w:val="single" w:sz="8" w:color="CCEEFF"/>
            </w:tcBorders>
            <w:shd w:val="clear" w:color="auto" w:fill="CCEEFF"/>
          </w:tcPr>
          <w:p>
            <w:pPr>
              <w:spacing w:after="0"/>
              <w:rPr>
                <w:sz w:val="11"/>
                <w:szCs w:val="11"/>
                <w:color w:val="auto"/>
              </w:rPr>
            </w:pPr>
          </w:p>
        </w:tc>
        <w:tc>
          <w:tcPr>
            <w:tcW w:w="2400" w:type="dxa"/>
            <w:vAlign w:val="bottom"/>
            <w:tcBorders>
              <w:bottom w:val="single" w:sz="8" w:color="CCEEFF"/>
            </w:tcBorders>
            <w:shd w:val="clear" w:color="auto" w:fill="CCEEFF"/>
          </w:tcPr>
          <w:p>
            <w:pPr>
              <w:spacing w:after="0"/>
              <w:rPr>
                <w:sz w:val="11"/>
                <w:szCs w:val="11"/>
                <w:color w:val="auto"/>
              </w:rPr>
            </w:pPr>
          </w:p>
        </w:tc>
        <w:tc>
          <w:tcPr>
            <w:tcW w:w="1600" w:type="dxa"/>
            <w:vAlign w:val="bottom"/>
            <w:tcBorders>
              <w:bottom w:val="single" w:sz="8" w:color="CCEEFF"/>
            </w:tcBorders>
            <w:shd w:val="clear" w:color="auto" w:fill="CCEEFF"/>
          </w:tcPr>
          <w:p>
            <w:pPr>
              <w:spacing w:after="0"/>
              <w:rPr>
                <w:sz w:val="11"/>
                <w:szCs w:val="11"/>
                <w:color w:val="auto"/>
              </w:rPr>
            </w:pPr>
          </w:p>
        </w:tc>
        <w:tc>
          <w:tcPr>
            <w:tcW w:w="3020" w:type="dxa"/>
            <w:vAlign w:val="bottom"/>
            <w:tcBorders>
              <w:bottom w:val="single" w:sz="8" w:color="CCEEFF"/>
            </w:tcBorders>
            <w:shd w:val="clear" w:color="auto" w:fill="CCEEFF"/>
          </w:tcPr>
          <w:p>
            <w:pPr>
              <w:spacing w:after="0"/>
              <w:rPr>
                <w:sz w:val="11"/>
                <w:szCs w:val="11"/>
                <w:color w:val="auto"/>
              </w:rPr>
            </w:pPr>
          </w:p>
        </w:tc>
      </w:tr>
      <w:tr>
        <w:trPr>
          <w:trHeight w:val="135"/>
        </w:trPr>
        <w:tc>
          <w:tcPr>
            <w:tcW w:w="2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Yearly Base Rent Escalator Maximum</w:t>
            </w:r>
          </w:p>
        </w:tc>
        <w:tc>
          <w:tcPr>
            <w:tcW w:w="1920" w:type="dxa"/>
            <w:vAlign w:val="bottom"/>
          </w:tcPr>
          <w:p>
            <w:pPr>
              <w:spacing w:after="0"/>
              <w:rPr>
                <w:sz w:val="11"/>
                <w:szCs w:val="11"/>
                <w:color w:val="auto"/>
              </w:rPr>
            </w:pPr>
          </w:p>
        </w:tc>
        <w:tc>
          <w:tcPr>
            <w:tcW w:w="2400" w:type="dxa"/>
            <w:vAlign w:val="bottom"/>
          </w:tcPr>
          <w:p>
            <w:pPr>
              <w:jc w:val="right"/>
              <w:ind w:right="1132"/>
              <w:spacing w:after="0"/>
              <w:rPr>
                <w:sz w:val="20"/>
                <w:szCs w:val="20"/>
                <w:color w:val="auto"/>
              </w:rPr>
            </w:pPr>
            <w:r>
              <w:rPr>
                <w:rFonts w:ascii="Times New Roman" w:cs="Times New Roman" w:eastAsia="Times New Roman" w:hAnsi="Times New Roman"/>
                <w:sz w:val="10"/>
                <w:szCs w:val="10"/>
                <w:color w:val="auto"/>
              </w:rPr>
              <w:t>2 %</w:t>
            </w:r>
          </w:p>
        </w:tc>
        <w:tc>
          <w:tcPr>
            <w:tcW w:w="1600" w:type="dxa"/>
            <w:vAlign w:val="bottom"/>
          </w:tcPr>
          <w:p>
            <w:pPr>
              <w:spacing w:after="0"/>
              <w:rPr>
                <w:sz w:val="11"/>
                <w:szCs w:val="11"/>
                <w:color w:val="auto"/>
              </w:rPr>
            </w:pPr>
          </w:p>
        </w:tc>
        <w:tc>
          <w:tcPr>
            <w:tcW w:w="3020" w:type="dxa"/>
            <w:vAlign w:val="bottom"/>
          </w:tcPr>
          <w:p>
            <w:pPr>
              <w:jc w:val="right"/>
              <w:ind w:right="1612"/>
              <w:spacing w:after="0"/>
              <w:rPr>
                <w:sz w:val="20"/>
                <w:szCs w:val="20"/>
                <w:color w:val="auto"/>
              </w:rPr>
            </w:pPr>
            <w:r>
              <w:rPr>
                <w:rFonts w:ascii="Times New Roman" w:cs="Times New Roman" w:eastAsia="Times New Roman" w:hAnsi="Times New Roman"/>
                <w:sz w:val="10"/>
                <w:szCs w:val="10"/>
                <w:color w:val="auto"/>
              </w:rPr>
              <w:t>2 %</w:t>
            </w:r>
          </w:p>
        </w:tc>
      </w:tr>
      <w:tr>
        <w:trPr>
          <w:trHeight w:val="153"/>
        </w:trPr>
        <w:tc>
          <w:tcPr>
            <w:tcW w:w="2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Coverage ratio at June 30, 2026</w:t>
            </w:r>
          </w:p>
        </w:tc>
        <w:tc>
          <w:tcPr>
            <w:tcW w:w="1920" w:type="dxa"/>
            <w:vAlign w:val="bottom"/>
            <w:shd w:val="clear" w:color="auto" w:fill="CCEEFF"/>
          </w:tcPr>
          <w:p>
            <w:pPr>
              <w:spacing w:after="0"/>
              <w:rPr>
                <w:sz w:val="13"/>
                <w:szCs w:val="13"/>
                <w:color w:val="auto"/>
              </w:rPr>
            </w:pPr>
          </w:p>
        </w:tc>
        <w:tc>
          <w:tcPr>
            <w:tcW w:w="240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0"/>
                <w:szCs w:val="10"/>
                <w:color w:val="auto"/>
              </w:rPr>
              <w:t>2.46</w:t>
            </w:r>
          </w:p>
        </w:tc>
        <w:tc>
          <w:tcPr>
            <w:tcW w:w="1600" w:type="dxa"/>
            <w:vAlign w:val="bottom"/>
            <w:shd w:val="clear" w:color="auto" w:fill="CCEEFF"/>
          </w:tcPr>
          <w:p>
            <w:pPr>
              <w:spacing w:after="0"/>
              <w:rPr>
                <w:sz w:val="13"/>
                <w:szCs w:val="13"/>
                <w:color w:val="auto"/>
              </w:rPr>
            </w:pPr>
          </w:p>
        </w:tc>
        <w:tc>
          <w:tcPr>
            <w:tcW w:w="3020" w:type="dxa"/>
            <w:vAlign w:val="bottom"/>
            <w:shd w:val="clear" w:color="auto" w:fill="CCEEFF"/>
          </w:tcPr>
          <w:p>
            <w:pPr>
              <w:jc w:val="right"/>
              <w:ind w:right="1612"/>
              <w:spacing w:after="0"/>
              <w:rPr>
                <w:sz w:val="20"/>
                <w:szCs w:val="20"/>
                <w:color w:val="auto"/>
              </w:rPr>
            </w:pPr>
            <w:r>
              <w:rPr>
                <w:rFonts w:ascii="Times New Roman" w:cs="Times New Roman" w:eastAsia="Times New Roman" w:hAnsi="Times New Roman"/>
                <w:sz w:val="10"/>
                <w:szCs w:val="10"/>
                <w:color w:val="auto"/>
              </w:rPr>
              <w:t>1.61</w:t>
            </w:r>
          </w:p>
        </w:tc>
      </w:tr>
      <w:tr>
        <w:trPr>
          <w:trHeight w:val="136"/>
        </w:trPr>
        <w:tc>
          <w:tcPr>
            <w:tcW w:w="2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Minimum Escalator Coverage Governor</w:t>
            </w:r>
          </w:p>
        </w:tc>
        <w:tc>
          <w:tcPr>
            <w:tcW w:w="1920" w:type="dxa"/>
            <w:vAlign w:val="bottom"/>
          </w:tcPr>
          <w:p>
            <w:pPr>
              <w:spacing w:after="0"/>
              <w:rPr>
                <w:sz w:val="11"/>
                <w:szCs w:val="11"/>
                <w:color w:val="auto"/>
              </w:rPr>
            </w:pPr>
          </w:p>
        </w:tc>
        <w:tc>
          <w:tcPr>
            <w:tcW w:w="2400" w:type="dxa"/>
            <w:vAlign w:val="bottom"/>
          </w:tcPr>
          <w:p>
            <w:pPr>
              <w:jc w:val="right"/>
              <w:ind w:right="1132"/>
              <w:spacing w:after="0"/>
              <w:rPr>
                <w:sz w:val="20"/>
                <w:szCs w:val="20"/>
                <w:color w:val="auto"/>
              </w:rPr>
            </w:pPr>
            <w:r>
              <w:rPr>
                <w:rFonts w:ascii="Times New Roman" w:cs="Times New Roman" w:eastAsia="Times New Roman" w:hAnsi="Times New Roman"/>
                <w:sz w:val="10"/>
                <w:szCs w:val="10"/>
                <w:color w:val="auto"/>
              </w:rPr>
              <w:t>1.8</w:t>
            </w:r>
          </w:p>
        </w:tc>
        <w:tc>
          <w:tcPr>
            <w:tcW w:w="1600" w:type="dxa"/>
            <w:vAlign w:val="bottom"/>
          </w:tcPr>
          <w:p>
            <w:pPr>
              <w:spacing w:after="0"/>
              <w:rPr>
                <w:sz w:val="11"/>
                <w:szCs w:val="11"/>
                <w:color w:val="auto"/>
              </w:rPr>
            </w:pPr>
          </w:p>
        </w:tc>
        <w:tc>
          <w:tcPr>
            <w:tcW w:w="3020" w:type="dxa"/>
            <w:vAlign w:val="bottom"/>
          </w:tcPr>
          <w:p>
            <w:pPr>
              <w:jc w:val="right"/>
              <w:ind w:right="1612"/>
              <w:spacing w:after="0"/>
              <w:rPr>
                <w:sz w:val="20"/>
                <w:szCs w:val="20"/>
                <w:color w:val="auto"/>
              </w:rPr>
            </w:pPr>
            <w:r>
              <w:rPr>
                <w:rFonts w:ascii="Times New Roman" w:cs="Times New Roman" w:eastAsia="Times New Roman" w:hAnsi="Times New Roman"/>
                <w:sz w:val="10"/>
                <w:szCs w:val="10"/>
                <w:color w:val="auto"/>
              </w:rPr>
              <w:t>N/A</w:t>
            </w:r>
          </w:p>
        </w:tc>
      </w:tr>
      <w:tr>
        <w:trPr>
          <w:trHeight w:val="153"/>
        </w:trPr>
        <w:tc>
          <w:tcPr>
            <w:tcW w:w="2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Yearly Anniversary for Realization</w:t>
            </w:r>
          </w:p>
        </w:tc>
        <w:tc>
          <w:tcPr>
            <w:tcW w:w="1920" w:type="dxa"/>
            <w:vAlign w:val="bottom"/>
            <w:shd w:val="clear" w:color="auto" w:fill="CCEEFF"/>
          </w:tcPr>
          <w:p>
            <w:pPr>
              <w:spacing w:after="0"/>
              <w:rPr>
                <w:sz w:val="13"/>
                <w:szCs w:val="13"/>
                <w:color w:val="auto"/>
              </w:rPr>
            </w:pPr>
          </w:p>
        </w:tc>
        <w:tc>
          <w:tcPr>
            <w:tcW w:w="240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0"/>
                <w:szCs w:val="10"/>
                <w:color w:val="auto"/>
              </w:rPr>
              <w:t>May</w:t>
            </w:r>
          </w:p>
        </w:tc>
        <w:tc>
          <w:tcPr>
            <w:tcW w:w="1600" w:type="dxa"/>
            <w:vAlign w:val="bottom"/>
            <w:shd w:val="clear" w:color="auto" w:fill="CCEEFF"/>
          </w:tcPr>
          <w:p>
            <w:pPr>
              <w:spacing w:after="0"/>
              <w:rPr>
                <w:sz w:val="13"/>
                <w:szCs w:val="13"/>
                <w:color w:val="auto"/>
              </w:rPr>
            </w:pPr>
          </w:p>
        </w:tc>
        <w:tc>
          <w:tcPr>
            <w:tcW w:w="3020" w:type="dxa"/>
            <w:vAlign w:val="bottom"/>
            <w:shd w:val="clear" w:color="auto" w:fill="CCEEFF"/>
          </w:tcPr>
          <w:p>
            <w:pPr>
              <w:jc w:val="right"/>
              <w:ind w:right="1612"/>
              <w:spacing w:after="0"/>
              <w:rPr>
                <w:sz w:val="20"/>
                <w:szCs w:val="20"/>
                <w:color w:val="auto"/>
              </w:rPr>
            </w:pPr>
            <w:r>
              <w:rPr>
                <w:rFonts w:ascii="Times New Roman" w:cs="Times New Roman" w:eastAsia="Times New Roman" w:hAnsi="Times New Roman"/>
                <w:sz w:val="10"/>
                <w:szCs w:val="10"/>
                <w:color w:val="auto"/>
              </w:rPr>
              <w:t>October</w:t>
            </w:r>
          </w:p>
        </w:tc>
      </w:tr>
      <w:tr>
        <w:trPr>
          <w:trHeight w:val="116"/>
        </w:trPr>
        <w:tc>
          <w:tcPr>
            <w:tcW w:w="236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Percentage Rent Reset Details</w:t>
            </w:r>
          </w:p>
        </w:tc>
        <w:tc>
          <w:tcPr>
            <w:tcW w:w="19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020" w:type="dxa"/>
            <w:vAlign w:val="bottom"/>
          </w:tcPr>
          <w:p>
            <w:pPr>
              <w:spacing w:after="0"/>
              <w:rPr>
                <w:sz w:val="10"/>
                <w:szCs w:val="10"/>
                <w:color w:val="auto"/>
              </w:rPr>
            </w:pPr>
          </w:p>
        </w:tc>
      </w:tr>
      <w:tr>
        <w:trPr>
          <w:trHeight w:val="152"/>
        </w:trPr>
        <w:tc>
          <w:tcPr>
            <w:tcW w:w="1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Reset Frequency</w:t>
            </w:r>
          </w:p>
        </w:tc>
        <w:tc>
          <w:tcPr>
            <w:tcW w:w="114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240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0"/>
                <w:szCs w:val="10"/>
                <w:color w:val="auto"/>
              </w:rPr>
              <w:t>2 years</w:t>
            </w:r>
          </w:p>
        </w:tc>
        <w:tc>
          <w:tcPr>
            <w:tcW w:w="1600" w:type="dxa"/>
            <w:vAlign w:val="bottom"/>
            <w:shd w:val="clear" w:color="auto" w:fill="CCEEFF"/>
          </w:tcPr>
          <w:p>
            <w:pPr>
              <w:spacing w:after="0"/>
              <w:rPr>
                <w:sz w:val="13"/>
                <w:szCs w:val="13"/>
                <w:color w:val="auto"/>
              </w:rPr>
            </w:pPr>
          </w:p>
        </w:tc>
        <w:tc>
          <w:tcPr>
            <w:tcW w:w="3020" w:type="dxa"/>
            <w:vAlign w:val="bottom"/>
            <w:shd w:val="clear" w:color="auto" w:fill="CCEEFF"/>
          </w:tcPr>
          <w:p>
            <w:pPr>
              <w:jc w:val="right"/>
              <w:ind w:right="1612"/>
              <w:spacing w:after="0"/>
              <w:rPr>
                <w:sz w:val="20"/>
                <w:szCs w:val="20"/>
                <w:color w:val="auto"/>
              </w:rPr>
            </w:pPr>
            <w:r>
              <w:rPr>
                <w:rFonts w:ascii="Times New Roman" w:cs="Times New Roman" w:eastAsia="Times New Roman" w:hAnsi="Times New Roman"/>
                <w:sz w:val="10"/>
                <w:szCs w:val="10"/>
                <w:color w:val="auto"/>
              </w:rPr>
              <w:t>N/A</w:t>
            </w:r>
          </w:p>
        </w:tc>
      </w:tr>
      <w:tr>
        <w:trPr>
          <w:trHeight w:val="127"/>
        </w:trPr>
        <w:tc>
          <w:tcPr>
            <w:tcW w:w="23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Next Reset</w:t>
            </w:r>
          </w:p>
        </w:tc>
        <w:tc>
          <w:tcPr>
            <w:tcW w:w="1920" w:type="dxa"/>
            <w:vAlign w:val="bottom"/>
          </w:tcPr>
          <w:p>
            <w:pPr>
              <w:spacing w:after="0"/>
              <w:rPr>
                <w:sz w:val="11"/>
                <w:szCs w:val="11"/>
                <w:color w:val="auto"/>
              </w:rPr>
            </w:pPr>
          </w:p>
        </w:tc>
        <w:tc>
          <w:tcPr>
            <w:tcW w:w="2400" w:type="dxa"/>
            <w:vAlign w:val="bottom"/>
          </w:tcPr>
          <w:p>
            <w:pPr>
              <w:jc w:val="right"/>
              <w:ind w:right="1132"/>
              <w:spacing w:after="0"/>
              <w:rPr>
                <w:sz w:val="20"/>
                <w:szCs w:val="20"/>
                <w:color w:val="auto"/>
              </w:rPr>
            </w:pPr>
            <w:r>
              <w:rPr>
                <w:rFonts w:ascii="Times New Roman" w:cs="Times New Roman" w:eastAsia="Times New Roman" w:hAnsi="Times New Roman"/>
                <w:sz w:val="10"/>
                <w:szCs w:val="10"/>
                <w:color w:val="auto"/>
              </w:rPr>
              <w:t>May-28</w:t>
            </w:r>
          </w:p>
        </w:tc>
        <w:tc>
          <w:tcPr>
            <w:tcW w:w="1600" w:type="dxa"/>
            <w:vAlign w:val="bottom"/>
          </w:tcPr>
          <w:p>
            <w:pPr>
              <w:spacing w:after="0"/>
              <w:rPr>
                <w:sz w:val="11"/>
                <w:szCs w:val="11"/>
                <w:color w:val="auto"/>
              </w:rPr>
            </w:pPr>
          </w:p>
        </w:tc>
        <w:tc>
          <w:tcPr>
            <w:tcW w:w="3020" w:type="dxa"/>
            <w:vAlign w:val="bottom"/>
          </w:tcPr>
          <w:p>
            <w:pPr>
              <w:jc w:val="right"/>
              <w:ind w:right="1612"/>
              <w:spacing w:after="0"/>
              <w:rPr>
                <w:sz w:val="20"/>
                <w:szCs w:val="20"/>
                <w:color w:val="auto"/>
              </w:rPr>
            </w:pPr>
            <w:r>
              <w:rPr>
                <w:rFonts w:ascii="Times New Roman" w:cs="Times New Roman" w:eastAsia="Times New Roman" w:hAnsi="Times New Roman"/>
                <w:sz w:val="10"/>
                <w:szCs w:val="10"/>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17</w:t>
      </w:r>
    </w:p>
    <w:p>
      <w:pPr>
        <w:sectPr>
          <w:pgSz w:w="11900" w:h="16838" w:orient="portrait"/>
          <w:cols w:equalWidth="0" w:num="1">
            <w:col w:w="11300"/>
          </w:cols>
          <w:pgMar w:left="300" w:top="1032" w:right="299" w:bottom="1440" w:gutter="0" w:footer="0" w:header="0"/>
        </w:sectPr>
      </w:pPr>
    </w:p>
    <w:bookmarkStart w:id="20" w:name="page21"/>
    <w:bookmarkEnd w:id="20"/>
    <w:p>
      <w:pPr>
        <w:jc w:val="center"/>
        <w:ind w:right="-7"/>
        <w:spacing w:after="0"/>
        <w:rPr>
          <w:sz w:val="20"/>
          <w:szCs w:val="20"/>
          <w:color w:val="auto"/>
        </w:rPr>
      </w:pPr>
      <w:r>
        <w:rPr>
          <w:rFonts w:ascii="Times New Roman" w:cs="Times New Roman" w:eastAsia="Times New Roman" w:hAnsi="Times New Roman"/>
          <w:sz w:val="10"/>
          <w:szCs w:val="10"/>
          <w:b w:val="1"/>
          <w:bCs w:val="1"/>
          <w:color w:val="auto"/>
        </w:rPr>
        <w:drawing>
          <wp:anchor simplePos="0" relativeHeight="251657728" behindDoc="1" locked="0" layoutInCell="0" allowOverlap="1">
            <wp:simplePos x="0" y="0"/>
            <wp:positionH relativeFrom="page">
              <wp:posOffset>185420</wp:posOffset>
            </wp:positionH>
            <wp:positionV relativeFrom="page">
              <wp:posOffset>648970</wp:posOffset>
            </wp:positionV>
            <wp:extent cx="717804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02870"/>
                    </a:xfrm>
                    <a:prstGeom prst="rect">
                      <a:avLst/>
                    </a:prstGeom>
                    <a:noFill/>
                  </pic:spPr>
                </pic:pic>
              </a:graphicData>
            </a:graphic>
          </wp:anchor>
        </w:drawing>
        <w:t>Master Leases</w:t>
      </w:r>
    </w:p>
    <w:p>
      <w:pPr>
        <w:spacing w:after="0" w:line="38"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300" w:type="dxa"/>
            <w:vAlign w:val="bottom"/>
          </w:tcPr>
          <w:p>
            <w:pPr>
              <w:jc w:val="right"/>
              <w:ind w:right="872"/>
              <w:spacing w:after="0"/>
              <w:rPr>
                <w:sz w:val="20"/>
                <w:szCs w:val="20"/>
                <w:color w:val="auto"/>
              </w:rPr>
            </w:pPr>
            <w:r>
              <w:rPr>
                <w:rFonts w:ascii="Times New Roman" w:cs="Times New Roman" w:eastAsia="Times New Roman" w:hAnsi="Times New Roman"/>
                <w:sz w:val="10"/>
                <w:szCs w:val="10"/>
                <w:b w:val="1"/>
                <w:bCs w:val="1"/>
                <w:color w:val="auto"/>
                <w:w w:val="96"/>
              </w:rPr>
              <w:t>Pennsylvania Live! Master Lease</w:t>
            </w:r>
          </w:p>
        </w:tc>
        <w:tc>
          <w:tcPr>
            <w:tcW w:w="1920" w:type="dxa"/>
            <w:vAlign w:val="bottom"/>
          </w:tcPr>
          <w:p>
            <w:pPr>
              <w:spacing w:after="0"/>
              <w:rPr>
                <w:sz w:val="11"/>
                <w:szCs w:val="11"/>
                <w:color w:val="auto"/>
              </w:rPr>
            </w:pPr>
          </w:p>
        </w:tc>
        <w:tc>
          <w:tcPr>
            <w:tcW w:w="2660" w:type="dxa"/>
            <w:vAlign w:val="bottom"/>
            <w:gridSpan w:val="2"/>
          </w:tcPr>
          <w:p>
            <w:pPr>
              <w:jc w:val="right"/>
              <w:ind w:right="1432"/>
              <w:spacing w:after="0"/>
              <w:rPr>
                <w:sz w:val="20"/>
                <w:szCs w:val="20"/>
                <w:color w:val="auto"/>
              </w:rPr>
            </w:pPr>
            <w:r>
              <w:rPr>
                <w:rFonts w:ascii="Times New Roman" w:cs="Times New Roman" w:eastAsia="Times New Roman" w:hAnsi="Times New Roman"/>
                <w:sz w:val="10"/>
                <w:szCs w:val="10"/>
                <w:b w:val="1"/>
                <w:bCs w:val="1"/>
                <w:color w:val="auto"/>
                <w:w w:val="96"/>
              </w:rPr>
              <w:t>Strategic Gaming Leases (1)</w:t>
            </w:r>
          </w:p>
        </w:tc>
      </w:tr>
      <w:tr>
        <w:trPr>
          <w:trHeight w:val="153"/>
        </w:trPr>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2300" w:type="dxa"/>
            <w:vAlign w:val="bottom"/>
            <w:shd w:val="clear" w:color="auto" w:fill="CCEEFF"/>
          </w:tcPr>
          <w:p>
            <w:pPr>
              <w:jc w:val="right"/>
              <w:ind w:right="1372"/>
              <w:spacing w:after="0"/>
              <w:rPr>
                <w:sz w:val="20"/>
                <w:szCs w:val="20"/>
                <w:color w:val="auto"/>
              </w:rPr>
            </w:pPr>
            <w:r>
              <w:rPr>
                <w:rFonts w:ascii="Times New Roman" w:cs="Times New Roman" w:eastAsia="Times New Roman" w:hAnsi="Times New Roman"/>
                <w:sz w:val="10"/>
                <w:szCs w:val="10"/>
                <w:b w:val="1"/>
                <w:bCs w:val="1"/>
                <w:color w:val="auto"/>
              </w:rPr>
              <w:t>Cordish</w:t>
            </w:r>
          </w:p>
        </w:tc>
        <w:tc>
          <w:tcPr>
            <w:tcW w:w="1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300" w:type="dxa"/>
            <w:vAlign w:val="bottom"/>
            <w:shd w:val="clear" w:color="auto" w:fill="CCEEFF"/>
          </w:tcPr>
          <w:p>
            <w:pPr>
              <w:jc w:val="right"/>
              <w:ind w:right="1812"/>
              <w:spacing w:after="0"/>
              <w:rPr>
                <w:sz w:val="20"/>
                <w:szCs w:val="20"/>
                <w:color w:val="auto"/>
              </w:rPr>
            </w:pPr>
            <w:r>
              <w:rPr>
                <w:rFonts w:ascii="Times New Roman" w:cs="Times New Roman" w:eastAsia="Times New Roman" w:hAnsi="Times New Roman"/>
                <w:sz w:val="10"/>
                <w:szCs w:val="10"/>
                <w:b w:val="1"/>
                <w:bCs w:val="1"/>
                <w:color w:val="auto"/>
              </w:rPr>
              <w:t>Strategic</w:t>
            </w:r>
          </w:p>
        </w:tc>
      </w:tr>
      <w:tr>
        <w:trPr>
          <w:trHeight w:val="136"/>
        </w:trPr>
        <w:tc>
          <w:tcPr>
            <w:tcW w:w="23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Properties</w:t>
            </w:r>
          </w:p>
        </w:tc>
        <w:tc>
          <w:tcPr>
            <w:tcW w:w="2040" w:type="dxa"/>
            <w:vAlign w:val="bottom"/>
          </w:tcPr>
          <w:p>
            <w:pPr>
              <w:ind w:left="680"/>
              <w:spacing w:after="0"/>
              <w:rPr>
                <w:sz w:val="20"/>
                <w:szCs w:val="20"/>
                <w:color w:val="auto"/>
              </w:rPr>
            </w:pPr>
            <w:r>
              <w:rPr>
                <w:rFonts w:ascii="Times New Roman" w:cs="Times New Roman" w:eastAsia="Times New Roman" w:hAnsi="Times New Roman"/>
                <w:sz w:val="10"/>
                <w:szCs w:val="10"/>
                <w:color w:val="auto"/>
                <w:w w:val="96"/>
              </w:rPr>
              <w:t>Live! Casino &amp; Hotel Philadelphia</w:t>
            </w:r>
          </w:p>
        </w:tc>
        <w:tc>
          <w:tcPr>
            <w:tcW w:w="2300" w:type="dxa"/>
            <w:vAlign w:val="bottom"/>
          </w:tcPr>
          <w:p>
            <w:pPr>
              <w:ind w:left="1160"/>
              <w:spacing w:after="0"/>
              <w:rPr>
                <w:sz w:val="20"/>
                <w:szCs w:val="20"/>
                <w:color w:val="auto"/>
              </w:rPr>
            </w:pPr>
            <w:r>
              <w:rPr>
                <w:rFonts w:ascii="Times New Roman" w:cs="Times New Roman" w:eastAsia="Times New Roman" w:hAnsi="Times New Roman"/>
                <w:sz w:val="10"/>
                <w:szCs w:val="10"/>
                <w:color w:val="auto"/>
              </w:rPr>
              <w:t>Philadelphia, PA</w:t>
            </w:r>
          </w:p>
        </w:tc>
        <w:tc>
          <w:tcPr>
            <w:tcW w:w="228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w w:val="95"/>
              </w:rPr>
              <w:t>Silverado Franklin Hotel &amp; Gaming Complex</w:t>
            </w:r>
          </w:p>
        </w:tc>
        <w:tc>
          <w:tcPr>
            <w:tcW w:w="23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Deadwood, SD</w:t>
            </w:r>
          </w:p>
        </w:tc>
      </w:tr>
      <w:tr>
        <w:trPr>
          <w:trHeight w:val="152"/>
        </w:trPr>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0"/>
                <w:szCs w:val="10"/>
                <w:color w:val="auto"/>
              </w:rPr>
              <w:t>Live! Casino Pittsburgh</w:t>
            </w:r>
          </w:p>
        </w:tc>
        <w:tc>
          <w:tcPr>
            <w:tcW w:w="23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0"/>
                <w:szCs w:val="10"/>
                <w:color w:val="auto"/>
              </w:rPr>
              <w:t>Greensburg, PA</w:t>
            </w:r>
          </w:p>
        </w:tc>
        <w:tc>
          <w:tcPr>
            <w:tcW w:w="1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w w:val="98"/>
              </w:rPr>
              <w:t>Deadwood Mountain Grand Casino</w:t>
            </w:r>
          </w:p>
        </w:tc>
        <w:tc>
          <w:tcPr>
            <w:tcW w:w="360" w:type="dxa"/>
            <w:vAlign w:val="bottom"/>
            <w:shd w:val="clear" w:color="auto" w:fill="CCEEFF"/>
          </w:tcPr>
          <w:p>
            <w:pPr>
              <w:spacing w:after="0"/>
              <w:rPr>
                <w:sz w:val="13"/>
                <w:szCs w:val="13"/>
                <w:color w:val="auto"/>
              </w:rPr>
            </w:pPr>
          </w:p>
        </w:tc>
        <w:tc>
          <w:tcPr>
            <w:tcW w:w="2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0"/>
                <w:szCs w:val="10"/>
                <w:color w:val="auto"/>
              </w:rPr>
              <w:t>Deadwood, SD</w:t>
            </w:r>
          </w:p>
        </w:tc>
      </w:tr>
      <w:tr>
        <w:trPr>
          <w:trHeight w:val="136"/>
        </w:trPr>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920" w:type="dxa"/>
            <w:vAlign w:val="bottom"/>
          </w:tcPr>
          <w:p>
            <w:pPr>
              <w:ind w:left="500"/>
              <w:spacing w:after="0"/>
              <w:rPr>
                <w:sz w:val="20"/>
                <w:szCs w:val="20"/>
                <w:color w:val="auto"/>
              </w:rPr>
            </w:pPr>
            <w:r>
              <w:rPr>
                <w:rFonts w:ascii="Times New Roman" w:cs="Times New Roman" w:eastAsia="Times New Roman" w:hAnsi="Times New Roman"/>
                <w:sz w:val="10"/>
                <w:szCs w:val="10"/>
                <w:color w:val="auto"/>
              </w:rPr>
              <w:t>Baldini's Casino</w:t>
            </w:r>
          </w:p>
        </w:tc>
        <w:tc>
          <w:tcPr>
            <w:tcW w:w="360" w:type="dxa"/>
            <w:vAlign w:val="bottom"/>
          </w:tcPr>
          <w:p>
            <w:pPr>
              <w:spacing w:after="0"/>
              <w:rPr>
                <w:sz w:val="11"/>
                <w:szCs w:val="11"/>
                <w:color w:val="auto"/>
              </w:rPr>
            </w:pPr>
          </w:p>
        </w:tc>
        <w:tc>
          <w:tcPr>
            <w:tcW w:w="23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Sparks, NV</w:t>
            </w:r>
          </w:p>
        </w:tc>
      </w:tr>
      <w:tr>
        <w:trPr>
          <w:trHeight w:val="153"/>
        </w:trPr>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1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w w:val="98"/>
              </w:rPr>
              <w:t>Sunland Park Race Track &amp; Casino</w:t>
            </w:r>
          </w:p>
        </w:tc>
        <w:tc>
          <w:tcPr>
            <w:tcW w:w="360" w:type="dxa"/>
            <w:vAlign w:val="bottom"/>
            <w:shd w:val="clear" w:color="auto" w:fill="CCEEFF"/>
          </w:tcPr>
          <w:p>
            <w:pPr>
              <w:spacing w:after="0"/>
              <w:rPr>
                <w:sz w:val="13"/>
                <w:szCs w:val="13"/>
                <w:color w:val="auto"/>
              </w:rPr>
            </w:pPr>
          </w:p>
        </w:tc>
        <w:tc>
          <w:tcPr>
            <w:tcW w:w="2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0"/>
                <w:szCs w:val="10"/>
                <w:color w:val="auto"/>
              </w:rPr>
              <w:t>Sunland Park, NM</w:t>
            </w:r>
          </w:p>
        </w:tc>
      </w:tr>
      <w:tr>
        <w:trPr>
          <w:trHeight w:val="136"/>
        </w:trPr>
        <w:tc>
          <w:tcPr>
            <w:tcW w:w="23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Commencement Date</w:t>
            </w:r>
          </w:p>
        </w:tc>
        <w:tc>
          <w:tcPr>
            <w:tcW w:w="2040" w:type="dxa"/>
            <w:vAlign w:val="bottom"/>
          </w:tcPr>
          <w:p>
            <w:pPr>
              <w:spacing w:after="0"/>
              <w:rPr>
                <w:sz w:val="11"/>
                <w:szCs w:val="11"/>
                <w:color w:val="auto"/>
              </w:rPr>
            </w:pPr>
          </w:p>
        </w:tc>
        <w:tc>
          <w:tcPr>
            <w:tcW w:w="2300" w:type="dxa"/>
            <w:vAlign w:val="bottom"/>
          </w:tcPr>
          <w:p>
            <w:pPr>
              <w:jc w:val="right"/>
              <w:ind w:right="1112"/>
              <w:spacing w:after="0"/>
              <w:rPr>
                <w:sz w:val="20"/>
                <w:szCs w:val="20"/>
                <w:color w:val="auto"/>
              </w:rPr>
            </w:pPr>
            <w:r>
              <w:rPr>
                <w:rFonts w:ascii="Times New Roman" w:cs="Times New Roman" w:eastAsia="Times New Roman" w:hAnsi="Times New Roman"/>
                <w:sz w:val="10"/>
                <w:szCs w:val="10"/>
                <w:color w:val="auto"/>
              </w:rPr>
              <w:t>3/1/2022</w:t>
            </w:r>
          </w:p>
        </w:tc>
        <w:tc>
          <w:tcPr>
            <w:tcW w:w="1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300" w:type="dxa"/>
            <w:vAlign w:val="bottom"/>
          </w:tcPr>
          <w:p>
            <w:pPr>
              <w:jc w:val="right"/>
              <w:ind w:right="1612"/>
              <w:spacing w:after="0"/>
              <w:rPr>
                <w:sz w:val="20"/>
                <w:szCs w:val="20"/>
                <w:color w:val="auto"/>
              </w:rPr>
            </w:pPr>
            <w:r>
              <w:rPr>
                <w:rFonts w:ascii="Times New Roman" w:cs="Times New Roman" w:eastAsia="Times New Roman" w:hAnsi="Times New Roman"/>
                <w:sz w:val="10"/>
                <w:szCs w:val="10"/>
                <w:color w:val="auto"/>
              </w:rPr>
              <w:t>5/16/2024</w:t>
            </w:r>
          </w:p>
        </w:tc>
      </w:tr>
      <w:tr>
        <w:trPr>
          <w:trHeight w:val="153"/>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Lease Expiration Date</w:t>
            </w:r>
          </w:p>
        </w:tc>
        <w:tc>
          <w:tcPr>
            <w:tcW w:w="2040" w:type="dxa"/>
            <w:vAlign w:val="bottom"/>
            <w:shd w:val="clear" w:color="auto" w:fill="CCEEFF"/>
          </w:tcPr>
          <w:p>
            <w:pPr>
              <w:spacing w:after="0"/>
              <w:rPr>
                <w:sz w:val="13"/>
                <w:szCs w:val="13"/>
                <w:color w:val="auto"/>
              </w:rPr>
            </w:pPr>
          </w:p>
        </w:tc>
        <w:tc>
          <w:tcPr>
            <w:tcW w:w="230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0"/>
                <w:szCs w:val="10"/>
                <w:color w:val="auto"/>
              </w:rPr>
              <w:t>2/28/2061</w:t>
            </w:r>
          </w:p>
        </w:tc>
        <w:tc>
          <w:tcPr>
            <w:tcW w:w="1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300" w:type="dxa"/>
            <w:vAlign w:val="bottom"/>
            <w:shd w:val="clear" w:color="auto" w:fill="CCEEFF"/>
          </w:tcPr>
          <w:p>
            <w:pPr>
              <w:jc w:val="right"/>
              <w:ind w:right="1612"/>
              <w:spacing w:after="0"/>
              <w:rPr>
                <w:sz w:val="20"/>
                <w:szCs w:val="20"/>
                <w:color w:val="auto"/>
              </w:rPr>
            </w:pPr>
            <w:r>
              <w:rPr>
                <w:rFonts w:ascii="Times New Roman" w:cs="Times New Roman" w:eastAsia="Times New Roman" w:hAnsi="Times New Roman"/>
                <w:sz w:val="10"/>
                <w:szCs w:val="10"/>
                <w:color w:val="auto"/>
              </w:rPr>
              <w:t>5/31/2049</w:t>
            </w:r>
          </w:p>
        </w:tc>
      </w:tr>
      <w:tr>
        <w:trPr>
          <w:trHeight w:val="135"/>
        </w:trPr>
        <w:tc>
          <w:tcPr>
            <w:tcW w:w="23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Remaining Renewal Terms</w:t>
            </w:r>
          </w:p>
        </w:tc>
        <w:tc>
          <w:tcPr>
            <w:tcW w:w="2040" w:type="dxa"/>
            <w:vAlign w:val="bottom"/>
          </w:tcPr>
          <w:p>
            <w:pPr>
              <w:spacing w:after="0"/>
              <w:rPr>
                <w:sz w:val="11"/>
                <w:szCs w:val="11"/>
                <w:color w:val="auto"/>
              </w:rPr>
            </w:pPr>
          </w:p>
        </w:tc>
        <w:tc>
          <w:tcPr>
            <w:tcW w:w="2300" w:type="dxa"/>
            <w:vAlign w:val="bottom"/>
          </w:tcPr>
          <w:p>
            <w:pPr>
              <w:jc w:val="right"/>
              <w:ind w:right="1112"/>
              <w:spacing w:after="0"/>
              <w:rPr>
                <w:sz w:val="20"/>
                <w:szCs w:val="20"/>
                <w:color w:val="auto"/>
              </w:rPr>
            </w:pPr>
            <w:r>
              <w:rPr>
                <w:rFonts w:ascii="Times New Roman" w:cs="Times New Roman" w:eastAsia="Times New Roman" w:hAnsi="Times New Roman"/>
                <w:sz w:val="10"/>
                <w:szCs w:val="10"/>
                <w:color w:val="auto"/>
              </w:rPr>
              <w:t>21 (1x11 years, 1x10 years)</w:t>
            </w:r>
          </w:p>
        </w:tc>
        <w:tc>
          <w:tcPr>
            <w:tcW w:w="1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300" w:type="dxa"/>
            <w:vAlign w:val="bottom"/>
          </w:tcPr>
          <w:p>
            <w:pPr>
              <w:jc w:val="right"/>
              <w:ind w:right="1612"/>
              <w:spacing w:after="0"/>
              <w:rPr>
                <w:sz w:val="20"/>
                <w:szCs w:val="20"/>
                <w:color w:val="auto"/>
              </w:rPr>
            </w:pPr>
            <w:r>
              <w:rPr>
                <w:rFonts w:ascii="Times New Roman" w:cs="Times New Roman" w:eastAsia="Times New Roman" w:hAnsi="Times New Roman"/>
                <w:sz w:val="10"/>
                <w:szCs w:val="10"/>
                <w:color w:val="auto"/>
                <w:w w:val="98"/>
              </w:rPr>
              <w:t>20 (2x10 years)</w:t>
            </w:r>
          </w:p>
        </w:tc>
      </w:tr>
      <w:tr>
        <w:trPr>
          <w:trHeight w:val="153"/>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Corporate Guarantee</w:t>
            </w:r>
          </w:p>
        </w:tc>
        <w:tc>
          <w:tcPr>
            <w:tcW w:w="2040" w:type="dxa"/>
            <w:vAlign w:val="bottom"/>
            <w:shd w:val="clear" w:color="auto" w:fill="CCEEFF"/>
          </w:tcPr>
          <w:p>
            <w:pPr>
              <w:spacing w:after="0"/>
              <w:rPr>
                <w:sz w:val="13"/>
                <w:szCs w:val="13"/>
                <w:color w:val="auto"/>
              </w:rPr>
            </w:pPr>
          </w:p>
        </w:tc>
        <w:tc>
          <w:tcPr>
            <w:tcW w:w="230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0"/>
                <w:szCs w:val="10"/>
                <w:color w:val="auto"/>
              </w:rPr>
              <w:t>No</w:t>
            </w:r>
          </w:p>
        </w:tc>
        <w:tc>
          <w:tcPr>
            <w:tcW w:w="1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300" w:type="dxa"/>
            <w:vAlign w:val="bottom"/>
            <w:shd w:val="clear" w:color="auto" w:fill="CCEEFF"/>
          </w:tcPr>
          <w:p>
            <w:pPr>
              <w:jc w:val="right"/>
              <w:ind w:right="1612"/>
              <w:spacing w:after="0"/>
              <w:rPr>
                <w:sz w:val="20"/>
                <w:szCs w:val="20"/>
                <w:color w:val="auto"/>
              </w:rPr>
            </w:pPr>
            <w:r>
              <w:rPr>
                <w:rFonts w:ascii="Times New Roman" w:cs="Times New Roman" w:eastAsia="Times New Roman" w:hAnsi="Times New Roman"/>
                <w:sz w:val="10"/>
                <w:szCs w:val="10"/>
                <w:color w:val="auto"/>
              </w:rPr>
              <w:t>Yes</w:t>
            </w:r>
          </w:p>
        </w:tc>
      </w:tr>
      <w:tr>
        <w:trPr>
          <w:trHeight w:val="136"/>
        </w:trPr>
        <w:tc>
          <w:tcPr>
            <w:tcW w:w="23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Master Lease with Cross Collateralization</w:t>
            </w:r>
          </w:p>
        </w:tc>
        <w:tc>
          <w:tcPr>
            <w:tcW w:w="2040" w:type="dxa"/>
            <w:vAlign w:val="bottom"/>
          </w:tcPr>
          <w:p>
            <w:pPr>
              <w:spacing w:after="0"/>
              <w:rPr>
                <w:sz w:val="11"/>
                <w:szCs w:val="11"/>
                <w:color w:val="auto"/>
              </w:rPr>
            </w:pPr>
          </w:p>
        </w:tc>
        <w:tc>
          <w:tcPr>
            <w:tcW w:w="2300" w:type="dxa"/>
            <w:vAlign w:val="bottom"/>
          </w:tcPr>
          <w:p>
            <w:pPr>
              <w:jc w:val="right"/>
              <w:ind w:right="1112"/>
              <w:spacing w:after="0"/>
              <w:rPr>
                <w:sz w:val="20"/>
                <w:szCs w:val="20"/>
                <w:color w:val="auto"/>
              </w:rPr>
            </w:pPr>
            <w:r>
              <w:rPr>
                <w:rFonts w:ascii="Times New Roman" w:cs="Times New Roman" w:eastAsia="Times New Roman" w:hAnsi="Times New Roman"/>
                <w:sz w:val="10"/>
                <w:szCs w:val="10"/>
                <w:color w:val="auto"/>
              </w:rPr>
              <w:t>Yes</w:t>
            </w:r>
          </w:p>
        </w:tc>
        <w:tc>
          <w:tcPr>
            <w:tcW w:w="1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300" w:type="dxa"/>
            <w:vAlign w:val="bottom"/>
          </w:tcPr>
          <w:p>
            <w:pPr>
              <w:jc w:val="right"/>
              <w:ind w:right="1612"/>
              <w:spacing w:after="0"/>
              <w:rPr>
                <w:sz w:val="20"/>
                <w:szCs w:val="20"/>
                <w:color w:val="auto"/>
              </w:rPr>
            </w:pPr>
            <w:r>
              <w:rPr>
                <w:rFonts w:ascii="Times New Roman" w:cs="Times New Roman" w:eastAsia="Times New Roman" w:hAnsi="Times New Roman"/>
                <w:sz w:val="10"/>
                <w:szCs w:val="10"/>
                <w:color w:val="auto"/>
              </w:rPr>
              <w:t>Yes</w:t>
            </w:r>
          </w:p>
        </w:tc>
      </w:tr>
      <w:tr>
        <w:trPr>
          <w:trHeight w:val="153"/>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Technical Default Landlord Protection</w:t>
            </w:r>
          </w:p>
        </w:tc>
        <w:tc>
          <w:tcPr>
            <w:tcW w:w="2040" w:type="dxa"/>
            <w:vAlign w:val="bottom"/>
            <w:shd w:val="clear" w:color="auto" w:fill="CCEEFF"/>
          </w:tcPr>
          <w:p>
            <w:pPr>
              <w:spacing w:after="0"/>
              <w:rPr>
                <w:sz w:val="13"/>
                <w:szCs w:val="13"/>
                <w:color w:val="auto"/>
              </w:rPr>
            </w:pPr>
          </w:p>
        </w:tc>
        <w:tc>
          <w:tcPr>
            <w:tcW w:w="230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0"/>
                <w:szCs w:val="10"/>
                <w:color w:val="auto"/>
              </w:rPr>
              <w:t>Yes</w:t>
            </w:r>
          </w:p>
        </w:tc>
        <w:tc>
          <w:tcPr>
            <w:tcW w:w="1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300" w:type="dxa"/>
            <w:vAlign w:val="bottom"/>
            <w:shd w:val="clear" w:color="auto" w:fill="CCEEFF"/>
          </w:tcPr>
          <w:p>
            <w:pPr>
              <w:jc w:val="right"/>
              <w:ind w:right="1612"/>
              <w:spacing w:after="0"/>
              <w:rPr>
                <w:sz w:val="20"/>
                <w:szCs w:val="20"/>
                <w:color w:val="auto"/>
              </w:rPr>
            </w:pPr>
            <w:r>
              <w:rPr>
                <w:rFonts w:ascii="Times New Roman" w:cs="Times New Roman" w:eastAsia="Times New Roman" w:hAnsi="Times New Roman"/>
                <w:sz w:val="10"/>
                <w:szCs w:val="10"/>
                <w:color w:val="auto"/>
              </w:rPr>
              <w:t>Yes</w:t>
            </w:r>
          </w:p>
        </w:tc>
      </w:tr>
      <w:tr>
        <w:trPr>
          <w:trHeight w:val="136"/>
        </w:trPr>
        <w:tc>
          <w:tcPr>
            <w:tcW w:w="23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Default Adjusted Revenue to Rent Coverage</w:t>
            </w:r>
          </w:p>
        </w:tc>
        <w:tc>
          <w:tcPr>
            <w:tcW w:w="2040" w:type="dxa"/>
            <w:vAlign w:val="bottom"/>
          </w:tcPr>
          <w:p>
            <w:pPr>
              <w:spacing w:after="0"/>
              <w:rPr>
                <w:sz w:val="11"/>
                <w:szCs w:val="11"/>
                <w:color w:val="auto"/>
              </w:rPr>
            </w:pPr>
          </w:p>
        </w:tc>
        <w:tc>
          <w:tcPr>
            <w:tcW w:w="2300" w:type="dxa"/>
            <w:vAlign w:val="bottom"/>
          </w:tcPr>
          <w:p>
            <w:pPr>
              <w:jc w:val="right"/>
              <w:ind w:right="1112"/>
              <w:spacing w:after="0"/>
              <w:rPr>
                <w:sz w:val="20"/>
                <w:szCs w:val="20"/>
                <w:color w:val="auto"/>
              </w:rPr>
            </w:pPr>
            <w:r>
              <w:rPr>
                <w:rFonts w:ascii="Times New Roman" w:cs="Times New Roman" w:eastAsia="Times New Roman" w:hAnsi="Times New Roman"/>
                <w:sz w:val="10"/>
                <w:szCs w:val="10"/>
                <w:color w:val="auto"/>
              </w:rPr>
              <w:t>1.4</w:t>
            </w:r>
          </w:p>
        </w:tc>
        <w:tc>
          <w:tcPr>
            <w:tcW w:w="1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300" w:type="dxa"/>
            <w:vAlign w:val="bottom"/>
          </w:tcPr>
          <w:p>
            <w:pPr>
              <w:jc w:val="right"/>
              <w:ind w:right="1612"/>
              <w:spacing w:after="0"/>
              <w:rPr>
                <w:sz w:val="20"/>
                <w:szCs w:val="20"/>
                <w:color w:val="auto"/>
              </w:rPr>
            </w:pPr>
            <w:r>
              <w:rPr>
                <w:rFonts w:ascii="Times New Roman" w:cs="Times New Roman" w:eastAsia="Times New Roman" w:hAnsi="Times New Roman"/>
                <w:sz w:val="10"/>
                <w:szCs w:val="10"/>
                <w:color w:val="auto"/>
              </w:rPr>
              <w:t>1.4 (2)</w:t>
            </w:r>
          </w:p>
        </w:tc>
      </w:tr>
      <w:tr>
        <w:trPr>
          <w:trHeight w:val="152"/>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Competitive Radius Landlord Protection</w:t>
            </w:r>
          </w:p>
        </w:tc>
        <w:tc>
          <w:tcPr>
            <w:tcW w:w="2040" w:type="dxa"/>
            <w:vAlign w:val="bottom"/>
            <w:shd w:val="clear" w:color="auto" w:fill="CCEEFF"/>
          </w:tcPr>
          <w:p>
            <w:pPr>
              <w:spacing w:after="0"/>
              <w:rPr>
                <w:sz w:val="13"/>
                <w:szCs w:val="13"/>
                <w:color w:val="auto"/>
              </w:rPr>
            </w:pPr>
          </w:p>
        </w:tc>
        <w:tc>
          <w:tcPr>
            <w:tcW w:w="230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0"/>
                <w:szCs w:val="10"/>
                <w:color w:val="auto"/>
              </w:rPr>
              <w:t>Yes</w:t>
            </w:r>
          </w:p>
        </w:tc>
        <w:tc>
          <w:tcPr>
            <w:tcW w:w="1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300" w:type="dxa"/>
            <w:vAlign w:val="bottom"/>
            <w:shd w:val="clear" w:color="auto" w:fill="CCEEFF"/>
          </w:tcPr>
          <w:p>
            <w:pPr>
              <w:jc w:val="right"/>
              <w:ind w:right="1612"/>
              <w:spacing w:after="0"/>
              <w:rPr>
                <w:sz w:val="20"/>
                <w:szCs w:val="20"/>
                <w:color w:val="auto"/>
              </w:rPr>
            </w:pPr>
            <w:r>
              <w:rPr>
                <w:rFonts w:ascii="Times New Roman" w:cs="Times New Roman" w:eastAsia="Times New Roman" w:hAnsi="Times New Roman"/>
                <w:sz w:val="10"/>
                <w:szCs w:val="10"/>
                <w:color w:val="auto"/>
              </w:rPr>
              <w:t>Yes</w:t>
            </w:r>
          </w:p>
        </w:tc>
      </w:tr>
      <w:tr>
        <w:trPr>
          <w:trHeight w:val="116"/>
        </w:trPr>
        <w:tc>
          <w:tcPr>
            <w:tcW w:w="700" w:type="dxa"/>
            <w:vAlign w:val="bottom"/>
            <w:tcBorders>
              <w:bottom w:val="single" w:sz="8" w:color="auto"/>
            </w:tcBorders>
          </w:tcPr>
          <w:p>
            <w:pPr>
              <w:spacing w:after="0" w:line="108" w:lineRule="exact"/>
              <w:rPr>
                <w:sz w:val="20"/>
                <w:szCs w:val="20"/>
                <w:color w:val="auto"/>
              </w:rPr>
            </w:pPr>
            <w:r>
              <w:rPr>
                <w:rFonts w:ascii="Times New Roman" w:cs="Times New Roman" w:eastAsia="Times New Roman" w:hAnsi="Times New Roman"/>
                <w:sz w:val="10"/>
                <w:szCs w:val="10"/>
                <w:b w:val="1"/>
                <w:bCs w:val="1"/>
                <w:color w:val="auto"/>
                <w:w w:val="93"/>
              </w:rPr>
              <w:t>Escalator Details</w:t>
            </w:r>
          </w:p>
        </w:tc>
        <w:tc>
          <w:tcPr>
            <w:tcW w:w="1680" w:type="dxa"/>
            <w:vAlign w:val="bottom"/>
            <w:gridSpan w:val="2"/>
          </w:tcPr>
          <w:p>
            <w:pPr>
              <w:spacing w:after="0"/>
              <w:rPr>
                <w:sz w:val="10"/>
                <w:szCs w:val="10"/>
                <w:color w:val="auto"/>
              </w:rPr>
            </w:pPr>
          </w:p>
        </w:tc>
        <w:tc>
          <w:tcPr>
            <w:tcW w:w="20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300" w:type="dxa"/>
            <w:vAlign w:val="bottom"/>
          </w:tcPr>
          <w:p>
            <w:pPr>
              <w:spacing w:after="0"/>
              <w:rPr>
                <w:sz w:val="10"/>
                <w:szCs w:val="10"/>
                <w:color w:val="auto"/>
              </w:rPr>
            </w:pPr>
          </w:p>
        </w:tc>
      </w:tr>
      <w:tr>
        <w:trPr>
          <w:trHeight w:val="152"/>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Yearly Base Rent Escalator Maximum</w:t>
            </w:r>
          </w:p>
        </w:tc>
        <w:tc>
          <w:tcPr>
            <w:tcW w:w="2040" w:type="dxa"/>
            <w:vAlign w:val="bottom"/>
            <w:shd w:val="clear" w:color="auto" w:fill="CCEEFF"/>
          </w:tcPr>
          <w:p>
            <w:pPr>
              <w:spacing w:after="0"/>
              <w:rPr>
                <w:sz w:val="13"/>
                <w:szCs w:val="13"/>
                <w:color w:val="auto"/>
              </w:rPr>
            </w:pPr>
          </w:p>
        </w:tc>
        <w:tc>
          <w:tcPr>
            <w:tcW w:w="230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0"/>
                <w:szCs w:val="10"/>
                <w:color w:val="auto"/>
              </w:rPr>
              <w:t>1.75 %</w:t>
            </w:r>
          </w:p>
        </w:tc>
        <w:tc>
          <w:tcPr>
            <w:tcW w:w="1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300" w:type="dxa"/>
            <w:vAlign w:val="bottom"/>
            <w:shd w:val="clear" w:color="auto" w:fill="CCEEFF"/>
          </w:tcPr>
          <w:p>
            <w:pPr>
              <w:jc w:val="right"/>
              <w:ind w:right="1612"/>
              <w:spacing w:after="0"/>
              <w:rPr>
                <w:sz w:val="20"/>
                <w:szCs w:val="20"/>
                <w:color w:val="auto"/>
              </w:rPr>
            </w:pPr>
            <w:r>
              <w:rPr>
                <w:rFonts w:ascii="Times New Roman" w:cs="Times New Roman" w:eastAsia="Times New Roman" w:hAnsi="Times New Roman"/>
                <w:sz w:val="10"/>
                <w:szCs w:val="10"/>
                <w:color w:val="auto"/>
              </w:rPr>
              <w:t>2% (2)</w:t>
            </w:r>
          </w:p>
        </w:tc>
      </w:tr>
      <w:tr>
        <w:trPr>
          <w:trHeight w:val="136"/>
        </w:trPr>
        <w:tc>
          <w:tcPr>
            <w:tcW w:w="23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Coverage ratio at June 30, 2026</w:t>
            </w:r>
          </w:p>
        </w:tc>
        <w:tc>
          <w:tcPr>
            <w:tcW w:w="2040" w:type="dxa"/>
            <w:vAlign w:val="bottom"/>
          </w:tcPr>
          <w:p>
            <w:pPr>
              <w:spacing w:after="0"/>
              <w:rPr>
                <w:sz w:val="11"/>
                <w:szCs w:val="11"/>
                <w:color w:val="auto"/>
              </w:rPr>
            </w:pPr>
          </w:p>
        </w:tc>
        <w:tc>
          <w:tcPr>
            <w:tcW w:w="2300" w:type="dxa"/>
            <w:vAlign w:val="bottom"/>
          </w:tcPr>
          <w:p>
            <w:pPr>
              <w:jc w:val="right"/>
              <w:ind w:right="1112"/>
              <w:spacing w:after="0"/>
              <w:rPr>
                <w:sz w:val="20"/>
                <w:szCs w:val="20"/>
                <w:color w:val="auto"/>
              </w:rPr>
            </w:pPr>
            <w:r>
              <w:rPr>
                <w:rFonts w:ascii="Times New Roman" w:cs="Times New Roman" w:eastAsia="Times New Roman" w:hAnsi="Times New Roman"/>
                <w:sz w:val="10"/>
                <w:szCs w:val="10"/>
                <w:color w:val="auto"/>
              </w:rPr>
              <w:t>2.28</w:t>
            </w:r>
          </w:p>
        </w:tc>
        <w:tc>
          <w:tcPr>
            <w:tcW w:w="1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300" w:type="dxa"/>
            <w:vAlign w:val="bottom"/>
          </w:tcPr>
          <w:p>
            <w:pPr>
              <w:jc w:val="right"/>
              <w:ind w:right="1612"/>
              <w:spacing w:after="0"/>
              <w:rPr>
                <w:sz w:val="20"/>
                <w:szCs w:val="20"/>
                <w:color w:val="auto"/>
              </w:rPr>
            </w:pPr>
            <w:r>
              <w:rPr>
                <w:rFonts w:ascii="Times New Roman" w:cs="Times New Roman" w:eastAsia="Times New Roman" w:hAnsi="Times New Roman"/>
                <w:sz w:val="10"/>
                <w:szCs w:val="10"/>
                <w:color w:val="auto"/>
              </w:rPr>
              <w:t>1.96 (3)</w:t>
            </w:r>
          </w:p>
        </w:tc>
      </w:tr>
      <w:tr>
        <w:trPr>
          <w:trHeight w:val="152"/>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Minimum Escalator Coverage Governor</w:t>
            </w:r>
          </w:p>
        </w:tc>
        <w:tc>
          <w:tcPr>
            <w:tcW w:w="2040" w:type="dxa"/>
            <w:vAlign w:val="bottom"/>
            <w:shd w:val="clear" w:color="auto" w:fill="CCEEFF"/>
          </w:tcPr>
          <w:p>
            <w:pPr>
              <w:spacing w:after="0"/>
              <w:rPr>
                <w:sz w:val="13"/>
                <w:szCs w:val="13"/>
                <w:color w:val="auto"/>
              </w:rPr>
            </w:pPr>
          </w:p>
        </w:tc>
        <w:tc>
          <w:tcPr>
            <w:tcW w:w="230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0"/>
                <w:szCs w:val="10"/>
                <w:color w:val="auto"/>
              </w:rPr>
              <w:t>N/A</w:t>
            </w:r>
          </w:p>
        </w:tc>
        <w:tc>
          <w:tcPr>
            <w:tcW w:w="1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300" w:type="dxa"/>
            <w:vAlign w:val="bottom"/>
            <w:shd w:val="clear" w:color="auto" w:fill="CCEEFF"/>
          </w:tcPr>
          <w:p>
            <w:pPr>
              <w:jc w:val="right"/>
              <w:ind w:right="1612"/>
              <w:spacing w:after="0"/>
              <w:rPr>
                <w:sz w:val="20"/>
                <w:szCs w:val="20"/>
                <w:color w:val="auto"/>
              </w:rPr>
            </w:pPr>
            <w:r>
              <w:rPr>
                <w:rFonts w:ascii="Times New Roman" w:cs="Times New Roman" w:eastAsia="Times New Roman" w:hAnsi="Times New Roman"/>
                <w:sz w:val="10"/>
                <w:szCs w:val="10"/>
                <w:color w:val="auto"/>
              </w:rPr>
              <w:t>N/A</w:t>
            </w:r>
          </w:p>
        </w:tc>
      </w:tr>
      <w:tr>
        <w:trPr>
          <w:trHeight w:val="136"/>
        </w:trPr>
        <w:tc>
          <w:tcPr>
            <w:tcW w:w="23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Yearly Anniversary for Realization</w:t>
            </w:r>
          </w:p>
        </w:tc>
        <w:tc>
          <w:tcPr>
            <w:tcW w:w="2040" w:type="dxa"/>
            <w:vAlign w:val="bottom"/>
          </w:tcPr>
          <w:p>
            <w:pPr>
              <w:spacing w:after="0"/>
              <w:rPr>
                <w:sz w:val="11"/>
                <w:szCs w:val="11"/>
                <w:color w:val="auto"/>
              </w:rPr>
            </w:pPr>
          </w:p>
        </w:tc>
        <w:tc>
          <w:tcPr>
            <w:tcW w:w="2300" w:type="dxa"/>
            <w:vAlign w:val="bottom"/>
          </w:tcPr>
          <w:p>
            <w:pPr>
              <w:jc w:val="right"/>
              <w:ind w:right="1112"/>
              <w:spacing w:after="0"/>
              <w:rPr>
                <w:sz w:val="20"/>
                <w:szCs w:val="20"/>
                <w:color w:val="auto"/>
              </w:rPr>
            </w:pPr>
            <w:r>
              <w:rPr>
                <w:rFonts w:ascii="Times New Roman" w:cs="Times New Roman" w:eastAsia="Times New Roman" w:hAnsi="Times New Roman"/>
                <w:sz w:val="10"/>
                <w:szCs w:val="10"/>
                <w:color w:val="auto"/>
              </w:rPr>
              <w:t>March</w:t>
            </w:r>
          </w:p>
        </w:tc>
        <w:tc>
          <w:tcPr>
            <w:tcW w:w="1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300" w:type="dxa"/>
            <w:vAlign w:val="bottom"/>
          </w:tcPr>
          <w:p>
            <w:pPr>
              <w:jc w:val="right"/>
              <w:ind w:right="1612"/>
              <w:spacing w:after="0"/>
              <w:rPr>
                <w:sz w:val="20"/>
                <w:szCs w:val="20"/>
                <w:color w:val="auto"/>
              </w:rPr>
            </w:pPr>
            <w:r>
              <w:rPr>
                <w:rFonts w:ascii="Times New Roman" w:cs="Times New Roman" w:eastAsia="Times New Roman" w:hAnsi="Times New Roman"/>
                <w:sz w:val="10"/>
                <w:szCs w:val="10"/>
                <w:color w:val="auto"/>
              </w:rPr>
              <w:t>June</w:t>
            </w:r>
          </w:p>
        </w:tc>
      </w:tr>
      <w:tr>
        <w:trPr>
          <w:trHeight w:val="133"/>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Percentage Rent Reset Details</w:t>
            </w:r>
          </w:p>
        </w:tc>
        <w:tc>
          <w:tcPr>
            <w:tcW w:w="204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r>
      <w:tr>
        <w:trPr>
          <w:trHeight w:val="136"/>
        </w:trPr>
        <w:tc>
          <w:tcPr>
            <w:tcW w:w="1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Reset Frequency</w:t>
            </w:r>
          </w:p>
        </w:tc>
        <w:tc>
          <w:tcPr>
            <w:tcW w:w="1160" w:type="dxa"/>
            <w:vAlign w:val="bottom"/>
            <w:tcBorders>
              <w:top w:val="single" w:sz="8" w:color="CCEEFF"/>
            </w:tcBorders>
          </w:tcPr>
          <w:p>
            <w:pPr>
              <w:spacing w:after="0"/>
              <w:rPr>
                <w:sz w:val="11"/>
                <w:szCs w:val="11"/>
                <w:color w:val="auto"/>
              </w:rPr>
            </w:pPr>
          </w:p>
        </w:tc>
        <w:tc>
          <w:tcPr>
            <w:tcW w:w="2040" w:type="dxa"/>
            <w:vAlign w:val="bottom"/>
            <w:tcBorders>
              <w:top w:val="single" w:sz="8" w:color="CCEEFF"/>
            </w:tcBorders>
          </w:tcPr>
          <w:p>
            <w:pPr>
              <w:spacing w:after="0"/>
              <w:rPr>
                <w:sz w:val="11"/>
                <w:szCs w:val="11"/>
                <w:color w:val="auto"/>
              </w:rPr>
            </w:pPr>
          </w:p>
        </w:tc>
        <w:tc>
          <w:tcPr>
            <w:tcW w:w="2300" w:type="dxa"/>
            <w:vAlign w:val="bottom"/>
            <w:tcBorders>
              <w:top w:val="single" w:sz="8" w:color="CCEEFF"/>
            </w:tcBorders>
          </w:tcPr>
          <w:p>
            <w:pPr>
              <w:jc w:val="right"/>
              <w:ind w:right="1112"/>
              <w:spacing w:after="0"/>
              <w:rPr>
                <w:sz w:val="20"/>
                <w:szCs w:val="20"/>
                <w:color w:val="auto"/>
              </w:rPr>
            </w:pPr>
            <w:r>
              <w:rPr>
                <w:rFonts w:ascii="Times New Roman" w:cs="Times New Roman" w:eastAsia="Times New Roman" w:hAnsi="Times New Roman"/>
                <w:sz w:val="10"/>
                <w:szCs w:val="10"/>
                <w:color w:val="auto"/>
              </w:rPr>
              <w:t>N/A</w:t>
            </w:r>
          </w:p>
        </w:tc>
        <w:tc>
          <w:tcPr>
            <w:tcW w:w="192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2300" w:type="dxa"/>
            <w:vAlign w:val="bottom"/>
            <w:tcBorders>
              <w:top w:val="single" w:sz="8" w:color="CCEEFF"/>
            </w:tcBorders>
          </w:tcPr>
          <w:p>
            <w:pPr>
              <w:jc w:val="right"/>
              <w:ind w:right="1612"/>
              <w:spacing w:after="0"/>
              <w:rPr>
                <w:sz w:val="20"/>
                <w:szCs w:val="20"/>
                <w:color w:val="auto"/>
              </w:rPr>
            </w:pPr>
            <w:r>
              <w:rPr>
                <w:rFonts w:ascii="Times New Roman" w:cs="Times New Roman" w:eastAsia="Times New Roman" w:hAnsi="Times New Roman"/>
                <w:sz w:val="10"/>
                <w:szCs w:val="10"/>
                <w:color w:val="auto"/>
              </w:rPr>
              <w:t>N/A</w:t>
            </w:r>
          </w:p>
        </w:tc>
      </w:tr>
      <w:tr>
        <w:trPr>
          <w:trHeight w:val="153"/>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Next Reset</w:t>
            </w:r>
          </w:p>
        </w:tc>
        <w:tc>
          <w:tcPr>
            <w:tcW w:w="2040" w:type="dxa"/>
            <w:vAlign w:val="bottom"/>
            <w:shd w:val="clear" w:color="auto" w:fill="CCEEFF"/>
          </w:tcPr>
          <w:p>
            <w:pPr>
              <w:spacing w:after="0"/>
              <w:rPr>
                <w:sz w:val="13"/>
                <w:szCs w:val="13"/>
                <w:color w:val="auto"/>
              </w:rPr>
            </w:pPr>
          </w:p>
        </w:tc>
        <w:tc>
          <w:tcPr>
            <w:tcW w:w="230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0"/>
                <w:szCs w:val="10"/>
                <w:color w:val="auto"/>
              </w:rPr>
              <w:t>N/A</w:t>
            </w:r>
          </w:p>
        </w:tc>
        <w:tc>
          <w:tcPr>
            <w:tcW w:w="1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300" w:type="dxa"/>
            <w:vAlign w:val="bottom"/>
            <w:shd w:val="clear" w:color="auto" w:fill="CCEEFF"/>
          </w:tcPr>
          <w:p>
            <w:pPr>
              <w:jc w:val="right"/>
              <w:ind w:right="1612"/>
              <w:spacing w:after="0"/>
              <w:rPr>
                <w:sz w:val="20"/>
                <w:szCs w:val="20"/>
                <w:color w:val="auto"/>
              </w:rPr>
            </w:pPr>
            <w:r>
              <w:rPr>
                <w:rFonts w:ascii="Times New Roman" w:cs="Times New Roman" w:eastAsia="Times New Roman" w:hAnsi="Times New Roman"/>
                <w:sz w:val="10"/>
                <w:szCs w:val="10"/>
                <w:color w:val="auto"/>
              </w:rPr>
              <w:t>N/A</w:t>
            </w:r>
          </w:p>
        </w:tc>
      </w:tr>
    </w:tbl>
    <w:p>
      <w:pPr>
        <w:spacing w:after="0" w:line="122" w:lineRule="exact"/>
        <w:rPr>
          <w:sz w:val="20"/>
          <w:szCs w:val="20"/>
          <w:color w:val="auto"/>
        </w:rPr>
      </w:pPr>
    </w:p>
    <w:p>
      <w:pPr>
        <w:ind w:left="208" w:hanging="208"/>
        <w:spacing w:after="0"/>
        <w:tabs>
          <w:tab w:leader="none" w:pos="208"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Consists of two leases that are cross collateralized and co-terminus with each other.</w:t>
      </w:r>
    </w:p>
    <w:p>
      <w:pPr>
        <w:spacing w:after="0" w:line="79" w:lineRule="exact"/>
        <w:rPr>
          <w:rFonts w:ascii="Times New Roman" w:cs="Times New Roman" w:eastAsia="Times New Roman" w:hAnsi="Times New Roman"/>
          <w:sz w:val="16"/>
          <w:szCs w:val="16"/>
          <w:color w:val="auto"/>
          <w:vertAlign w:val="superscript"/>
        </w:rPr>
      </w:pPr>
    </w:p>
    <w:p>
      <w:pPr>
        <w:ind w:left="428" w:hanging="428"/>
        <w:spacing w:after="0" w:line="216" w:lineRule="auto"/>
        <w:tabs>
          <w:tab w:leader="none" w:pos="174"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default adjusted revenue to rent coverage declines to 1.25 if the tenant's adjusted revenues total $75 million or more. Annual rent escalates at 2% beginning in year three of the lease and in year 11 escalates based on the greater of 2% or CPI, capped at 2.5%.</w:t>
      </w:r>
    </w:p>
    <w:p>
      <w:pPr>
        <w:spacing w:after="0" w:line="50" w:lineRule="exact"/>
        <w:rPr>
          <w:rFonts w:ascii="Times New Roman" w:cs="Times New Roman" w:eastAsia="Times New Roman" w:hAnsi="Times New Roman"/>
          <w:sz w:val="16"/>
          <w:szCs w:val="16"/>
          <w:color w:val="auto"/>
          <w:vertAlign w:val="superscript"/>
        </w:rPr>
      </w:pPr>
    </w:p>
    <w:p>
      <w:pPr>
        <w:ind w:left="168" w:hanging="168"/>
        <w:spacing w:after="0"/>
        <w:tabs>
          <w:tab w:leader="none" w:pos="168"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Coverage ratio above is pro forma for the acquisition of the real estate assets of Sunland Park which closed on October 15, 2025.</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18</w:t>
      </w:r>
    </w:p>
    <w:p>
      <w:pPr>
        <w:sectPr>
          <w:pgSz w:w="11900" w:h="16838" w:orient="portrait"/>
          <w:cols w:equalWidth="0" w:num="1">
            <w:col w:w="11308"/>
          </w:cols>
          <w:pgMar w:left="292" w:top="1032" w:right="299" w:bottom="1440" w:gutter="0" w:footer="0" w:header="0"/>
        </w:sectPr>
      </w:pPr>
    </w:p>
    <w:bookmarkStart w:id="21" w:name="page22"/>
    <w:bookmarkEnd w:id="21"/>
    <w:p>
      <w:pPr>
        <w:ind w:left="3848"/>
        <w:spacing w:after="0"/>
        <w:rPr>
          <w:sz w:val="20"/>
          <w:szCs w:val="20"/>
          <w:color w:val="auto"/>
        </w:rPr>
      </w:pPr>
      <w:r>
        <w:rPr>
          <w:rFonts w:ascii="Times New Roman" w:cs="Times New Roman" w:eastAsia="Times New Roman" w:hAnsi="Times New Roman"/>
          <w:sz w:val="10"/>
          <w:szCs w:val="10"/>
          <w:b w:val="1"/>
          <w:bCs w:val="1"/>
          <w:color w:val="auto"/>
        </w:rPr>
        <w:drawing>
          <wp:anchor simplePos="0" relativeHeight="251657728" behindDoc="1" locked="0" layoutInCell="0" allowOverlap="1">
            <wp:simplePos x="0" y="0"/>
            <wp:positionH relativeFrom="page">
              <wp:posOffset>459740</wp:posOffset>
            </wp:positionH>
            <wp:positionV relativeFrom="page">
              <wp:posOffset>528955</wp:posOffset>
            </wp:positionV>
            <wp:extent cx="4920615"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20615" cy="102870"/>
                    </a:xfrm>
                    <a:prstGeom prst="rect">
                      <a:avLst/>
                    </a:prstGeom>
                    <a:noFill/>
                  </pic:spPr>
                </pic:pic>
              </a:graphicData>
            </a:graphic>
          </wp:anchor>
        </w:drawing>
        <w:t>Single Property Leases</w:t>
      </w:r>
    </w:p>
    <w:p>
      <w:pPr>
        <w:spacing w:after="0" w:line="38" w:lineRule="exact"/>
        <w:rPr>
          <w:sz w:val="20"/>
          <w:szCs w:val="20"/>
          <w:color w:val="auto"/>
        </w:rPr>
      </w:pPr>
    </w:p>
    <w:tbl>
      <w:tblPr>
        <w:tblLayout w:type="fixed"/>
        <w:tblInd w:w="428"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320" w:type="dxa"/>
            <w:vAlign w:val="bottom"/>
          </w:tcPr>
          <w:p>
            <w:pPr>
              <w:jc w:val="center"/>
              <w:ind w:left="532"/>
              <w:spacing w:after="0"/>
              <w:rPr>
                <w:sz w:val="20"/>
                <w:szCs w:val="20"/>
                <w:color w:val="auto"/>
              </w:rPr>
            </w:pPr>
            <w:r>
              <w:rPr>
                <w:rFonts w:ascii="Times New Roman" w:cs="Times New Roman" w:eastAsia="Times New Roman" w:hAnsi="Times New Roman"/>
                <w:sz w:val="10"/>
                <w:szCs w:val="10"/>
                <w:b w:val="1"/>
                <w:bCs w:val="1"/>
                <w:color w:val="auto"/>
                <w:w w:val="95"/>
              </w:rPr>
              <w:t>Belterra Park Lease</w:t>
            </w:r>
          </w:p>
        </w:tc>
        <w:tc>
          <w:tcPr>
            <w:tcW w:w="140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4"/>
              </w:rPr>
              <w:t>Horseshoe St. Louis Lease</w:t>
            </w:r>
          </w:p>
        </w:tc>
        <w:tc>
          <w:tcPr>
            <w:tcW w:w="1600" w:type="dxa"/>
            <w:vAlign w:val="bottom"/>
          </w:tcPr>
          <w:p>
            <w:pPr>
              <w:jc w:val="center"/>
              <w:ind w:left="12"/>
              <w:spacing w:after="0"/>
              <w:rPr>
                <w:sz w:val="20"/>
                <w:szCs w:val="20"/>
                <w:color w:val="auto"/>
              </w:rPr>
            </w:pPr>
            <w:r>
              <w:rPr>
                <w:rFonts w:ascii="Times New Roman" w:cs="Times New Roman" w:eastAsia="Times New Roman" w:hAnsi="Times New Roman"/>
                <w:sz w:val="10"/>
                <w:szCs w:val="10"/>
                <w:b w:val="1"/>
                <w:bCs w:val="1"/>
                <w:color w:val="auto"/>
                <w:w w:val="94"/>
              </w:rPr>
              <w:t>Morgantown Lease</w:t>
            </w: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Operator</w:t>
            </w:r>
          </w:p>
        </w:tc>
        <w:tc>
          <w:tcPr>
            <w:tcW w:w="232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0"/>
                <w:szCs w:val="10"/>
                <w:b w:val="1"/>
                <w:bCs w:val="1"/>
                <w:color w:val="auto"/>
                <w:w w:val="98"/>
              </w:rPr>
              <w:t>Boyd</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Caesars</w:t>
            </w:r>
          </w:p>
        </w:tc>
        <w:tc>
          <w:tcPr>
            <w:tcW w:w="160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0"/>
                <w:szCs w:val="10"/>
                <w:b w:val="1"/>
                <w:bCs w:val="1"/>
                <w:color w:val="auto"/>
                <w:w w:val="95"/>
              </w:rPr>
              <w:t>PENN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auto"/>
              </w:rPr>
              <w:t>Properties</w:t>
            </w:r>
          </w:p>
        </w:tc>
        <w:tc>
          <w:tcPr>
            <w:tcW w:w="2320" w:type="dxa"/>
            <w:vAlign w:val="bottom"/>
          </w:tcPr>
          <w:p>
            <w:pPr>
              <w:jc w:val="center"/>
              <w:ind w:left="532"/>
              <w:spacing w:after="0" w:line="103" w:lineRule="exact"/>
              <w:rPr>
                <w:sz w:val="20"/>
                <w:szCs w:val="20"/>
                <w:color w:val="auto"/>
              </w:rPr>
            </w:pPr>
            <w:r>
              <w:rPr>
                <w:rFonts w:ascii="Times New Roman" w:cs="Times New Roman" w:eastAsia="Times New Roman" w:hAnsi="Times New Roman"/>
                <w:sz w:val="10"/>
                <w:szCs w:val="10"/>
                <w:color w:val="auto"/>
                <w:w w:val="95"/>
              </w:rPr>
              <w:t>Belterra Park Gaming &amp; Entertainment</w:t>
            </w:r>
          </w:p>
        </w:tc>
        <w:tc>
          <w:tcPr>
            <w:tcW w:w="1400" w:type="dxa"/>
            <w:vAlign w:val="bottom"/>
            <w:vMerge w:val="restart"/>
          </w:tcPr>
          <w:p>
            <w:pPr>
              <w:jc w:val="center"/>
              <w:ind w:right="12"/>
              <w:spacing w:after="0"/>
              <w:rPr>
                <w:sz w:val="20"/>
                <w:szCs w:val="20"/>
                <w:color w:val="auto"/>
              </w:rPr>
            </w:pPr>
            <w:r>
              <w:rPr>
                <w:rFonts w:ascii="Times New Roman" w:cs="Times New Roman" w:eastAsia="Times New Roman" w:hAnsi="Times New Roman"/>
                <w:sz w:val="10"/>
                <w:szCs w:val="10"/>
                <w:color w:val="auto"/>
                <w:w w:val="96"/>
              </w:rPr>
              <w:t>Horseshoe St. Louis</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Hollywood Casino Morgantown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00" w:type="dxa"/>
            <w:vAlign w:val="bottom"/>
            <w:gridSpan w:val="3"/>
            <w:vMerge w:val="continue"/>
          </w:tcPr>
          <w:p>
            <w:pPr>
              <w:spacing w:after="0"/>
              <w:rPr>
                <w:sz w:val="11"/>
                <w:szCs w:val="11"/>
                <w:color w:val="auto"/>
              </w:rPr>
            </w:pPr>
          </w:p>
        </w:tc>
        <w:tc>
          <w:tcPr>
            <w:tcW w:w="232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7"/>
              </w:rPr>
              <w:t>Center</w:t>
            </w:r>
          </w:p>
        </w:tc>
        <w:tc>
          <w:tcPr>
            <w:tcW w:w="14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32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0"/>
                <w:szCs w:val="10"/>
                <w:color w:val="auto"/>
                <w:w w:val="94"/>
              </w:rPr>
              <w:t>Cincinnati, OH</w:t>
            </w:r>
          </w:p>
        </w:tc>
        <w:tc>
          <w:tcPr>
            <w:tcW w:w="140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0"/>
                <w:szCs w:val="10"/>
                <w:color w:val="auto"/>
                <w:w w:val="94"/>
              </w:rPr>
              <w:t>St. Louis, MO</w:t>
            </w:r>
          </w:p>
        </w:tc>
        <w:tc>
          <w:tcPr>
            <w:tcW w:w="160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0"/>
                <w:szCs w:val="10"/>
                <w:color w:val="auto"/>
                <w:w w:val="94"/>
              </w:rPr>
              <w:t>Morgantown, PA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Commencement Date</w:t>
            </w:r>
          </w:p>
        </w:tc>
        <w:tc>
          <w:tcPr>
            <w:tcW w:w="2320" w:type="dxa"/>
            <w:vAlign w:val="bottom"/>
          </w:tcPr>
          <w:p>
            <w:pPr>
              <w:jc w:val="center"/>
              <w:ind w:left="512"/>
              <w:spacing w:after="0"/>
              <w:rPr>
                <w:sz w:val="20"/>
                <w:szCs w:val="20"/>
                <w:color w:val="auto"/>
              </w:rPr>
            </w:pPr>
            <w:r>
              <w:rPr>
                <w:rFonts w:ascii="Times New Roman" w:cs="Times New Roman" w:eastAsia="Times New Roman" w:hAnsi="Times New Roman"/>
                <w:sz w:val="10"/>
                <w:szCs w:val="10"/>
                <w:color w:val="auto"/>
                <w:w w:val="96"/>
              </w:rPr>
              <w:t>10/15/2018</w:t>
            </w:r>
          </w:p>
        </w:tc>
        <w:tc>
          <w:tcPr>
            <w:tcW w:w="14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9/29/2020</w:t>
            </w:r>
          </w:p>
        </w:tc>
        <w:tc>
          <w:tcPr>
            <w:tcW w:w="160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3"/>
              </w:rPr>
              <w:t>10/1/2020</w:t>
            </w: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Lease Expiration Date</w:t>
            </w:r>
          </w:p>
        </w:tc>
        <w:tc>
          <w:tcPr>
            <w:tcW w:w="232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0"/>
                <w:szCs w:val="10"/>
                <w:color w:val="auto"/>
                <w:w w:val="96"/>
              </w:rPr>
              <w:t>04/30/2031</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6"/>
              </w:rPr>
              <w:t>10/31/2033</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6"/>
              </w:rPr>
              <w:t>10/31/2040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Remaining Renewal Terms</w:t>
            </w:r>
          </w:p>
        </w:tc>
        <w:tc>
          <w:tcPr>
            <w:tcW w:w="2320" w:type="dxa"/>
            <w:vAlign w:val="bottom"/>
          </w:tcPr>
          <w:p>
            <w:pPr>
              <w:jc w:val="center"/>
              <w:ind w:left="512"/>
              <w:spacing w:after="0"/>
              <w:rPr>
                <w:sz w:val="20"/>
                <w:szCs w:val="20"/>
                <w:color w:val="auto"/>
              </w:rPr>
            </w:pPr>
            <w:r>
              <w:rPr>
                <w:rFonts w:ascii="Times New Roman" w:cs="Times New Roman" w:eastAsia="Times New Roman" w:hAnsi="Times New Roman"/>
                <w:sz w:val="10"/>
                <w:szCs w:val="10"/>
                <w:color w:val="auto"/>
                <w:w w:val="96"/>
              </w:rPr>
              <w:t>20 (4x5 years)</w:t>
            </w:r>
          </w:p>
        </w:tc>
        <w:tc>
          <w:tcPr>
            <w:tcW w:w="14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20 (4x5 years)</w:t>
            </w: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30 (6x5 years)</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Corporate Guarantee</w:t>
            </w:r>
          </w:p>
        </w:tc>
        <w:tc>
          <w:tcPr>
            <w:tcW w:w="232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0"/>
                <w:szCs w:val="10"/>
                <w:color w:val="auto"/>
                <w:w w:val="97"/>
              </w:rPr>
              <w:t>No</w:t>
            </w:r>
          </w:p>
        </w:tc>
        <w:tc>
          <w:tcPr>
            <w:tcW w:w="140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0"/>
                <w:szCs w:val="10"/>
                <w:color w:val="auto"/>
                <w:w w:val="89"/>
              </w:rPr>
              <w:t>Yes</w:t>
            </w:r>
          </w:p>
        </w:tc>
        <w:tc>
          <w:tcPr>
            <w:tcW w:w="160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0"/>
                <w:szCs w:val="10"/>
                <w:color w:val="auto"/>
                <w:w w:val="89"/>
              </w:rPr>
              <w:t>Yes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Technical Default Landlord Protection</w:t>
            </w:r>
          </w:p>
        </w:tc>
        <w:tc>
          <w:tcPr>
            <w:tcW w:w="232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89"/>
              </w:rPr>
              <w:t>Yes</w:t>
            </w:r>
          </w:p>
        </w:tc>
        <w:tc>
          <w:tcPr>
            <w:tcW w:w="14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89"/>
              </w:rPr>
              <w:t>Yes</w:t>
            </w:r>
          </w:p>
        </w:tc>
        <w:tc>
          <w:tcPr>
            <w:tcW w:w="160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89"/>
              </w:rPr>
              <w:t>Yes</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Default Adjusted Revenue to Rent Coverage</w:t>
            </w:r>
          </w:p>
        </w:tc>
        <w:tc>
          <w:tcPr>
            <w:tcW w:w="232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0"/>
                <w:szCs w:val="10"/>
                <w:color w:val="auto"/>
                <w:w w:val="95"/>
              </w:rPr>
              <w:t>1.4</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5"/>
              </w:rPr>
              <w:t>1.2</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2"/>
              </w:rPr>
              <w:t>N/A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Competitive Radius Landlord Protection</w:t>
            </w:r>
          </w:p>
        </w:tc>
        <w:tc>
          <w:tcPr>
            <w:tcW w:w="232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89"/>
              </w:rPr>
              <w:t>Yes</w:t>
            </w:r>
          </w:p>
        </w:tc>
        <w:tc>
          <w:tcPr>
            <w:tcW w:w="14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89"/>
              </w:rPr>
              <w:t>Yes</w:t>
            </w: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N/A</w:t>
            </w:r>
          </w:p>
        </w:tc>
        <w:tc>
          <w:tcPr>
            <w:tcW w:w="0" w:type="dxa"/>
            <w:vAlign w:val="bottom"/>
          </w:tcPr>
          <w:p>
            <w:pPr>
              <w:spacing w:after="0"/>
              <w:rPr>
                <w:sz w:val="1"/>
                <w:szCs w:val="1"/>
                <w:color w:val="auto"/>
              </w:rPr>
            </w:pPr>
          </w:p>
        </w:tc>
      </w:tr>
      <w:tr>
        <w:trPr>
          <w:trHeight w:val="133"/>
        </w:trPr>
        <w:tc>
          <w:tcPr>
            <w:tcW w:w="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93"/>
              </w:rPr>
              <w:t>Escalator Details</w:t>
            </w:r>
          </w:p>
        </w:tc>
        <w:tc>
          <w:tcPr>
            <w:tcW w:w="1700" w:type="dxa"/>
            <w:vAlign w:val="bottom"/>
            <w:tcBorders>
              <w:bottom w:val="single" w:sz="8" w:color="CCEEFF"/>
            </w:tcBorders>
            <w:gridSpan w:val="2"/>
            <w:shd w:val="clear" w:color="auto" w:fill="CCEEFF"/>
          </w:tcPr>
          <w:p>
            <w:pPr>
              <w:spacing w:after="0"/>
              <w:rPr>
                <w:sz w:val="11"/>
                <w:szCs w:val="11"/>
                <w:color w:val="auto"/>
              </w:rPr>
            </w:pPr>
          </w:p>
        </w:tc>
        <w:tc>
          <w:tcPr>
            <w:tcW w:w="232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spacing w:after="0"/>
              <w:rPr>
                <w:sz w:val="11"/>
                <w:szCs w:val="11"/>
                <w:color w:val="auto"/>
              </w:rPr>
            </w:pPr>
          </w:p>
        </w:tc>
        <w:tc>
          <w:tcPr>
            <w:tcW w:w="16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Yearly Base Rent Escalator Maximum</w:t>
            </w:r>
          </w:p>
        </w:tc>
        <w:tc>
          <w:tcPr>
            <w:tcW w:w="2320" w:type="dxa"/>
            <w:vAlign w:val="bottom"/>
          </w:tcPr>
          <w:p>
            <w:pPr>
              <w:jc w:val="center"/>
              <w:ind w:left="512"/>
              <w:spacing w:after="0"/>
              <w:rPr>
                <w:sz w:val="20"/>
                <w:szCs w:val="20"/>
                <w:color w:val="auto"/>
              </w:rPr>
            </w:pPr>
            <w:r>
              <w:rPr>
                <w:rFonts w:ascii="Times New Roman" w:cs="Times New Roman" w:eastAsia="Times New Roman" w:hAnsi="Times New Roman"/>
                <w:sz w:val="10"/>
                <w:szCs w:val="10"/>
                <w:color w:val="auto"/>
                <w:w w:val="89"/>
              </w:rPr>
              <w:t>2%</w:t>
            </w:r>
          </w:p>
        </w:tc>
        <w:tc>
          <w:tcPr>
            <w:tcW w:w="14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0"/>
              </w:rPr>
              <w:t xml:space="preserve">1.75% </w:t>
            </w:r>
            <w:r>
              <w:rPr>
                <w:rFonts w:ascii="Times New Roman" w:cs="Times New Roman" w:eastAsia="Times New Roman" w:hAnsi="Times New Roman"/>
                <w:sz w:val="12"/>
                <w:szCs w:val="12"/>
                <w:color w:val="auto"/>
                <w:w w:val="90"/>
                <w:vertAlign w:val="superscript"/>
              </w:rPr>
              <w:t>(1)</w:t>
            </w:r>
          </w:p>
        </w:tc>
        <w:tc>
          <w:tcPr>
            <w:tcW w:w="160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0"/>
              </w:rPr>
              <w:t xml:space="preserve">1.25% </w:t>
            </w:r>
            <w:r>
              <w:rPr>
                <w:rFonts w:ascii="Times New Roman" w:cs="Times New Roman" w:eastAsia="Times New Roman" w:hAnsi="Times New Roman"/>
                <w:sz w:val="12"/>
                <w:szCs w:val="12"/>
                <w:color w:val="auto"/>
                <w:w w:val="90"/>
                <w:vertAlign w:val="superscript"/>
              </w:rPr>
              <w:t>(2)</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Coverage ratio at June 30, 2026</w:t>
            </w:r>
          </w:p>
        </w:tc>
        <w:tc>
          <w:tcPr>
            <w:tcW w:w="232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0"/>
                <w:szCs w:val="10"/>
                <w:color w:val="auto"/>
                <w:w w:val="91"/>
              </w:rPr>
              <w:t>3.27</w:t>
            </w:r>
          </w:p>
        </w:tc>
        <w:tc>
          <w:tcPr>
            <w:tcW w:w="140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0"/>
                <w:szCs w:val="10"/>
                <w:color w:val="auto"/>
              </w:rPr>
              <w:t>2.03</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2"/>
              </w:rPr>
              <w:t>N/A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Minimum Escalator Coverage Governor</w:t>
            </w:r>
          </w:p>
        </w:tc>
        <w:tc>
          <w:tcPr>
            <w:tcW w:w="2320" w:type="dxa"/>
            <w:vAlign w:val="bottom"/>
          </w:tcPr>
          <w:p>
            <w:pPr>
              <w:jc w:val="center"/>
              <w:ind w:left="512"/>
              <w:spacing w:after="0"/>
              <w:rPr>
                <w:sz w:val="20"/>
                <w:szCs w:val="20"/>
                <w:color w:val="auto"/>
              </w:rPr>
            </w:pPr>
            <w:r>
              <w:rPr>
                <w:rFonts w:ascii="Times New Roman" w:cs="Times New Roman" w:eastAsia="Times New Roman" w:hAnsi="Times New Roman"/>
                <w:sz w:val="10"/>
                <w:szCs w:val="10"/>
                <w:color w:val="auto"/>
                <w:w w:val="95"/>
              </w:rPr>
              <w:t>1.8</w:t>
            </w:r>
          </w:p>
        </w:tc>
        <w:tc>
          <w:tcPr>
            <w:tcW w:w="14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N/A</w:t>
            </w: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N/A</w:t>
            </w: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Yearly Anniversary for Realization</w:t>
            </w:r>
          </w:p>
        </w:tc>
        <w:tc>
          <w:tcPr>
            <w:tcW w:w="232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0"/>
                <w:szCs w:val="10"/>
                <w:color w:val="auto"/>
                <w:w w:val="97"/>
              </w:rPr>
              <w:t>May</w:t>
            </w:r>
          </w:p>
        </w:tc>
        <w:tc>
          <w:tcPr>
            <w:tcW w:w="140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0"/>
                <w:szCs w:val="10"/>
                <w:color w:val="auto"/>
                <w:w w:val="92"/>
              </w:rPr>
              <w:t>October</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December</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40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Percentage Rent Reset Details</w:t>
            </w:r>
          </w:p>
        </w:tc>
        <w:tc>
          <w:tcPr>
            <w:tcW w:w="2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1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Reset Frequency</w:t>
            </w:r>
          </w:p>
        </w:tc>
        <w:tc>
          <w:tcPr>
            <w:tcW w:w="1180" w:type="dxa"/>
            <w:vAlign w:val="bottom"/>
            <w:shd w:val="clear" w:color="auto" w:fill="CCEEFF"/>
          </w:tcPr>
          <w:p>
            <w:pPr>
              <w:spacing w:after="0"/>
              <w:rPr>
                <w:sz w:val="13"/>
                <w:szCs w:val="13"/>
                <w:color w:val="auto"/>
              </w:rPr>
            </w:pPr>
          </w:p>
        </w:tc>
        <w:tc>
          <w:tcPr>
            <w:tcW w:w="232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0"/>
                <w:szCs w:val="10"/>
                <w:color w:val="auto"/>
                <w:w w:val="97"/>
              </w:rPr>
              <w:t>2 years</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2"/>
              </w:rPr>
              <w:t>N/A</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2"/>
              </w:rPr>
              <w:t>N/A</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Next Reset</w:t>
            </w:r>
          </w:p>
        </w:tc>
        <w:tc>
          <w:tcPr>
            <w:tcW w:w="232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4"/>
              </w:rPr>
              <w:t>May-28</w:t>
            </w:r>
          </w:p>
        </w:tc>
        <w:tc>
          <w:tcPr>
            <w:tcW w:w="14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N/A</w:t>
            </w: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8" w:hanging="168"/>
        <w:spacing w:after="0"/>
        <w:tabs>
          <w:tab w:leader="none" w:pos="168"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For the sixth and seventh lease years, after which time the annual escalation becomes 2% for the remaining term of the lease.</w:t>
      </w:r>
    </w:p>
    <w:p>
      <w:pPr>
        <w:spacing w:after="0" w:line="151" w:lineRule="exact"/>
        <w:rPr>
          <w:rFonts w:ascii="Times New Roman" w:cs="Times New Roman" w:eastAsia="Times New Roman" w:hAnsi="Times New Roman"/>
          <w:sz w:val="16"/>
          <w:szCs w:val="16"/>
          <w:color w:val="auto"/>
          <w:vertAlign w:val="superscript"/>
        </w:rPr>
      </w:pPr>
    </w:p>
    <w:p>
      <w:pPr>
        <w:ind w:left="428" w:hanging="428"/>
        <w:spacing w:after="0" w:line="222" w:lineRule="auto"/>
        <w:tabs>
          <w:tab w:leader="none" w:pos="165"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If the CPI increase is at least 0.5% for any lease year, the rent for such lease year shall increase by 1.25% of rent as of the immediately preceding lease year, and if the CPI increase is less than 0.5% for such lease year, then the rent shall not increase for such lease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19</w:t>
      </w:r>
    </w:p>
    <w:p>
      <w:pPr>
        <w:sectPr>
          <w:pgSz w:w="11900" w:h="16838" w:orient="portrait"/>
          <w:cols w:equalWidth="0" w:num="1">
            <w:col w:w="11308"/>
          </w:cols>
          <w:pgMar w:left="292" w:top="843" w:right="299" w:bottom="1440" w:gutter="0" w:footer="0" w:header="0"/>
        </w:sectPr>
      </w:pPr>
    </w:p>
    <w:bookmarkStart w:id="22" w:name="page23"/>
    <w:bookmarkEnd w:id="22"/>
    <w:p>
      <w:pPr>
        <w:ind w:left="3848"/>
        <w:spacing w:after="0"/>
        <w:rPr>
          <w:sz w:val="20"/>
          <w:szCs w:val="20"/>
          <w:color w:val="auto"/>
        </w:rPr>
      </w:pPr>
      <w:r>
        <w:rPr>
          <w:rFonts w:ascii="Times New Roman" w:cs="Times New Roman" w:eastAsia="Times New Roman" w:hAnsi="Times New Roman"/>
          <w:sz w:val="10"/>
          <w:szCs w:val="10"/>
          <w:b w:val="1"/>
          <w:bCs w:val="1"/>
          <w:color w:val="auto"/>
        </w:rPr>
        <w:drawing>
          <wp:anchor simplePos="0" relativeHeight="251657728" behindDoc="1" locked="0" layoutInCell="0" allowOverlap="1">
            <wp:simplePos x="0" y="0"/>
            <wp:positionH relativeFrom="page">
              <wp:posOffset>459740</wp:posOffset>
            </wp:positionH>
            <wp:positionV relativeFrom="page">
              <wp:posOffset>426085</wp:posOffset>
            </wp:positionV>
            <wp:extent cx="4920615"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20615" cy="102870"/>
                    </a:xfrm>
                    <a:prstGeom prst="rect">
                      <a:avLst/>
                    </a:prstGeom>
                    <a:noFill/>
                  </pic:spPr>
                </pic:pic>
              </a:graphicData>
            </a:graphic>
          </wp:anchor>
        </w:drawing>
        <w:t>Single Property Leases</w:t>
      </w:r>
    </w:p>
    <w:p>
      <w:pPr>
        <w:spacing w:after="0" w:line="38" w:lineRule="exact"/>
        <w:rPr>
          <w:sz w:val="20"/>
          <w:szCs w:val="20"/>
          <w:color w:val="auto"/>
        </w:rPr>
      </w:pPr>
    </w:p>
    <w:tbl>
      <w:tblPr>
        <w:tblLayout w:type="fixed"/>
        <w:tblInd w:w="428"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180" w:type="dxa"/>
            <w:vAlign w:val="bottom"/>
          </w:tcPr>
          <w:p>
            <w:pPr>
              <w:jc w:val="center"/>
              <w:ind w:left="552"/>
              <w:spacing w:after="0"/>
              <w:rPr>
                <w:sz w:val="20"/>
                <w:szCs w:val="20"/>
                <w:color w:val="auto"/>
              </w:rPr>
            </w:pPr>
            <w:r>
              <w:rPr>
                <w:rFonts w:ascii="Times New Roman" w:cs="Times New Roman" w:eastAsia="Times New Roman" w:hAnsi="Times New Roman"/>
                <w:sz w:val="10"/>
                <w:szCs w:val="10"/>
                <w:b w:val="1"/>
                <w:bCs w:val="1"/>
                <w:color w:val="auto"/>
                <w:w w:val="96"/>
              </w:rPr>
              <w:t>MD Live! Lease</w:t>
            </w:r>
          </w:p>
        </w:tc>
        <w:tc>
          <w:tcPr>
            <w:tcW w:w="1440" w:type="dxa"/>
            <w:vAlign w:val="bottom"/>
          </w:tcPr>
          <w:p>
            <w:pPr>
              <w:jc w:val="center"/>
              <w:ind w:left="32"/>
              <w:spacing w:after="0"/>
              <w:rPr>
                <w:sz w:val="20"/>
                <w:szCs w:val="20"/>
                <w:color w:val="auto"/>
              </w:rPr>
            </w:pPr>
            <w:r>
              <w:rPr>
                <w:rFonts w:ascii="Times New Roman" w:cs="Times New Roman" w:eastAsia="Times New Roman" w:hAnsi="Times New Roman"/>
                <w:sz w:val="10"/>
                <w:szCs w:val="10"/>
                <w:b w:val="1"/>
                <w:bCs w:val="1"/>
                <w:color w:val="auto"/>
                <w:w w:val="95"/>
              </w:rPr>
              <w:t>Tropicana Lease</w:t>
            </w: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10"/>
                <w:szCs w:val="10"/>
                <w:b w:val="1"/>
                <w:bCs w:val="1"/>
                <w:color w:val="auto"/>
                <w:w w:val="96"/>
              </w:rPr>
              <w:t>Tioga Downs Lease</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2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Operator</w:t>
            </w:r>
          </w:p>
        </w:tc>
        <w:tc>
          <w:tcPr>
            <w:tcW w:w="2180" w:type="dxa"/>
            <w:vAlign w:val="bottom"/>
            <w:shd w:val="clear" w:color="auto" w:fill="CCEEFF"/>
          </w:tcPr>
          <w:p>
            <w:pPr>
              <w:jc w:val="center"/>
              <w:ind w:left="552"/>
              <w:spacing w:after="0"/>
              <w:rPr>
                <w:sz w:val="20"/>
                <w:szCs w:val="20"/>
                <w:color w:val="auto"/>
              </w:rPr>
            </w:pPr>
            <w:r>
              <w:rPr>
                <w:rFonts w:ascii="Times New Roman" w:cs="Times New Roman" w:eastAsia="Times New Roman" w:hAnsi="Times New Roman"/>
                <w:sz w:val="10"/>
                <w:szCs w:val="10"/>
                <w:b w:val="1"/>
                <w:bCs w:val="1"/>
                <w:color w:val="auto"/>
                <w:w w:val="98"/>
              </w:rPr>
              <w:t>Cordish</w:t>
            </w:r>
          </w:p>
        </w:tc>
        <w:tc>
          <w:tcPr>
            <w:tcW w:w="144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0"/>
                <w:szCs w:val="10"/>
                <w:b w:val="1"/>
                <w:bCs w:val="1"/>
                <w:color w:val="auto"/>
                <w:w w:val="96"/>
              </w:rPr>
              <w:t>Bally's</w:t>
            </w:r>
          </w:p>
        </w:tc>
        <w:tc>
          <w:tcPr>
            <w:tcW w:w="164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0"/>
                <w:szCs w:val="10"/>
                <w:b w:val="1"/>
                <w:bCs w:val="1"/>
                <w:color w:val="auto"/>
                <w:w w:val="95"/>
              </w:rPr>
              <w:t>American Racing and Entertainment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Properties</w:t>
            </w:r>
          </w:p>
        </w:tc>
        <w:tc>
          <w:tcPr>
            <w:tcW w:w="218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6"/>
              </w:rPr>
              <w:t>Live! Casino &amp; Hotel Maryland</w:t>
            </w:r>
          </w:p>
        </w:tc>
        <w:tc>
          <w:tcPr>
            <w:tcW w:w="14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4"/>
              </w:rPr>
              <w:t>Tropicana Las Vegas</w:t>
            </w: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Tioga Downs</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18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0"/>
                <w:szCs w:val="10"/>
                <w:color w:val="auto"/>
                <w:w w:val="93"/>
              </w:rPr>
              <w:t>Hanover, MD</w:t>
            </w:r>
          </w:p>
        </w:tc>
        <w:tc>
          <w:tcPr>
            <w:tcW w:w="144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0"/>
                <w:szCs w:val="10"/>
                <w:color w:val="auto"/>
                <w:w w:val="94"/>
              </w:rPr>
              <w:t>Las Vegas, NV</w:t>
            </w:r>
          </w:p>
        </w:tc>
        <w:tc>
          <w:tcPr>
            <w:tcW w:w="164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0"/>
                <w:szCs w:val="10"/>
                <w:color w:val="auto"/>
                <w:w w:val="94"/>
              </w:rPr>
              <w:t>Nichols, NY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Commencement Date</w:t>
            </w:r>
          </w:p>
        </w:tc>
        <w:tc>
          <w:tcPr>
            <w:tcW w:w="218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6"/>
              </w:rPr>
              <w:t>12/29/2021</w:t>
            </w:r>
          </w:p>
        </w:tc>
        <w:tc>
          <w:tcPr>
            <w:tcW w:w="14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3"/>
              </w:rPr>
              <w:t>9/26/2022</w:t>
            </w:r>
          </w:p>
        </w:tc>
        <w:tc>
          <w:tcPr>
            <w:tcW w:w="164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5"/>
              </w:rPr>
              <w:t>2/6/2024</w:t>
            </w: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2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Lease Expiration Date</w:t>
            </w:r>
          </w:p>
        </w:tc>
        <w:tc>
          <w:tcPr>
            <w:tcW w:w="218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0"/>
                <w:szCs w:val="10"/>
                <w:color w:val="auto"/>
                <w:w w:val="96"/>
              </w:rPr>
              <w:t>12/31/2060</w:t>
            </w:r>
          </w:p>
        </w:tc>
        <w:tc>
          <w:tcPr>
            <w:tcW w:w="144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0"/>
                <w:szCs w:val="10"/>
                <w:color w:val="auto"/>
                <w:w w:val="93"/>
              </w:rPr>
              <w:t>9/25/2072</w:t>
            </w:r>
          </w:p>
        </w:tc>
        <w:tc>
          <w:tcPr>
            <w:tcW w:w="16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0"/>
                <w:szCs w:val="10"/>
                <w:color w:val="auto"/>
                <w:w w:val="93"/>
              </w:rPr>
              <w:t>2/28/2054</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auto"/>
              </w:rPr>
              <w:t>Remaining Renewal Terms</w:t>
            </w:r>
          </w:p>
        </w:tc>
        <w:tc>
          <w:tcPr>
            <w:tcW w:w="2180" w:type="dxa"/>
            <w:vAlign w:val="bottom"/>
            <w:vMerge w:val="restart"/>
          </w:tcPr>
          <w:p>
            <w:pPr>
              <w:jc w:val="center"/>
              <w:ind w:left="552"/>
              <w:spacing w:after="0"/>
              <w:rPr>
                <w:sz w:val="20"/>
                <w:szCs w:val="20"/>
                <w:color w:val="auto"/>
              </w:rPr>
            </w:pPr>
            <w:r>
              <w:rPr>
                <w:rFonts w:ascii="Times New Roman" w:cs="Times New Roman" w:eastAsia="Times New Roman" w:hAnsi="Times New Roman"/>
                <w:sz w:val="10"/>
                <w:szCs w:val="10"/>
                <w:color w:val="auto"/>
                <w:w w:val="95"/>
              </w:rPr>
              <w:t>21 (1x11 years, 1x10 years)</w:t>
            </w:r>
          </w:p>
        </w:tc>
        <w:tc>
          <w:tcPr>
            <w:tcW w:w="1440" w:type="dxa"/>
            <w:vAlign w:val="bottom"/>
            <w:vMerge w:val="restart"/>
          </w:tcPr>
          <w:p>
            <w:pPr>
              <w:jc w:val="center"/>
              <w:ind w:left="32"/>
              <w:spacing w:after="0"/>
              <w:rPr>
                <w:sz w:val="20"/>
                <w:szCs w:val="20"/>
                <w:color w:val="auto"/>
              </w:rPr>
            </w:pPr>
            <w:r>
              <w:rPr>
                <w:rFonts w:ascii="Times New Roman" w:cs="Times New Roman" w:eastAsia="Times New Roman" w:hAnsi="Times New Roman"/>
                <w:sz w:val="10"/>
                <w:szCs w:val="10"/>
                <w:color w:val="auto"/>
                <w:w w:val="95"/>
              </w:rPr>
              <w:t>49 (1 x 24 years, 1 x 25 years)</w:t>
            </w:r>
          </w:p>
        </w:tc>
        <w:tc>
          <w:tcPr>
            <w:tcW w:w="1640" w:type="dxa"/>
            <w:vAlign w:val="bottom"/>
          </w:tcPr>
          <w:p>
            <w:pPr>
              <w:jc w:val="center"/>
              <w:ind w:left="52"/>
              <w:spacing w:after="0" w:line="103" w:lineRule="exact"/>
              <w:rPr>
                <w:sz w:val="20"/>
                <w:szCs w:val="20"/>
                <w:color w:val="auto"/>
              </w:rPr>
            </w:pPr>
            <w:r>
              <w:rPr>
                <w:rFonts w:ascii="Times New Roman" w:cs="Times New Roman" w:eastAsia="Times New Roman" w:hAnsi="Times New Roman"/>
                <w:sz w:val="10"/>
                <w:szCs w:val="10"/>
                <w:color w:val="auto"/>
                <w:w w:val="96"/>
              </w:rPr>
              <w:t>32 years and 10 months (2x10 years,</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60" w:type="dxa"/>
            <w:vAlign w:val="bottom"/>
            <w:gridSpan w:val="3"/>
            <w:vMerge w:val="continue"/>
          </w:tcPr>
          <w:p>
            <w:pPr>
              <w:spacing w:after="0"/>
              <w:rPr>
                <w:sz w:val="11"/>
                <w:szCs w:val="11"/>
                <w:color w:val="auto"/>
              </w:rPr>
            </w:pPr>
          </w:p>
        </w:tc>
        <w:tc>
          <w:tcPr>
            <w:tcW w:w="21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1x12 years and 10 months)</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2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Corporate Guarantee</w:t>
            </w:r>
          </w:p>
        </w:tc>
        <w:tc>
          <w:tcPr>
            <w:tcW w:w="218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0"/>
                <w:szCs w:val="10"/>
                <w:color w:val="auto"/>
                <w:w w:val="97"/>
              </w:rPr>
              <w:t>No</w:t>
            </w:r>
          </w:p>
        </w:tc>
        <w:tc>
          <w:tcPr>
            <w:tcW w:w="144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0"/>
                <w:szCs w:val="10"/>
                <w:color w:val="auto"/>
                <w:w w:val="89"/>
              </w:rPr>
              <w:t>Yes</w:t>
            </w:r>
          </w:p>
        </w:tc>
        <w:tc>
          <w:tcPr>
            <w:tcW w:w="16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0"/>
                <w:szCs w:val="10"/>
                <w:color w:val="auto"/>
                <w:w w:val="89"/>
              </w:rPr>
              <w:t>Yes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Technical Default Landlord Protection</w:t>
            </w:r>
          </w:p>
        </w:tc>
        <w:tc>
          <w:tcPr>
            <w:tcW w:w="2180" w:type="dxa"/>
            <w:vAlign w:val="bottom"/>
          </w:tcPr>
          <w:p>
            <w:pPr>
              <w:jc w:val="center"/>
              <w:ind w:left="552"/>
              <w:spacing w:after="0"/>
              <w:rPr>
                <w:sz w:val="20"/>
                <w:szCs w:val="20"/>
                <w:color w:val="auto"/>
              </w:rPr>
            </w:pPr>
            <w:r>
              <w:rPr>
                <w:rFonts w:ascii="Times New Roman" w:cs="Times New Roman" w:eastAsia="Times New Roman" w:hAnsi="Times New Roman"/>
                <w:sz w:val="10"/>
                <w:szCs w:val="10"/>
                <w:color w:val="auto"/>
                <w:w w:val="89"/>
              </w:rPr>
              <w:t>Yes</w:t>
            </w:r>
          </w:p>
        </w:tc>
        <w:tc>
          <w:tcPr>
            <w:tcW w:w="14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89"/>
              </w:rPr>
              <w:t>Yes</w:t>
            </w:r>
          </w:p>
        </w:tc>
        <w:tc>
          <w:tcPr>
            <w:tcW w:w="164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89"/>
              </w:rPr>
              <w:t>Yes</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2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Default Adjusted Revenue to Rent Coverage</w:t>
            </w:r>
          </w:p>
        </w:tc>
        <w:tc>
          <w:tcPr>
            <w:tcW w:w="218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0"/>
                <w:szCs w:val="10"/>
                <w:color w:val="auto"/>
                <w:w w:val="95"/>
              </w:rPr>
              <w:t>1.4</w:t>
            </w:r>
          </w:p>
        </w:tc>
        <w:tc>
          <w:tcPr>
            <w:tcW w:w="144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0"/>
                <w:szCs w:val="10"/>
                <w:color w:val="auto"/>
                <w:w w:val="94"/>
              </w:rPr>
              <w:t>1.35 (1)</w:t>
            </w:r>
          </w:p>
        </w:tc>
        <w:tc>
          <w:tcPr>
            <w:tcW w:w="164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0"/>
                <w:szCs w:val="10"/>
                <w:color w:val="auto"/>
                <w:w w:val="95"/>
              </w:rPr>
              <w:t>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Competitive Radius Landlord Protection</w:t>
            </w:r>
          </w:p>
        </w:tc>
        <w:tc>
          <w:tcPr>
            <w:tcW w:w="2180" w:type="dxa"/>
            <w:vAlign w:val="bottom"/>
          </w:tcPr>
          <w:p>
            <w:pPr>
              <w:jc w:val="center"/>
              <w:ind w:left="552"/>
              <w:spacing w:after="0"/>
              <w:rPr>
                <w:sz w:val="20"/>
                <w:szCs w:val="20"/>
                <w:color w:val="auto"/>
              </w:rPr>
            </w:pPr>
            <w:r>
              <w:rPr>
                <w:rFonts w:ascii="Times New Roman" w:cs="Times New Roman" w:eastAsia="Times New Roman" w:hAnsi="Times New Roman"/>
                <w:sz w:val="10"/>
                <w:szCs w:val="10"/>
                <w:color w:val="auto"/>
                <w:w w:val="89"/>
              </w:rPr>
              <w:t>Yes</w:t>
            </w:r>
          </w:p>
        </w:tc>
        <w:tc>
          <w:tcPr>
            <w:tcW w:w="14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89"/>
              </w:rPr>
              <w:t>Yes</w:t>
            </w:r>
          </w:p>
        </w:tc>
        <w:tc>
          <w:tcPr>
            <w:tcW w:w="164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89"/>
              </w:rPr>
              <w:t>Yes</w:t>
            </w:r>
          </w:p>
        </w:tc>
        <w:tc>
          <w:tcPr>
            <w:tcW w:w="0" w:type="dxa"/>
            <w:vAlign w:val="bottom"/>
          </w:tcPr>
          <w:p>
            <w:pPr>
              <w:spacing w:after="0"/>
              <w:rPr>
                <w:sz w:val="1"/>
                <w:szCs w:val="1"/>
                <w:color w:val="auto"/>
              </w:rPr>
            </w:pPr>
          </w:p>
        </w:tc>
      </w:tr>
      <w:tr>
        <w:trPr>
          <w:trHeight w:val="133"/>
        </w:trPr>
        <w:tc>
          <w:tcPr>
            <w:tcW w:w="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93"/>
              </w:rPr>
              <w:t>Escalator Details</w:t>
            </w:r>
          </w:p>
        </w:tc>
        <w:tc>
          <w:tcPr>
            <w:tcW w:w="1760" w:type="dxa"/>
            <w:vAlign w:val="bottom"/>
            <w:tcBorders>
              <w:bottom w:val="single" w:sz="8" w:color="CCEEFF"/>
            </w:tcBorders>
            <w:gridSpan w:val="2"/>
            <w:shd w:val="clear" w:color="auto" w:fill="CCEEFF"/>
          </w:tcPr>
          <w:p>
            <w:pPr>
              <w:spacing w:after="0"/>
              <w:rPr>
                <w:sz w:val="11"/>
                <w:szCs w:val="11"/>
                <w:color w:val="auto"/>
              </w:rPr>
            </w:pPr>
          </w:p>
        </w:tc>
        <w:tc>
          <w:tcPr>
            <w:tcW w:w="2180" w:type="dxa"/>
            <w:vAlign w:val="bottom"/>
            <w:tcBorders>
              <w:bottom w:val="single" w:sz="8" w:color="CCEEFF"/>
            </w:tcBorders>
            <w:shd w:val="clear" w:color="auto" w:fill="CCEEFF"/>
          </w:tcPr>
          <w:p>
            <w:pPr>
              <w:spacing w:after="0"/>
              <w:rPr>
                <w:sz w:val="11"/>
                <w:szCs w:val="11"/>
                <w:color w:val="auto"/>
              </w:rPr>
            </w:pPr>
          </w:p>
        </w:tc>
        <w:tc>
          <w:tcPr>
            <w:tcW w:w="1440" w:type="dxa"/>
            <w:vAlign w:val="bottom"/>
            <w:tcBorders>
              <w:bottom w:val="single" w:sz="8" w:color="CCEEFF"/>
            </w:tcBorders>
            <w:shd w:val="clear" w:color="auto" w:fill="CCEEFF"/>
          </w:tcPr>
          <w:p>
            <w:pPr>
              <w:spacing w:after="0"/>
              <w:rPr>
                <w:sz w:val="11"/>
                <w:szCs w:val="11"/>
                <w:color w:val="auto"/>
              </w:rPr>
            </w:pPr>
          </w:p>
        </w:tc>
        <w:tc>
          <w:tcPr>
            <w:tcW w:w="16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Yearly Base Rent Escalator Maximum</w:t>
            </w:r>
          </w:p>
        </w:tc>
        <w:tc>
          <w:tcPr>
            <w:tcW w:w="218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2"/>
              </w:rPr>
              <w:t>1.75%</w:t>
            </w:r>
          </w:p>
        </w:tc>
        <w:tc>
          <w:tcPr>
            <w:tcW w:w="14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85"/>
              </w:rPr>
              <w:t>(2)</w:t>
            </w:r>
          </w:p>
        </w:tc>
        <w:tc>
          <w:tcPr>
            <w:tcW w:w="164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0"/>
              </w:rPr>
              <w:t xml:space="preserve">1.75% </w:t>
            </w:r>
            <w:r>
              <w:rPr>
                <w:rFonts w:ascii="Times New Roman" w:cs="Times New Roman" w:eastAsia="Times New Roman" w:hAnsi="Times New Roman"/>
                <w:sz w:val="12"/>
                <w:szCs w:val="12"/>
                <w:color w:val="auto"/>
                <w:w w:val="90"/>
                <w:vertAlign w:val="superscript"/>
              </w:rPr>
              <w:t>(3)</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2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Coverage ratio at June 30, 2026</w:t>
            </w:r>
          </w:p>
        </w:tc>
        <w:tc>
          <w:tcPr>
            <w:tcW w:w="218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0"/>
                <w:szCs w:val="10"/>
                <w:color w:val="auto"/>
                <w:w w:val="91"/>
              </w:rPr>
              <w:t>3.34</w:t>
            </w:r>
          </w:p>
        </w:tc>
        <w:tc>
          <w:tcPr>
            <w:tcW w:w="144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0"/>
                <w:szCs w:val="10"/>
                <w:color w:val="auto"/>
                <w:w w:val="92"/>
              </w:rPr>
              <w:t>N/A</w:t>
            </w:r>
          </w:p>
        </w:tc>
        <w:tc>
          <w:tcPr>
            <w:tcW w:w="164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0"/>
                <w:szCs w:val="10"/>
                <w:color w:val="auto"/>
                <w:w w:val="91"/>
              </w:rPr>
              <w:t>1.99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Minimum Escalator Coverage Governor</w:t>
            </w:r>
          </w:p>
        </w:tc>
        <w:tc>
          <w:tcPr>
            <w:tcW w:w="218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2"/>
              </w:rPr>
              <w:t>N/A</w:t>
            </w:r>
          </w:p>
        </w:tc>
        <w:tc>
          <w:tcPr>
            <w:tcW w:w="14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2"/>
              </w:rPr>
              <w:t>N/A</w:t>
            </w: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2"/>
              </w:rPr>
              <w:t>N/A</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2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Yearly Anniversary for Realization</w:t>
            </w:r>
          </w:p>
        </w:tc>
        <w:tc>
          <w:tcPr>
            <w:tcW w:w="2180" w:type="dxa"/>
            <w:vAlign w:val="bottom"/>
            <w:shd w:val="clear" w:color="auto" w:fill="CCEEFF"/>
          </w:tcPr>
          <w:p>
            <w:pPr>
              <w:jc w:val="center"/>
              <w:ind w:left="552"/>
              <w:spacing w:after="0"/>
              <w:rPr>
                <w:sz w:val="20"/>
                <w:szCs w:val="20"/>
                <w:color w:val="auto"/>
              </w:rPr>
            </w:pPr>
            <w:r>
              <w:rPr>
                <w:rFonts w:ascii="Times New Roman" w:cs="Times New Roman" w:eastAsia="Times New Roman" w:hAnsi="Times New Roman"/>
                <w:sz w:val="10"/>
                <w:szCs w:val="10"/>
                <w:color w:val="auto"/>
                <w:w w:val="96"/>
              </w:rPr>
              <w:t>January</w:t>
            </w:r>
          </w:p>
        </w:tc>
        <w:tc>
          <w:tcPr>
            <w:tcW w:w="144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0"/>
                <w:szCs w:val="10"/>
                <w:color w:val="auto"/>
                <w:w w:val="92"/>
              </w:rPr>
              <w:t>October</w:t>
            </w:r>
          </w:p>
        </w:tc>
        <w:tc>
          <w:tcPr>
            <w:tcW w:w="16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0"/>
                <w:szCs w:val="10"/>
                <w:color w:val="auto"/>
                <w:w w:val="99"/>
              </w:rPr>
              <w:t>March</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46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Percentage Rent Reset Details</w:t>
            </w:r>
          </w:p>
        </w:tc>
        <w:tc>
          <w:tcPr>
            <w:tcW w:w="2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1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Reset Frequency</w:t>
            </w:r>
          </w:p>
        </w:tc>
        <w:tc>
          <w:tcPr>
            <w:tcW w:w="1240" w:type="dxa"/>
            <w:vAlign w:val="bottom"/>
            <w:shd w:val="clear" w:color="auto" w:fill="CCEEFF"/>
          </w:tcPr>
          <w:p>
            <w:pPr>
              <w:spacing w:after="0"/>
              <w:rPr>
                <w:sz w:val="13"/>
                <w:szCs w:val="13"/>
                <w:color w:val="auto"/>
              </w:rPr>
            </w:pPr>
          </w:p>
        </w:tc>
        <w:tc>
          <w:tcPr>
            <w:tcW w:w="218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0"/>
                <w:szCs w:val="10"/>
                <w:color w:val="auto"/>
                <w:w w:val="92"/>
              </w:rPr>
              <w:t>N/A</w:t>
            </w:r>
          </w:p>
        </w:tc>
        <w:tc>
          <w:tcPr>
            <w:tcW w:w="144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0"/>
                <w:szCs w:val="10"/>
                <w:color w:val="auto"/>
                <w:w w:val="92"/>
              </w:rPr>
              <w:t>N/A</w:t>
            </w:r>
          </w:p>
        </w:tc>
        <w:tc>
          <w:tcPr>
            <w:tcW w:w="164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0"/>
                <w:szCs w:val="10"/>
                <w:color w:val="auto"/>
                <w:w w:val="92"/>
              </w:rPr>
              <w:t>N/A</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Next Reset</w:t>
            </w:r>
          </w:p>
        </w:tc>
        <w:tc>
          <w:tcPr>
            <w:tcW w:w="2180" w:type="dxa"/>
            <w:vAlign w:val="bottom"/>
          </w:tcPr>
          <w:p>
            <w:pPr>
              <w:jc w:val="center"/>
              <w:ind w:left="532"/>
              <w:spacing w:after="0"/>
              <w:rPr>
                <w:sz w:val="20"/>
                <w:szCs w:val="20"/>
                <w:color w:val="auto"/>
              </w:rPr>
            </w:pPr>
            <w:r>
              <w:rPr>
                <w:rFonts w:ascii="Times New Roman" w:cs="Times New Roman" w:eastAsia="Times New Roman" w:hAnsi="Times New Roman"/>
                <w:sz w:val="10"/>
                <w:szCs w:val="10"/>
                <w:color w:val="auto"/>
                <w:w w:val="92"/>
              </w:rPr>
              <w:t>N/A</w:t>
            </w:r>
          </w:p>
        </w:tc>
        <w:tc>
          <w:tcPr>
            <w:tcW w:w="14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2"/>
              </w:rPr>
              <w:t>N/A</w:t>
            </w: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2"/>
              </w:rPr>
              <w:t>N/A</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428" w:hanging="428"/>
        <w:spacing w:after="0" w:line="222" w:lineRule="auto"/>
        <w:tabs>
          <w:tab w:leader="none" w:pos="165"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If the tenant's parent's net leverage is greater than 5.5 to 1, then the adjusted revenue to rent coverage for the last two consecutive test periods must be at least 1.35. If the tenant's parent's net leverage is equal to or less than 5.5 to 1, then the ratio shall be reduced to 1.2.</w:t>
      </w:r>
    </w:p>
    <w:p>
      <w:pPr>
        <w:spacing w:after="0" w:line="152" w:lineRule="exact"/>
        <w:rPr>
          <w:rFonts w:ascii="Times New Roman" w:cs="Times New Roman" w:eastAsia="Times New Roman" w:hAnsi="Times New Roman"/>
          <w:sz w:val="16"/>
          <w:szCs w:val="16"/>
          <w:color w:val="auto"/>
          <w:vertAlign w:val="superscript"/>
        </w:rPr>
      </w:pPr>
    </w:p>
    <w:p>
      <w:pPr>
        <w:ind w:left="428" w:hanging="428"/>
        <w:spacing w:after="0" w:line="222" w:lineRule="auto"/>
        <w:tabs>
          <w:tab w:leader="none" w:pos="174"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w:t>
      </w:r>
    </w:p>
    <w:p>
      <w:pPr>
        <w:spacing w:after="0" w:line="132" w:lineRule="exact"/>
        <w:rPr>
          <w:rFonts w:ascii="Times New Roman" w:cs="Times New Roman" w:eastAsia="Times New Roman" w:hAnsi="Times New Roman"/>
          <w:sz w:val="16"/>
          <w:szCs w:val="16"/>
          <w:color w:val="auto"/>
          <w:vertAlign w:val="superscript"/>
        </w:rPr>
      </w:pPr>
    </w:p>
    <w:p>
      <w:pPr>
        <w:ind w:left="168" w:hanging="168"/>
        <w:spacing w:after="0"/>
        <w:tabs>
          <w:tab w:leader="none" w:pos="168"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Increases by 1.75% beginning with the first anniversary and increases to 2% beginning in year fifteen of the lease through the remainder of the initial lease term.</w:t>
      </w:r>
    </w:p>
    <w:p>
      <w:pPr>
        <w:spacing w:after="0" w:line="200" w:lineRule="exact"/>
        <w:rPr>
          <w:sz w:val="20"/>
          <w:szCs w:val="20"/>
          <w:color w:val="auto"/>
        </w:rPr>
      </w:pPr>
    </w:p>
    <w:p>
      <w:pPr>
        <w:spacing w:after="0" w:line="3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20</w:t>
      </w:r>
    </w:p>
    <w:p>
      <w:pPr>
        <w:sectPr>
          <w:pgSz w:w="11900" w:h="16838" w:orient="portrait"/>
          <w:cols w:equalWidth="0" w:num="1">
            <w:col w:w="11288"/>
          </w:cols>
          <w:pgMar w:left="292" w:top="681" w:right="319" w:bottom="1440" w:gutter="0" w:footer="0" w:header="0"/>
        </w:sectPr>
      </w:pPr>
    </w:p>
    <w:bookmarkStart w:id="23" w:name="page24"/>
    <w:bookmarkEnd w:id="23"/>
    <w:p>
      <w:pPr>
        <w:ind w:left="4048"/>
        <w:spacing w:after="0"/>
        <w:rPr>
          <w:sz w:val="20"/>
          <w:szCs w:val="20"/>
          <w:color w:val="auto"/>
        </w:rPr>
      </w:pPr>
      <w:r>
        <w:rPr>
          <w:rFonts w:ascii="Times New Roman" w:cs="Times New Roman" w:eastAsia="Times New Roman" w:hAnsi="Times New Roman"/>
          <w:sz w:val="10"/>
          <w:szCs w:val="10"/>
          <w:b w:val="1"/>
          <w:bCs w:val="1"/>
          <w:color w:val="auto"/>
        </w:rPr>
        <w:drawing>
          <wp:anchor simplePos="0" relativeHeight="251657728" behindDoc="1" locked="0" layoutInCell="0" allowOverlap="1">
            <wp:simplePos x="0" y="0"/>
            <wp:positionH relativeFrom="page">
              <wp:posOffset>459740</wp:posOffset>
            </wp:positionH>
            <wp:positionV relativeFrom="page">
              <wp:posOffset>700405</wp:posOffset>
            </wp:positionV>
            <wp:extent cx="5189220"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89220" cy="102870"/>
                    </a:xfrm>
                    <a:prstGeom prst="rect">
                      <a:avLst/>
                    </a:prstGeom>
                    <a:noFill/>
                  </pic:spPr>
                </pic:pic>
              </a:graphicData>
            </a:graphic>
          </wp:anchor>
        </w:drawing>
        <w:t>Single Property Leases</w:t>
      </w:r>
    </w:p>
    <w:p>
      <w:pPr>
        <w:spacing w:after="0" w:line="38" w:lineRule="exact"/>
        <w:rPr>
          <w:sz w:val="20"/>
          <w:szCs w:val="20"/>
          <w:color w:val="auto"/>
        </w:rPr>
      </w:pPr>
    </w:p>
    <w:tbl>
      <w:tblPr>
        <w:tblLayout w:type="fixed"/>
        <w:tblInd w:w="428"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100" w:type="dxa"/>
            <w:vAlign w:val="bottom"/>
          </w:tcPr>
          <w:p>
            <w:pPr>
              <w:jc w:val="center"/>
              <w:ind w:left="512"/>
              <w:spacing w:after="0"/>
              <w:rPr>
                <w:sz w:val="20"/>
                <w:szCs w:val="20"/>
                <w:color w:val="auto"/>
              </w:rPr>
            </w:pPr>
            <w:r>
              <w:rPr>
                <w:rFonts w:ascii="Times New Roman" w:cs="Times New Roman" w:eastAsia="Times New Roman" w:hAnsi="Times New Roman"/>
                <w:sz w:val="10"/>
                <w:szCs w:val="10"/>
                <w:b w:val="1"/>
                <w:bCs w:val="1"/>
                <w:color w:val="auto"/>
                <w:w w:val="97"/>
              </w:rPr>
              <w:t>Rockford Lease</w:t>
            </w: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Bally's Chicago Lease</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Virginia Live!</w:t>
            </w:r>
          </w:p>
        </w:tc>
      </w:tr>
      <w:tr>
        <w:trPr>
          <w:trHeight w:val="153"/>
        </w:trPr>
        <w:tc>
          <w:tcPr>
            <w:tcW w:w="20" w:type="dxa"/>
            <w:vAlign w:val="bottom"/>
            <w:shd w:val="clear" w:color="auto" w:fill="CCEEFF"/>
          </w:tcPr>
          <w:p>
            <w:pPr>
              <w:spacing w:after="0"/>
              <w:rPr>
                <w:sz w:val="13"/>
                <w:szCs w:val="13"/>
                <w:color w:val="auto"/>
              </w:rPr>
            </w:pPr>
          </w:p>
        </w:tc>
        <w:tc>
          <w:tcPr>
            <w:tcW w:w="2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Operator</w:t>
            </w:r>
          </w:p>
        </w:tc>
        <w:tc>
          <w:tcPr>
            <w:tcW w:w="210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0"/>
                <w:szCs w:val="10"/>
                <w:b w:val="1"/>
                <w:bCs w:val="1"/>
                <w:color w:val="auto"/>
                <w:w w:val="95"/>
              </w:rPr>
              <w:t>(managed by Hard Rock)</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Bally's</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Cordish</w:t>
            </w:r>
          </w:p>
        </w:tc>
      </w:tr>
      <w:tr>
        <w:trPr>
          <w:trHeight w:val="136"/>
        </w:trPr>
        <w:tc>
          <w:tcPr>
            <w:tcW w:w="20" w:type="dxa"/>
            <w:vAlign w:val="bottom"/>
          </w:tcPr>
          <w:p>
            <w:pPr>
              <w:spacing w:after="0"/>
              <w:rPr>
                <w:sz w:val="11"/>
                <w:szCs w:val="11"/>
                <w:color w:val="auto"/>
              </w:rPr>
            </w:pPr>
          </w:p>
        </w:tc>
        <w:tc>
          <w:tcPr>
            <w:tcW w:w="25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Properties</w:t>
            </w:r>
          </w:p>
        </w:tc>
        <w:tc>
          <w:tcPr>
            <w:tcW w:w="2100" w:type="dxa"/>
            <w:vAlign w:val="bottom"/>
          </w:tcPr>
          <w:p>
            <w:pPr>
              <w:jc w:val="center"/>
              <w:ind w:left="512"/>
              <w:spacing w:after="0"/>
              <w:rPr>
                <w:sz w:val="20"/>
                <w:szCs w:val="20"/>
                <w:color w:val="auto"/>
              </w:rPr>
            </w:pPr>
            <w:r>
              <w:rPr>
                <w:rFonts w:ascii="Times New Roman" w:cs="Times New Roman" w:eastAsia="Times New Roman" w:hAnsi="Times New Roman"/>
                <w:sz w:val="10"/>
                <w:szCs w:val="10"/>
                <w:color w:val="auto"/>
                <w:w w:val="96"/>
              </w:rPr>
              <w:t>Hard Rock Casino Rockford</w:t>
            </w: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Bally's Chicago Development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Cordish Virginia Live! Development</w:t>
            </w:r>
          </w:p>
        </w:tc>
      </w:tr>
      <w:tr>
        <w:trPr>
          <w:trHeight w:val="152"/>
        </w:trPr>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10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0"/>
                <w:szCs w:val="10"/>
                <w:color w:val="auto"/>
                <w:w w:val="95"/>
              </w:rPr>
              <w:t>Rockford, IL</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6"/>
              </w:rPr>
              <w:t>Chicago, IL</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3"/>
              </w:rPr>
              <w:t>Petersburg, VA</w:t>
            </w:r>
          </w:p>
        </w:tc>
      </w:tr>
      <w:tr>
        <w:trPr>
          <w:trHeight w:val="136"/>
        </w:trPr>
        <w:tc>
          <w:tcPr>
            <w:tcW w:w="20" w:type="dxa"/>
            <w:vAlign w:val="bottom"/>
          </w:tcPr>
          <w:p>
            <w:pPr>
              <w:spacing w:after="0"/>
              <w:rPr>
                <w:sz w:val="11"/>
                <w:szCs w:val="11"/>
                <w:color w:val="auto"/>
              </w:rPr>
            </w:pPr>
          </w:p>
        </w:tc>
        <w:tc>
          <w:tcPr>
            <w:tcW w:w="25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Commencement Date</w:t>
            </w:r>
          </w:p>
        </w:tc>
        <w:tc>
          <w:tcPr>
            <w:tcW w:w="2100" w:type="dxa"/>
            <w:vAlign w:val="bottom"/>
          </w:tcPr>
          <w:p>
            <w:pPr>
              <w:jc w:val="center"/>
              <w:ind w:left="512"/>
              <w:spacing w:after="0"/>
              <w:rPr>
                <w:sz w:val="20"/>
                <w:szCs w:val="20"/>
                <w:color w:val="auto"/>
              </w:rPr>
            </w:pPr>
            <w:r>
              <w:rPr>
                <w:rFonts w:ascii="Times New Roman" w:cs="Times New Roman" w:eastAsia="Times New Roman" w:hAnsi="Times New Roman"/>
                <w:sz w:val="10"/>
                <w:szCs w:val="10"/>
                <w:color w:val="auto"/>
                <w:w w:val="93"/>
              </w:rPr>
              <w:t>8/29/2023</w:t>
            </w: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7/18/2025</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1/15/2026</w:t>
            </w:r>
          </w:p>
        </w:tc>
      </w:tr>
      <w:tr>
        <w:trPr>
          <w:trHeight w:val="153"/>
        </w:trPr>
        <w:tc>
          <w:tcPr>
            <w:tcW w:w="20" w:type="dxa"/>
            <w:vAlign w:val="bottom"/>
            <w:shd w:val="clear" w:color="auto" w:fill="CCEEFF"/>
          </w:tcPr>
          <w:p>
            <w:pPr>
              <w:spacing w:after="0"/>
              <w:rPr>
                <w:sz w:val="13"/>
                <w:szCs w:val="13"/>
                <w:color w:val="auto"/>
              </w:rPr>
            </w:pPr>
          </w:p>
        </w:tc>
        <w:tc>
          <w:tcPr>
            <w:tcW w:w="2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Lease Expiration Date</w:t>
            </w:r>
          </w:p>
        </w:tc>
        <w:tc>
          <w:tcPr>
            <w:tcW w:w="210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0"/>
                <w:szCs w:val="10"/>
                <w:color w:val="auto"/>
                <w:w w:val="93"/>
              </w:rPr>
              <w:t>8/31/2122</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3"/>
              </w:rPr>
              <w:t>7/31/2040</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(3)</w:t>
            </w:r>
          </w:p>
        </w:tc>
      </w:tr>
      <w:tr>
        <w:trPr>
          <w:trHeight w:val="136"/>
        </w:trPr>
        <w:tc>
          <w:tcPr>
            <w:tcW w:w="20" w:type="dxa"/>
            <w:vAlign w:val="bottom"/>
          </w:tcPr>
          <w:p>
            <w:pPr>
              <w:spacing w:after="0"/>
              <w:rPr>
                <w:sz w:val="11"/>
                <w:szCs w:val="11"/>
                <w:color w:val="auto"/>
              </w:rPr>
            </w:pPr>
          </w:p>
        </w:tc>
        <w:tc>
          <w:tcPr>
            <w:tcW w:w="25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Remaining Renewal Terms</w:t>
            </w:r>
          </w:p>
        </w:tc>
        <w:tc>
          <w:tcPr>
            <w:tcW w:w="2100" w:type="dxa"/>
            <w:vAlign w:val="bottom"/>
          </w:tcPr>
          <w:p>
            <w:pPr>
              <w:jc w:val="center"/>
              <w:ind w:left="512"/>
              <w:spacing w:after="0"/>
              <w:rPr>
                <w:sz w:val="20"/>
                <w:szCs w:val="20"/>
                <w:color w:val="auto"/>
              </w:rPr>
            </w:pPr>
            <w:r>
              <w:rPr>
                <w:rFonts w:ascii="Times New Roman" w:cs="Times New Roman" w:eastAsia="Times New Roman" w:hAnsi="Times New Roman"/>
                <w:sz w:val="10"/>
                <w:szCs w:val="10"/>
                <w:color w:val="auto"/>
              </w:rPr>
              <w:t>None</w:t>
            </w: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20 (4 x 5 years)</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21 (1x11 years, 1x10 years)</w:t>
            </w:r>
          </w:p>
        </w:tc>
      </w:tr>
      <w:tr>
        <w:trPr>
          <w:trHeight w:val="153"/>
        </w:trPr>
        <w:tc>
          <w:tcPr>
            <w:tcW w:w="20" w:type="dxa"/>
            <w:vAlign w:val="bottom"/>
            <w:shd w:val="clear" w:color="auto" w:fill="CCEEFF"/>
          </w:tcPr>
          <w:p>
            <w:pPr>
              <w:spacing w:after="0"/>
              <w:rPr>
                <w:sz w:val="13"/>
                <w:szCs w:val="13"/>
                <w:color w:val="auto"/>
              </w:rPr>
            </w:pPr>
          </w:p>
        </w:tc>
        <w:tc>
          <w:tcPr>
            <w:tcW w:w="2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Corporate Guarantee</w:t>
            </w:r>
          </w:p>
        </w:tc>
        <w:tc>
          <w:tcPr>
            <w:tcW w:w="210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0"/>
                <w:szCs w:val="10"/>
                <w:color w:val="auto"/>
                <w:w w:val="97"/>
              </w:rPr>
              <w:t>No</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89"/>
              </w:rPr>
              <w:t>Yes</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No</w:t>
            </w:r>
          </w:p>
        </w:tc>
      </w:tr>
      <w:tr>
        <w:trPr>
          <w:trHeight w:val="135"/>
        </w:trPr>
        <w:tc>
          <w:tcPr>
            <w:tcW w:w="20" w:type="dxa"/>
            <w:vAlign w:val="bottom"/>
          </w:tcPr>
          <w:p>
            <w:pPr>
              <w:spacing w:after="0"/>
              <w:rPr>
                <w:sz w:val="11"/>
                <w:szCs w:val="11"/>
                <w:color w:val="auto"/>
              </w:rPr>
            </w:pPr>
          </w:p>
        </w:tc>
        <w:tc>
          <w:tcPr>
            <w:tcW w:w="25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Technical Default Landlord Protection</w:t>
            </w:r>
          </w:p>
        </w:tc>
        <w:tc>
          <w:tcPr>
            <w:tcW w:w="2100" w:type="dxa"/>
            <w:vAlign w:val="bottom"/>
          </w:tcPr>
          <w:p>
            <w:pPr>
              <w:jc w:val="center"/>
              <w:ind w:left="512"/>
              <w:spacing w:after="0"/>
              <w:rPr>
                <w:sz w:val="20"/>
                <w:szCs w:val="20"/>
                <w:color w:val="auto"/>
              </w:rPr>
            </w:pPr>
            <w:r>
              <w:rPr>
                <w:rFonts w:ascii="Times New Roman" w:cs="Times New Roman" w:eastAsia="Times New Roman" w:hAnsi="Times New Roman"/>
                <w:sz w:val="10"/>
                <w:szCs w:val="10"/>
                <w:color w:val="auto"/>
                <w:w w:val="89"/>
              </w:rPr>
              <w:t>Yes</w:t>
            </w: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89"/>
              </w:rPr>
              <w:t>Yes</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89"/>
              </w:rPr>
              <w:t>Yes</w:t>
            </w:r>
          </w:p>
        </w:tc>
      </w:tr>
      <w:tr>
        <w:trPr>
          <w:trHeight w:val="153"/>
        </w:trPr>
        <w:tc>
          <w:tcPr>
            <w:tcW w:w="20" w:type="dxa"/>
            <w:vAlign w:val="bottom"/>
            <w:shd w:val="clear" w:color="auto" w:fill="CCEEFF"/>
          </w:tcPr>
          <w:p>
            <w:pPr>
              <w:spacing w:after="0"/>
              <w:rPr>
                <w:sz w:val="13"/>
                <w:szCs w:val="13"/>
                <w:color w:val="auto"/>
              </w:rPr>
            </w:pPr>
          </w:p>
        </w:tc>
        <w:tc>
          <w:tcPr>
            <w:tcW w:w="2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Default Adjusted Revenue to Rent Coverage</w:t>
            </w:r>
          </w:p>
        </w:tc>
        <w:tc>
          <w:tcPr>
            <w:tcW w:w="210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0"/>
                <w:szCs w:val="10"/>
                <w:color w:val="auto"/>
                <w:w w:val="95"/>
              </w:rPr>
              <w:t>1.4</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4"/>
              </w:rPr>
              <w:t>1.35 (1)</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5"/>
              </w:rPr>
              <w:t>1.4</w:t>
            </w:r>
          </w:p>
        </w:tc>
      </w:tr>
      <w:tr>
        <w:trPr>
          <w:trHeight w:val="136"/>
        </w:trPr>
        <w:tc>
          <w:tcPr>
            <w:tcW w:w="20" w:type="dxa"/>
            <w:vAlign w:val="bottom"/>
          </w:tcPr>
          <w:p>
            <w:pPr>
              <w:spacing w:after="0"/>
              <w:rPr>
                <w:sz w:val="11"/>
                <w:szCs w:val="11"/>
                <w:color w:val="auto"/>
              </w:rPr>
            </w:pPr>
          </w:p>
        </w:tc>
        <w:tc>
          <w:tcPr>
            <w:tcW w:w="25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Competitive Radius Landlord Protection</w:t>
            </w:r>
          </w:p>
        </w:tc>
        <w:tc>
          <w:tcPr>
            <w:tcW w:w="2100" w:type="dxa"/>
            <w:vAlign w:val="bottom"/>
          </w:tcPr>
          <w:p>
            <w:pPr>
              <w:jc w:val="center"/>
              <w:ind w:left="512"/>
              <w:spacing w:after="0"/>
              <w:rPr>
                <w:sz w:val="20"/>
                <w:szCs w:val="20"/>
                <w:color w:val="auto"/>
              </w:rPr>
            </w:pPr>
            <w:r>
              <w:rPr>
                <w:rFonts w:ascii="Times New Roman" w:cs="Times New Roman" w:eastAsia="Times New Roman" w:hAnsi="Times New Roman"/>
                <w:sz w:val="10"/>
                <w:szCs w:val="10"/>
                <w:color w:val="auto"/>
                <w:w w:val="89"/>
              </w:rPr>
              <w:t>Yes</w:t>
            </w: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89"/>
              </w:rPr>
              <w:t>Yes</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89"/>
              </w:rPr>
              <w:t>Yes</w:t>
            </w:r>
          </w:p>
        </w:tc>
      </w:tr>
      <w:tr>
        <w:trPr>
          <w:trHeight w:val="133"/>
        </w:trPr>
        <w:tc>
          <w:tcPr>
            <w:tcW w:w="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93"/>
              </w:rPr>
              <w:t>Escalator Details</w:t>
            </w:r>
          </w:p>
        </w:tc>
        <w:tc>
          <w:tcPr>
            <w:tcW w:w="1800" w:type="dxa"/>
            <w:vAlign w:val="bottom"/>
            <w:tcBorders>
              <w:bottom w:val="single" w:sz="8" w:color="CCEEFF"/>
            </w:tcBorders>
            <w:gridSpan w:val="2"/>
            <w:shd w:val="clear" w:color="auto" w:fill="CCEEFF"/>
          </w:tcPr>
          <w:p>
            <w:pPr>
              <w:spacing w:after="0"/>
              <w:rPr>
                <w:sz w:val="11"/>
                <w:szCs w:val="11"/>
                <w:color w:val="auto"/>
              </w:rPr>
            </w:pPr>
          </w:p>
        </w:tc>
        <w:tc>
          <w:tcPr>
            <w:tcW w:w="2100" w:type="dxa"/>
            <w:vAlign w:val="bottom"/>
            <w:tcBorders>
              <w:bottom w:val="single" w:sz="8" w:color="CCEEFF"/>
            </w:tcBorders>
            <w:shd w:val="clear" w:color="auto" w:fill="CCEEFF"/>
          </w:tcPr>
          <w:p>
            <w:pPr>
              <w:spacing w:after="0"/>
              <w:rPr>
                <w:sz w:val="11"/>
                <w:szCs w:val="11"/>
                <w:color w:val="auto"/>
              </w:rPr>
            </w:pPr>
          </w:p>
        </w:tc>
        <w:tc>
          <w:tcPr>
            <w:tcW w:w="1600" w:type="dxa"/>
            <w:vAlign w:val="bottom"/>
            <w:tcBorders>
              <w:bottom w:val="single" w:sz="8" w:color="CCEEFF"/>
            </w:tcBorders>
            <w:shd w:val="clear" w:color="auto" w:fill="CCEEFF"/>
          </w:tcPr>
          <w:p>
            <w:pPr>
              <w:spacing w:after="0"/>
              <w:rPr>
                <w:sz w:val="11"/>
                <w:szCs w:val="11"/>
                <w:color w:val="auto"/>
              </w:rPr>
            </w:pPr>
          </w:p>
        </w:tc>
        <w:tc>
          <w:tcPr>
            <w:tcW w:w="1940" w:type="dxa"/>
            <w:vAlign w:val="bottom"/>
            <w:tcBorders>
              <w:bottom w:val="single" w:sz="8" w:color="CCEEFF"/>
            </w:tcBorders>
            <w:shd w:val="clear" w:color="auto" w:fill="CCEEFF"/>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25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Yearly Base Rent Escalator Maximum</w:t>
            </w:r>
          </w:p>
        </w:tc>
        <w:tc>
          <w:tcPr>
            <w:tcW w:w="2100" w:type="dxa"/>
            <w:vAlign w:val="bottom"/>
          </w:tcPr>
          <w:p>
            <w:pPr>
              <w:jc w:val="center"/>
              <w:ind w:left="512"/>
              <w:spacing w:after="0"/>
              <w:rPr>
                <w:sz w:val="20"/>
                <w:szCs w:val="20"/>
                <w:color w:val="auto"/>
              </w:rPr>
            </w:pPr>
            <w:r>
              <w:rPr>
                <w:rFonts w:ascii="Times New Roman" w:cs="Times New Roman" w:eastAsia="Times New Roman" w:hAnsi="Times New Roman"/>
                <w:sz w:val="10"/>
                <w:szCs w:val="10"/>
                <w:color w:val="auto"/>
              </w:rPr>
              <w:t>2%</w:t>
            </w: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85"/>
              </w:rPr>
              <w:t>(2)</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1.75%</w:t>
            </w:r>
          </w:p>
        </w:tc>
      </w:tr>
      <w:tr>
        <w:trPr>
          <w:trHeight w:val="152"/>
        </w:trPr>
        <w:tc>
          <w:tcPr>
            <w:tcW w:w="20" w:type="dxa"/>
            <w:vAlign w:val="bottom"/>
            <w:shd w:val="clear" w:color="auto" w:fill="CCEEFF"/>
          </w:tcPr>
          <w:p>
            <w:pPr>
              <w:spacing w:after="0"/>
              <w:rPr>
                <w:sz w:val="13"/>
                <w:szCs w:val="13"/>
                <w:color w:val="auto"/>
              </w:rPr>
            </w:pPr>
          </w:p>
        </w:tc>
        <w:tc>
          <w:tcPr>
            <w:tcW w:w="2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Coverage ratio at June 30, 2026</w:t>
            </w:r>
          </w:p>
        </w:tc>
        <w:tc>
          <w:tcPr>
            <w:tcW w:w="210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0"/>
                <w:szCs w:val="10"/>
                <w:color w:val="auto"/>
              </w:rPr>
              <w:t>N/A</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N/A</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2"/>
              </w:rPr>
              <w:t>N/A</w:t>
            </w:r>
          </w:p>
        </w:tc>
      </w:tr>
      <w:tr>
        <w:trPr>
          <w:trHeight w:val="136"/>
        </w:trPr>
        <w:tc>
          <w:tcPr>
            <w:tcW w:w="20" w:type="dxa"/>
            <w:vAlign w:val="bottom"/>
          </w:tcPr>
          <w:p>
            <w:pPr>
              <w:spacing w:after="0"/>
              <w:rPr>
                <w:sz w:val="11"/>
                <w:szCs w:val="11"/>
                <w:color w:val="auto"/>
              </w:rPr>
            </w:pPr>
          </w:p>
        </w:tc>
        <w:tc>
          <w:tcPr>
            <w:tcW w:w="25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Minimum Escalator Coverage Governor</w:t>
            </w:r>
          </w:p>
        </w:tc>
        <w:tc>
          <w:tcPr>
            <w:tcW w:w="2100" w:type="dxa"/>
            <w:vAlign w:val="bottom"/>
          </w:tcPr>
          <w:p>
            <w:pPr>
              <w:jc w:val="center"/>
              <w:ind w:left="512"/>
              <w:spacing w:after="0"/>
              <w:rPr>
                <w:sz w:val="20"/>
                <w:szCs w:val="20"/>
                <w:color w:val="auto"/>
              </w:rPr>
            </w:pPr>
            <w:r>
              <w:rPr>
                <w:rFonts w:ascii="Times New Roman" w:cs="Times New Roman" w:eastAsia="Times New Roman" w:hAnsi="Times New Roman"/>
                <w:sz w:val="10"/>
                <w:szCs w:val="10"/>
                <w:color w:val="auto"/>
              </w:rPr>
              <w:t>N/A</w:t>
            </w: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N/A</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N/A</w:t>
            </w:r>
          </w:p>
        </w:tc>
      </w:tr>
      <w:tr>
        <w:trPr>
          <w:trHeight w:val="153"/>
        </w:trPr>
        <w:tc>
          <w:tcPr>
            <w:tcW w:w="20" w:type="dxa"/>
            <w:vAlign w:val="bottom"/>
            <w:shd w:val="clear" w:color="auto" w:fill="CCEEFF"/>
          </w:tcPr>
          <w:p>
            <w:pPr>
              <w:spacing w:after="0"/>
              <w:rPr>
                <w:sz w:val="13"/>
                <w:szCs w:val="13"/>
                <w:color w:val="auto"/>
              </w:rPr>
            </w:pPr>
          </w:p>
        </w:tc>
        <w:tc>
          <w:tcPr>
            <w:tcW w:w="2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Yearly Anniversary for Realization</w:t>
            </w:r>
          </w:p>
        </w:tc>
        <w:tc>
          <w:tcPr>
            <w:tcW w:w="210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0"/>
                <w:szCs w:val="10"/>
                <w:color w:val="auto"/>
                <w:w w:val="98"/>
              </w:rPr>
              <w:t>September</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89"/>
              </w:rPr>
              <w:t>August</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(3)</w:t>
            </w:r>
          </w:p>
        </w:tc>
      </w:tr>
      <w:tr>
        <w:trPr>
          <w:trHeight w:val="116"/>
        </w:trPr>
        <w:tc>
          <w:tcPr>
            <w:tcW w:w="20" w:type="dxa"/>
            <w:vAlign w:val="bottom"/>
          </w:tcPr>
          <w:p>
            <w:pPr>
              <w:spacing w:after="0"/>
              <w:rPr>
                <w:sz w:val="10"/>
                <w:szCs w:val="10"/>
                <w:color w:val="auto"/>
              </w:rPr>
            </w:pPr>
          </w:p>
        </w:tc>
        <w:tc>
          <w:tcPr>
            <w:tcW w:w="250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Percentage Rent Reset Details</w:t>
            </w:r>
          </w:p>
        </w:tc>
        <w:tc>
          <w:tcPr>
            <w:tcW w:w="2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940" w:type="dxa"/>
            <w:vAlign w:val="bottom"/>
          </w:tcPr>
          <w:p>
            <w:pPr>
              <w:spacing w:after="0"/>
              <w:rPr>
                <w:sz w:val="10"/>
                <w:szCs w:val="10"/>
                <w:color w:val="auto"/>
              </w:rPr>
            </w:pPr>
          </w:p>
        </w:tc>
      </w:tr>
      <w:tr>
        <w:trPr>
          <w:trHeight w:val="152"/>
        </w:trPr>
        <w:tc>
          <w:tcPr>
            <w:tcW w:w="20" w:type="dxa"/>
            <w:vAlign w:val="bottom"/>
            <w:shd w:val="clear" w:color="auto" w:fill="CCEEFF"/>
          </w:tcPr>
          <w:p>
            <w:pPr>
              <w:spacing w:after="0"/>
              <w:rPr>
                <w:sz w:val="13"/>
                <w:szCs w:val="13"/>
                <w:color w:val="auto"/>
              </w:rPr>
            </w:pPr>
          </w:p>
        </w:tc>
        <w:tc>
          <w:tcPr>
            <w:tcW w:w="1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Reset Frequency</w:t>
            </w:r>
          </w:p>
        </w:tc>
        <w:tc>
          <w:tcPr>
            <w:tcW w:w="1280" w:type="dxa"/>
            <w:vAlign w:val="bottom"/>
            <w:shd w:val="clear" w:color="auto" w:fill="CCEEFF"/>
          </w:tcPr>
          <w:p>
            <w:pPr>
              <w:spacing w:after="0"/>
              <w:rPr>
                <w:sz w:val="13"/>
                <w:szCs w:val="13"/>
                <w:color w:val="auto"/>
              </w:rPr>
            </w:pPr>
          </w:p>
        </w:tc>
        <w:tc>
          <w:tcPr>
            <w:tcW w:w="210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0"/>
                <w:szCs w:val="10"/>
                <w:color w:val="auto"/>
              </w:rPr>
              <w:t>N/A</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N/A</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2"/>
              </w:rPr>
              <w:t>N/A</w:t>
            </w:r>
          </w:p>
        </w:tc>
      </w:tr>
      <w:tr>
        <w:trPr>
          <w:trHeight w:val="127"/>
        </w:trPr>
        <w:tc>
          <w:tcPr>
            <w:tcW w:w="20" w:type="dxa"/>
            <w:vAlign w:val="bottom"/>
          </w:tcPr>
          <w:p>
            <w:pPr>
              <w:spacing w:after="0"/>
              <w:rPr>
                <w:sz w:val="11"/>
                <w:szCs w:val="11"/>
                <w:color w:val="auto"/>
              </w:rPr>
            </w:pPr>
          </w:p>
        </w:tc>
        <w:tc>
          <w:tcPr>
            <w:tcW w:w="25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Next Reset</w:t>
            </w:r>
          </w:p>
        </w:tc>
        <w:tc>
          <w:tcPr>
            <w:tcW w:w="2100" w:type="dxa"/>
            <w:vAlign w:val="bottom"/>
          </w:tcPr>
          <w:p>
            <w:pPr>
              <w:jc w:val="center"/>
              <w:ind w:left="512"/>
              <w:spacing w:after="0"/>
              <w:rPr>
                <w:sz w:val="20"/>
                <w:szCs w:val="20"/>
                <w:color w:val="auto"/>
              </w:rPr>
            </w:pPr>
            <w:r>
              <w:rPr>
                <w:rFonts w:ascii="Times New Roman" w:cs="Times New Roman" w:eastAsia="Times New Roman" w:hAnsi="Times New Roman"/>
                <w:sz w:val="10"/>
                <w:szCs w:val="10"/>
                <w:color w:val="auto"/>
              </w:rPr>
              <w:t>N/A</w:t>
            </w: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N/A</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N/A</w:t>
            </w:r>
          </w:p>
        </w:tc>
      </w:tr>
    </w:tbl>
    <w:p>
      <w:pPr>
        <w:spacing w:after="0" w:line="393" w:lineRule="exact"/>
        <w:rPr>
          <w:sz w:val="20"/>
          <w:szCs w:val="20"/>
          <w:color w:val="auto"/>
        </w:rPr>
      </w:pPr>
    </w:p>
    <w:p>
      <w:pPr>
        <w:ind w:left="428" w:right="20" w:hanging="428"/>
        <w:spacing w:after="0" w:line="222" w:lineRule="auto"/>
        <w:tabs>
          <w:tab w:leader="none" w:pos="165"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If the tenant's parent's net leverage is greater than 5.5 to 1, then the adjusted revenue to rent coverage for the last two consecutive test periods must be at least 1.35. If the tenant's parent's net leverage is equal to or less than 5.5 to 1, then the ratio shall be reduced to 1.2.</w:t>
      </w:r>
    </w:p>
    <w:p>
      <w:pPr>
        <w:spacing w:after="0" w:line="152" w:lineRule="exact"/>
        <w:rPr>
          <w:rFonts w:ascii="Times New Roman" w:cs="Times New Roman" w:eastAsia="Times New Roman" w:hAnsi="Times New Roman"/>
          <w:sz w:val="16"/>
          <w:szCs w:val="16"/>
          <w:color w:val="auto"/>
          <w:vertAlign w:val="superscript"/>
        </w:rPr>
      </w:pPr>
    </w:p>
    <w:p>
      <w:pPr>
        <w:ind w:left="428" w:right="20" w:hanging="428"/>
        <w:spacing w:after="0" w:line="222" w:lineRule="auto"/>
        <w:tabs>
          <w:tab w:leader="none" w:pos="174"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w:t>
      </w:r>
    </w:p>
    <w:p>
      <w:pPr>
        <w:spacing w:after="0" w:line="152" w:lineRule="exact"/>
        <w:rPr>
          <w:rFonts w:ascii="Times New Roman" w:cs="Times New Roman" w:eastAsia="Times New Roman" w:hAnsi="Times New Roman"/>
          <w:sz w:val="16"/>
          <w:szCs w:val="16"/>
          <w:color w:val="auto"/>
          <w:vertAlign w:val="superscript"/>
        </w:rPr>
      </w:pPr>
    </w:p>
    <w:p>
      <w:pPr>
        <w:ind w:left="428" w:hanging="428"/>
        <w:spacing w:after="0" w:line="235" w:lineRule="auto"/>
        <w:tabs>
          <w:tab w:leader="none" w:pos="192"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During the construction period, amounts funded for the Virginia Live! development are accounted for as real estate loans because the lessee controls the underlying asset under construction. Upon completion of construction and when the facility is ready for its intended use, the Company will apply the sale and leaseback guidance to determine the appropriate lease classification. Pursuant to the lease agreement, the initial lease term expires on the last day of the calendar month in which the 39th anniversary of the facility's opening occurs, and annual rent escalations commence on the first anniversary of the facility's opening date. Accordingly, the lease expiration date and rent escalation anniversary date will be determined upon the facility's opening date.</w:t>
      </w:r>
    </w:p>
    <w:p>
      <w:pPr>
        <w:spacing w:after="0" w:line="200" w:lineRule="exact"/>
        <w:rPr>
          <w:sz w:val="20"/>
          <w:szCs w:val="20"/>
          <w:color w:val="auto"/>
        </w:rPr>
      </w:pPr>
    </w:p>
    <w:p>
      <w:pPr>
        <w:spacing w:after="0" w:line="32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21</w:t>
      </w:r>
    </w:p>
    <w:p>
      <w:pPr>
        <w:sectPr>
          <w:pgSz w:w="11900" w:h="16838" w:orient="portrait"/>
          <w:cols w:equalWidth="0" w:num="1">
            <w:col w:w="11308"/>
          </w:cols>
          <w:pgMar w:left="292" w:top="1113"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b w:val="1"/>
          <w:bCs w:val="1"/>
          <w:u w:val="single" w:color="auto"/>
          <w:color w:val="auto"/>
        </w:rPr>
        <w:t>Disclosure Regarding Non-GAAP Financial Measures</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FFO, FFO per diluted common share and OP/LTIP units, AFFO, AFFO per diluted common share and OP/LTIP units, Adjusted EBITDA and Cash Net Operating Income ("Cash NOI"), which are detailed in the reconciliation tables that accompany this release, are used by the Company as performance measures for benchmarking against the Company’s peers and as internal measures of business operating performance, which is used for a bonus metric. These metrics are presented assuming full conversion of limited partnership units to common shares and therefore before the income statement impact of noncontrolling interests. The Company believes FFO, FFO per diluted common share and OP/LTIP units, AFFO, AFFO per diluted common share and OP/LTIP units, Adjusted EBITDA and Cash NOI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 Cash NOI is cash rental income and interest on real estate loans, less cash property level expenses. Cash NOI excludes depreciation, the amortization of land rights, real estate general and administrative expenses, other non-routine costs and the impact of certain generally accepted accounting principles (“GAAP”) adjustments to rental revenue, such as straight-line rent and deferred rent adjustments and non-cash ground lease income and expense. It is management's view that Cash NOI is a performance measure used to evaluate the operating performance of the Company’s real estate operations and provides investors relevant and useful information because it reflects only income and operating expense items that are incurred at the property level and presents them on an unleveraged basis.</w:t>
      </w:r>
    </w:p>
    <w:p>
      <w:pPr>
        <w:spacing w:after="0" w:line="14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2"/>
          <w:szCs w:val="12"/>
          <w:color w:val="auto"/>
        </w:rPr>
        <w:t>FFO, FFO per diluted common share and OP/LTIP units, AFFO, AFFO per diluted common share and OP/LTIP units, Adjusted EBITDA and Cash NOI are non-GAAP financial measures that are considered supplemental measures for the real estate industry and a supplement to GAAP measures. NAREIT defines FFO as net income (computed in accordance with GAAP), excluding (gains) or losses from dispositions of property and real estate depreciation. We have defined AFFO as FFO excluding, as applicable to the particular period, stock-based compensation expense, the amortization of debt issuance costs, bond premiums and original issuance discounts, other depreciation, the amortization of land rights, accretion on investment in leases, non-cash adjustments to financing lease liabilities, straight-line rent and deferred rent adjustments, losses on debt extinguishment and other financing costs, severance charges, capitalized interest and provision (benefit) for credit losses, net, reduced by capital maintenance expenditures. We have defined Adjusted EBITDA as net income excluding, as applicable to the particular period, interest, net, income tax expense, real estate depreciation, other depreciation, (gains) or losses from dispositions of property, stock-based compensation expense, straight-line rent and deferred rent adjustments, the amortization of land rights, accretion on investment in leases, non-cash adjustments to financing lease liabilities, losses on debt extinguishment and other financing costs, severance charges, and provision (benefit) for credit losses, net. Finally, we have defined Cash NOI as Adjusted EBITDA excluding general and administrative expenses and including stock-based compensation expense and severance charges.</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FFO, FFO per diluted common share and OP/LTIP units, AFFO, AFFO per diluted common share and OP/LTIP units, Adjusted EBITDA and Cash NOI are not recognized terms under GAAP. These non-GAAP financial measures: (i) do not represent cash flow from operations as defined by GAAP; (ii) should not be considered as an alternative to net income as a measure of operating performance or to cash flows from operating, investing and financing activities; and (iii) are not alternatives to cash flow as a measure of liquidity. In addition, these measures should not be viewed as an indication of our ability to fund all of our cash needs, including to make cash distributions to our shareholders, to fund capital improvements, or to make interest payments on our indebtedness. Investors are also cautioned that FFO, FFO per diluted common share and OP/LTIP units, AFFO, AFFO per diluted common share and OP/LTIP units, Adjusted EBITDA and Cash NOI,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About Gaming and Leisure Properties</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GLPI is engaged in the business of acquiring, financing, and owning real estate property to be leased to gaming operators in triple-net lease arrangements, pursuant to which the tenant is responsible for all facility maintenance, insurance required in connection with the leased properties and the business conducted on the leased properties, including coverage of the landlord's interests, taxes levied on or with respect to the leased properties and all utilities and other services necessary or appropriate for the leased properties and the business conducted on the leased properties. The Company also extends loans that produce fixed or variable returns which may convert into leased rent upon project completion or stabilization.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ectPr>
          <w:pgSz w:w="11900" w:h="16838" w:orient="portrait"/>
          <w:cols w:equalWidth="0" w:num="1">
            <w:col w:w="11300"/>
          </w:cols>
          <w:pgMar w:left="300" w:top="638"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b w:val="1"/>
          <w:bCs w:val="1"/>
          <w:u w:val="single" w:color="auto"/>
          <w:color w:val="auto"/>
        </w:rPr>
        <w:t>Forward-Looking Statements</w:t>
      </w:r>
    </w:p>
    <w:p>
      <w:pPr>
        <w:spacing w:after="0" w:line="154"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12"/>
          <w:szCs w:val="12"/>
          <w:color w:val="auto"/>
        </w:rPr>
        <w:t>This press release includes “forward-looking statements” within the meaning of Section 27A of the Securities Act of 1933, as amended, and Section 21E of the Securities Exchange Act of 1934, as amended, including our expectations regarding our future growth and cash flows in 2026 and beyond, 2026 AFFO guidance, the future issuance of securities and the Company benefiting from recent portfolio additions and completed transactions. Forward-looking statements can be identified by the use of forward-looking terminology such as “expects,” “believes,” “estimates,” “intends,” “may,” “will,” “should” or “anticipates” or the negative or other variation of these or similar words, or by discussions of future events, strategies or risks and uncertainties. Such forward looking statements are inherently subject to risks, uncertainties and assumptions about GLPI and its subsidiaries, including risks related to the following: the ability of GLPI or its partners to successfully complete construction of various casino projects currently under development for which GLPI has agreed to provide construction development funding, including Bally’s Chicago, and the ability and willingness of GLPI’s partners to meet and/or perform their respective obligations under the applicable construction financing and/or development documents; the impact that higher inflation and interest rates and</w:t>
      </w:r>
    </w:p>
    <w:p>
      <w:pPr>
        <w:spacing w:after="0" w:line="3" w:lineRule="exact"/>
        <w:rPr>
          <w:sz w:val="20"/>
          <w:szCs w:val="20"/>
          <w:color w:val="auto"/>
        </w:rPr>
      </w:pPr>
    </w:p>
    <w:p>
      <w:pPr>
        <w:jc w:val="both"/>
        <w:spacing w:after="0" w:line="195" w:lineRule="auto"/>
        <w:rPr>
          <w:sz w:val="20"/>
          <w:szCs w:val="20"/>
          <w:color w:val="auto"/>
        </w:rPr>
      </w:pPr>
      <w:r>
        <w:rPr>
          <w:rFonts w:ascii="Times New Roman" w:cs="Times New Roman" w:eastAsia="Times New Roman" w:hAnsi="Times New Roman"/>
          <w:sz w:val="12"/>
          <w:szCs w:val="12"/>
          <w:color w:val="auto"/>
        </w:rPr>
        <w:t>uncertainty with respect to the future state of the economy could have on discretionary consumer spending, including the casino operations of our tenants; unforeseen consequences related to U.S. government economic, monetary or trade policies and stimulus packages on inflation rates, interest rates and economic growth; geopolitical events, including recent conflicts in the Middle East, and their potential impact on U.S. Treasury yields and inflation rates; the</w:t>
      </w:r>
    </w:p>
    <w:p>
      <w:pPr>
        <w:spacing w:after="0" w:line="1"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2"/>
          <w:szCs w:val="12"/>
          <w:color w:val="auto"/>
        </w:rPr>
        <w:t>ability of GLPI’s tenants to maintain the financial strength and liquidity necessary to satisfy their respective obligations and liabilities to third parties, including, without limitation, to satisfy obligations under their existing credit facilities and other indebtedness; the availability of and the ability to identify suitable and attractive acquisition and development opportunities and the ability to acquire and lease the respective properties on favorable terms; the degree and nature of GLPI's competition; the ability to receive, or delays in obtaining, the regulatory approvals required to own its properties, or other delays or impediments to completing GLPI's planned acquisitions or projects; the potential of a new pandemic or similar national health crisis, including its effect on the ability or desire of people to gather in large groups (including in casinos), which could impact GLPI’s financial results, operations, outlooks, plans, goals, growth, cash flows, liquidity, and stock price; GLPI's ability to maintain its status as a REIT, given the highly technical and complex Internal Revenue Code provisions for which only limited judicial and administrative authorities exist, where even a technical or inadvertent violation could jeopardize REIT qualification and where requirements may depend in part on the actions of third parties over which GLPI has no control or only limited influence; GLPI's ability to satisfy certain asset, income, organizational, distribution, shareholder ownership and other requirements on a continuing basis in order for GLPI to maintain its REIT status; the ability and willingness of GLPI’s tenants and other third parties to meet and/or perform their obligations under their respective contractual arrangements with GLPI, including lease and note requirements and in some cases, their obligations to indemnify, defend and hold GLPI harmless from and against various claims, litigation and liabilities; the ability of GLPI’s tenants to comply with laws, rules and regulations in the operation of GLPI’s properties, to deliver high quality services, to attract and retain qualified personnel and to attract customers; GLPI's ability to generate sufficient cash flows to service and comply with financial covenants under GLPI’s outstanding indebtedness; GLPI's ability to access capital through debt and equity markets in amounts and at rates and costs acceptable to GLPI, including for the satisfaction of GLPI's funding commitments to the extent drawn by its partners, acquisitions or refinancings due to maturities; with respect to our tenant funding</w:t>
      </w:r>
    </w:p>
    <w:p>
      <w:pPr>
        <w:spacing w:after="0" w:line="3" w:lineRule="exact"/>
        <w:rPr>
          <w:sz w:val="20"/>
          <w:szCs w:val="20"/>
          <w:color w:val="auto"/>
        </w:rPr>
      </w:pPr>
    </w:p>
    <w:p>
      <w:pPr>
        <w:jc w:val="both"/>
        <w:spacing w:after="0" w:line="195" w:lineRule="auto"/>
        <w:rPr>
          <w:sz w:val="20"/>
          <w:szCs w:val="20"/>
          <w:color w:val="auto"/>
        </w:rPr>
      </w:pPr>
      <w:r>
        <w:rPr>
          <w:rFonts w:ascii="Times New Roman" w:cs="Times New Roman" w:eastAsia="Times New Roman" w:hAnsi="Times New Roman"/>
          <w:sz w:val="12"/>
          <w:szCs w:val="12"/>
          <w:color w:val="auto"/>
        </w:rPr>
        <w:t>commitments, the amounts drawn and the timing of these draws may be different than what the Company assumed; adverse changes in GLPI’s credit rating; the availability of qualified personnel and GLPI’s ability to retain its key management personnel; changes in the U.S. tax law and other federal, state or local laws, whether or not specific to real estate, REITs or to the gaming, lodging or hospitality industries; changes in accounting standards; the impact of</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2"/>
          <w:szCs w:val="12"/>
          <w:color w:val="auto"/>
        </w:rPr>
        <w:t>weather or climate events or conditions, natural disasters, acts of terrorism and other international hostilities, war (including the current conflict between Russia and Ukraine and conflicts in the Middle East) or political instability; the risk that the historical financial statements included herein do not reflect what the business, financial position or results of operations of GLPI may be in the future; other risks inherent in the real estate business, including potential liability relating to environmental matters and illiquidity of real estate investments; and other factors described in GLPI’s Annual Report on Form 10-K for the year ended December 31, 2025, Quarterly Reports on Form 10-Q and Current Reports on Form 8-K, each as filed with the Securities and Exchange Commission. All subsequent written and oral forward-looking statements attributable to GLPI or persons acting on GLPI’s behalf are expressly qualified in their entirety by the cautionary statements included in this press release. GLPI undertakes no obligation to publicly update or revise any forward-looking statements contained or incorporated by reference herein, whether as a result of new information, future events or otherwise, except as required by law. In light of these risks, uncertainties and assumptions, the forward-looking events discussed in this press release may not occur as presented or at all.</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3"/>
              </w:rPr>
              <w:t>Contact</w:t>
            </w:r>
          </w:p>
        </w:tc>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Investor Relations</w:t>
            </w:r>
          </w:p>
        </w:tc>
        <w:tc>
          <w:tcPr>
            <w:tcW w:w="0" w:type="dxa"/>
            <w:vAlign w:val="bottom"/>
          </w:tcPr>
          <w:p>
            <w:pPr>
              <w:spacing w:after="0"/>
              <w:rPr>
                <w:sz w:val="1"/>
                <w:szCs w:val="1"/>
                <w:color w:val="auto"/>
              </w:rPr>
            </w:pPr>
          </w:p>
        </w:tc>
      </w:tr>
      <w:tr>
        <w:trPr>
          <w:trHeight w:val="131"/>
        </w:trPr>
        <w:tc>
          <w:tcPr>
            <w:tcW w:w="2200" w:type="dxa"/>
            <w:vAlign w:val="bottom"/>
            <w:gridSpan w:val="3"/>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Gaming and Leisure Properties, Inc.</w:t>
            </w:r>
          </w:p>
        </w:tc>
        <w:tc>
          <w:tcPr>
            <w:tcW w:w="2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1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Carlo Santarelli, SVP Corporate Strategy &amp; Investor Relations</w:t>
            </w:r>
          </w:p>
        </w:tc>
        <w:tc>
          <w:tcPr>
            <w:tcW w:w="1200" w:type="dxa"/>
            <w:vAlign w:val="bottom"/>
          </w:tcPr>
          <w:p>
            <w:pPr>
              <w:ind w:left="120"/>
              <w:spacing w:after="0"/>
              <w:rPr>
                <w:sz w:val="20"/>
                <w:szCs w:val="20"/>
                <w:color w:val="auto"/>
              </w:rPr>
            </w:pPr>
            <w:r>
              <w:rPr>
                <w:rFonts w:ascii="Times New Roman" w:cs="Times New Roman" w:eastAsia="Times New Roman" w:hAnsi="Times New Roman"/>
                <w:sz w:val="12"/>
                <w:szCs w:val="12"/>
                <w:color w:val="auto"/>
                <w:w w:val="97"/>
              </w:rPr>
              <w:t>Joseph Jaffoni at JCIR</w:t>
            </w:r>
          </w:p>
        </w:tc>
        <w:tc>
          <w:tcPr>
            <w:tcW w:w="0" w:type="dxa"/>
            <w:vAlign w:val="bottom"/>
          </w:tcPr>
          <w:p>
            <w:pPr>
              <w:spacing w:after="0"/>
              <w:rPr>
                <w:sz w:val="1"/>
                <w:szCs w:val="1"/>
                <w:color w:val="auto"/>
              </w:rPr>
            </w:pPr>
          </w:p>
        </w:tc>
      </w:tr>
      <w:tr>
        <w:trPr>
          <w:trHeight w:val="135"/>
        </w:trPr>
        <w:tc>
          <w:tcPr>
            <w:tcW w:w="10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610/378-8232</w:t>
            </w: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212/835-8500</w:t>
            </w: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investorinquiries@glpropinc.com</w:t>
            </w:r>
          </w:p>
        </w:tc>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glpi@jcir.com</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ectPr>
          <w:pgSz w:w="11900" w:h="16838" w:orient="portrait"/>
          <w:cols w:equalWidth="0" w:num="1">
            <w:col w:w="11300"/>
          </w:cols>
          <w:pgMar w:left="300" w:top="638" w:right="299" w:bottom="1440"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129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512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495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449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Letter"/>
      <w:start w:val="4"/>
    </w:lvl>
  </w:abstractNum>
  <w:abstractNum w:abstractNumId="2">
    <w:nsid w:val="12200854"/>
    <w:multiLevelType w:val="hybridMultilevel"/>
    <w:lvl w:ilvl="0">
      <w:lvlJc w:val="left"/>
      <w:lvlText w:val="%1"/>
      <w:numFmt w:val="decimal"/>
      <w:start w:val="104"/>
    </w:lvl>
    <w:lvl w:ilvl="1">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2026-10-30T13:17:49Z</dcterms:created>
  <dcterms:modified xsi:type="dcterms:W3CDTF">2026-10-30T13:17:49Z</dcterms:modified>
</cp:coreProperties>
</file>