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166370</wp:posOffset>
            </wp:positionV>
            <wp:extent cx="2289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380" w:hanging="277"/>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4580" w:right="2780" w:hanging="4477"/>
        <w:spacing w:after="0" w:line="304" w:lineRule="auto"/>
        <w:tabs>
          <w:tab w:leader="none" w:pos="38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001-36124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Gaming and Leisure Properties, Inc.</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2360" w:type="dxa"/>
        <w:tblCellMar>
          <w:top w:w="0" w:type="dxa"/>
          <w:left w:w="0" w:type="dxa"/>
          <w:bottom w:w="0" w:type="dxa"/>
          <w:right w:w="0" w:type="dxa"/>
        </w:tblCellMar>
      </w:tblPr>
      <w:tr>
        <w:trPr>
          <w:trHeight w:val="210"/>
        </w:trPr>
        <w:tc>
          <w:tcPr>
            <w:tcW w:w="3540" w:type="dxa"/>
            <w:vAlign w:val="bottom"/>
          </w:tcPr>
          <w:p>
            <w:pPr>
              <w:jc w:val="center"/>
              <w:ind w:right="1519"/>
              <w:spacing w:after="0"/>
              <w:rPr>
                <w:sz w:val="20"/>
                <w:szCs w:val="20"/>
                <w:color w:val="auto"/>
              </w:rPr>
            </w:pPr>
            <w:r>
              <w:rPr>
                <w:rFonts w:ascii="Arial" w:cs="Arial" w:eastAsia="Arial" w:hAnsi="Arial"/>
                <w:sz w:val="16"/>
                <w:szCs w:val="16"/>
                <w:b w:val="1"/>
                <w:bCs w:val="1"/>
                <w:color w:val="auto"/>
                <w:w w:val="87"/>
              </w:rPr>
              <w:t>Pennsylvania</w:t>
            </w:r>
          </w:p>
        </w:tc>
        <w:tc>
          <w:tcPr>
            <w:tcW w:w="2800" w:type="dxa"/>
            <w:vAlign w:val="bottom"/>
          </w:tcPr>
          <w:p>
            <w:pPr>
              <w:jc w:val="center"/>
              <w:ind w:left="1519"/>
              <w:spacing w:after="0"/>
              <w:rPr>
                <w:sz w:val="20"/>
                <w:szCs w:val="20"/>
                <w:color w:val="auto"/>
              </w:rPr>
            </w:pPr>
            <w:r>
              <w:rPr>
                <w:rFonts w:ascii="Arial" w:cs="Arial" w:eastAsia="Arial" w:hAnsi="Arial"/>
                <w:sz w:val="16"/>
                <w:szCs w:val="16"/>
                <w:b w:val="1"/>
                <w:bCs w:val="1"/>
                <w:color w:val="auto"/>
                <w:w w:val="88"/>
              </w:rPr>
              <w:t>46-2116489</w:t>
            </w:r>
          </w:p>
        </w:tc>
      </w:tr>
      <w:tr>
        <w:trPr>
          <w:trHeight w:val="253"/>
        </w:trPr>
        <w:tc>
          <w:tcPr>
            <w:tcW w:w="3540" w:type="dxa"/>
            <w:vAlign w:val="bottom"/>
          </w:tcPr>
          <w:p>
            <w:pPr>
              <w:jc w:val="center"/>
              <w:ind w:right="1519"/>
              <w:spacing w:after="0"/>
              <w:rPr>
                <w:sz w:val="20"/>
                <w:szCs w:val="20"/>
                <w:color w:val="auto"/>
              </w:rPr>
            </w:pPr>
            <w:r>
              <w:rPr>
                <w:rFonts w:ascii="Arial" w:cs="Arial" w:eastAsia="Arial" w:hAnsi="Arial"/>
                <w:sz w:val="16"/>
                <w:szCs w:val="16"/>
                <w:color w:val="auto"/>
                <w:w w:val="94"/>
              </w:rPr>
              <w:t>(State or other jurisdiction of</w:t>
            </w:r>
          </w:p>
        </w:tc>
        <w:tc>
          <w:tcPr>
            <w:tcW w:w="2800" w:type="dxa"/>
            <w:vAlign w:val="bottom"/>
          </w:tcPr>
          <w:p>
            <w:pPr>
              <w:jc w:val="center"/>
              <w:ind w:left="1519"/>
              <w:spacing w:after="0"/>
              <w:rPr>
                <w:sz w:val="20"/>
                <w:szCs w:val="20"/>
                <w:color w:val="auto"/>
              </w:rPr>
            </w:pPr>
            <w:r>
              <w:rPr>
                <w:rFonts w:ascii="Arial" w:cs="Arial" w:eastAsia="Arial" w:hAnsi="Arial"/>
                <w:sz w:val="16"/>
                <w:szCs w:val="16"/>
                <w:color w:val="auto"/>
                <w:w w:val="95"/>
              </w:rPr>
              <w:t>(I.R.S. Employer</w:t>
            </w:r>
          </w:p>
        </w:tc>
      </w:tr>
      <w:tr>
        <w:trPr>
          <w:trHeight w:val="206"/>
        </w:trPr>
        <w:tc>
          <w:tcPr>
            <w:tcW w:w="3540" w:type="dxa"/>
            <w:vAlign w:val="bottom"/>
          </w:tcPr>
          <w:p>
            <w:pPr>
              <w:jc w:val="center"/>
              <w:ind w:right="1519"/>
              <w:spacing w:after="0"/>
              <w:rPr>
                <w:sz w:val="20"/>
                <w:szCs w:val="20"/>
                <w:color w:val="auto"/>
              </w:rPr>
            </w:pPr>
            <w:r>
              <w:rPr>
                <w:rFonts w:ascii="Arial" w:cs="Arial" w:eastAsia="Arial" w:hAnsi="Arial"/>
                <w:sz w:val="16"/>
                <w:szCs w:val="16"/>
                <w:color w:val="auto"/>
                <w:w w:val="93"/>
              </w:rPr>
              <w:t>incorporation or organization)</w:t>
            </w:r>
          </w:p>
        </w:tc>
        <w:tc>
          <w:tcPr>
            <w:tcW w:w="2800" w:type="dxa"/>
            <w:vAlign w:val="bottom"/>
          </w:tcPr>
          <w:p>
            <w:pPr>
              <w:jc w:val="center"/>
              <w:ind w:left="1519"/>
              <w:spacing w:after="0"/>
              <w:rPr>
                <w:sz w:val="20"/>
                <w:szCs w:val="20"/>
                <w:color w:val="auto"/>
              </w:rPr>
            </w:pPr>
            <w:r>
              <w:rPr>
                <w:rFonts w:ascii="Arial" w:cs="Arial" w:eastAsia="Arial" w:hAnsi="Arial"/>
                <w:sz w:val="16"/>
                <w:szCs w:val="16"/>
                <w:color w:val="auto"/>
                <w:w w:val="96"/>
              </w:rPr>
              <w:t>Identification No.)</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51" w:lineRule="exact"/>
        <w:rPr>
          <w:sz w:val="24"/>
          <w:szCs w:val="24"/>
          <w:color w:val="auto"/>
        </w:rPr>
      </w:pPr>
    </w:p>
    <w:p>
      <w:pPr>
        <w:jc w:val="right"/>
        <w:ind w:right="35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610 401-2900</w:t>
      </w:r>
    </w:p>
    <w:p>
      <w:pPr>
        <w:spacing w:after="0" w:line="117" w:lineRule="exact"/>
        <w:rPr>
          <w:sz w:val="24"/>
          <w:szCs w:val="24"/>
          <w:color w:val="auto"/>
        </w:rPr>
      </w:pPr>
    </w:p>
    <w:p>
      <w:pPr>
        <w:jc w:val="right"/>
        <w:ind w:right="35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0" w:lineRule="exact"/>
        <w:rPr>
          <w:sz w:val="24"/>
          <w:szCs w:val="24"/>
          <w:color w:val="auto"/>
        </w:rPr>
      </w:pPr>
    </w:p>
    <w:tbl>
      <w:tblPr>
        <w:tblLayout w:type="fixed"/>
        <w:tblInd w:w="1060" w:type="dxa"/>
        <w:tblCellMar>
          <w:top w:w="0" w:type="dxa"/>
          <w:left w:w="0" w:type="dxa"/>
          <w:bottom w:w="0" w:type="dxa"/>
          <w:right w:w="0" w:type="dxa"/>
        </w:tblCellMar>
      </w:tblPr>
      <w:tr>
        <w:trPr>
          <w:trHeight w:val="192"/>
        </w:trPr>
        <w:tc>
          <w:tcPr>
            <w:tcW w:w="29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4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2920" w:type="dxa"/>
            <w:vAlign w:val="bottom"/>
          </w:tcPr>
          <w:p>
            <w:pPr>
              <w:jc w:val="center"/>
              <w:ind w:left="328"/>
              <w:spacing w:after="0"/>
              <w:rPr>
                <w:sz w:val="20"/>
                <w:szCs w:val="20"/>
                <w:color w:val="auto"/>
              </w:rPr>
            </w:pPr>
            <w:r>
              <w:rPr>
                <w:rFonts w:ascii="Arial" w:cs="Arial" w:eastAsia="Arial" w:hAnsi="Arial"/>
                <w:sz w:val="14"/>
                <w:szCs w:val="14"/>
                <w:color w:val="auto"/>
                <w:w w:val="92"/>
              </w:rPr>
              <w:t>Common Stock, par value $.01 per share</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4"/>
                <w:szCs w:val="14"/>
                <w:color w:val="auto"/>
              </w:rPr>
              <w:t>GLPI</w:t>
            </w:r>
          </w:p>
        </w:tc>
        <w:tc>
          <w:tcPr>
            <w:tcW w:w="3340" w:type="dxa"/>
            <w:vAlign w:val="bottom"/>
          </w:tcPr>
          <w:p>
            <w:pPr>
              <w:jc w:val="center"/>
              <w:spacing w:after="0"/>
              <w:rPr>
                <w:sz w:val="20"/>
                <w:szCs w:val="20"/>
                <w:color w:val="auto"/>
              </w:rPr>
            </w:pPr>
            <w:r>
              <w:rPr>
                <w:rFonts w:ascii="Arial" w:cs="Arial" w:eastAsia="Arial" w:hAnsi="Arial"/>
                <w:sz w:val="14"/>
                <w:szCs w:val="14"/>
                <w:color w:val="auto"/>
              </w:rPr>
              <w:t>NASDAQ</w:t>
            </w:r>
          </w:p>
        </w:tc>
      </w:tr>
      <w:tr>
        <w:trPr>
          <w:trHeight w:val="284"/>
        </w:trPr>
        <w:tc>
          <w:tcPr>
            <w:tcW w:w="2920" w:type="dxa"/>
            <w:vAlign w:val="bottom"/>
          </w:tcPr>
          <w:p>
            <w:pPr>
              <w:spacing w:after="0"/>
              <w:rPr>
                <w:sz w:val="24"/>
                <w:szCs w:val="24"/>
                <w:color w:val="auto"/>
              </w:rPr>
            </w:pPr>
          </w:p>
        </w:tc>
        <w:tc>
          <w:tcPr>
            <w:tcW w:w="6400" w:type="dxa"/>
            <w:vAlign w:val="bottom"/>
            <w:gridSpan w:val="5"/>
          </w:tcPr>
          <w:p>
            <w:pPr>
              <w:ind w:left="80"/>
              <w:spacing w:after="0"/>
              <w:rPr>
                <w:sz w:val="20"/>
                <w:szCs w:val="20"/>
                <w:color w:val="auto"/>
              </w:rPr>
            </w:pPr>
            <w:r>
              <w:rPr>
                <w:rFonts w:ascii="Arial" w:cs="Arial" w:eastAsia="Arial" w:hAnsi="Arial"/>
                <w:sz w:val="14"/>
                <w:szCs w:val="14"/>
                <w:color w:val="auto"/>
              </w:rPr>
              <w:t>Securities registered pursuant to Section 12(g) of the Act:</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85" w:lineRule="exact"/>
        <w:rPr>
          <w:sz w:val="24"/>
          <w:szCs w:val="24"/>
          <w:color w:val="auto"/>
        </w:rPr>
      </w:pPr>
    </w:p>
    <w:p>
      <w:pPr>
        <w:ind w:left="540" w:right="3060"/>
        <w:spacing w:after="0" w:line="3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60" w:firstLine="540"/>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40" w:firstLine="540"/>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right="80" w:firstLine="5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840" w:type="dxa"/>
        <w:tblCellMar>
          <w:top w:w="0" w:type="dxa"/>
          <w:left w:w="0" w:type="dxa"/>
          <w:bottom w:w="0" w:type="dxa"/>
          <w:right w:w="0" w:type="dxa"/>
        </w:tblCellMar>
      </w:tblPr>
      <w:tr>
        <w:trPr>
          <w:trHeight w:val="283"/>
        </w:trPr>
        <w:tc>
          <w:tcPr>
            <w:tcW w:w="1740" w:type="dxa"/>
            <w:vAlign w:val="bottom"/>
          </w:tcPr>
          <w:p>
            <w:pPr>
              <w:jc w:val="center"/>
              <w:ind w:right="368"/>
              <w:spacing w:after="0"/>
              <w:rPr>
                <w:sz w:val="20"/>
                <w:szCs w:val="20"/>
                <w:color w:val="auto"/>
              </w:rPr>
            </w:pPr>
            <w:r>
              <w:rPr>
                <w:rFonts w:ascii="Arial" w:cs="Arial" w:eastAsia="Arial" w:hAnsi="Arial"/>
                <w:sz w:val="14"/>
                <w:szCs w:val="14"/>
                <w:color w:val="auto"/>
                <w:w w:val="93"/>
              </w:rPr>
              <w:t>Large accelerated filer</w:t>
            </w:r>
          </w:p>
        </w:tc>
        <w:tc>
          <w:tcPr>
            <w:tcW w:w="12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jc w:val="center"/>
              <w:ind w:left="8"/>
              <w:spacing w:after="0"/>
              <w:rPr>
                <w:sz w:val="20"/>
                <w:szCs w:val="20"/>
                <w:color w:val="auto"/>
              </w:rPr>
            </w:pPr>
            <w:r>
              <w:rPr>
                <w:rFonts w:ascii="Arial" w:cs="Arial" w:eastAsia="Arial" w:hAnsi="Arial"/>
                <w:sz w:val="14"/>
                <w:szCs w:val="14"/>
                <w:color w:val="auto"/>
                <w:w w:val="97"/>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40"/>
        </w:trPr>
        <w:tc>
          <w:tcPr>
            <w:tcW w:w="1740" w:type="dxa"/>
            <w:vAlign w:val="bottom"/>
          </w:tcPr>
          <w:p>
            <w:pPr>
              <w:jc w:val="center"/>
              <w:ind w:right="368"/>
              <w:spacing w:after="0"/>
              <w:rPr>
                <w:sz w:val="20"/>
                <w:szCs w:val="20"/>
                <w:color w:val="auto"/>
              </w:rPr>
            </w:pPr>
            <w:r>
              <w:rPr>
                <w:rFonts w:ascii="Arial" w:cs="Arial" w:eastAsia="Arial" w:hAnsi="Arial"/>
                <w:sz w:val="14"/>
                <w:szCs w:val="14"/>
                <w:color w:val="auto"/>
                <w:w w:val="94"/>
              </w:rPr>
              <w:t>Non-accelerated filer</w:t>
            </w:r>
          </w:p>
        </w:tc>
        <w:tc>
          <w:tcPr>
            <w:tcW w:w="12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jc w:val="center"/>
              <w:ind w:left="48"/>
              <w:spacing w:after="0"/>
              <w:rPr>
                <w:sz w:val="20"/>
                <w:szCs w:val="20"/>
                <w:color w:val="auto"/>
              </w:rPr>
            </w:pPr>
            <w:r>
              <w:rPr>
                <w:rFonts w:ascii="Arial" w:cs="Arial" w:eastAsia="Arial" w:hAnsi="Arial"/>
                <w:sz w:val="14"/>
                <w:szCs w:val="14"/>
                <w:color w:val="auto"/>
                <w:w w:val="94"/>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Pr>
          <w:p>
            <w:pPr>
              <w:jc w:val="center"/>
              <w:ind w:left="48"/>
              <w:spacing w:after="0"/>
              <w:rPr>
                <w:sz w:val="20"/>
                <w:szCs w:val="20"/>
                <w:color w:val="auto"/>
              </w:rPr>
            </w:pPr>
            <w:r>
              <w:rPr>
                <w:rFonts w:ascii="Arial" w:cs="Arial" w:eastAsia="Arial" w:hAnsi="Arial"/>
                <w:sz w:val="14"/>
                <w:szCs w:val="14"/>
                <w:color w:val="auto"/>
                <w:w w:val="94"/>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9" w:lineRule="exact"/>
        <w:rPr>
          <w:sz w:val="24"/>
          <w:szCs w:val="24"/>
          <w:color w:val="auto"/>
        </w:rPr>
      </w:pPr>
    </w:p>
    <w:p>
      <w:pPr>
        <w:ind w:right="180" w:firstLine="567"/>
        <w:spacing w:after="0" w:line="22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40"/>
        <w:spacing w:after="0" w:line="20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ind w:firstLine="540"/>
        <w:spacing w:after="0" w:line="257" w:lineRule="auto"/>
        <w:rPr>
          <w:sz w:val="20"/>
          <w:szCs w:val="20"/>
          <w:color w:val="auto"/>
        </w:rPr>
      </w:pPr>
      <w:r>
        <w:rPr>
          <w:rFonts w:ascii="Arial" w:cs="Arial" w:eastAsia="Arial" w:hAnsi="Arial"/>
          <w:sz w:val="14"/>
          <w:szCs w:val="14"/>
          <w:color w:val="auto"/>
        </w:rPr>
        <w:t>As of June 30, 2019 (the last business day of the registrant's most recently completed second fiscal quarter), the aggregate market value of the voting common stock held by non-affiliates of the registrant was approximately $7.9 billion. Such aggregate market value was computed by reference to the closing price of the common stock as reported on the NASDAQ Global Select Market on June 28, 2019.</w:t>
      </w:r>
    </w:p>
    <w:p>
      <w:pPr>
        <w:spacing w:after="0" w:line="34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number of shares of the registrant's common stock outstanding as of February 18, 2020 was 215,101,747.</w:t>
      </w:r>
    </w:p>
    <w:p>
      <w:pPr>
        <w:spacing w:after="0" w:line="10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ind w:right="140" w:firstLine="567"/>
        <w:spacing w:after="0" w:line="273" w:lineRule="auto"/>
        <w:rPr>
          <w:sz w:val="20"/>
          <w:szCs w:val="20"/>
          <w:color w:val="auto"/>
        </w:rPr>
      </w:pPr>
      <w:r>
        <w:rPr>
          <w:rFonts w:ascii="Arial" w:cs="Arial" w:eastAsia="Arial" w:hAnsi="Arial"/>
          <w:sz w:val="14"/>
          <w:szCs w:val="14"/>
          <w:color w:val="auto"/>
        </w:rPr>
        <w:t>Portions of the registrant's definitive proxy statement for its 2020 annual meeting of shareholders (when it is filed) will be incorporated by reference into Part III of this Annual Report on Form 10-K.</w:t>
      </w:r>
    </w:p>
    <w:p>
      <w:pPr>
        <w:sectPr>
          <w:pgSz w:w="11900" w:h="16838" w:orient="portrait"/>
          <w:cols w:equalWidth="0" w:num="1">
            <w:col w:w="11420"/>
          </w:cols>
          <w:pgMar w:left="240" w:top="238"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FACTORS REGARDING FORWARD-LOOKING STATEMENTS</w:t>
      </w:r>
    </w:p>
    <w:p>
      <w:pPr>
        <w:spacing w:after="0" w:line="28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subsidiaries (collectively, the "Company") to be materially different from any future results, performance or achievements expressed or implied by such forward-looking statements. Forward-looking statements include information concerning the Company's business strategy, plans, and goals and objectives.</w:t>
      </w:r>
    </w:p>
    <w:p>
      <w:pPr>
        <w:spacing w:after="0" w:line="24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12"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satisfaction of the loan made to Eldorado Resorts, Inc. ("Eldorado") by way of substitution of one or more additional Eldorado properties acceptable to Eldorado and the Company, which will be transferred to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interest rates and the potential phasing out of LIBOR after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GLPI's obligation to indemnify Penn National Gaming, Inc. and its subsidiaries ("Penn") in certain circumstances if the spin-off transaction described in Part 1 of this Annual Report on Form 10-K fails to be tax-free;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REITs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"Risk Factors" and "Management's Discussion and Analysis of Financial Condition and Results of Operations" in this report.</w:t>
      </w:r>
    </w:p>
    <w:p>
      <w:pPr>
        <w:spacing w:after="0" w:line="89"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of this report.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23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You should consider the areas of risk described above, as well as those set forth under the heading "Risk Factors," in connection with considering any forward-looking statements that may be made by the Company generally.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80" w:type="dxa"/>
            <w:vAlign w:val="bottom"/>
            <w:gridSpan w:val="11"/>
          </w:tcPr>
          <w:p>
            <w:pPr>
              <w:ind w:left="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8"/>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600" w:type="dxa"/>
            <w:vAlign w:val="bottom"/>
            <w:gridSpan w:val="7"/>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ITEM 1.</w:t>
              </w:r>
            </w:hyperlink>
          </w:p>
        </w:tc>
        <w:tc>
          <w:tcPr>
            <w:tcW w:w="980" w:type="dxa"/>
            <w:vAlign w:val="bottom"/>
            <w:gridSpan w:val="5"/>
          </w:tcPr>
          <w:p>
            <w:pPr>
              <w:spacing w:after="0"/>
              <w:rPr>
                <w:sz w:val="22"/>
                <w:szCs w:val="22"/>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8120" w:type="dxa"/>
            <w:vAlign w:val="bottom"/>
            <w:gridSpan w:val="22"/>
          </w:tcPr>
          <w:p>
            <w:pPr>
              <w:spacing w:after="0"/>
              <w:rPr>
                <w:sz w:val="22"/>
                <w:szCs w:val="22"/>
                <w:color w:val="auto"/>
              </w:rPr>
            </w:pPr>
          </w:p>
        </w:tc>
        <w:tc>
          <w:tcPr>
            <w:tcW w:w="680" w:type="dxa"/>
            <w:vAlign w:val="bottom"/>
            <w:gridSpan w:val="3"/>
          </w:tcPr>
          <w:p>
            <w:pPr>
              <w:spacing w:after="0"/>
              <w:rPr>
                <w:sz w:val="22"/>
                <w:szCs w:val="22"/>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ITEM 1A.</w:t>
              </w:r>
            </w:hyperlink>
          </w:p>
        </w:tc>
        <w:tc>
          <w:tcPr>
            <w:tcW w:w="8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7720" w:type="dxa"/>
            <w:vAlign w:val="bottom"/>
            <w:gridSpan w:val="19"/>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ITEM 1B.</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2.</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PROPERTIES</w:t>
              </w:r>
            </w:hyperlink>
          </w:p>
        </w:tc>
        <w:tc>
          <w:tcPr>
            <w:tcW w:w="1760" w:type="dxa"/>
            <w:vAlign w:val="bottom"/>
            <w:gridSpan w:val="9"/>
          </w:tcPr>
          <w:p>
            <w:pPr>
              <w:spacing w:after="0"/>
              <w:rPr>
                <w:sz w:val="21"/>
                <w:szCs w:val="21"/>
                <w:color w:val="auto"/>
              </w:rPr>
            </w:pPr>
          </w:p>
        </w:tc>
        <w:tc>
          <w:tcPr>
            <w:tcW w:w="6160" w:type="dxa"/>
            <w:vAlign w:val="bottom"/>
            <w:gridSpan w:val="12"/>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3.</w:t>
              </w:r>
            </w:hyperlink>
          </w:p>
        </w:tc>
        <w:tc>
          <w:tcPr>
            <w:tcW w:w="980" w:type="dxa"/>
            <w:vAlign w:val="bottom"/>
            <w:gridSpan w:val="5"/>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LEGAL PROCEEDINGS</w:t>
              </w:r>
            </w:hyperlink>
          </w:p>
        </w:tc>
        <w:tc>
          <w:tcPr>
            <w:tcW w:w="7100" w:type="dxa"/>
            <w:vAlign w:val="bottom"/>
            <w:gridSpan w:val="17"/>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ITEM 4.</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PART II</w:t>
              </w:r>
            </w:hyperlink>
          </w:p>
        </w:tc>
        <w:tc>
          <w:tcPr>
            <w:tcW w:w="940" w:type="dxa"/>
            <w:vAlign w:val="bottom"/>
            <w:gridSpan w:val="4"/>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ITEM 5.</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MARKET FOR REGISTRANT'S COMMON EQUITY, RELATED SHAREHOLDER MATTERS AND ISSUER</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PURCHASES OF EQUITY SECURITIES</w:t>
              </w:r>
            </w:hyperlink>
          </w:p>
        </w:tc>
        <w:tc>
          <w:tcPr>
            <w:tcW w:w="5140" w:type="dxa"/>
            <w:vAlign w:val="bottom"/>
            <w:tcBorders>
              <w:top w:val="single" w:sz="8" w:color="0000EE"/>
            </w:tcBorders>
            <w:gridSpan w:val="9"/>
          </w:tcPr>
          <w:p>
            <w:pPr>
              <w:spacing w:after="0"/>
              <w:rPr>
                <w:sz w:val="17"/>
                <w:szCs w:val="17"/>
                <w:color w:val="auto"/>
              </w:rPr>
            </w:pPr>
          </w:p>
        </w:tc>
        <w:tc>
          <w:tcPr>
            <w:tcW w:w="740" w:type="dxa"/>
            <w:vAlign w:val="bottom"/>
            <w:gridSpan w:val="2"/>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ITEM 6.</w:t>
              </w:r>
            </w:hyperlink>
          </w:p>
        </w:tc>
        <w:tc>
          <w:tcPr>
            <w:tcW w:w="980" w:type="dxa"/>
            <w:vAlign w:val="bottom"/>
            <w:gridSpan w:val="5"/>
          </w:tcPr>
          <w:p>
            <w:pPr>
              <w:spacing w:after="0"/>
              <w:rPr>
                <w:sz w:val="21"/>
                <w:szCs w:val="21"/>
                <w:color w:val="auto"/>
              </w:rPr>
            </w:pPr>
          </w:p>
        </w:tc>
        <w:tc>
          <w:tcPr>
            <w:tcW w:w="310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5880" w:type="dxa"/>
            <w:vAlign w:val="bottom"/>
            <w:gridSpan w:val="11"/>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 7.</w:t>
              </w:r>
            </w:hyperlink>
          </w:p>
        </w:tc>
        <w:tc>
          <w:tcPr>
            <w:tcW w:w="980" w:type="dxa"/>
            <w:vAlign w:val="bottom"/>
            <w:gridSpan w:val="5"/>
          </w:tcPr>
          <w:p>
            <w:pPr>
              <w:spacing w:after="0"/>
              <w:rPr>
                <w:sz w:val="21"/>
                <w:szCs w:val="21"/>
                <w:color w:val="auto"/>
              </w:rPr>
            </w:pPr>
          </w:p>
        </w:tc>
        <w:tc>
          <w:tcPr>
            <w:tcW w:w="8900" w:type="dxa"/>
            <w:vAlign w:val="bottom"/>
            <w:gridSpan w:val="22"/>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MANAGEMENT'S DISCUSSION AND ANALYSIS OF FINANCIAL CONDITION AND RESULTS OF OPERATIONS</w:t>
              </w:r>
            </w:hyperlink>
          </w:p>
        </w:tc>
        <w:tc>
          <w:tcPr>
            <w:tcW w:w="80" w:type="dxa"/>
            <w:vAlign w:val="bottom"/>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ITEM 7A.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QUANTITATIVE AND QUALITATIVE DISCLOSURES ABOUT MARKET RISK</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8.</w:t>
              </w:r>
            </w:hyperlink>
          </w:p>
        </w:tc>
        <w:tc>
          <w:tcPr>
            <w:tcW w:w="14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4660" w:type="dxa"/>
            <w:vAlign w:val="bottom"/>
            <w:gridSpan w:val="15"/>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2840" w:type="dxa"/>
            <w:vAlign w:val="bottom"/>
            <w:gridSpan w:val="6"/>
          </w:tcPr>
          <w:p>
            <w:pPr>
              <w:spacing w:after="0"/>
              <w:rPr>
                <w:sz w:val="21"/>
                <w:szCs w:val="21"/>
                <w:color w:val="auto"/>
              </w:rPr>
            </w:pPr>
          </w:p>
        </w:tc>
        <w:tc>
          <w:tcPr>
            <w:tcW w:w="800" w:type="dxa"/>
            <w:vAlign w:val="bottom"/>
            <w:gridSpan w:val="5"/>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ITEM 9.</w:t>
              </w:r>
            </w:hyperlink>
          </w:p>
        </w:tc>
        <w:tc>
          <w:tcPr>
            <w:tcW w:w="980" w:type="dxa"/>
            <w:vAlign w:val="bottom"/>
            <w:gridSpan w:val="5"/>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CHANGES IN AND DISAGREEMENTS WITH ACCOUNTANTS ON ACCOUNTING AND FINANCIAL</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DISCLOSURE</w:t>
              </w:r>
            </w:hyperlink>
          </w:p>
        </w:tc>
        <w:tc>
          <w:tcPr>
            <w:tcW w:w="6820" w:type="dxa"/>
            <w:vAlign w:val="bottom"/>
            <w:tcBorders>
              <w:top w:val="single" w:sz="8" w:color="0000EE"/>
            </w:tcBorders>
            <w:gridSpan w:val="16"/>
          </w:tcPr>
          <w:p>
            <w:pPr>
              <w:spacing w:after="0"/>
              <w:rPr>
                <w:sz w:val="17"/>
                <w:szCs w:val="17"/>
                <w:color w:val="auto"/>
              </w:rPr>
            </w:pPr>
          </w:p>
        </w:tc>
        <w:tc>
          <w:tcPr>
            <w:tcW w:w="10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gridSpan w:val="6"/>
          </w:tcPr>
          <w:p>
            <w:pPr>
              <w:spacing w:after="0"/>
              <w:rPr>
                <w:rFonts w:ascii="Arial" w:cs="Arial" w:eastAsia="Arial" w:hAnsi="Arial"/>
                <w:sz w:val="18"/>
                <w:szCs w:val="18"/>
                <w:color w:val="0000EE"/>
                <w:w w:val="95"/>
              </w:rPr>
            </w:pPr>
            <w:hyperlink w:anchor="page115">
              <w:r>
                <w:rPr>
                  <w:rFonts w:ascii="Arial" w:cs="Arial" w:eastAsia="Arial" w:hAnsi="Arial"/>
                  <w:sz w:val="18"/>
                  <w:szCs w:val="18"/>
                  <w:color w:val="0000EE"/>
                  <w:w w:val="95"/>
                </w:rPr>
                <w:t>ITEM 9A.</w:t>
              </w:r>
            </w:hyperlink>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CONTROLS AND PROCEDURES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c>
          <w:tcPr>
            <w:tcW w:w="0" w:type="dxa"/>
            <w:vAlign w:val="bottom"/>
          </w:tcPr>
          <w:p>
            <w:pPr>
              <w:spacing w:after="0"/>
              <w:rPr>
                <w:sz w:val="1"/>
                <w:szCs w:val="1"/>
                <w:color w:val="auto"/>
              </w:rPr>
            </w:pPr>
          </w:p>
        </w:tc>
      </w:tr>
      <w:tr>
        <w:trPr>
          <w:trHeight w:val="250"/>
        </w:trPr>
        <w:tc>
          <w:tcPr>
            <w:tcW w:w="760" w:type="dxa"/>
            <w:vAlign w:val="bottom"/>
            <w:tcBorders>
              <w:top w:val="single" w:sz="8" w:color="0000EE"/>
            </w:tcBorders>
            <w:gridSpan w:val="6"/>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ITEM 9B.</w:t>
              </w:r>
            </w:hyperlink>
          </w:p>
        </w:tc>
        <w:tc>
          <w:tcPr>
            <w:tcW w:w="840" w:type="dxa"/>
            <w:vAlign w:val="bottom"/>
          </w:tcPr>
          <w:p>
            <w:pPr>
              <w:spacing w:after="0"/>
              <w:rPr>
                <w:sz w:val="21"/>
                <w:szCs w:val="21"/>
                <w:color w:val="auto"/>
              </w:rPr>
            </w:pP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6380" w:type="dxa"/>
            <w:vAlign w:val="bottom"/>
            <w:gridSpan w:val="13"/>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PART III</w:t>
              </w:r>
            </w:hyperlink>
          </w:p>
        </w:tc>
        <w:tc>
          <w:tcPr>
            <w:tcW w:w="840" w:type="dxa"/>
            <w:vAlign w:val="bottom"/>
          </w:tcPr>
          <w:p>
            <w:pPr>
              <w:spacing w:after="0"/>
              <w:rPr>
                <w:sz w:val="21"/>
                <w:szCs w:val="21"/>
                <w:color w:val="auto"/>
              </w:rPr>
            </w:pPr>
          </w:p>
        </w:tc>
        <w:tc>
          <w:tcPr>
            <w:tcW w:w="86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10.</w:t>
              </w:r>
            </w:hyperlink>
          </w:p>
        </w:tc>
        <w:tc>
          <w:tcPr>
            <w:tcW w:w="898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50"/>
        </w:trPr>
        <w:tc>
          <w:tcPr>
            <w:tcW w:w="700" w:type="dxa"/>
            <w:vAlign w:val="bottom"/>
            <w:tcBorders>
              <w:top w:val="single" w:sz="8" w:color="0000EE"/>
            </w:tcBorders>
            <w:gridSpan w:val="4"/>
          </w:tcPr>
          <w:p>
            <w:pPr>
              <w:spacing w:after="0"/>
              <w:rPr>
                <w:rFonts w:ascii="Arial" w:cs="Arial" w:eastAsia="Arial" w:hAnsi="Arial"/>
                <w:sz w:val="18"/>
                <w:szCs w:val="18"/>
                <w:color w:val="0000EE"/>
                <w:w w:val="93"/>
              </w:rPr>
            </w:pPr>
            <w:hyperlink w:anchor="page118">
              <w:r>
                <w:rPr>
                  <w:rFonts w:ascii="Arial" w:cs="Arial" w:eastAsia="Arial" w:hAnsi="Arial"/>
                  <w:sz w:val="18"/>
                  <w:szCs w:val="18"/>
                  <w:color w:val="0000EE"/>
                  <w:w w:val="93"/>
                </w:rPr>
                <w:t>ITEM 11.</w:t>
              </w:r>
            </w:hyperlink>
          </w:p>
        </w:tc>
        <w:tc>
          <w:tcPr>
            <w:tcW w:w="900" w:type="dxa"/>
            <w:vAlign w:val="bottom"/>
            <w:gridSpan w:val="3"/>
          </w:tcPr>
          <w:p>
            <w:pPr>
              <w:spacing w:after="0"/>
              <w:rPr>
                <w:sz w:val="21"/>
                <w:szCs w:val="21"/>
                <w:color w:val="auto"/>
              </w:rPr>
            </w:pPr>
          </w:p>
        </w:tc>
        <w:tc>
          <w:tcPr>
            <w:tcW w:w="5800" w:type="dxa"/>
            <w:vAlign w:val="bottom"/>
            <w:tcBorders>
              <w:top w:val="single" w:sz="8" w:color="0000EE"/>
            </w:tcBorders>
            <w:gridSpan w:val="16"/>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3180" w:type="dxa"/>
            <w:vAlign w:val="bottom"/>
            <w:gridSpan w:val="7"/>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12.</w:t>
              </w:r>
            </w:hyperlink>
          </w:p>
        </w:tc>
        <w:tc>
          <w:tcPr>
            <w:tcW w:w="898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w:t>
              </w:r>
            </w:hyperlink>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STOCKHOLDERS MATTERS</w:t>
              </w:r>
            </w:hyperlink>
          </w:p>
        </w:tc>
        <w:tc>
          <w:tcPr>
            <w:tcW w:w="960" w:type="dxa"/>
            <w:vAlign w:val="bottom"/>
            <w:gridSpan w:val="3"/>
          </w:tcPr>
          <w:p>
            <w:pPr>
              <w:spacing w:after="0"/>
              <w:rPr>
                <w:sz w:val="17"/>
                <w:szCs w:val="17"/>
                <w:color w:val="auto"/>
              </w:rPr>
            </w:pPr>
          </w:p>
        </w:tc>
        <w:tc>
          <w:tcPr>
            <w:tcW w:w="800" w:type="dxa"/>
            <w:vAlign w:val="bottom"/>
            <w:gridSpan w:val="5"/>
          </w:tcPr>
          <w:p>
            <w:pPr>
              <w:jc w:val="right"/>
              <w:ind w:right="2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13.</w:t>
              </w:r>
            </w:hyperlink>
          </w:p>
        </w:tc>
        <w:tc>
          <w:tcPr>
            <w:tcW w:w="898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ITEM 14.</w:t>
              </w:r>
            </w:hyperlink>
          </w:p>
        </w:tc>
        <w:tc>
          <w:tcPr>
            <w:tcW w:w="8980" w:type="dxa"/>
            <w:vAlign w:val="bottom"/>
            <w:gridSpan w:val="23"/>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PRINCIPAL ACCOUNTING FEES AND SERVICES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8">
              <w:r>
                <w:rPr>
                  <w:rFonts w:ascii="Arial" w:cs="Arial" w:eastAsia="Arial" w:hAnsi="Arial"/>
                  <w:sz w:val="18"/>
                  <w:szCs w:val="18"/>
                  <w:color w:val="0000EE"/>
                </w:rPr>
                <w:t>117</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119">
              <w:r>
                <w:rPr>
                  <w:rFonts w:ascii="Arial" w:cs="Arial" w:eastAsia="Arial" w:hAnsi="Arial"/>
                  <w:sz w:val="18"/>
                  <w:szCs w:val="18"/>
                  <w:b w:val="1"/>
                  <w:bCs w:val="1"/>
                  <w:color w:val="0000EE"/>
                  <w:w w:val="98"/>
                </w:rPr>
                <w:t>PART IV</w:t>
              </w:r>
            </w:hyperlink>
          </w:p>
        </w:tc>
        <w:tc>
          <w:tcPr>
            <w:tcW w:w="88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15.</w:t>
              </w:r>
            </w:hyperlink>
          </w:p>
        </w:tc>
        <w:tc>
          <w:tcPr>
            <w:tcW w:w="8980" w:type="dxa"/>
            <w:vAlign w:val="bottom"/>
            <w:gridSpan w:val="2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19">
              <w:r>
                <w:rPr>
                  <w:rFonts w:ascii="Arial" w:cs="Arial" w:eastAsia="Arial" w:hAnsi="Arial"/>
                  <w:sz w:val="18"/>
                  <w:szCs w:val="18"/>
                  <w:color w:val="0000EE"/>
                </w:rPr>
                <w:t>118</w:t>
              </w:r>
            </w:hyperlink>
          </w:p>
        </w:tc>
        <w:tc>
          <w:tcPr>
            <w:tcW w:w="0" w:type="dxa"/>
            <w:vAlign w:val="bottom"/>
          </w:tcPr>
          <w:p>
            <w:pPr>
              <w:spacing w:after="0"/>
              <w:rPr>
                <w:sz w:val="1"/>
                <w:szCs w:val="1"/>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16.</w:t>
              </w:r>
            </w:hyperlink>
          </w:p>
        </w:tc>
        <w:tc>
          <w:tcPr>
            <w:tcW w:w="1900" w:type="dxa"/>
            <w:vAlign w:val="bottom"/>
            <w:gridSpan w:val="7"/>
            <w:vMerge w:val="restart"/>
          </w:tcPr>
          <w:p>
            <w:pPr>
              <w:spacing w:after="0"/>
              <w:rPr>
                <w:rFonts w:ascii="Arial" w:cs="Arial" w:eastAsia="Arial" w:hAnsi="Arial"/>
                <w:sz w:val="18"/>
                <w:szCs w:val="18"/>
                <w:color w:val="0000EE"/>
                <w:w w:val="97"/>
              </w:rPr>
            </w:pPr>
            <w:hyperlink w:anchor="page119">
              <w:r>
                <w:rPr>
                  <w:rFonts w:ascii="Arial" w:cs="Arial" w:eastAsia="Arial" w:hAnsi="Arial"/>
                  <w:sz w:val="18"/>
                  <w:szCs w:val="18"/>
                  <w:color w:val="0000EE"/>
                  <w:w w:val="97"/>
                </w:rPr>
                <w:t>FORM 10-K SUMMARY</w:t>
              </w:r>
            </w:hyperlink>
          </w:p>
        </w:tc>
        <w:tc>
          <w:tcPr>
            <w:tcW w:w="7080" w:type="dxa"/>
            <w:vAlign w:val="bottom"/>
            <w:gridSpan w:val="16"/>
            <w:vMerge w:val="restart"/>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5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Borders>
              <w:bottom w:val="single" w:sz="8" w:color="0000EE"/>
            </w:tcBorders>
            <w:gridSpan w:val="7"/>
            <w:vMerge w:val="continue"/>
          </w:tcPr>
          <w:p>
            <w:pPr>
              <w:spacing w:after="0"/>
              <w:rPr>
                <w:sz w:val="10"/>
                <w:szCs w:val="10"/>
                <w:color w:val="auto"/>
              </w:rPr>
            </w:pPr>
          </w:p>
        </w:tc>
        <w:tc>
          <w:tcPr>
            <w:tcW w:w="7080" w:type="dxa"/>
            <w:vAlign w:val="bottom"/>
            <w:gridSpan w:val="16"/>
            <w:vMerge w:val="continue"/>
          </w:tcPr>
          <w:p>
            <w:pPr>
              <w:spacing w:after="0"/>
              <w:rPr>
                <w:sz w:val="10"/>
                <w:szCs w:val="10"/>
                <w:color w:val="auto"/>
              </w:rPr>
            </w:pPr>
          </w:p>
        </w:tc>
        <w:tc>
          <w:tcPr>
            <w:tcW w:w="500" w:type="dxa"/>
            <w:vAlign w:val="bottom"/>
            <w:vMerge w:val="restart"/>
          </w:tcPr>
          <w:p>
            <w:pPr>
              <w:spacing w:after="0"/>
              <w:rPr>
                <w:sz w:val="10"/>
                <w:szCs w:val="10"/>
                <w:color w:val="auto"/>
              </w:rPr>
            </w:pPr>
          </w:p>
        </w:tc>
        <w:tc>
          <w:tcPr>
            <w:tcW w:w="280" w:type="dxa"/>
            <w:vAlign w:val="bottom"/>
            <w:gridSpan w:val="3"/>
            <w:vMerge w:val="restart"/>
          </w:tcPr>
          <w:p>
            <w:pPr>
              <w:jc w:val="right"/>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980" w:type="dxa"/>
            <w:vAlign w:val="bottom"/>
            <w:gridSpan w:val="23"/>
            <w:vMerge w:val="restart"/>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EXHIBIT INDEX</w:t>
              </w:r>
            </w:hyperlink>
          </w:p>
        </w:tc>
        <w:tc>
          <w:tcPr>
            <w:tcW w:w="500" w:type="dxa"/>
            <w:vAlign w:val="bottom"/>
            <w:vMerge w:val="continue"/>
          </w:tcPr>
          <w:p>
            <w:pPr>
              <w:spacing w:after="0"/>
              <w:rPr>
                <w:sz w:val="10"/>
                <w:szCs w:val="10"/>
                <w:color w:val="auto"/>
              </w:rPr>
            </w:pPr>
          </w:p>
        </w:tc>
        <w:tc>
          <w:tcPr>
            <w:tcW w:w="280" w:type="dxa"/>
            <w:vAlign w:val="bottom"/>
            <w:tcBorders>
              <w:bottom w:val="single" w:sz="8" w:color="0000EE"/>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80" w:type="dxa"/>
            <w:vAlign w:val="bottom"/>
            <w:gridSpan w:val="23"/>
            <w:vMerge w:val="continue"/>
          </w:tcPr>
          <w:p>
            <w:pPr>
              <w:spacing w:after="0"/>
              <w:rPr>
                <w:sz w:val="24"/>
                <w:szCs w:val="24"/>
                <w:color w:val="auto"/>
              </w:rPr>
            </w:pPr>
          </w:p>
        </w:tc>
        <w:tc>
          <w:tcPr>
            <w:tcW w:w="500" w:type="dxa"/>
            <w:vAlign w:val="bottom"/>
            <w:vMerge w:val="restart"/>
          </w:tcPr>
          <w:p>
            <w:pPr>
              <w:spacing w:after="0"/>
              <w:rPr>
                <w:sz w:val="24"/>
                <w:szCs w:val="24"/>
                <w:color w:val="auto"/>
              </w:rPr>
            </w:pPr>
          </w:p>
        </w:tc>
        <w:tc>
          <w:tcPr>
            <w:tcW w:w="280" w:type="dxa"/>
            <w:vAlign w:val="bottom"/>
            <w:gridSpan w:val="3"/>
            <w:vMerge w:val="restart"/>
          </w:tcPr>
          <w:p>
            <w:pPr>
              <w:jc w:val="right"/>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119</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Borders>
              <w:bottom w:val="single" w:sz="8" w:color="0000EE"/>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980" w:type="dxa"/>
            <w:vAlign w:val="bottom"/>
            <w:gridSpan w:val="2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SIGNATURES</w:t>
              </w:r>
            </w:hyperlink>
          </w:p>
        </w:tc>
        <w:tc>
          <w:tcPr>
            <w:tcW w:w="800" w:type="dxa"/>
            <w:vAlign w:val="bottom"/>
            <w:gridSpan w:val="5"/>
          </w:tcPr>
          <w:p>
            <w:pPr>
              <w:jc w:val="right"/>
              <w:ind w:right="20"/>
              <w:spacing w:after="0"/>
              <w:rPr>
                <w:rFonts w:ascii="Arial" w:cs="Arial" w:eastAsia="Arial" w:hAnsi="Arial"/>
                <w:sz w:val="18"/>
                <w:szCs w:val="18"/>
                <w:color w:val="0000EE"/>
              </w:rPr>
            </w:pPr>
            <w:hyperlink w:anchor="page125">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this Annual Report on Form 10-K, the terms "we," "us," "our," the "Company" and "GLPI" refer to Gaming and Leisure Properties, Inc. and subsidiaries, unless the context indicates otherwise.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Louisiana Casino Cruises, Inc. (d/b/a Hollywood Casino Baton Rouge) and Penn Cecil Maryland, Inc. (d/b/a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6"/>
          <w:szCs w:val="16"/>
          <w:i w:val="1"/>
          <w:iCs w:val="1"/>
          <w:color w:val="auto"/>
        </w:rPr>
        <w:t>Spinoffs and Reverse Spinoffs</w:t>
      </w:r>
      <w:r>
        <w:rPr>
          <w:rFonts w:ascii="Arial" w:cs="Arial" w:eastAsia="Arial" w:hAnsi="Arial"/>
          <w:sz w:val="16"/>
          <w:szCs w:val="16"/>
          <w:color w:val="auto"/>
        </w:rPr>
        <w:t>. GLPI owns and operates the TRS Properties through its indirect wholly-owned subsidiary, GLP Holdings, Inc.</w:t>
      </w:r>
    </w:p>
    <w:p>
      <w:pPr>
        <w:spacing w:after="0" w:line="22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The Company elected on its United States ("U.S.") federal income tax return for its taxable year that began on January 1, 2014 to be treated as a REIT and GLPI, together with GLP Holdings, Inc., jointly elected to treat each of GLP Holdings, Inc., Louisiana Casino Cruises, Inc. and Penn Cecil Maryland, Inc.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for the year ended December 31, 2014,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246"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pursuant to a unitary master lease (the "Penn Master Lease"). The Penn Master Lease is a triple-net operating lease with an initial term of 15 years (expiring October 31, 2028), with no purchase option, followed by four 5-year renewal options (exercisable by Penn) on the same terms and conditions.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Gaming Corporation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w:t>
      </w:r>
    </w:p>
    <w:p>
      <w:pPr>
        <w:spacing w:after="0" w:line="22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("GLP Capital"), the operating partnership of GLPI, which was subsequently amended on October 1, 2018 (as amended, the "Amended Real Estate Purchase Agreement"). Pursuant to the terms of the Amended Real Estate Purchase Agreement, the Company acquired the real estate assets of Tropicana Atlantic City, Tropicana Evansville,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entered into a loan agreement with Eldorado in connection with Eldorado’s acquisition of Lumière Place Casino ("Lumière Place"), whereby the Company loaned Eldorado $246.0 million (together with the Tropicana Acquisition the "Tropicana Transactions").</w:t>
      </w:r>
    </w:p>
    <w:p>
      <w:pPr>
        <w:spacing w:after="0" w:line="22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Triple-net leases are leases in which the lessee pays rent to the lessor, as well as all taxes, insurance, utilities and maintenance expenses that arise from the use of the property. As of December 31, 2019, GLPI’s portfolio consisted of interests in 44 gaming and related facilities, including the TRS Properties, the real property associated with 32 gaming and related facilities operated by Penn, the real property associated with 5 gaming and related facilities operated by Eldorado, the real property associated with 4 gaming and related facilities operated by Boyd (including one financed property) and the real property associated with the Casino Queen in East St. Louis, Illinois. These facilities, including our corporate headquarters building, are geographically diversified across 16 states and contain approximately 22.1 million square feet. As of December 31, 2019, the Company's properties were 100% occupied. We expect to continue growing our portfolio by pursuing opportunities to acquire additional gaming facilities to lease to gaming operators under prudent terms.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283"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provisions of the Code, we also would be disqualified from re-electing to be taxed as a REIT for the four taxable years following the year in which we failed to qualify to be taxed as a REIT.</w:t>
      </w:r>
    </w:p>
    <w:p>
      <w:pPr>
        <w:spacing w:after="0" w:line="22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is not qualifying income for a REIT. As a result, certain activities of the Company which occur within our TRS Properties are subject to federal and state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December 31, 2019, 19 of the Company’s real estate investment properties were leased to a subsidiary of Penn under the Penn Master Lease,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Penn, Eldorado and Boyd are leading, diversified, multi-jurisdictional owners and managers of gaming and pari-mutuel properties and established gaming providers with strong financial performance. Additionally, the real estate assets of the Meadows Racetrack and Casino (the "Meadows") are leased to Penn under a single property triple-net operating lease (the "Meadows Lease"). GLPI also leases the Casino Queen property back to its operator on a triple-net basis on terms similar to those in the master leases (the "Casino Queen Lease").</w:t>
      </w:r>
    </w:p>
    <w:p>
      <w:pPr>
        <w:spacing w:after="0" w:line="16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obligations under the Penn and Amended Pinnacle Master Leases, as well as the Meadows Lease, are guaranteed by Penn and, with respect to each lease, jointly and severally by Penn's subsidiaries that occupy and operate the facilities covered by such lease. Similarly, the obligations under the Eldorado Master Lease are jointly and severally guaranteed by Eldorado and by most of Eldorado's subsidiaries that occupy and operate the facilities leased under the Eldorado Master Lease. The obligations under the Boyd Master Leases are jointly and severally guaranteed by Boyd's subsidiaries that occupy and operate the facilities leased under the Boyd Master Lease.</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preceding five years, and (ii) monthly by an amount equal to 20% of the net revenues of Hollywood Casino Columbus and Hollywood Casino Toledo during the preceding month.</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Similar to the Penn Master Lease, each of the Amended Pinnacle Master Lease, Eldorado Master Lease and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187"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54"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7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In June 2019, a percentage rent floor was triggered on Penn's Hollywood Casino Toledo property, as a result of Penn's purchase of the operations of the Greektown Casino-Hotel in Detroit, Michigan.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0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Our tenants do not have the ability to terminate their obligations under our long-term tenant leases prior to the expiration of the initial term without the Company's consent. If our long-term tenant leases are terminated prior to their initial expiration other than with our consent, our tenants may be liable for damages and incur charges such as continued payment of rent through the end of the lease term and maintenance costs for the leased property. All of our tenant leases contain a limited number of renewal options which may be exercised at our tenants' option. The Penn Master Lease, the Eldorado Master Lease and the Casino Queen Lease each have an initial term of 15 years, with no purchase option, followed by four 5-year renewal options (exercisable by Penn, Eldorado or Casino Queen, respectively) on the same terms and conditions, while the Amended Pinnacle Master Lease and the Boyd Master Lease each have an initial term of 10 years (from the original April 2016 commencement date of the Pinnacle Master Lease), with no purchase option, followed by five 5-year renewal options (exercisable by Penn or Boyd, respectively) on the same terms and conditions. The Meadows Lease has an initial term of 10 years, with no purchase option, and the option to renew for three successive 5-year terms and one 4-year term (exercisable by Penn) on the same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features of our properties as of December 31,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Approx.</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Property</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Square</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Owned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Leased</w:t>
            </w:r>
          </w:p>
        </w:tc>
        <w:tc>
          <w:tcPr>
            <w:tcW w:w="680" w:type="dxa"/>
            <w:vAlign w:val="bottom"/>
          </w:tcPr>
          <w:p>
            <w:pPr>
              <w:jc w:val="right"/>
              <w:ind w:right="128"/>
              <w:spacing w:after="0" w:line="135" w:lineRule="exact"/>
              <w:rPr>
                <w:sz w:val="20"/>
                <w:szCs w:val="20"/>
                <w:color w:val="auto"/>
              </w:rPr>
            </w:pPr>
            <w:r>
              <w:rPr>
                <w:rFonts w:ascii="Arial" w:cs="Arial" w:eastAsia="Arial" w:hAnsi="Arial"/>
                <w:sz w:val="13"/>
                <w:szCs w:val="13"/>
                <w:b w:val="1"/>
                <w:bCs w:val="1"/>
                <w:color w:val="auto"/>
              </w:rPr>
              <w:t>Hotel</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180" w:type="dxa"/>
            <w:vAlign w:val="bottom"/>
          </w:tcPr>
          <w:p>
            <w:pPr>
              <w:ind w:left="700"/>
              <w:spacing w:after="0"/>
              <w:rPr>
                <w:sz w:val="20"/>
                <w:szCs w:val="20"/>
                <w:color w:val="auto"/>
              </w:rPr>
            </w:pPr>
            <w:r>
              <w:rPr>
                <w:rFonts w:ascii="Arial" w:cs="Arial" w:eastAsia="Arial" w:hAnsi="Arial"/>
                <w:sz w:val="13"/>
                <w:szCs w:val="13"/>
                <w:b w:val="1"/>
                <w:bCs w:val="1"/>
                <w:color w:val="auto"/>
              </w:rPr>
              <w:t>Location</w:t>
            </w:r>
          </w:p>
        </w:tc>
        <w:tc>
          <w:tcPr>
            <w:tcW w:w="29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Tenant/Operator</w:t>
            </w: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 xml:space="preserve">Footage </w:t>
            </w:r>
            <w:r>
              <w:rPr>
                <w:rFonts w:ascii="Arial" w:cs="Arial" w:eastAsia="Arial" w:hAnsi="Arial"/>
                <w:sz w:val="8"/>
                <w:szCs w:val="8"/>
                <w:b w:val="1"/>
                <w:bCs w:val="1"/>
                <w:color w:val="auto"/>
                <w:w w:val="90"/>
              </w:rPr>
              <w:t>(1)</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Acreage</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 xml:space="preserve">Acreage </w:t>
            </w:r>
            <w:r>
              <w:rPr>
                <w:rFonts w:ascii="Arial" w:cs="Arial" w:eastAsia="Arial" w:hAnsi="Arial"/>
                <w:sz w:val="8"/>
                <w:szCs w:val="8"/>
                <w:b w:val="1"/>
                <w:bCs w:val="1"/>
                <w:color w:val="auto"/>
                <w:w w:val="89"/>
              </w:rPr>
              <w:t>(2)</w:t>
            </w: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Rooms</w:t>
            </w:r>
          </w:p>
        </w:tc>
        <w:tc>
          <w:tcPr>
            <w:tcW w:w="0" w:type="dxa"/>
            <w:vAlign w:val="bottom"/>
          </w:tcPr>
          <w:p>
            <w:pPr>
              <w:spacing w:after="0"/>
              <w:rPr>
                <w:sz w:val="1"/>
                <w:szCs w:val="1"/>
                <w:color w:val="auto"/>
              </w:rPr>
            </w:pP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 xml:space="preserve">Tenant Occupied Properties </w:t>
            </w:r>
            <w:r>
              <w:rPr>
                <w:rFonts w:ascii="Arial" w:cs="Arial" w:eastAsia="Arial" w:hAnsi="Arial"/>
                <w:sz w:val="8"/>
                <w:szCs w:val="8"/>
                <w:color w:val="auto"/>
              </w:rPr>
              <w:t>(3)</w:t>
            </w:r>
          </w:p>
        </w:tc>
        <w:tc>
          <w:tcPr>
            <w:tcW w:w="2180" w:type="dxa"/>
            <w:vAlign w:val="bottom"/>
            <w:tcBorders>
              <w:top w:val="single" w:sz="8" w:color="auto"/>
            </w:tcBorders>
            <w:shd w:val="clear" w:color="auto" w:fill="CCEEFF"/>
          </w:tcPr>
          <w:p>
            <w:pPr>
              <w:spacing w:after="0"/>
              <w:rPr>
                <w:sz w:val="22"/>
                <w:szCs w:val="22"/>
                <w:color w:val="auto"/>
              </w:rPr>
            </w:pPr>
          </w:p>
        </w:tc>
        <w:tc>
          <w:tcPr>
            <w:tcW w:w="28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Lawrenceburg</w:t>
            </w:r>
          </w:p>
        </w:tc>
        <w:tc>
          <w:tcPr>
            <w:tcW w:w="2180" w:type="dxa"/>
            <w:vAlign w:val="bottom"/>
          </w:tcPr>
          <w:p>
            <w:pPr>
              <w:ind w:left="40"/>
              <w:spacing w:after="0"/>
              <w:rPr>
                <w:sz w:val="20"/>
                <w:szCs w:val="20"/>
                <w:color w:val="auto"/>
              </w:rPr>
            </w:pPr>
            <w:r>
              <w:rPr>
                <w:rFonts w:ascii="Arial" w:cs="Arial" w:eastAsia="Arial" w:hAnsi="Arial"/>
                <w:sz w:val="14"/>
                <w:szCs w:val="14"/>
                <w:color w:val="auto"/>
              </w:rPr>
              <w:t>Lawrenceburg, IN</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634,000</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Aurora</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Aurora, IL</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222,189</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Joliet</w:t>
            </w:r>
          </w:p>
        </w:tc>
        <w:tc>
          <w:tcPr>
            <w:tcW w:w="2180" w:type="dxa"/>
            <w:vAlign w:val="bottom"/>
          </w:tcPr>
          <w:p>
            <w:pPr>
              <w:ind w:left="40"/>
              <w:spacing w:after="0"/>
              <w:rPr>
                <w:sz w:val="20"/>
                <w:szCs w:val="20"/>
                <w:color w:val="auto"/>
              </w:rPr>
            </w:pPr>
            <w:r>
              <w:rPr>
                <w:rFonts w:ascii="Arial" w:cs="Arial" w:eastAsia="Arial" w:hAnsi="Arial"/>
                <w:sz w:val="14"/>
                <w:szCs w:val="14"/>
                <w:color w:val="auto"/>
              </w:rPr>
              <w:t>Joliet, IL</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322,446</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275.6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Argosy Casino Alton</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Alton, IL</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124,569</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Toledo</w:t>
            </w:r>
          </w:p>
        </w:tc>
        <w:tc>
          <w:tcPr>
            <w:tcW w:w="2180" w:type="dxa"/>
            <w:vAlign w:val="bottom"/>
          </w:tcPr>
          <w:p>
            <w:pPr>
              <w:ind w:left="40"/>
              <w:spacing w:after="0"/>
              <w:rPr>
                <w:sz w:val="20"/>
                <w:szCs w:val="20"/>
                <w:color w:val="auto"/>
              </w:rPr>
            </w:pPr>
            <w:r>
              <w:rPr>
                <w:rFonts w:ascii="Arial" w:cs="Arial" w:eastAsia="Arial" w:hAnsi="Arial"/>
                <w:sz w:val="14"/>
                <w:szCs w:val="14"/>
                <w:color w:val="auto"/>
              </w:rPr>
              <w:t>Toledo, OH</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285,335</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Columbus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Columbus, OH</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354,075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Casino at Charles Town Races</w:t>
            </w:r>
          </w:p>
        </w:tc>
        <w:tc>
          <w:tcPr>
            <w:tcW w:w="2180" w:type="dxa"/>
            <w:vAlign w:val="bottom"/>
          </w:tcPr>
          <w:p>
            <w:pPr>
              <w:ind w:left="40"/>
              <w:spacing w:after="0"/>
              <w:rPr>
                <w:sz w:val="20"/>
                <w:szCs w:val="20"/>
                <w:color w:val="auto"/>
              </w:rPr>
            </w:pPr>
            <w:r>
              <w:rPr>
                <w:rFonts w:ascii="Arial" w:cs="Arial" w:eastAsia="Arial" w:hAnsi="Arial"/>
                <w:sz w:val="14"/>
                <w:szCs w:val="14"/>
                <w:color w:val="auto"/>
              </w:rPr>
              <w:t>Charles Town, WV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511,249</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at Penn National Race</w:t>
            </w:r>
          </w:p>
        </w:tc>
        <w:tc>
          <w:tcPr>
            <w:tcW w:w="21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Grantville, PA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451,758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M Resort</w:t>
            </w:r>
          </w:p>
        </w:tc>
        <w:tc>
          <w:tcPr>
            <w:tcW w:w="2180" w:type="dxa"/>
            <w:vAlign w:val="bottom"/>
          </w:tcPr>
          <w:p>
            <w:pPr>
              <w:ind w:left="40"/>
              <w:spacing w:after="0"/>
              <w:rPr>
                <w:sz w:val="20"/>
                <w:szCs w:val="20"/>
                <w:color w:val="auto"/>
              </w:rPr>
            </w:pPr>
            <w:r>
              <w:rPr>
                <w:rFonts w:ascii="Arial" w:cs="Arial" w:eastAsia="Arial" w:hAnsi="Arial"/>
                <w:sz w:val="14"/>
                <w:szCs w:val="14"/>
                <w:color w:val="auto"/>
              </w:rPr>
              <w:t>Henderson, NV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910,173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Bangor</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Bangor, ME</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257,085</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Zia Park Casino </w:t>
            </w:r>
            <w:r>
              <w:rPr>
                <w:rFonts w:ascii="Arial" w:cs="Arial" w:eastAsia="Arial" w:hAnsi="Arial"/>
                <w:sz w:val="8"/>
                <w:szCs w:val="8"/>
                <w:color w:val="auto"/>
              </w:rPr>
              <w:t>(4)</w:t>
            </w:r>
          </w:p>
        </w:tc>
        <w:tc>
          <w:tcPr>
            <w:tcW w:w="2180" w:type="dxa"/>
            <w:vAlign w:val="bottom"/>
          </w:tcPr>
          <w:p>
            <w:pPr>
              <w:ind w:left="40"/>
              <w:spacing w:after="0"/>
              <w:rPr>
                <w:sz w:val="20"/>
                <w:szCs w:val="20"/>
                <w:color w:val="auto"/>
              </w:rPr>
            </w:pPr>
            <w:r>
              <w:rPr>
                <w:rFonts w:ascii="Arial" w:cs="Arial" w:eastAsia="Arial" w:hAnsi="Arial"/>
                <w:sz w:val="14"/>
                <w:szCs w:val="14"/>
                <w:color w:val="auto"/>
              </w:rPr>
              <w:t>Hobbs, NM</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109,067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317.4</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Gulf Coast</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Bay St. Louis,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425,920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Argosy Casino Riverside</w:t>
            </w:r>
          </w:p>
        </w:tc>
        <w:tc>
          <w:tcPr>
            <w:tcW w:w="2180" w:type="dxa"/>
            <w:vAlign w:val="bottom"/>
          </w:tcPr>
          <w:p>
            <w:pPr>
              <w:ind w:left="40"/>
              <w:spacing w:after="0"/>
              <w:rPr>
                <w:sz w:val="20"/>
                <w:szCs w:val="20"/>
                <w:color w:val="auto"/>
              </w:rPr>
            </w:pPr>
            <w:r>
              <w:rPr>
                <w:rFonts w:ascii="Arial" w:cs="Arial" w:eastAsia="Arial" w:hAnsi="Arial"/>
                <w:sz w:val="14"/>
                <w:szCs w:val="14"/>
                <w:color w:val="auto"/>
              </w:rPr>
              <w:t>Riverside, MO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450,397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Tunica</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Tunica, MS</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315,831</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Boomtown Biloxi</w:t>
            </w:r>
          </w:p>
        </w:tc>
        <w:tc>
          <w:tcPr>
            <w:tcW w:w="2180" w:type="dxa"/>
            <w:vAlign w:val="bottom"/>
          </w:tcPr>
          <w:p>
            <w:pPr>
              <w:ind w:left="40"/>
              <w:spacing w:after="0"/>
              <w:rPr>
                <w:sz w:val="20"/>
                <w:szCs w:val="20"/>
                <w:color w:val="auto"/>
              </w:rPr>
            </w:pPr>
            <w:r>
              <w:rPr>
                <w:rFonts w:ascii="Arial" w:cs="Arial" w:eastAsia="Arial" w:hAnsi="Arial"/>
                <w:sz w:val="14"/>
                <w:szCs w:val="14"/>
                <w:color w:val="auto"/>
              </w:rPr>
              <w:t>Biloxi,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134,800</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St. Louis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 Heights, MO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645,270</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Hollywood Gaming at Dayton Raceway</w:t>
            </w:r>
          </w:p>
        </w:tc>
        <w:tc>
          <w:tcPr>
            <w:tcW w:w="2180" w:type="dxa"/>
            <w:vAlign w:val="bottom"/>
          </w:tcPr>
          <w:p>
            <w:pPr>
              <w:ind w:left="40"/>
              <w:spacing w:after="0"/>
              <w:rPr>
                <w:sz w:val="20"/>
                <w:szCs w:val="20"/>
                <w:color w:val="auto"/>
              </w:rPr>
            </w:pPr>
            <w:r>
              <w:rPr>
                <w:rFonts w:ascii="Arial" w:cs="Arial" w:eastAsia="Arial" w:hAnsi="Arial"/>
                <w:sz w:val="14"/>
                <w:szCs w:val="14"/>
                <w:color w:val="auto"/>
              </w:rPr>
              <w:t>Dayton, OH</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191,037</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Hollywood Gaming at Mahoning Valley Race</w:t>
            </w:r>
          </w:p>
        </w:tc>
        <w:tc>
          <w:tcPr>
            <w:tcW w:w="21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Course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Youngstown, OH</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177,448</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193.4</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1st Jackpot Casino</w:t>
            </w:r>
          </w:p>
        </w:tc>
        <w:tc>
          <w:tcPr>
            <w:tcW w:w="2180" w:type="dxa"/>
            <w:vAlign w:val="bottom"/>
          </w:tcPr>
          <w:p>
            <w:pPr>
              <w:ind w:left="40"/>
              <w:spacing w:after="0"/>
              <w:rPr>
                <w:sz w:val="20"/>
                <w:szCs w:val="20"/>
                <w:color w:val="auto"/>
              </w:rPr>
            </w:pPr>
            <w:r>
              <w:rPr>
                <w:rFonts w:ascii="Arial" w:cs="Arial" w:eastAsia="Arial" w:hAnsi="Arial"/>
                <w:sz w:val="14"/>
                <w:szCs w:val="14"/>
                <w:color w:val="auto"/>
              </w:rPr>
              <w:t>Tunica,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78,941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Black Hawk</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Black Hawk, CO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775,744</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Ameristar East Chicago</w:t>
            </w:r>
          </w:p>
        </w:tc>
        <w:tc>
          <w:tcPr>
            <w:tcW w:w="2180" w:type="dxa"/>
            <w:vAlign w:val="bottom"/>
          </w:tcPr>
          <w:p>
            <w:pPr>
              <w:ind w:left="40"/>
              <w:spacing w:after="0"/>
              <w:rPr>
                <w:sz w:val="20"/>
                <w:szCs w:val="20"/>
                <w:color w:val="auto"/>
              </w:rPr>
            </w:pPr>
            <w:r>
              <w:rPr>
                <w:rFonts w:ascii="Arial" w:cs="Arial" w:eastAsia="Arial" w:hAnsi="Arial"/>
                <w:sz w:val="14"/>
                <w:szCs w:val="14"/>
                <w:color w:val="auto"/>
              </w:rPr>
              <w:t>East Chicago, IN</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509,867</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Ameristar Council Bluffs </w:t>
            </w:r>
            <w:r>
              <w:rPr>
                <w:rFonts w:ascii="Arial" w:cs="Arial" w:eastAsia="Arial" w:hAnsi="Arial"/>
                <w:sz w:val="8"/>
                <w:szCs w:val="8"/>
                <w:color w:val="auto"/>
              </w:rPr>
              <w:t>(4)</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Council Bluffs, IA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312,047</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L'Auberge Baton Rouge</w:t>
            </w:r>
          </w:p>
        </w:tc>
        <w:tc>
          <w:tcPr>
            <w:tcW w:w="2180" w:type="dxa"/>
            <w:vAlign w:val="bottom"/>
          </w:tcPr>
          <w:p>
            <w:pPr>
              <w:ind w:left="40"/>
              <w:spacing w:after="0"/>
              <w:rPr>
                <w:sz w:val="20"/>
                <w:szCs w:val="20"/>
                <w:color w:val="auto"/>
              </w:rPr>
            </w:pPr>
            <w:r>
              <w:rPr>
                <w:rFonts w:ascii="Arial" w:cs="Arial" w:eastAsia="Arial" w:hAnsi="Arial"/>
                <w:sz w:val="14"/>
                <w:szCs w:val="14"/>
                <w:color w:val="auto"/>
              </w:rPr>
              <w:t>Baton Rouge, LA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436,461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Boomtown Bossier City</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Bossier City, LA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281,747</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L'Auberge Lake Charles</w:t>
            </w:r>
          </w:p>
        </w:tc>
        <w:tc>
          <w:tcPr>
            <w:tcW w:w="2180" w:type="dxa"/>
            <w:vAlign w:val="bottom"/>
          </w:tcPr>
          <w:p>
            <w:pPr>
              <w:ind w:left="40"/>
              <w:spacing w:after="0"/>
              <w:rPr>
                <w:sz w:val="20"/>
                <w:szCs w:val="20"/>
                <w:color w:val="auto"/>
              </w:rPr>
            </w:pPr>
            <w:r>
              <w:rPr>
                <w:rFonts w:ascii="Arial" w:cs="Arial" w:eastAsia="Arial" w:hAnsi="Arial"/>
                <w:sz w:val="14"/>
                <w:szCs w:val="14"/>
                <w:color w:val="auto"/>
              </w:rPr>
              <w:t>Lake Charles, LA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1,014,497</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234.5</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Boomtown New Orleans</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Orleans, LA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278,227</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Ameristar Vicksburg</w:t>
            </w:r>
          </w:p>
        </w:tc>
        <w:tc>
          <w:tcPr>
            <w:tcW w:w="2180" w:type="dxa"/>
            <w:vAlign w:val="bottom"/>
          </w:tcPr>
          <w:p>
            <w:pPr>
              <w:ind w:left="40"/>
              <w:spacing w:after="0"/>
              <w:rPr>
                <w:sz w:val="20"/>
                <w:szCs w:val="20"/>
                <w:color w:val="auto"/>
              </w:rPr>
            </w:pPr>
            <w:r>
              <w:rPr>
                <w:rFonts w:ascii="Arial" w:cs="Arial" w:eastAsia="Arial" w:hAnsi="Arial"/>
                <w:sz w:val="14"/>
                <w:szCs w:val="14"/>
                <w:color w:val="auto"/>
              </w:rPr>
              <w:t>Vicksburg,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298,006</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River City Casino and Hotel</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 Louis, MO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431,226</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Jackpot Properties </w:t>
            </w:r>
            <w:r>
              <w:rPr>
                <w:rFonts w:ascii="Arial" w:cs="Arial" w:eastAsia="Arial" w:hAnsi="Arial"/>
                <w:sz w:val="8"/>
                <w:szCs w:val="8"/>
                <w:color w:val="auto"/>
              </w:rPr>
              <w:t>(5)</w:t>
            </w:r>
          </w:p>
        </w:tc>
        <w:tc>
          <w:tcPr>
            <w:tcW w:w="2180" w:type="dxa"/>
            <w:vAlign w:val="bottom"/>
          </w:tcPr>
          <w:p>
            <w:pPr>
              <w:ind w:left="40"/>
              <w:spacing w:after="0"/>
              <w:rPr>
                <w:sz w:val="20"/>
                <w:szCs w:val="20"/>
                <w:color w:val="auto"/>
              </w:rPr>
            </w:pPr>
            <w:r>
              <w:rPr>
                <w:rFonts w:ascii="Arial" w:cs="Arial" w:eastAsia="Arial" w:hAnsi="Arial"/>
                <w:sz w:val="14"/>
                <w:szCs w:val="14"/>
                <w:color w:val="auto"/>
              </w:rPr>
              <w:t>Jackpot, NV</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419,800</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Plainridge Park Casino</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Plainville, MA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196,473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The Meadows Racetrack and Casino </w:t>
            </w:r>
            <w:r>
              <w:rPr>
                <w:rFonts w:ascii="Arial" w:cs="Arial" w:eastAsia="Arial" w:hAnsi="Arial"/>
                <w:sz w:val="8"/>
                <w:szCs w:val="8"/>
                <w:color w:val="auto"/>
              </w:rPr>
              <w:t>(4)</w:t>
            </w:r>
          </w:p>
        </w:tc>
        <w:tc>
          <w:tcPr>
            <w:tcW w:w="2180" w:type="dxa"/>
            <w:vAlign w:val="bottom"/>
          </w:tcPr>
          <w:p>
            <w:pPr>
              <w:ind w:left="40"/>
              <w:spacing w:after="0"/>
              <w:rPr>
                <w:sz w:val="20"/>
                <w:szCs w:val="20"/>
                <w:color w:val="auto"/>
              </w:rPr>
            </w:pPr>
            <w:r>
              <w:rPr>
                <w:rFonts w:ascii="Arial" w:cs="Arial" w:eastAsia="Arial" w:hAnsi="Arial"/>
                <w:sz w:val="14"/>
                <w:szCs w:val="14"/>
                <w:color w:val="auto"/>
              </w:rPr>
              <w:t>Washington, PA</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Penn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417,921</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155.5</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Casino Queen</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St. Louis, IL</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1"/>
              </w:rPr>
              <w:t>Casino Queen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330,502</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Belterra Casino Resort</w:t>
            </w:r>
          </w:p>
        </w:tc>
        <w:tc>
          <w:tcPr>
            <w:tcW w:w="2180" w:type="dxa"/>
            <w:vAlign w:val="bottom"/>
          </w:tcPr>
          <w:p>
            <w:pPr>
              <w:ind w:left="40"/>
              <w:spacing w:after="0"/>
              <w:rPr>
                <w:sz w:val="20"/>
                <w:szCs w:val="20"/>
                <w:color w:val="auto"/>
              </w:rPr>
            </w:pPr>
            <w:r>
              <w:rPr>
                <w:rFonts w:ascii="Arial" w:cs="Arial" w:eastAsia="Arial" w:hAnsi="Arial"/>
                <w:sz w:val="14"/>
                <w:szCs w:val="14"/>
                <w:color w:val="auto"/>
              </w:rPr>
              <w:t>Florence, IN</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782,393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167.1</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Ameristar Kansas City</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Kansas City, MO</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763,939</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Ameristar St. Charles</w:t>
            </w:r>
          </w:p>
        </w:tc>
        <w:tc>
          <w:tcPr>
            <w:tcW w:w="2180" w:type="dxa"/>
            <w:vAlign w:val="bottom"/>
          </w:tcPr>
          <w:p>
            <w:pPr>
              <w:ind w:left="40"/>
              <w:spacing w:after="0"/>
              <w:rPr>
                <w:sz w:val="20"/>
                <w:szCs w:val="20"/>
                <w:color w:val="auto"/>
              </w:rPr>
            </w:pPr>
            <w:r>
              <w:rPr>
                <w:rFonts w:ascii="Arial" w:cs="Arial" w:eastAsia="Arial" w:hAnsi="Arial"/>
                <w:sz w:val="14"/>
                <w:szCs w:val="14"/>
                <w:color w:val="auto"/>
              </w:rPr>
              <w:t>St. Charles, MO</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1,272,938</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241.2</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Tropicana Atlantic City</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Atlantic City, NJ</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4,232,018</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Tropicana Evansville</w:t>
            </w:r>
          </w:p>
        </w:tc>
        <w:tc>
          <w:tcPr>
            <w:tcW w:w="2180" w:type="dxa"/>
            <w:vAlign w:val="bottom"/>
          </w:tcPr>
          <w:p>
            <w:pPr>
              <w:ind w:left="40"/>
              <w:spacing w:after="0"/>
              <w:rPr>
                <w:sz w:val="20"/>
                <w:szCs w:val="20"/>
                <w:color w:val="auto"/>
              </w:rPr>
            </w:pPr>
            <w:r>
              <w:rPr>
                <w:rFonts w:ascii="Arial" w:cs="Arial" w:eastAsia="Arial" w:hAnsi="Arial"/>
                <w:sz w:val="14"/>
                <w:szCs w:val="14"/>
                <w:color w:val="auto"/>
              </w:rPr>
              <w:t>Evansville, IN</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754,833</w:t>
            </w:r>
          </w:p>
        </w:tc>
        <w:tc>
          <w:tcPr>
            <w:tcW w:w="1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Tropicana Laughlin</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Laughlin, NV</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936,453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Trop Casino Greenville</w:t>
            </w:r>
          </w:p>
        </w:tc>
        <w:tc>
          <w:tcPr>
            <w:tcW w:w="2180" w:type="dxa"/>
            <w:vAlign w:val="bottom"/>
          </w:tcPr>
          <w:p>
            <w:pPr>
              <w:ind w:left="40"/>
              <w:spacing w:after="0"/>
              <w:rPr>
                <w:sz w:val="20"/>
                <w:szCs w:val="20"/>
                <w:color w:val="auto"/>
              </w:rPr>
            </w:pPr>
            <w:r>
              <w:rPr>
                <w:rFonts w:ascii="Arial" w:cs="Arial" w:eastAsia="Arial" w:hAnsi="Arial"/>
                <w:sz w:val="14"/>
                <w:szCs w:val="14"/>
                <w:color w:val="auto"/>
              </w:rPr>
              <w:t>Greenville, MS</w:t>
            </w:r>
          </w:p>
        </w:tc>
        <w:tc>
          <w:tcPr>
            <w:tcW w:w="298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94,017</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Belle of Baton Rouge</w:t>
            </w:r>
          </w:p>
        </w:tc>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Baton Rouge, LA</w:t>
            </w:r>
          </w:p>
        </w:tc>
        <w:tc>
          <w:tcPr>
            <w:tcW w:w="2980" w:type="dxa"/>
            <w:vAlign w:val="bottom"/>
            <w:gridSpan w:val="2"/>
            <w:shd w:val="clear" w:color="auto" w:fill="CCEEFF"/>
          </w:tcPr>
          <w:p>
            <w:pPr>
              <w:jc w:val="center"/>
              <w:ind w:right="440"/>
              <w:spacing w:after="0"/>
              <w:rPr>
                <w:sz w:val="20"/>
                <w:szCs w:val="20"/>
                <w:color w:val="auto"/>
              </w:rPr>
            </w:pPr>
            <w:r>
              <w:rPr>
                <w:rFonts w:ascii="Arial" w:cs="Arial" w:eastAsia="Arial" w:hAnsi="Arial"/>
                <w:sz w:val="14"/>
                <w:szCs w:val="14"/>
                <w:color w:val="auto"/>
                <w:w w:val="96"/>
              </w:rPr>
              <w:t>Eldorado</w:t>
            </w: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386,398</w:t>
            </w:r>
          </w:p>
        </w:tc>
        <w:tc>
          <w:tcPr>
            <w:tcW w:w="14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21,527,097</w:t>
            </w:r>
          </w:p>
        </w:tc>
        <w:tc>
          <w:tcPr>
            <w:tcW w:w="14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4,547.5</w:t>
            </w: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798.2</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11,837</w:t>
            </w:r>
          </w:p>
        </w:tc>
        <w:tc>
          <w:tcPr>
            <w:tcW w:w="0" w:type="dxa"/>
            <w:vAlign w:val="bottom"/>
          </w:tcPr>
          <w:p>
            <w:pPr>
              <w:spacing w:after="0"/>
              <w:rPr>
                <w:sz w:val="1"/>
                <w:szCs w:val="1"/>
                <w:color w:val="auto"/>
              </w:rPr>
            </w:pPr>
          </w:p>
        </w:tc>
      </w:tr>
      <w:tr>
        <w:trPr>
          <w:trHeight w:val="290"/>
        </w:trPr>
        <w:tc>
          <w:tcPr>
            <w:tcW w:w="274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Financed Property</w:t>
            </w:r>
          </w:p>
        </w:tc>
        <w:tc>
          <w:tcPr>
            <w:tcW w:w="21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Belterra Park Gaming &amp; Entertainment Center</w:t>
            </w:r>
          </w:p>
        </w:tc>
        <w:tc>
          <w:tcPr>
            <w:tcW w:w="2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Cincinnati, OH</w:t>
            </w:r>
          </w:p>
        </w:tc>
        <w:tc>
          <w:tcPr>
            <w:tcW w:w="2980" w:type="dxa"/>
            <w:vAlign w:val="bottom"/>
            <w:gridSpan w:val="2"/>
            <w:vMerge w:val="restart"/>
            <w:shd w:val="clear" w:color="auto" w:fill="CCEEFF"/>
          </w:tcPr>
          <w:p>
            <w:pPr>
              <w:jc w:val="center"/>
              <w:ind w:right="440"/>
              <w:spacing w:after="0"/>
              <w:rPr>
                <w:sz w:val="20"/>
                <w:szCs w:val="20"/>
                <w:color w:val="auto"/>
              </w:rPr>
            </w:pPr>
            <w:r>
              <w:rPr>
                <w:rFonts w:ascii="Arial" w:cs="Arial" w:eastAsia="Arial" w:hAnsi="Arial"/>
                <w:sz w:val="14"/>
                <w:szCs w:val="14"/>
                <w:color w:val="auto"/>
                <w:w w:val="93"/>
              </w:rPr>
              <w:t>Boyd</w:t>
            </w:r>
          </w:p>
        </w:tc>
        <w:tc>
          <w:tcPr>
            <w:tcW w:w="10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372,650</w:t>
            </w: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40" w:type="dxa"/>
            <w:vAlign w:val="bottom"/>
            <w:shd w:val="clear" w:color="auto" w:fill="CCEEFF"/>
          </w:tcPr>
          <w:p>
            <w:pPr>
              <w:ind w:left="200"/>
              <w:spacing w:after="0"/>
              <w:rPr>
                <w:sz w:val="20"/>
                <w:szCs w:val="20"/>
                <w:color w:val="auto"/>
              </w:rPr>
            </w:pPr>
            <w:r>
              <w:rPr>
                <w:rFonts w:ascii="Arial" w:cs="Arial" w:eastAsia="Arial" w:hAnsi="Arial"/>
                <w:sz w:val="9"/>
                <w:szCs w:val="9"/>
                <w:color w:val="auto"/>
              </w:rPr>
              <w:t>(6)</w:t>
            </w:r>
          </w:p>
        </w:tc>
        <w:tc>
          <w:tcPr>
            <w:tcW w:w="2180" w:type="dxa"/>
            <w:vAlign w:val="bottom"/>
            <w:vMerge w:val="continue"/>
            <w:shd w:val="clear" w:color="auto" w:fill="CCEEFF"/>
          </w:tcPr>
          <w:p>
            <w:pPr>
              <w:spacing w:after="0"/>
              <w:rPr>
                <w:sz w:val="12"/>
                <w:szCs w:val="12"/>
                <w:color w:val="auto"/>
              </w:rPr>
            </w:pPr>
          </w:p>
        </w:tc>
        <w:tc>
          <w:tcPr>
            <w:tcW w:w="2980" w:type="dxa"/>
            <w:vAlign w:val="bottom"/>
            <w:gridSpan w:val="2"/>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Properties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00" w:type="dxa"/>
            <w:vAlign w:val="bottom"/>
          </w:tcPr>
          <w:p>
            <w:pPr>
              <w:ind w:left="40"/>
              <w:spacing w:after="0"/>
              <w:rPr>
                <w:sz w:val="20"/>
                <w:szCs w:val="20"/>
                <w:color w:val="auto"/>
              </w:rPr>
            </w:pPr>
            <w:r>
              <w:rPr>
                <w:rFonts w:ascii="Arial" w:cs="Arial" w:eastAsia="Arial" w:hAnsi="Arial"/>
                <w:sz w:val="14"/>
                <w:szCs w:val="14"/>
                <w:color w:val="auto"/>
              </w:rPr>
              <w:t xml:space="preserve">Other owned buildings and land </w:t>
            </w:r>
            <w:r>
              <w:rPr>
                <w:rFonts w:ascii="Arial" w:cs="Arial" w:eastAsia="Arial" w:hAnsi="Arial"/>
                <w:sz w:val="8"/>
                <w:szCs w:val="8"/>
                <w:color w:val="auto"/>
              </w:rPr>
              <w:t>(7)</w:t>
            </w:r>
          </w:p>
        </w:tc>
        <w:tc>
          <w:tcPr>
            <w:tcW w:w="2520" w:type="dxa"/>
            <w:vAlign w:val="bottom"/>
          </w:tcPr>
          <w:p>
            <w:pPr>
              <w:ind w:left="380"/>
              <w:spacing w:after="0"/>
              <w:rPr>
                <w:sz w:val="20"/>
                <w:szCs w:val="20"/>
                <w:color w:val="auto"/>
              </w:rPr>
            </w:pPr>
            <w:r>
              <w:rPr>
                <w:rFonts w:ascii="Arial" w:cs="Arial" w:eastAsia="Arial" w:hAnsi="Arial"/>
                <w:sz w:val="14"/>
                <w:szCs w:val="14"/>
                <w:color w:val="auto"/>
              </w:rPr>
              <w:t>various</w:t>
            </w:r>
          </w:p>
        </w:tc>
        <w:tc>
          <w:tcPr>
            <w:tcW w:w="2980" w:type="dxa"/>
            <w:vAlign w:val="bottom"/>
          </w:tcPr>
          <w:p>
            <w:pPr>
              <w:jc w:val="center"/>
              <w:ind w:right="368"/>
              <w:spacing w:after="0"/>
              <w:rPr>
                <w:sz w:val="20"/>
                <w:szCs w:val="20"/>
                <w:color w:val="auto"/>
              </w:rPr>
            </w:pPr>
            <w:r>
              <w:rPr>
                <w:rFonts w:ascii="Arial" w:cs="Arial" w:eastAsia="Arial" w:hAnsi="Arial"/>
                <w:sz w:val="14"/>
                <w:szCs w:val="14"/>
                <w:color w:val="auto"/>
              </w:rPr>
              <w:t>N/A</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23,400</w:t>
            </w:r>
          </w:p>
        </w:tc>
        <w:tc>
          <w:tcPr>
            <w:tcW w:w="14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90"/>
        </w:trPr>
        <w:tc>
          <w:tcPr>
            <w:tcW w:w="240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TRS Properties</w:t>
            </w:r>
          </w:p>
        </w:tc>
        <w:tc>
          <w:tcPr>
            <w:tcW w:w="25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Hollywood Casino Baton Rouge</w:t>
            </w:r>
          </w:p>
        </w:tc>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Baton Rouge, LA</w:t>
            </w:r>
          </w:p>
        </w:tc>
        <w:tc>
          <w:tcPr>
            <w:tcW w:w="2980" w:type="dxa"/>
            <w:vAlign w:val="bottom"/>
            <w:shd w:val="clear" w:color="auto" w:fill="CCEEFF"/>
          </w:tcPr>
          <w:p>
            <w:pPr>
              <w:jc w:val="center"/>
              <w:ind w:right="388"/>
              <w:spacing w:after="0"/>
              <w:rPr>
                <w:sz w:val="20"/>
                <w:szCs w:val="20"/>
                <w:color w:val="auto"/>
              </w:rPr>
            </w:pPr>
            <w:r>
              <w:rPr>
                <w:rFonts w:ascii="Arial" w:cs="Arial" w:eastAsia="Arial" w:hAnsi="Arial"/>
                <w:sz w:val="14"/>
                <w:szCs w:val="14"/>
                <w:color w:val="auto"/>
              </w:rPr>
              <w:t>GLPI</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95,318</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Hollywood Casino Perryville</w:t>
            </w:r>
          </w:p>
        </w:tc>
        <w:tc>
          <w:tcPr>
            <w:tcW w:w="25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Perryville, MD</w:t>
            </w:r>
          </w:p>
        </w:tc>
        <w:tc>
          <w:tcPr>
            <w:tcW w:w="2980" w:type="dxa"/>
            <w:vAlign w:val="bottom"/>
            <w:tcBorders>
              <w:bottom w:val="single" w:sz="8" w:color="CCEEFF"/>
            </w:tcBorders>
          </w:tcPr>
          <w:p>
            <w:pPr>
              <w:jc w:val="center"/>
              <w:ind w:right="388"/>
              <w:spacing w:after="0"/>
              <w:rPr>
                <w:sz w:val="20"/>
                <w:szCs w:val="20"/>
                <w:color w:val="auto"/>
              </w:rPr>
            </w:pPr>
            <w:r>
              <w:rPr>
                <w:rFonts w:ascii="Arial" w:cs="Arial" w:eastAsia="Arial" w:hAnsi="Arial"/>
                <w:sz w:val="14"/>
                <w:szCs w:val="14"/>
                <w:color w:val="auto"/>
              </w:rPr>
              <w:t>GLPI</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97,961</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24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193,279</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5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22,116,426</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4,772.8</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798.2</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11,837</w:t>
            </w:r>
          </w:p>
        </w:tc>
      </w:tr>
      <w:tr>
        <w:trPr>
          <w:trHeight w:val="20"/>
        </w:trPr>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Square footage includes air-conditioned space and excludes parking garages and barns.</w:t>
      </w:r>
    </w:p>
    <w:p>
      <w:pPr>
        <w:spacing w:after="0" w:line="201" w:lineRule="exact"/>
        <w:rPr>
          <w:rFonts w:ascii="Arial" w:cs="Arial" w:eastAsia="Arial" w:hAnsi="Arial"/>
          <w:sz w:val="25"/>
          <w:szCs w:val="25"/>
          <w:color w:val="auto"/>
          <w:vertAlign w:val="superscript"/>
        </w:rPr>
      </w:pPr>
    </w:p>
    <w:p>
      <w:pPr>
        <w:ind w:left="660" w:right="20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Leased acreage reflects land subject to leases with third-parties and includes land on which certain of the current facilities and ancillary supporting structures are located as well as parking lots and access rights.</w:t>
      </w:r>
    </w:p>
    <w:p>
      <w:pPr>
        <w:spacing w:after="0" w:line="203" w:lineRule="exact"/>
        <w:rPr>
          <w:rFonts w:ascii="Arial" w:cs="Arial" w:eastAsia="Arial" w:hAnsi="Arial"/>
          <w:sz w:val="25"/>
          <w:szCs w:val="25"/>
          <w:color w:val="auto"/>
          <w:vertAlign w:val="superscript"/>
        </w:rPr>
      </w:pPr>
    </w:p>
    <w:p>
      <w:pPr>
        <w:ind w:left="660" w:right="420" w:hanging="652"/>
        <w:spacing w:after="0" w:line="245"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We currently lease 86.6 acres in Tunica, Mississippi, where the Resorts Casino Tunica is located, which has been excluded from this table. This property is leased to Penn as part of the Penn Master Lease, however, the casino and hotel were closed by Penn in June 2019. As a result of the property closure, the Company entered into an agreement to terminate the long-term ground lease for this property, which will be effective in February 2020, at which time such ground lease will be removed from the Penn Master Lease.</w:t>
      </w:r>
    </w:p>
    <w:p>
      <w:pPr>
        <w:spacing w:after="0" w:line="200" w:lineRule="exact"/>
        <w:rPr>
          <w:rFonts w:ascii="Arial" w:cs="Arial" w:eastAsia="Arial" w:hAnsi="Arial"/>
          <w:sz w:val="24"/>
          <w:szCs w:val="24"/>
          <w:color w:val="auto"/>
          <w:vertAlign w:val="superscript"/>
        </w:rPr>
      </w:pPr>
    </w:p>
    <w:p>
      <w:pPr>
        <w:ind w:left="660" w:right="1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These properties include hotels not owned by the Company. Square footage and rooms associated with properties not owned by GLPI are excluded from the table above.</w:t>
      </w:r>
    </w:p>
    <w:p>
      <w:pPr>
        <w:spacing w:after="0" w:line="14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Encompasses two gaming properties in Jackpot, Nevada: Cactus Pete's and The Horseshu.</w:t>
      </w:r>
    </w:p>
    <w:p>
      <w:pPr>
        <w:spacing w:after="0" w:line="201" w:lineRule="exact"/>
        <w:rPr>
          <w:rFonts w:ascii="Arial" w:cs="Arial" w:eastAsia="Arial" w:hAnsi="Arial"/>
          <w:sz w:val="25"/>
          <w:szCs w:val="25"/>
          <w:color w:val="auto"/>
          <w:vertAlign w:val="superscript"/>
        </w:rPr>
      </w:pPr>
    </w:p>
    <w:p>
      <w:pPr>
        <w:ind w:left="660" w:right="30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Company financed the purchase of this property through a real estate loan to the owner-operator. Square footage and acreage associated with this property that we do not own are included in this table for informational purposes only.</w:t>
      </w:r>
    </w:p>
    <w:p>
      <w:pPr>
        <w:spacing w:after="0" w:line="180"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This includes our corporate headquarters building and undeveloped land the Company owns at locations other than its tenant occupied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Lawrenceburg</w:t>
      </w:r>
    </w:p>
    <w:p>
      <w:pPr>
        <w:spacing w:after="0" w:line="279"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We own 73.1 acres and lease 32.1 acres in Lawrenceburg, Indiana, a portion of which serves as the dockside embarkation for the gaming vessel, and includes a Hollywood-themed casino riverboat, an entertainment pavilion, a 295-room hotel, two parking garages and an adjacent surface lot, with an additional surface lot used for remote parking. This property is leased to Penn as part of the Penn Master 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Aurora</w:t>
      </w:r>
    </w:p>
    <w:p>
      <w:pPr>
        <w:spacing w:after="0" w:line="279" w:lineRule="exact"/>
        <w:rPr>
          <w:sz w:val="20"/>
          <w:szCs w:val="20"/>
          <w:color w:val="auto"/>
        </w:rPr>
      </w:pPr>
    </w:p>
    <w:p>
      <w:pPr>
        <w:jc w:val="both"/>
        <w:ind w:right="560" w:firstLine="432"/>
        <w:spacing w:after="0" w:line="286" w:lineRule="auto"/>
        <w:rPr>
          <w:sz w:val="20"/>
          <w:szCs w:val="20"/>
          <w:color w:val="auto"/>
        </w:rPr>
      </w:pPr>
      <w:r>
        <w:rPr>
          <w:rFonts w:ascii="Arial" w:cs="Arial" w:eastAsia="Arial" w:hAnsi="Arial"/>
          <w:sz w:val="17"/>
          <w:szCs w:val="17"/>
          <w:color w:val="auto"/>
        </w:rPr>
        <w:t>We own a dockside barge structure and land-based pavilion in Aurora, Illinois. We own the land, which is approximately 0.4 acres, on which the pavilion is located. The property also includes two parking garages under finance lease agreements and rights to a pedestrian walkway bridge under an operating lease, together comprising 1.7 acres. This property is leased to Penn as part of the Penn Master Lease.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Joliet</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own 275.6 acres in Joliet, Illinois, which includes a barge-based casino, land-based pavilion, a 100-room hotel, a parking garage, surface parking areas and a recreational vehicle park.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Alton</w:t>
      </w:r>
    </w:p>
    <w:p>
      <w:pPr>
        <w:spacing w:after="0" w:line="27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lease 3.6 acres in Alton, Illinois, a portion of which serves as the dockside boarding for the Alton Belle II, a riverboat casino. The dockside facility includes an entertainment pavilion and office space, as well as surface parking areas. In addition, we own an office building property consisting of 0.2 acres. This property is leased to Penn as part of the Penn Master Lease.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Toledo</w:t>
      </w:r>
    </w:p>
    <w:p>
      <w:pPr>
        <w:spacing w:after="0" w:line="27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own a 42.3-acre site in Toledo, Ohio, where Hollywood Casino Toledo is located. The property includes a casino as well as structured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Columbus</w:t>
      </w:r>
    </w:p>
    <w:p>
      <w:pPr>
        <w:spacing w:after="0" w:line="27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own 116.2 acres of land in Columbus, Ohio, where Hollywood Casino Columbus is located. The property includes a casino as well as structured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Charles Town Races</w:t>
      </w:r>
    </w:p>
    <w:p>
      <w:pPr>
        <w:spacing w:after="0" w:line="2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own 298.6 acres on various parcels in Charles Town and Ranson, West Virginia of which 155 acres comprise the Hollywood Casino at Charles Town Races. The facility includes a 153-room hotel and a 3/4-mile all-weather lighted thoroughbred racetrack, a training track, two parking garages, an employee parking lot, an enclosed grandstand/clubhouse and stable facilities for over 1,300 horses.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at Penn National Race Course</w:t>
      </w:r>
    </w:p>
    <w:p>
      <w:pPr>
        <w:spacing w:after="0" w:line="279"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own 573.7 acres in Grantville, Pennsylvania, where Penn National Race Course is located on 181 acres. The facility includes a casino, a one-mile all-weather lighted thoroughbred racetrack and a 7/8-mile turf track, a parking garage and surface parking spaces. The property also includes approximately 393 acres surrounding the Penn National Race Course that are available for future expansion or development.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Resort</w:t>
      </w:r>
    </w:p>
    <w:p>
      <w:pPr>
        <w:spacing w:after="0" w:line="27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own 83.5 acres on the southeast corner of Las Vegas Boulevard and St. Rose Parkway in Henderson, Nevada, where the M Resort is located. The M Resort property includes a casino, a 390-room hotel and a parking facility. In addition, our tenant has rights to 4.0 acres of land at the casino site. This property is leased to Penn as part of the Penn Master Lease.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Bangor</w:t>
      </w:r>
    </w:p>
    <w:p>
      <w:pPr>
        <w:spacing w:after="0" w:line="2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lease 2.5 acres in Bangor, Maine on which Hollywood Casino Bangor is located. We also own 6.4 acres adjacent to the casino on which a 152-room hotel and a four-story parking garage are located. In addition, we lease 35.4 acres at and around historic Bass Park, which is adjacent to the casino and includes a one-half mile standardbred racetrack, a grandstand with over 12,000 square feet and seating for 3,500 patrons and parking. This property is leased to Penn as part of the Penn Master Lease.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Zia Park Casino</w:t>
      </w:r>
    </w:p>
    <w:p>
      <w:pPr>
        <w:spacing w:after="0" w:line="27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own 317.4 acres in Hobbs, New Mexico, where the Zia Park Casino is located. The property also includes a one-mile thoroughbred and quarter-horse racetrack.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Gulf Coast</w:t>
      </w:r>
    </w:p>
    <w:p>
      <w:pPr>
        <w:spacing w:after="0" w:line="27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own 578.7 acres in the city of Bay St. Louis, Mississippi, including a 20-slip marina. The property includes a casino, an 18-hole golf course, a 291-room hotel, a recreational vehicle park and other facilities.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Argosy Casino Riverside</w:t>
      </w:r>
    </w:p>
    <w:p>
      <w:pPr>
        <w:spacing w:after="0" w:line="27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own 37.9 acres in Riverside, Missouri, which includes a barge-based casino, a 258-room hotel, an entertainment/banquet facility and a parking garage.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Tunica</w:t>
      </w:r>
    </w:p>
    <w:p>
      <w:pPr>
        <w:spacing w:after="0" w:line="279"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lease 67.7 acres of land in Tunica, Mississippi. The property includes a dockside single-level casino, a 494-room hotel, surface parking and other land-based facilities.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Biloxi</w:t>
      </w:r>
    </w:p>
    <w:p>
      <w:pPr>
        <w:spacing w:after="0" w:line="2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lease 1.0 acre of land mostly used for parking and a welcome center and own an additional 1.5 acres in Biloxi, Mississippi. In addition, our tenant has rights to 18.5 acres of land, most of which is utilized for the dockside casino and 4.5 acres of submerged tidelands at the casino site. This property is leased to Penn as part of the Penn Master Lease.</w:t>
      </w:r>
    </w:p>
    <w:p>
      <w:pPr>
        <w:sectPr>
          <w:pgSz w:w="11900" w:h="16838" w:orient="portrait"/>
          <w:cols w:equalWidth="0" w:num="1">
            <w:col w:w="11420"/>
          </w:cols>
          <w:pgMar w:left="240" w:top="130" w:right="239" w:bottom="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44"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St. Louis</w:t>
      </w:r>
    </w:p>
    <w:p>
      <w:pPr>
        <w:spacing w:after="0" w:line="27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own 220.8 acres along the Missouri River in Maryland Heights, Missouri. The property includes a casino, a 502-room hotel and structure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Dayton Raceway</w:t>
      </w:r>
    </w:p>
    <w:p>
      <w:pPr>
        <w:spacing w:after="0" w:line="27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We own 119.7 acres in Dayton, Ohio, where Penn operates the Hollywood Gaming at Dayton Raceway. The property includes a gaming facility, a 5/8-mile all-weather standardbred racetrack and surface parking. This property is leased to Penn as part of the Penn Master Lease.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Gaming at Mahoning Valley Race Course</w:t>
      </w:r>
    </w:p>
    <w:p>
      <w:pPr>
        <w:spacing w:after="0" w:line="279"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We own 193.4 acres in Youngstown, Ohio, where Penn operates the Hollywood Gaming at Mahoning Valley Race Course. The property includes a gaming facility, a one-mile thoroughbred racetrack and surface parking. This property is leased to Penn as part of the Penn Master Lease.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Jackpot Casino</w:t>
      </w:r>
    </w:p>
    <w:p>
      <w:pPr>
        <w:spacing w:after="0" w:line="14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own 52.9 acres of wetlands and lease an additional 93.8 acres in Tunica, Mississippi located approximately 30 miles from downtown Memphis, Tennessee. The property is located along the Mississippi River and includes a dockside casino, surface parking and other land-based facilities. This property is leased to Penn as part of the Penn Master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Black Hawk</w:t>
      </w:r>
    </w:p>
    <w:p>
      <w:pPr>
        <w:spacing w:after="0" w:line="18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own 104.1 acres in Black Hawk, Colorado which includes a casino and a 536-room hotel. The casino property sits on approximately 6 acres and the remaining 98 acres, which are located across the street from the casino, are used mainly for overflow parking, administrative offices and a warehouse. This property is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East Chicago</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lease 21.6 acres in East Chicago, Indiana located approximately 25 miles from downtown Chicago, Illinois. The property includes a dockside riverboat casino and a 288-room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Council Bluffs</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own 36.2 acres and lease an additional 22.6 acres in Council Bluffs, Iowa. The property is located across the Missouri River from Omaha, Nebraska. The property includes a dockside casino and a 160-room hotel. This property is leased to Penn as part of the Amended Pinnacle Master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Auberge Baton Rouge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own 99.1 acres in Baton Rouge, Louisiana. The property includes a dockside casino and a 205-room hotel and is located approximately 10 miles south of downtown Baton Rouge.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Bossier City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own 21.8 acres on the banks of the Red River in Bossier City, Louisiana. The property features a 187-room hotel adjoining a dockside riverboat casino.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L’Auberge Lake Charles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lease 234.5 acres in Lake Charles, Louisiana. The property includes a dockside casino and a 995-room hotel and is one of the closest full-scale casino-hotel facilities to Houston, Texas. This property is leased to Penn as part of the Amended Pinnacle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30"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Boomtown New Orleans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own 53.6 acres in Harvey, Louisiana. The property includes a dockside riverboat casino and a 150-room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Vicksburg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own 74.1 acres in Vicksburg, Mississippi. The property includes a dockside riverboat casino and a 148-room hotel. Also located on the property is a recreational vehicle park and buildings which are used for warehousing and support services. This property is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 City Casino and Hotel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lease 83.4 acres in St. Louis County Missouri approximately 12 miles south of downtown St. Louis. The property includes a dockside casino and a 200-room hotel. This property is leased to Penn as part of the Amended Pinnacle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Jackpot Properties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own 79.5 acres in Jackpot, Nevada, encompassing Cactus Petes and The Horseshu. In addition to these two casinos, the property includes a 416-room hotel and a recreational vehicle park. These two properties sit directly across from each other with Highway 93 separating them. These properties are leased to Penn as part of the Amended Pinnacle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Plainridge Park Casino</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own 87.9 acres in Plainridge, Massachusetts. The property includes a gaming facility, live harness racing on a 5/8-mile track, 1,600 structured and surface parking spaces, a grandstand and a clubhouse. This property is leased to Penn as part of the Amended Pinnacle Master Lease.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Meadows Racetrack and Casino</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own 155.5 acres in Washington, Pennsylvania. The property includes a casino, an off-track wagering facility, a 24- lane bowling alley and a state-of-the-art 5/8-mile harness track with a 500-seat grandstand. This property is leased to Penn under the Meadows Lease.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Queen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own 67.2 acres in East St. Louis, Illinois. The property includes a casino, a 157-room hotel, a recreational vehicle park and surface parking areas.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property is leased to Casino Queen under the Casino Queen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Belterra Casino Resort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own 167.1 acres and lease an additional 148.5 acres in Florence, Indiana. The property is located along the Ohio River and includes a dockside riverboat casino, an 18-hole golf course and a 608-room casino hotel, in addition to the 54-room Ogle Haus Inn. This property is leased to Boyd as part of the Boyd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Kansas City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own 224.5 acres in Kansas City, Missouri, along the north bank of the Missouri River and lease an additional 31.4 adjacent acres. The property includes a dockside casino and a 184-room hotel. This property is leased to Boyd as part of the Boyd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Ameristar St. Charles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own 241.2 acres in St. Charles, Missouri, along the west bank of the Missouri River. The property includes a dockside casino and a 397-room hotel. This property is leased to Boyd as part of the Boyd Master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30"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Atlantic City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18.3 acres in Atlantic City, New Jersey. The property includes a casino, 2,364 hotel rooms across five hotel towers and structured parking.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property is leased to Eldorado as part of the Eldorado Master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Evansville</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own 18.4 acres and lease another 10.2 acres along the banks of the Ohio river in Evansville, Indiana. The property includes a casino and two hotels with a combined 338 rooms along with a 1,660-vehicle attached parking garage. This property is leased to Eldorado as part of the Eldorado Master Lease.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Tropicana Laughlin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own 93.6 acres in Laughlin, Nevada. The property includes a casino and a 1,487-room hotel. This property is leased to Eldorado as part of the Eldorado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Trop Casino Greenville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lease 7.4 acres in historic downtown Greenville, Mississippi. The property includes a riverboat and casino and a 40-room hotel. This property is leased to Eldorado as part of the Eldorado Master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Belle of Baton Rouge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own 13.1 acres and lease another 0.8 acres in the downtown historic district of Baton Rouge, Louisiana. The property includes a dockside casino, structured parking and a 288-room hotel. This property is leased to Eldorado as part of the Eldorado Master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Financed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Belterra Park Gaming and Entertainment Center</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hold the mortgage on this property which encompasses 160.0 acres on the banks of the Ohio River approximately 10 minutes from downtown Cincinnati, Ohio. The property includes a gaming facility and live thoroughbred racing on two tracks, a 7/8-mile turf track and a one-mile dirt track.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Hollywood Casino Baton Rouge is a dockside riverboat casino operating in Baton Rouge, Louisiana. The riverboat features approximately 29,000 square feet of gaming space with 859 gaming machines and 12 table games and also features a deli. The facility also includes a two-story, 66,318 square foot dockside building featuring a variety of amenities, including a grill, a 268-seat buffet, a premium players' lounge, an event venue, a lobby bar, a public atrium, two meeting rooms and 1,407 surface parking spaces.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27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Hollywood Casino Perryville is located directly off Interstate 95 in Cecil County, Maryland just 35 miles northeast of Baltimore and 70 miles from Washington, D.C. Hollywood Casino Perryville is a Hollywood-themed facility which offers 34,329 square feet of gaming space with 822 slot machines, 13 table games, 8 poker tables and a simulcast race book. The facility also offers several third-party operated food and beverage options, including a bar and grill, a casino bar, a gift shop and 1,600 surface parking spaces with valet and self-parking.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We compete for additional real property investments with other REITs, including two other gaming focused REITs, MGM Growth Properties LLC and VICI Properties Inc., investment companies, private equity and hedge fund investors, sovereign funds, lenders, gaming companies and other investors. Some of our competitors are significantly larger and have greater financial resources and lower costs of capital than we have, making it more challenging to identify and successfully capitalize on acquisition opportunities that meet our investment objectives.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In addition, revenues from our gaming properties are dependent on the ability of our gaming tenants and operators to compete with other gaming operators. The gaming industry is characterized by an increasingly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U.S. In a broader sense, our gaming tenants and operators face competition from all manner of leisure and entertainment activities, including: shopping, athletic events, television and movies, concerts and travel. Legalized gaming is currently permitted in various forms throughout the U.S., in several Canadian provinces and on various lands taken into trust for the benefit of certain Native Americans in the U.S. and Canada. In addition, established gaming jurisdictions could award additional gaming licenses or permit the expansion or relocation of existing gaming operations. New, relocated or expanded operations by other persons may increase competition for our gaming tenants and operators and could have a material adverse impact on our gaming tenants and operators and us as landlord. Finally, the imposition of smoking bans and/or higher gaming tax rates have a significant impact on our gaming tenants' and operators' ability to compete with facilities in nearby jurisdictions.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8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Consistent with how our Chief Operating Decision Maker (as such term is defined in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reviews and assesses our financial performance, we have two reportable segments, GLP Capital, L.P. (a wholly-owned subsidiary of GLPI through which GLPI owns substantially all of its real estate assets) ("GLP Capital") and the TRS Properties. The GLP Capital reportable segment consists of the leased real property and represents the majority of our business. The TRS Properties reportable segment consists of Hollywood Casino Perryville and Hollywood Casino Baton Rouge. See "Item 7— Management's Discussion and Analysis of Financial Condition and Results of Operations" and "Item 8—Financial Statements and Supplementary Data— Note 17—Segment Information" for further information with respect to the Company's segments.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Peter M. Carlino</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Steven T. Snyder</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Brandon J. Moore</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Desiree A. Burke</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Matthew Demchyk</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Vice President of Investments</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ind w:right="20" w:firstLine="432"/>
        <w:spacing w:after="0" w:line="281" w:lineRule="auto"/>
        <w:rPr>
          <w:sz w:val="20"/>
          <w:szCs w:val="20"/>
          <w:color w:val="auto"/>
        </w:rPr>
      </w:pPr>
      <w:r>
        <w:rPr>
          <w:rFonts w:ascii="Arial" w:cs="Arial" w:eastAsia="Arial" w:hAnsi="Arial"/>
          <w:sz w:val="17"/>
          <w:szCs w:val="17"/>
          <w:b w:val="1"/>
          <w:bCs w:val="1"/>
          <w:color w:val="auto"/>
        </w:rPr>
        <w:t xml:space="preserve">Peter M. Carlino. </w:t>
      </w:r>
      <w:r>
        <w:rPr>
          <w:rFonts w:ascii="Arial" w:cs="Arial" w:eastAsia="Arial" w:hAnsi="Arial"/>
          <w:sz w:val="17"/>
          <w:szCs w:val="17"/>
          <w:color w:val="auto"/>
        </w:rPr>
        <w:t>Mr. Carlino is Chairman of our Board of Directors and Chief Executive Officer. Mr. Carlino joined the Company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Spin-Off on November 1, 2013. Prior to the Spin-Off, Mr. Carlino served as Penn's founder and Chief Executive Officer. He continues as Penn's non-executive Chairman of the Board of Directors. Since 1976, Mr. Carlino has been President of Carlino Capital Management Corp. (formerly known as Carlino Financial Corporation), a holding company that owns and operates various Carlino family investments.</w:t>
      </w:r>
    </w:p>
    <w:p>
      <w:pPr>
        <w:spacing w:after="0" w:line="219" w:lineRule="exact"/>
        <w:rPr>
          <w:sz w:val="20"/>
          <w:szCs w:val="20"/>
          <w:color w:val="auto"/>
        </w:rPr>
      </w:pPr>
    </w:p>
    <w:p>
      <w:pPr>
        <w:ind w:right="100" w:firstLine="432"/>
        <w:spacing w:after="0" w:line="295" w:lineRule="auto"/>
        <w:rPr>
          <w:sz w:val="20"/>
          <w:szCs w:val="20"/>
          <w:color w:val="auto"/>
        </w:rPr>
      </w:pPr>
      <w:r>
        <w:rPr>
          <w:rFonts w:ascii="Arial" w:cs="Arial" w:eastAsia="Arial" w:hAnsi="Arial"/>
          <w:sz w:val="16"/>
          <w:szCs w:val="16"/>
          <w:b w:val="1"/>
          <w:bCs w:val="1"/>
          <w:color w:val="auto"/>
        </w:rPr>
        <w:t xml:space="preserve">Steven T. Snyder. </w:t>
      </w:r>
      <w:r>
        <w:rPr>
          <w:rFonts w:ascii="Arial" w:cs="Arial" w:eastAsia="Arial" w:hAnsi="Arial"/>
          <w:sz w:val="16"/>
          <w:szCs w:val="16"/>
          <w:color w:val="auto"/>
        </w:rPr>
        <w:t>Mr. Snyder is our Senior Vice President and Chief Financial Officer. Mr. Snyder joined the Company in connection with the Spin-Off on November 1, 2013. Prior to the Spin-Off, he served as Penn's Senior Vice President of Corporate Development from 2003 and was responsible for identifying and conducting internal and industry analysis of potential acquisitions, partnerships and other opportunities. He joined Penn as Vice President of Corporate Development in May 1998 and held that position until his appointment to Senior Vice President in 2003. Prior to joining Penn, Mr. Snyder was a partner with Hamilton Partners, Ltd. and previously served as Managing Director of Municipal and Corporate Investment Banking for Meridian Capital Markets. Mr. Snyder began his career in finance at Butcher &amp; Singer, where he served as First Vice President of Public Finance.</w:t>
      </w:r>
    </w:p>
    <w:p>
      <w:pPr>
        <w:spacing w:after="0" w:line="210" w:lineRule="exact"/>
        <w:rPr>
          <w:sz w:val="20"/>
          <w:szCs w:val="20"/>
          <w:color w:val="auto"/>
        </w:rPr>
      </w:pPr>
    </w:p>
    <w:p>
      <w:pPr>
        <w:ind w:right="380" w:firstLine="432"/>
        <w:spacing w:after="0" w:line="303" w:lineRule="auto"/>
        <w:rPr>
          <w:sz w:val="20"/>
          <w:szCs w:val="20"/>
          <w:color w:val="auto"/>
        </w:rPr>
      </w:pPr>
      <w:r>
        <w:rPr>
          <w:rFonts w:ascii="Arial" w:cs="Arial" w:eastAsia="Arial" w:hAnsi="Arial"/>
          <w:sz w:val="16"/>
          <w:szCs w:val="16"/>
          <w:b w:val="1"/>
          <w:bCs w:val="1"/>
          <w:color w:val="auto"/>
        </w:rPr>
        <w:t xml:space="preserve">Brandon J. Moore. </w:t>
      </w:r>
      <w:r>
        <w:rPr>
          <w:rFonts w:ascii="Arial" w:cs="Arial" w:eastAsia="Arial" w:hAnsi="Arial"/>
          <w:sz w:val="16"/>
          <w:szCs w:val="16"/>
          <w:color w:val="auto"/>
        </w:rPr>
        <w:t>Mr. Moore is our Senior Vice President, General Counsel and Secretary. Mr. Moore joined the Company in January 2014.</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he served as Penn's Vice President, Senior Corporate Counsel from March 2010 where he was a member of the legal team responsible for a variety of transactional, regulatory and general legal matters. Prior to joining Penn, Mr. Moore was with Ballard Spahr LLP, where he provided advanced legal counsel to clients on matters including merger and acquisition transactions, debt and equity financings, and various other matters.</w:t>
      </w:r>
    </w:p>
    <w:p>
      <w:pPr>
        <w:spacing w:after="0" w:line="205" w:lineRule="exact"/>
        <w:rPr>
          <w:sz w:val="20"/>
          <w:szCs w:val="20"/>
          <w:color w:val="auto"/>
        </w:rPr>
      </w:pPr>
    </w:p>
    <w:p>
      <w:pPr>
        <w:ind w:right="200" w:firstLine="432"/>
        <w:spacing w:after="0" w:line="261" w:lineRule="auto"/>
        <w:rPr>
          <w:sz w:val="20"/>
          <w:szCs w:val="20"/>
          <w:color w:val="auto"/>
        </w:rPr>
      </w:pPr>
      <w:r>
        <w:rPr>
          <w:rFonts w:ascii="Arial" w:cs="Arial" w:eastAsia="Arial" w:hAnsi="Arial"/>
          <w:sz w:val="18"/>
          <w:szCs w:val="18"/>
          <w:b w:val="1"/>
          <w:bCs w:val="1"/>
          <w:color w:val="auto"/>
        </w:rPr>
        <w:t xml:space="preserve">Desiree A. Burke. </w:t>
      </w:r>
      <w:r>
        <w:rPr>
          <w:rFonts w:ascii="Arial" w:cs="Arial" w:eastAsia="Arial" w:hAnsi="Arial"/>
          <w:sz w:val="18"/>
          <w:szCs w:val="18"/>
          <w:color w:val="auto"/>
        </w:rPr>
        <w:t>Ms. Burke joined the Company in April 2014 as our Senior Vice President and Chief Accounting Officer. Previously, Ms. Burke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Penn's Vice President and Chief Accounting Officer from November 2009. Additionally, she served as Penn's Vice President and Corporate Controller from November 2005 to October 2009. Prior to her time at Penn National Gaming, Inc., Ms. Burke was the Executive Vice President/Director of Financial Reporting and Control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for MBNA America Bank, N.A. She joined MBNA in 1994 and held positions of ascending responsibility in the finance department during her tenure. 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Burke is a CPA.</w:t>
      </w:r>
    </w:p>
    <w:p>
      <w:pPr>
        <w:spacing w:after="0" w:line="261" w:lineRule="exact"/>
        <w:rPr>
          <w:sz w:val="20"/>
          <w:szCs w:val="20"/>
          <w:color w:val="auto"/>
        </w:rPr>
      </w:pPr>
    </w:p>
    <w:p>
      <w:pPr>
        <w:ind w:right="380" w:firstLine="432"/>
        <w:spacing w:after="0" w:line="261" w:lineRule="auto"/>
        <w:rPr>
          <w:sz w:val="20"/>
          <w:szCs w:val="20"/>
          <w:color w:val="auto"/>
        </w:rPr>
      </w:pPr>
      <w:r>
        <w:rPr>
          <w:rFonts w:ascii="Arial" w:cs="Arial" w:eastAsia="Arial" w:hAnsi="Arial"/>
          <w:sz w:val="18"/>
          <w:szCs w:val="18"/>
          <w:b w:val="1"/>
          <w:bCs w:val="1"/>
          <w:color w:val="auto"/>
        </w:rPr>
        <w:t xml:space="preserve">Matthew Demchyk. </w:t>
      </w:r>
      <w:r>
        <w:rPr>
          <w:rFonts w:ascii="Arial" w:cs="Arial" w:eastAsia="Arial" w:hAnsi="Arial"/>
          <w:sz w:val="18"/>
          <w:szCs w:val="18"/>
          <w:color w:val="auto"/>
        </w:rPr>
        <w:t>Mr. Demchyk joined the Company in February 2019 as our Senior Vice President of Investments. Previously, he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Manager of Real Estate Securities at Millennium Partners for nine years. Prior to joining Millennium Partners, he managed a portfolio of REIT equity securities at Carlson Capital and served as Assistant Portfolio Manager at CenterSquare Investment Management, a leading REIT dedicated asset manager. Mr. Demchyk is a CFA charter holder.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28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elected to be treated as a REIT on our 2014 U.S. federal income tax return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Qualification and taxation as a REIT depends on our ability to meet on a continuing basis, through actual operating results, distribution levels, and diversity of stock ownership, various qualification requirements imposed upon REITs by the Code. Our ability to qualify to be taxed as a REIT also requires that we satisfy certain tests, some of which depend upon the fair market values of assets that we own directly or indirectly. The material qualification requirements are summarized below. Such values may not be susceptible to a precise determination. Accordingly, no assurance can be given that the actual results of our operations for any taxable year will satisfy such requirements for qualification and taxation as a REIT. Additionally, while we intend to operate so that we continue to qualify to be taxed as a REIT, no assurance can be given that the Internal Revenue Service (the "IRS") will not challenge our qualification, or that we will be able to operate in accordance with the REIT requirements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27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a REIT, generally we will be entitled to a deduction for dividends that we pay and therefore will not be subject to U.S. federal corporate income tax on our net REIT taxable income that is currently distributed to our shareholders. This treatment substantially eliminates the "double taxation" at the corporate and shareholder levels that generally results from an investment in a C corporation. A "C corporation" is a corporation that generally is required to pay tax at the corporate level. Double taxation means taxation once at the corporate level when income is earned and once again at the shareholder level when the income is distributed. In general, the income that we generate is taxed only at the shareholder level upon a distribution of dividends to our shareholders. We will nonetheless be subject to U.S. federal tax in the following circumstances:</w:t>
      </w:r>
    </w:p>
    <w:p>
      <w:pPr>
        <w:spacing w:after="0" w:line="97"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225" w:lineRule="exact"/>
        <w:rPr>
          <w:rFonts w:ascii="Arial" w:cs="Arial" w:eastAsia="Arial" w:hAnsi="Arial"/>
          <w:sz w:val="18"/>
          <w:szCs w:val="18"/>
          <w:color w:val="auto"/>
        </w:rPr>
      </w:pPr>
    </w:p>
    <w:p>
      <w:pPr>
        <w:ind w:left="820" w:right="240" w:hanging="488"/>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tax years that began prior to January 1, 2018, we may be subject to the "alternative minimum tax" on our items of tax preference, including any deductions of net operating losses.</w:t>
      </w:r>
    </w:p>
    <w:p>
      <w:pPr>
        <w:spacing w:after="0" w:line="170" w:lineRule="exact"/>
        <w:rPr>
          <w:rFonts w:ascii="Arial" w:cs="Arial" w:eastAsia="Arial" w:hAnsi="Arial"/>
          <w:sz w:val="18"/>
          <w:szCs w:val="18"/>
          <w:color w:val="auto"/>
        </w:rPr>
      </w:pPr>
    </w:p>
    <w:p>
      <w:pPr>
        <w:ind w:left="820" w:right="220" w:hanging="488"/>
        <w:spacing w:after="0" w:line="34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23" w:lineRule="exact"/>
        <w:rPr>
          <w:rFonts w:ascii="Arial" w:cs="Arial" w:eastAsia="Arial" w:hAnsi="Arial"/>
          <w:sz w:val="16"/>
          <w:szCs w:val="16"/>
          <w:color w:val="auto"/>
        </w:rPr>
      </w:pPr>
    </w:p>
    <w:p>
      <w:pPr>
        <w:ind w:left="820" w:right="160" w:hanging="488"/>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21%).</w:t>
      </w:r>
    </w:p>
    <w:p>
      <w:pPr>
        <w:spacing w:after="0" w:line="186" w:lineRule="exact"/>
        <w:rPr>
          <w:rFonts w:ascii="Arial" w:cs="Arial" w:eastAsia="Arial" w:hAnsi="Arial"/>
          <w:sz w:val="18"/>
          <w:szCs w:val="18"/>
          <w:color w:val="auto"/>
        </w:rPr>
      </w:pPr>
    </w:p>
    <w:p>
      <w:pPr>
        <w:ind w:left="820" w:hanging="488"/>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satisfy the 75% gross income test and/or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81" w:lineRule="exact"/>
        <w:rPr>
          <w:rFonts w:ascii="Arial" w:cs="Arial" w:eastAsia="Arial" w:hAnsi="Arial"/>
          <w:sz w:val="18"/>
          <w:szCs w:val="18"/>
          <w:color w:val="auto"/>
        </w:rPr>
      </w:pPr>
    </w:p>
    <w:p>
      <w:pPr>
        <w:ind w:left="820" w:right="40" w:hanging="488"/>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violate the asset tests (other than certain de minimis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21%) if that amount exceeds $50,000 per failure.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820" w:hanging="488"/>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186" w:lineRule="exact"/>
        <w:rPr>
          <w:rFonts w:ascii="Arial" w:cs="Arial" w:eastAsia="Arial" w:hAnsi="Arial"/>
          <w:sz w:val="18"/>
          <w:szCs w:val="18"/>
          <w:color w:val="auto"/>
        </w:rPr>
      </w:pPr>
    </w:p>
    <w:p>
      <w:pPr>
        <w:ind w:left="820" w:right="5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225" w:lineRule="exact"/>
        <w:rPr>
          <w:rFonts w:ascii="Arial" w:cs="Arial" w:eastAsia="Arial" w:hAnsi="Arial"/>
          <w:sz w:val="18"/>
          <w:szCs w:val="18"/>
          <w:color w:val="auto"/>
        </w:rPr>
      </w:pPr>
    </w:p>
    <w:p>
      <w:pPr>
        <w:ind w:left="820" w:right="120" w:hanging="488"/>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five-year period following their acquisition from the subchapter C corporation.</w:t>
      </w:r>
    </w:p>
    <w:p>
      <w:pPr>
        <w:spacing w:after="0" w:line="188"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earnings of our TRS Properties will generally be subject to U.S. federal corporate income tax.</w:t>
      </w:r>
    </w:p>
    <w:p>
      <w:pPr>
        <w:spacing w:after="0" w:line="144"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79"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4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44" w:lineRule="exact"/>
        <w:rPr>
          <w:rFonts w:ascii="Arial" w:cs="Arial" w:eastAsia="Arial" w:hAnsi="Arial"/>
          <w:sz w:val="18"/>
          <w:szCs w:val="18"/>
          <w:color w:val="auto"/>
        </w:rPr>
      </w:pPr>
    </w:p>
    <w:p>
      <w:pPr>
        <w:ind w:left="820" w:right="16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89"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Code provides that conditions (1) through (4) must be met during the entire taxable year, and that condition (5) must be met during at least</w:t>
      </w:r>
    </w:p>
    <w:p>
      <w:pPr>
        <w:spacing w:after="0" w:line="3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335 days of a taxable year of 12 months, or during a proportionate part of a shorter taxable year. Conditions (5) and (6) need not be met during a corporation's initial tax year as a REIT (which, in our case, was 2014). Our charter provides restrictions regarding the ownership and transfers of our stock, which are intended to assist us in satisfying the stock ownership requirements described in conditions (5) and (6) above. These restrictions, however, may not ensure that we will, in all cases, be able to satisfy the share ownership requirements described in conditions (5) and (6) above. If we fail to satisfy these share ownership requirements, except as provided in the next sentence, our status as a REIT will terminate. If, however, we comply with the rules contained in the applicable Treasury regulations that require us to ascertain the actual ownership of our shares and we do not know, or would not have known through the exercise of reasonable diligence, that we failed to meet the requirements described in condition (6) above, we will be treated as having met this requirement.</w:t>
      </w:r>
    </w:p>
    <w:p>
      <w:pPr>
        <w:spacing w:after="0" w:line="223"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record-keeping requirements. If, upon request by the Company, a shareholder fails or refuses to comply with the demands, such holder will be required by Treasury regulations to submit a statement with his, her or its tax return disclosing the actual ownership of our stock and other information.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REIT Subsidiaries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Code provides that a corporation that is a "qualified REIT subsidiary" shall not be treated as a separate corporation, and all assets, liabilities and items of income, deduction and credit of a "qualified REIT subsidiary" shall be treated as assets, liabilities and items of income, deduction and credit of the REIT. A "qualified REIT subsidiary" is a corporation, all of the capital stock of which is owned by the REIT, that has not elected to be a "taxable REIT subsidiary" (discussed below). In applying the requirements described herein, all of our "qualified REIT subsidiaries" will be ignored, and all assets, liabilities and items of income, deduction and credit of such subsidiaries will be treated as our assets, liabilities and items of income, deduction and credit. These subsidiaries, therefore, will not be subject to federal corporate income taxation, although they may be subject to state and local taxation.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Taxable REIT Subsidiaries</w:t>
      </w:r>
    </w:p>
    <w:p>
      <w:pPr>
        <w:spacing w:after="0" w:line="2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general, we may jointly elect with a subsidiary corporation, whether or not wholly-owned, to treat such subsidiary corporation as a TRS. We generally may not own more than 10% of the securities of a taxable corporation, as measured by voting power or value, unless we and such corporation elect to treat such corporation as a TRS. The separate existence of a TRS is not ignored for U.S. federal income tax purposes. Accordingly, a TRS generally is subject to corporate income tax on its earnings, which may reduce the cash flow that we and our subsidiaries generate in the aggregate and may reduce our ability to make distributions to our shareholders.</w:t>
      </w:r>
    </w:p>
    <w:p>
      <w:pPr>
        <w:spacing w:after="0" w:line="24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treated as holding the assets of a TRS or as receiving any income that the subsidiary earns. Rather, the stock issued by the TRS to us is an asset in our hands, and we treat the dividends paid to us, if any, as income. This treatment can affect our income and asset test calculations, as described below. Because we do not include the assets and income of TRSs on a look-through basis in determining our compliance with the REIT requirements, we may use such entities to undertake indirectly activities that the REIT rules might otherwise preclude us from doing directly or through pass-through subsidiaries. For example, we may use a TRS to perform services or conduct activities that give rise to certain categories of income or to conduct activities that, if conducted by us directly, would be treated in our hands as prohibited transactions.</w:t>
      </w:r>
    </w:p>
    <w:p>
      <w:pPr>
        <w:spacing w:after="0" w:line="23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TRS rules impose a 100% excise tax on transactions between a TRS and its parent REIT or the REIT's tenants that are not conducted on an arm's-length basis. We intend that all of our transactions with our TRS, if any, will be conducted on an arm's-length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27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(but not including certain debt instruments of publicly offered REITs that are not secured by mortgages on real property),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86"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Rents received by a REIT will qualify as "rents from real property" in satisfying the gross income requirements described above only if several conditions are met.</w:t>
      </w:r>
    </w:p>
    <w:p>
      <w:pPr>
        <w:spacing w:after="0" w:line="170" w:lineRule="exact"/>
        <w:rPr>
          <w:sz w:val="20"/>
          <w:szCs w:val="20"/>
          <w:color w:val="auto"/>
        </w:rPr>
      </w:pPr>
    </w:p>
    <w:p>
      <w:pPr>
        <w:jc w:val="both"/>
        <w:ind w:left="660" w:right="1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rent must not be based in whole or in part on the income or profits of any person. However, an amount received or accrued generally will not be excluded from the term "rents from real property" solely by reason of being based on a fixed percentage or percentages of gross receipts or sales.</w:t>
      </w:r>
    </w:p>
    <w:p>
      <w:pPr>
        <w:spacing w:after="0" w:line="181" w:lineRule="exact"/>
        <w:rPr>
          <w:rFonts w:ascii="Arial" w:cs="Arial" w:eastAsia="Arial" w:hAnsi="Arial"/>
          <w:sz w:val="18"/>
          <w:szCs w:val="18"/>
          <w:color w:val="auto"/>
        </w:rPr>
      </w:pPr>
    </w:p>
    <w:p>
      <w:pPr>
        <w:ind w:left="660" w:right="28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Rents received from a tenant will not qualify as "rents from real property" in satisfying the gross income tests if the REIT, or a direct or indirect owner of 10% or more of the REIT, directly or constructively, owns 10% or more of such tenant (a "Related Party Tenant"). However, rental payments from a taxable REIT subsidiary will qualify as rents from real property even if we own more than 10% of the total value or combined voting power of the taxable REIT subsidiary if (i) at least 90% of the property is leased to unrelated tenants and the rent paid by the taxable REIT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subsidiary is substantially comparable to the rent paid by the unrelated tenants for comparable space or (ii) the property leased is a "qualified lodging facility," as defined in Section 856(d)(9)(D) of the Code, or a "qualified health care property," as defined in Section 856(e)(6)(D)(i) of the Code, and certain other conditions are satisfied.</w:t>
      </w:r>
    </w:p>
    <w:p>
      <w:pPr>
        <w:spacing w:after="0" w:line="181" w:lineRule="exact"/>
        <w:rPr>
          <w:sz w:val="20"/>
          <w:szCs w:val="20"/>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Rent attributable to personal property leased in connection with a lease of real property will not qualify as "rents from real property" if such rent exceeds 15% of the total rent received under the lease.</w:t>
      </w:r>
    </w:p>
    <w:p>
      <w:pPr>
        <w:spacing w:after="0" w:line="170" w:lineRule="exact"/>
        <w:rPr>
          <w:rFonts w:ascii="Arial" w:cs="Arial" w:eastAsia="Arial" w:hAnsi="Arial"/>
          <w:sz w:val="18"/>
          <w:szCs w:val="18"/>
          <w:color w:val="auto"/>
        </w:rPr>
      </w:pPr>
    </w:p>
    <w:p>
      <w:pPr>
        <w:ind w:left="660" w:right="100" w:hanging="328"/>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REIT generally must not operate or manage the property or furnish or render services to tenants, except through an "independent contractor" who is adequately compensated and from whom the REIT derives no income, or through a taxable REIT subsidiary. The "independent contractor" requirement, however, does not apply to the extent the services provided by the REIT are "usually or customarily rendered" in connection with the rental of space for occupancy only, and are not otherwise considered "rendered to the occupant." In addition, a de minimis rule applies with respect to non-customary services. Specifically, if the value of the non-customary service income with respect to a property (valued at no less than 150% of the direct costs of performing such services) is 1% or less of the total income derived from the property, then all rental income except the non-customary service income will qualify as "rents from real property." A taxable REIT subsidiary may provide services (including noncustomary services) to a REIT’s tenants without "tainting" any of the rental income received by the REIT, and will be able to manage or operate properties for third parties and generally engage in other activities unrelated to real estate.</w:t>
      </w:r>
    </w:p>
    <w:p>
      <w:pPr>
        <w:spacing w:after="0" w:line="182"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We do not anticipate receiving rent that is based in whole or in part on the income or profits of any person (except by reason of being based on a fixed percentage or percentages of gross receipts or sales consistent with the rules described above). Our former parent, Penn, received a private letter ruling from the IRS that concluded certain rental formulas under the Penn Master Lease will not cause any amounts received under the Penn Master Lease to be treated as other than rents from real property. While we do not expect to seek similar rulings for additional leases we enter into that have substantially similar terms as the Penn Master Lease, we intend to treat amounts received under those leases consistent with the conclusions in the ruling, though there can be no assurance that the IRS will not challenge such treatment. We also do not anticipate receiving more than a de minimis amount of rents from any Related Party Tenant or rents attributable to personal property leased in connection with real property that will exceed 15% of the total rents received with respect to such real property. We may receive certain types of income that will not qualify under the 75% or 95% gross income tests. In particular, dividends received from a taxable REIT subsidiary will not qualify under the 75% test. We believe, however, that the aggregate amount of such items and other non-qualifying income in any taxable year will not cause GLPI to exceed the limits on non-qualifying income under either the 75% or 95% gross income tests.</w:t>
      </w:r>
    </w:p>
    <w:p>
      <w:pPr>
        <w:spacing w:after="0" w:line="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or qualified REIT subsidiary, however, will be qualifying income for purposes of both the 95% and 75% gross income tests.</w:t>
      </w:r>
    </w:p>
    <w:p>
      <w:pPr>
        <w:spacing w:after="0" w:line="208"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We believe that we have and will continue to be in compliance with these gross income tests. If we fail to satisfy one or both of the 75% or 95% gross income tests for any taxable year, we may still qualify to be taxed as a REIT for such year if we are entitled to relief under applicable provisions of the Code. These relief provisions will be generally available if (i) our failure to meet these tests was due to reasonable cause and not due to willful neglect and</w:t>
      </w:r>
    </w:p>
    <w:p>
      <w:pPr>
        <w:ind w:right="180" w:firstLine="8"/>
        <w:spacing w:after="0" w:line="271"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It is not possible to state whether we would be entitled to the benefit of these relief provisions in all circumstances. If these relief provisions are inapplicable to a particular set of circumstances, we will not qualify to be taxed as a REIT. Even if these relief provisions apply, and we retain our status as a REIT, the Code imposes a tax based upon the amount by which we fail to satisfy the particular gross income test.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4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At the close of each calendar quarter, we must also satisfy five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 in real property and, for taxable years that began or after January 1, 2016, personal property leased with real property if the rents attributable to the personal property would be rents from real property under the income tests discussed above), interests in mortgages on real property or on interests in real property, shares in other qualifying REITs, and stock or debt instruments held for less than one year purchased with the proceeds from an offering of shares of our stock or certain debt and, for tax years that began on or after</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30"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January 1, 2016, debt instruments issued by publicly offered REITs. Assets that do not qualify for purposes of the 75% asset test are subject to the additional asset tests described below.</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The safe harbor under which certain types of securities are disregarded for purposes of the 10% value limitation includes (1) straight debt securities (including straight debt securities that provide for certain contingent payments); (2) any loan to an individual or an estate; (3) any rental agreement described in Section 467 of the Code, other than with a "related person"; (4) any obligation to pay rents from real property; (5) certain securities issued by a State or any political subdivision thereof, or the Commonwealth of Puerto Rico; (6) any security issued by a REIT; and (7) any other arrangement that, as determined by the Secretary of the Treasury, is excepted from the definition of a security. In addition, for purposes of applying the 10% value limitation, (a) a REIT’s interest as a partner in a partnership is not considered a security; (b) any debt instrument issued by a partnership is not treated as a security if at least 75% of the partnership’s gross income is from sources that would qualify for the 75% REIT gross income test; and (c) any debt instrument issued by a partnership is not treated as a security to the extent of the REIT’s interest as a partner in the partnership.</w:t>
      </w:r>
    </w:p>
    <w:p>
      <w:pPr>
        <w:spacing w:after="0" w:line="242"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 Beginning after December 31, 2017, the aggregate value of all securities of the TRSs that we hold may not exceed 20% of our total assets.</w:t>
      </w:r>
    </w:p>
    <w:p>
      <w:pPr>
        <w:spacing w:after="0" w:line="22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Fifth, not more than 25% of the value of our gross assets may be represented by debt instruments of publicly offered REITs that are not secured by mortgages on real property or interests in real property.</w:t>
      </w:r>
    </w:p>
    <w:p>
      <w:pPr>
        <w:spacing w:after="0" w:line="22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we (i) satisfied the asset tests at the close of the preceding calendar quarter and (ii) the discrepancy between the value of our assets and the asset requirements was not wholly or partly caused by an acquisition of non-qualifying assets, but instead arose from changes in the relative market values of our assets. If the condition described in (ii) was not satisfied, we still could avoid disqualification by eliminating any discrepancy within 30 days after the close of the calendar quarter in which it arose or by making use of the relief provisions described above.</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firstLine="8"/>
        <w:spacing w:after="0" w:line="255" w:lineRule="auto"/>
        <w:tabs>
          <w:tab w:leader="none" w:pos="2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24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which fails one or more of the asset requirements to nevertheless maintain its REIT qualification if (i) the REIT provides the IRS with a description of each asset causing the failure, (ii) the failure is due to reasonable cause and not willful neglect, (iii) the REIT pays a tax equal to the greater of (a) $50,000 per failure and (b) the product of the net income generated by the assets that caused the failure multiplied by the highest applicable corporate tax rate (currently 21%) and (iv) the REIT either disposes of the assets causing the failure within six months after the last day of the quarter in which it identifies the failure, or otherwise satisfies the relevant asset tests within that time frame.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have been and will continue to be in compliance with the asset tests described above.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2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order to qualify to be taxed as a REIT, we are required to distribute dividends, other than capital gain dividends, to our shareholders in an amount at least equal to:</w:t>
      </w:r>
    </w:p>
    <w:p>
      <w:pPr>
        <w:spacing w:after="0" w:line="89"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1800" w:hanging="658"/>
        <w:spacing w:after="0"/>
        <w:tabs>
          <w:tab w:leader="none" w:pos="18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236" w:lineRule="exact"/>
        <w:rPr>
          <w:rFonts w:ascii="Arial" w:cs="Arial" w:eastAsia="Arial" w:hAnsi="Arial"/>
          <w:sz w:val="17"/>
          <w:szCs w:val="17"/>
          <w:color w:val="auto"/>
        </w:rPr>
      </w:pPr>
    </w:p>
    <w:p>
      <w:pPr>
        <w:ind w:left="1800" w:hanging="658"/>
        <w:spacing w:after="0"/>
        <w:tabs>
          <w:tab w:leader="none" w:pos="1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225" w:lineRule="exact"/>
        <w:rPr>
          <w:sz w:val="20"/>
          <w:szCs w:val="20"/>
          <w:color w:val="auto"/>
        </w:rPr>
      </w:pPr>
    </w:p>
    <w:p>
      <w:pPr>
        <w:ind w:left="1140" w:right="80" w:hanging="484"/>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8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pro rata among all outstanding shares of stock within a particular class and (ii) in accordance with any preferences among different classes of stock as set forth in our organizational documents. Given our status as a "publicly offered REIT" (within the meaning of the Code), the preferential dividend rules do not apply to us for taxable years beginning after December 31, 2014.</w:t>
      </w:r>
    </w:p>
    <w:p>
      <w:pPr>
        <w:spacing w:after="0" w:line="243"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(i) the amounts of capital gain dividends that we designated and that they include in their taxable income, minus (ii) the tax that we paid on their behalf with respect to that income.</w:t>
      </w:r>
    </w:p>
    <w:p>
      <w:pPr>
        <w:spacing w:after="0" w:line="2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w:t>
      </w:r>
    </w:p>
    <w:p>
      <w:pPr>
        <w:spacing w:after="0" w:line="22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we fail to distribute during each calendar year at least the sum of (i) 85% of our ordinary income for such year, (ii) 95% of our capital gain net income for such year and (iii)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24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w:t>
      </w:r>
    </w:p>
    <w:p>
      <w:pPr>
        <w:spacing w:after="0" w:line="23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20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purposes of the 90% distribution requirement and excise tax described above, any distribution must be paid in the taxable year to which they relate, or in the following taxable year if such distributions are declared in October, November or December of the taxable year, are payable to shareholders of record on a specified date in any such month, and are actually paid before the end of January of the following year. Such distributions are treated as both paid by us and received by our shareholders on December 31 of the year in which they are declared.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addition, at our election, a distribution for a taxable year may be declared before we timely file our tax return for the year, provided we pay such distribution with or before our first regular dividend payment after such declaration, and such payment is made during the 12-month period following the close of such taxable year. Such distributions are taxable to our shareholders in the year in which paid, even though the distributions relate to our prior taxable year for purposes of the 90% distribution requirement.</w:t>
      </w:r>
    </w:p>
    <w:p>
      <w:pPr>
        <w:spacing w:after="0" w:line="20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believe that we have satisfied the annual distribution requirements for the year ended December 31, 2019. Although we intend to satisfy the annual distribution requirements to continue to qualify as a REIT for the year ending December 31, 2020 and thereafter, economic, market, legal, tax or other considerations could limit our ability to meet those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2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w:t>
      </w:r>
      <w:r>
        <w:rPr>
          <w:rFonts w:ascii="Arial" w:cs="Arial" w:eastAsia="Arial" w:hAnsi="Arial"/>
          <w:sz w:val="18"/>
          <w:szCs w:val="18"/>
          <w:i w:val="1"/>
          <w:iCs w:val="1"/>
          <w:color w:val="auto"/>
        </w:rPr>
        <w:t>Income Tests</w:t>
      </w:r>
      <w:r>
        <w:rPr>
          <w:rFonts w:ascii="Arial" w:cs="Arial" w:eastAsia="Arial" w:hAnsi="Arial"/>
          <w:sz w:val="18"/>
          <w:szCs w:val="18"/>
          <w:color w:val="auto"/>
        </w:rPr>
        <w:t>" and "</w:t>
      </w:r>
      <w:r>
        <w:rPr>
          <w:rFonts w:ascii="Arial" w:cs="Arial" w:eastAsia="Arial" w:hAnsi="Arial"/>
          <w:sz w:val="18"/>
          <w:szCs w:val="18"/>
          <w:i w:val="1"/>
          <w:iCs w:val="1"/>
          <w:color w:val="auto"/>
        </w:rPr>
        <w:t>Asset Tests</w:t>
      </w:r>
      <w:r>
        <w:rPr>
          <w:rFonts w:ascii="Arial" w:cs="Arial" w:eastAsia="Arial" w:hAnsi="Arial"/>
          <w:sz w:val="18"/>
          <w:szCs w:val="18"/>
          <w:color w:val="auto"/>
        </w:rPr>
        <w:t>."</w:t>
      </w:r>
    </w:p>
    <w:p>
      <w:pPr>
        <w:spacing w:after="0" w:line="23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would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would be taxable as regular corporate dividends. Such dividends paid to U.S. shareholders that are individuals, trusts and estates may be taxable at the preferential income tax rates (i.e., currently the 20% maximum U.S. federal rate) for qualified dividends. In addition, subject to the limitations of the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our qualification. It is not possible to state whether, in all circumstances, we would be entitled to this statutory relief.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Legislative or Other Actions Affecting REITs</w:t>
      </w:r>
    </w:p>
    <w:p>
      <w:pPr>
        <w:spacing w:after="0" w:line="279"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0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December 22, 2017, H.R. 1, known as the Act to provide for reconciliation pursuant to titles II and V of the concurrent resolution on the budget for fiscal year 2018 (the "Tax Cuts and Jobs Act") was signed into law. The Tax Cuts and Jobs Act makes significant changes to the U.S. federal income taxation of individuals and corporations,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carrybacks and allow unused net operating losses to be carried forward indefinitely, (iv) expand the ability of businesses to deduct the cost of certain property investments in the year in which the property is purchased, and (v) generally lower tax rates for individuals and other noncorporate taxpayers, while limiting deductions such as miscellaneous itemized deductions and state and local tax deductions. In addition, the Tax Cuts and Jobs Act limits the deduction for net interest expense incurred by a business to 30% of the "adjusted taxable income" of the taxpayer. However, the limitation on the interest expense deduction does not apply to certain small-business taxpayers or electing real property trades or businesses, such as any real property development, redevelopment, construction, reconstruction, acquisition, conversion, rental, operation, management, leasing, or brokerage trade or business. Making the election to be treated as a real property trade or business requires the electing real property trade or business to depreciate non-residential real property, residential rental property, and qualified improvement property over a longer period using the alternative depreciation system. We have not yet elected out of the new interest expense limitation.</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effect of the Tax Cuts and Jobs Act is highly uncertain, both in terms of its direct effect on the taxation of holders of our common stock and its indirect effect on the value of our assets or market conditions generally.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30"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Shareholders are urged to consult with their own tax advisors with respect to the impact that the Tax Cuts and Jobs Act and other legislation may have on their investment and the status of legislative, regulatory or administrative developments and proposals and their potential effect on their investment in our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83"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The ownership, operation, and management of, and provision of certain products and services to, gaming and racing facilities are subject to pervasive regulation. Gaming laws are generally based upon declarations of public policy designed to protect gaming consumers and the viability and integrity of the gaming industry. Gaming laws also may be designed to protect and maximize state and local revenues derived through taxes and licensing fees imposed on gaming industry participants as well as to enhance economic development and tourism. To accomplish these public policy goals, gaming laws establish procedures to ensure that participants in the gaming industry, including landlords and other suppliers, meet certain standards of character and fitness. In addition, gaming laws require gaming industry participants to:</w:t>
      </w:r>
    </w:p>
    <w:p>
      <w:pPr>
        <w:spacing w:after="0" w:line="97"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procedures designed to prevent cheating and fraudulent practices;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225" w:lineRule="exact"/>
        <w:rPr>
          <w:rFonts w:ascii="Arial" w:cs="Arial" w:eastAsia="Arial" w:hAnsi="Arial"/>
          <w:sz w:val="18"/>
          <w:szCs w:val="18"/>
          <w:color w:val="auto"/>
        </w:rPr>
      </w:pPr>
    </w:p>
    <w:p>
      <w:pPr>
        <w:ind w:left="820" w:right="620" w:hanging="488"/>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periodic reports with gaming regulators;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 and</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programs to promote responsible gaming.</w:t>
      </w:r>
    </w:p>
    <w:p>
      <w:pPr>
        <w:spacing w:after="0" w:line="144"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These regulations impact our business in three important ways: (1) our ownership and operation of the TRS Properties; (2) our ownership of land and buildings in which gaming activities are operated by third party tenants pursuant to long-term leases; and (3) the operations of our gaming tenants. Our ownership and operation of the TRS Properties subject GLPI, its subsidiaries and its officers and directors to the jurisdiction of the gaming regulatory agencies in Louisiana and Maryland. Further, many gaming and racing regulatory agencies in the jurisdictions in which our gaming tenants operate require GLPI and its affiliates to maintain a license as a key business entity or supplier because of its status as landlord, including Colorado, Illinois, Indiana, Massachusetts, Mississippi, Missouri, New Jersey, Ohio and Pennsylvania.</w:t>
      </w:r>
    </w:p>
    <w:p>
      <w:pPr>
        <w:spacing w:after="0" w:line="23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businesses are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8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We have comprehensive liability, property and business interruption insurance at our TRS Properties. In regards to our properties subject to triple-net leases, the lease agreements require our tenants to have their own comprehensive liability, property and business interruption insurance policies, including protection for our insurable interests as the landlord.</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30"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Our triple-net leases obligate the tenants thereunder to comply with applicable environmental laws and to indemnify us if their noncompliance results in losses or claims against us, and we expect that any future leases will include the same provisions for other operators. An operator's failure to comply could result in fines and penalties or the requirement to undertake corrective actions which may result in significant costs to the operator and thus adversely affect their ability to meet their obligations to us.</w:t>
      </w:r>
    </w:p>
    <w:p>
      <w:pPr>
        <w:spacing w:after="0" w:line="23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provide for joint and several liability unless the harm is divisible and there is a reasonable basis for allocation of responsibility. We also may be liable under certain of these laws for damage that occurred prior to our ownership of a property or at a site where we or our tenants sent wastes for disposal. The failure to properly remediate a property may also adversely affect our ability to lease, sell or rent the property or to borrow funds using the property as collateral.</w:t>
      </w:r>
    </w:p>
    <w:p>
      <w:pPr>
        <w:spacing w:after="0" w:line="23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ownership of our real property, we could be legally responsible for environmental liabilities or costs relating to a release of hazardous substances or other regulated materials at or emanating from such property. In order to assess the potential for such liability, we conduct routine due diligence of environmental assessments prior to acquisition. We are not aware of any environmental issues that are expected to have a material impact on the operations of any of our properties.</w:t>
      </w:r>
    </w:p>
    <w:p>
      <w:pPr>
        <w:spacing w:after="0" w:line="24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Pursuant to the Penn Master Lease and a Separation and Distribution Agreement between Penn and GLPI, any liability arising from or relating to environmental liabilities arising from the businesses and operations of Penn's real property holdings prior to the Spin-Off (other than any liability arising from or relating to the operation or ownership of the TRS Properties and except to the extent first discovered after the end of the term of the Penn Master Lease) was retained by Penn and Penn will indemnify GLPI (and its subsidiaries, directors, officers, employees and agents and certain other related parties) against any losses arising from or relating to such environmental liabilities. Similarly, pursuant to a Separation and Distribution Agreement originally between Pinnacle's operating company and GLPI (as successor to Pinnacle Entertainment), any liability arising from or relating to environmental liabilities arising from the business and operations of Pinnacle's real property holdings prior to the Company's acquisition of the majority of Pinnacle's real property assets (except to the extent first discovered after the end of the term of the Amended Pinnacle Master Lease) was retained by Pinnacle and Pinnacle will indemnify GLPI (and its subsidiaries, directors, officers, employees and agents and certain other related parties) against any losses arising from or relating to such environmental liabilities. Effective October 15, 2018, Penn assumed all obligations of Pinnacle pursuant to a merger of Pinnacle with and into a subsidiary of Penn. There can be no assurance that Penn will be able to fully satisfy these indemnification obligations. Moreover, even if we ultimately succeed in recovering from Penn any amounts for which we are held liable, we may be temporarily required to bear these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December 31, 2019, we had 648 full and part-time employees. Substantially all of these employees are employed at Hollywood Casino Baton Rouge and Hollywood Casino Perryville. The Company believes its relations with its employees are good.</w:t>
      </w:r>
    </w:p>
    <w:p>
      <w:pPr>
        <w:spacing w:after="0" w:line="2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Some of our employees at Hollywood Casino Perryville are currently represented by labor unions. The Seafarers Entertainment and Allied Trade Union represents 145 of our employees at Hollywood Casino Perryville under an agreement that expires in January 2032. Additionally, United Industrial Service Transportation Professional and Government Workers of North America and Local No. 27 United Food and Commercial Workers represent certain employees under collective bargaining agreements that expire in 2020 and 2032, respectively, neither of which represents more than 50 of our employees at Hollywood Casino Perryville.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30"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more information about us, visit our website at www.glpropinc.com. The contents of our website are not part of this Annual Report on Form 10-K. Our electronic filings with the SEC (including all annual reports on Form 10-K and Form 10-K/A, quarterly reports on Form 10-Q and Form 10-Q/A, and current reports on Form 8-K, and any amendments to these reports), including the exhibits, are available free of charge through our website as soon as reasonably practicable after we electronically file them with or furnish them to the SEC.</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130" w:right="3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1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The majority of our revenues are dependent on Penn and its subsidiaries until we further diversify our portfolio. Any event that has a material adverse effect on Penn’s business, financial position or results of operations may have a material adverse effect on our business, financial position or results of operations.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may materially and adversely affect our business, financial position or results of operations, including our ability to pay dividends to our shareholders.</w:t>
      </w:r>
    </w:p>
    <w:p>
      <w:pPr>
        <w:spacing w:after="0" w:line="16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Due to our dependence on rental payments from Penn as a significant source of revenue, we may be limited in our ability to enforce our rights under the master leases. Failure by Penn to comply with the terms of its master leases or to comply with the gaming regulations to which the leased properties are subject could require us to find another lessee for such leased property. In such event, we may be unable to locate a suitable lessee at similar rental rates or at all, which would have the effect of reducing our rental revenues. Likewise, our financial position may be materially weakened if Penn failed to renew or extend any master lease as such lease expires and we are unable to lease or re-lease our properties on economically favorable terms.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event that has a material adverse effect on Penn’s business, financial position or results of operations could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pursuit of investments in, and acquisitions or development of, additional properties may be unsuccessful or fail to meet our expectations.</w:t>
      </w:r>
    </w:p>
    <w:p>
      <w:pPr>
        <w:spacing w:after="0" w:line="30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operate in a highly competitive industry and face competition from other REITs (including other gaming-focused REITs), investment companies, private equity and hedge fund investors, sovereign funds, lenders, gaming companies (including gaming companies considering REIT structures) and other investors, some of whom are significantly larger and have greater resources and lower costs of capital. Increased competition may make it more challenging to identify and successfully capitalize on acquisition opportunities that meet our investment objectives. If we cannot identify and purchase a sufficient number of investment properties at favorable prices or if we are unable to finance acquisitions on commercially favorable terms, our business, financial position or results of operations could be materially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 and completing proposed acquisitions may be adversely impacted. Furthermore, fluctuations in the price of our common stock may impact our ability to finance additional acquisitions through the issuance of common stock and/or cause significant dilution.</w:t>
      </w:r>
    </w:p>
    <w:p>
      <w:pPr>
        <w:spacing w:after="0" w:line="22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including that the investment's performance will fail to meet expectations or that the tenant,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adversely affect our business, financial position or results of operations.</w:t>
      </w:r>
    </w:p>
    <w:p>
      <w:pPr>
        <w:spacing w:after="0" w:line="224"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As the owner and landlord of gaming facilities, we are impacted by the risks associated with the gaming industry. Therefore, our success is to some degree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may have a greater adverse effect on our revenues than if we owned a more diversified real estate portfolio, particularly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3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because a component of the rent under our leases is based, over time, on the revenue of the gaming facilities operated by our tenants. Decreases in discretionary consumer spending brought about by weakened general economic conditions such as, but not limited to, high unemployment levels, higher income taxes, low levels of consumer confidence, weakness in the housing market, cultural and demographic changes, and increased stock market volatility may negatively impact our revenues and operating cash flow.</w:t>
      </w:r>
    </w:p>
    <w:p>
      <w:pPr>
        <w:spacing w:after="0" w:line="241"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The gaming industry is characterized by an increasing number of gaming facilities with an increasingly high degree of competition among a large number of participants, including riverboat casinos, dockside casinos, land-based casinos, video lottery, sweepstakes and poker machines not located in casinos, Native American gaming and other forms of gaming in the U.S. Furthermore, competition from alternative wagering products, such as internet lotteries, sweepstakes, social gaming products, daily fantasy sports and other internet wagering gaming services, online sports wagering or games of skill, which allow their customers a wagering alternative to the casino-style, such as remote home gaming or in non-casino settings, could divert customers from our properties and thus adversely affect our TRS Properties and the business of our tenants and, indirectly, our business. Present state or federal laws that restrict the forms of gaming authorized or the number of competitors that offer gaming in the applicable jurisdiction are subject to change and may increase the competition affecting our TRS Properties and the business of our tenants and, indirectly, our business. Currently, there are proposals that would legalize several forms of internet gaming and other alternative wagering products in a number of states. Further, several states have already approved intrastate internet gaming. Expansion of internet gaming in other jurisdictions could further compete with our traditional operations, which could have an adverse impact on our business and result of operations.</w:t>
      </w:r>
    </w:p>
    <w:p>
      <w:pPr>
        <w:spacing w:after="0" w:line="2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operations of our TRS Properties and of our tenants in our leased facilities are subject to disruptions or reduced patronage as a result of severe weather conditions, natural disasters and other casualty events. Because many of our facilities are located on or adjacent to bodies of water, they are subject to risks in addition to those associated with land-based facilities, including loss of service due to casualty, forces of nature, mechanical failure, extended or extraordinary maintenance, flood, hurricane or other severe weather conditions. A component of the rent under our leases is based, over time, on the revenues of the gaming facilities operated by Penn, Eldorado, Boyd and Casino Queen on our properties; consequently, a casualty that leads to the loss of use of a casino facility subject to our leases for an extended period may negatively impact our revenues.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w:t>
      </w:r>
    </w:p>
    <w:p>
      <w:pPr>
        <w:spacing w:after="0" w:line="2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ownership, operation, and management of gaming and racing facilities are subject to pervasive regulation. These regulations impact both our ownership and operation of the TRS Properties and the operations of our gaming tenants. Our ownership and operation of the TRS Properties subject us, our officers, directors and shareholders to the jurisdiction of the gaming regulatory agencies in Louisiana and Maryland. Further, many gaming and racing regulatory agencies in the jurisdictions in which our tenants operate require GLPI, its affiliates and certain officers and directors to maintain licenses as a key business entity, supplier or key person because of GLPI's status as landlord. For GLPI to maintain such licenses in good standing, certain of GLPI's officers, directors and shareholders are also required to maintain licenses or a finding of suitability.</w:t>
      </w:r>
    </w:p>
    <w:p>
      <w:pPr>
        <w:spacing w:after="0" w:line="2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jurisdictions also require any person who acquires beneficial ownership of more than a certain percentage of securities of a company licensed in such jurisdiction, typically 5%, to report the acquisition to gaming authorities, and gaming authorities may require such holders to apply for qualification or a finding of suitability, subject to limited exceptions for "institutional investors" that hold a company's voting securities for passive investment purposes only. Some jurisdictions may also limit the number of gaming licenses or gaming facilities in which a person may hold an ownership or a controlling interest.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2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Additionally,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certain gaming authorities. Entities seeking to acquire control of GLPI or one of its subsidiaries must satisfy gaming authorities with respect to a variety of stringent licensing standards prior to assuming control.</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our gaming properties, which could result in periods in which we are unable to receive rent for such properties.</w:t>
      </w:r>
    </w:p>
    <w:p>
      <w:pPr>
        <w:spacing w:after="0" w:line="2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tenants of our gaming properties are operators of gaming facilities and must be licensed under applicable state law. Prior to the transfer of gaming facilities, including a controlling interest, the new owner or operator generally must become licensed under applicable state law. In the event that any current lease or any future lease agreement we enter into is terminated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30"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or expires and a new tenant is found, any delays in the new tenant receiving regulatory approvals from the applicable state government agencies, or the inability to receive such approvals, may prolong the period during which we are unable to collect the applicable rent.</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achieve the intended benefits from the Tropicana Acquisition or the Boyd Master Lease, which could have an adverse impact on our business.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consummated the Tropicana Acquisition on October 1, 2018 and entered into a master lease agreement with Boyd on October 15, 2018. However, our ability to successfully realize the expected benefits of these transactions is largely dependent upon Eldorado’s and Boyd’s respective ability to operate our properties in a manner that generates revenues sufficient to allow Eldorado and Boyd to meet their obligations to us, including payment of rent, loan interest and all insurance, taxes, utilities and maintenance and repair expenses, and to indemnify, defend and hold us harmless from and against various claims, litigation and liabilities arising in connection with their respective businesses. We cannot guarantee that either Eldorado or Boyd will maintain its operations in a profitable manner and, other than limited contractual protections afforded to us as a landlord and, under limited circumstances, as a lender, we have no control over either Eldorado’s or Boyd’s business or finances. Our financial position could be materially weakened if either Eldorado or Boyd were unable to meet its obligations to us or failed to renew or extend any lease as such lease expires, or if we were unable to lease or re-lease our properties on economically favorable terms.</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we made a short-term loan to Eldorado in the amount of $246.0 million in connection with Eldorado’s acquisition of Tropicana’s Lumière Place property, and we made a mortgage loan to Boyd in the amount of $57.7 million in connection with Boyd’s acquisition of the Belterra Park property. In our capacity as a lender, we have fewer protections available to us with respect to these properties than we would have as a landlord, and there are regulatory restrictions that may prevent our ability to take possession of these properties upon a default by the borrower. In addition, on the one-</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year anniversary of the Eldorado loan, the mortgage and the related deed of trust on the Lumière Place property terminated and the loan will continue unsecured until its final maturity on the second anniversary of the loan. If Eldorado or Boyd are unable or unwilling to satisfy their respective obligations to us under these loans in a timely manner or at all, our business and/or our financial position could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strategic acquisitions unrelated to the gaming industry may be unsuccessful or fail to meet our expectations.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may pursue strategic acquisitions of real property assets unrelated to the gaming industry, including acquisitions that may be complementary to our existing gaming properties. Our management does not possess the same level of expertise with the dynamics and market conditions applicable to non-gaming assets, which could adversely affect the results of our expansion into other asset classes. In addition, we may be unable to achieve our desired return on our investments in new or adjacent asset classes.</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22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order for us to qualify to be taxed as a REIT, not more than 50% in value of our outstanding shares of stock may be owned, actually or constructively, by five or fewer individuals at any time during the last half of each taxable year after the first year for which GLPI elected to qualify to be taxed as a REIT (2014). Additionally, at least 100 persons must beneficially own GLPI stock during at least 335 days of a taxable year (other than the first taxable year for which GLPI elected to be taxed as a REIT). GLPI's charter, with certain exceptions, authorizes the Board of Directors to take such actions as are necessary and desirable to preserve GLPI's qualification as a REIT. GLPI's charter also provides that, subject to certain exceptions approved by the Board of Directors, no person may beneficially or constructively own more than 7% in value or in number, whichever is more restrictive, of GLPI's outstanding shares of all classes and series of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GLPI that might involve a premium price for shares of GLPI stock or otherwise be in the best interests of GLPI shareholders. The acquisition of less than 7% of our outstanding stock by an individual or entity could cause that individual or entity to own beneficially or constructively in excess of 7% in value of our outstanding stock, and thus violate our charter's ownership limit. Our charter prohibits any person from owning shares of our stock that would result in our being "closely held" under Section 856(h) of the Code. Any attempt to own or transfer shares of our stock in violation of these restrictions may result in the transfer being automatically void. GLPI's charter also provides that shares of GLPI's capital stock acquired or held in excess of the ownership limit will be transferred to a trust for the benefit of a designated charitable beneficiary, and that any person who acquires shares of GLPI's capital stock in violation of the ownership limit will not be entitled to any dividends on the shares or be entitled to vote the shares or receive any proceeds from the subsequent sale of the shares in excess of the lesser of the market price on the day the shares were transferred to the trust or the amount realized from the sale. GLPI or its designee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will have the right to purchase the shares from the trustee at this calculated price as well. A transfer of shares of GLPI's capital stock in violation of the limit may be void under certain circumstances. GLPI's 7% ownership limitation may have the effect of delaying, deferring or preventing a change in control of GLPI, including an extraordinary transaction (such as a merger, tender offer or sale of all or substantially all of our assets) that might provide a premium price for GLPI's shareholders. To assist GLPI in complying with applicable gaming laws, our charter also provides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 The shares shall additionally be redeemable by GLPI, out of funds legally available for that redemption, to the extent required by the gaming authorities making the determination of unsuitability or to the extent determined to be necessary or advisable by our Board of Directors, at a redemption price equal to the lesser of</w:t>
      </w:r>
    </w:p>
    <w:p>
      <w:pPr>
        <w:spacing w:after="0" w:line="6" w:lineRule="exact"/>
        <w:rPr>
          <w:sz w:val="20"/>
          <w:szCs w:val="20"/>
          <w:color w:val="auto"/>
        </w:rPr>
      </w:pPr>
    </w:p>
    <w:p>
      <w:pPr>
        <w:ind w:right="400" w:firstLine="8"/>
        <w:spacing w:after="0" w:line="323"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market price on the date of the redemption notice, (ii) the market price on the redemption date, or (iii) the actual amount paid for the shares by the owner thereof, in each case less a discount in a percentage (up to 100%) to be determined by our Board of Directors in its sole and absolute discretion.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Pennsylvania law and provisions in our charter and bylaws may delay or prevent takeover attempts by third parties and therefore inhibit our shareholders from realizing a premium on their stock.</w:t>
      </w:r>
    </w:p>
    <w:p>
      <w:pPr>
        <w:spacing w:after="0" w:line="224"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Our charter and bylaws, in addition to Pennsylvania law, contain provisions that are intended to deter coercive takeover practices and inadequate takeover bids and to encourage prospective acquirors to negotiate with our Board of Directors rather than to attempt a hostile takeover. Our charter and bylaws, among other things (i) permit the Board of Directors, without further action of the shareholders, to issue and fix the terms of preferred stock, which may have rights senior to those of the common stock; (ii) establish certain advance notice procedures for shareholder proposals, and require all director candidates to be recommended by the nominating committee of the Board of Directors following the affirmative determination by the nominating committee that such nominee is likely to meet the applicable suitability requirements of any federal, state or local regulatory body having jurisdiction over us;</w:t>
      </w:r>
    </w:p>
    <w:p>
      <w:pPr>
        <w:spacing w:after="0" w:line="5" w:lineRule="exact"/>
        <w:rPr>
          <w:sz w:val="20"/>
          <w:szCs w:val="20"/>
          <w:color w:val="auto"/>
        </w:rPr>
      </w:pPr>
    </w:p>
    <w:p>
      <w:pPr>
        <w:ind w:right="200" w:firstLine="8"/>
        <w:spacing w:after="0" w:line="281"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a director may only be removed by shareholders for cause and upon the vote of 75% of the shares entitled to vote; (iv) do not permit direct nomination by shareholders of nominees for election to the Board of Directors, but instead permit shareholders to recommend potential nominees to our Compensation and Governance Committee; (v) require shareholders to have beneficially owned at least 1% of our outstanding common stock in order to recommend a person for nomination for election to the Board of Directors, or to present a shareholder proposal, for action at a shareholders' meeting; and</w:t>
      </w:r>
    </w:p>
    <w:p>
      <w:pPr>
        <w:spacing w:after="0" w:line="2" w:lineRule="exact"/>
        <w:rPr>
          <w:rFonts w:ascii="Arial" w:cs="Arial" w:eastAsia="Arial" w:hAnsi="Arial"/>
          <w:sz w:val="16"/>
          <w:szCs w:val="16"/>
          <w:color w:val="auto"/>
        </w:rPr>
      </w:pPr>
    </w:p>
    <w:p>
      <w:pPr>
        <w:ind w:right="300" w:firstLine="8"/>
        <w:spacing w:after="0" w:line="261"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for supermajority approval requirements for amending or repealing certain provisions in our charter and in order to approve an amendment or repeal of any provision of our bylaws that has not been proposed by our Board of Directors.</w:t>
      </w:r>
    </w:p>
    <w:p>
      <w:pPr>
        <w:spacing w:after="0" w:line="2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specific anti-takeover provisions in Pennsylvania law could make it more difficult for a third party to attempt a hostile takeover. These provisions require (i) approval of certain transactions by a majority of the voting stock other than that held by the potential acquirer; (ii) the acquisition at "fair value" of all the outstanding shares not held by an acquirer of 20% or more; (iii) a five-year moratorium on certain "business combination" transactions with an "interested shareholder;" (iv) the loss by interested shareholders of their voting rights over "control shares;" (v) the disgorgement of profits realized by an interested shareholder from certain dispositions of our shares; and (vi) severance payments for certain employees and prohibiting termination of certain labor contracts.</w:t>
      </w:r>
    </w:p>
    <w:p>
      <w:pPr>
        <w:spacing w:after="0" w:line="24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We believe these provisions will protect our shareholders from coercive or otherwise unfair takeover tactics by requiring potential acquirers to negotiate with our Board of Directors and by providing our Board of Directors with more time to assess any acquisition proposal. These provisions are not intended to make GLPI immune from takeovers or to prevent a transaction from occurring. However, these provisions will apply even if the offer may be considered beneficial by some shareholders and could delay or prevent an acquisition that our Board of Directors determines is not in the best interests of GLPI. These provisions may also prevent or discourage attempts to remove and replace incumbent directors.</w:t>
      </w:r>
    </w:p>
    <w:p>
      <w:pPr>
        <w:spacing w:after="0" w:line="2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experience uninsured or underinsured losses, which could result in a significant loss of the capital we have invested in a property, decrease anticipated future revenues or cause us to incur unanticipated expense.</w:t>
      </w:r>
    </w:p>
    <w:p>
      <w:pPr>
        <w:spacing w:after="0" w:line="2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While our leases require, and new lease agreements are expected to require, that comprehensive insurance and hazard insurance be maintained by the tenants, a tenant's failure to comply could lead to an uninsured or underinsured loss and there can be no assurance that we will be able to recover such uninsured or underinsured amounts from such tenant. Further,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0"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destroyed. Under such circumstances, the insurance proceeds received might not be adequate to restore the economic position with respect to such property.</w:t>
      </w:r>
    </w:p>
    <w:p>
      <w:pPr>
        <w:spacing w:after="0" w:line="30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If we or one of our tenants experience a loss that is uninsured, or that exceeds our or our tenant's policy coverage limits, we could lose the capital invested in the damaged properties as well as the anticipated future cash flows from those properties. In addition, if the damaged properties were subject to recourse indebtedness, we could continue to be liable for the indebtedness even if these properties were irreparably damaged.</w:t>
      </w:r>
    </w:p>
    <w:p>
      <w:pPr>
        <w:spacing w:after="0" w:line="22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our or our tenant's business caused by a casualty event may result in the loss of business or tenants. The business interruption insurance we or our tenant's carry may not fully compensate us for the loss of business or tenants due to an interruption caused by a casualty event.</w:t>
      </w:r>
    </w:p>
    <w:p>
      <w:pPr>
        <w:spacing w:after="0" w:line="23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A disruption in the financial markets may make it more difficult to evaluate the stability, net assets and capitalization of insurance companies and any insurer's ability to meet its claim payment obligations. A failure of an insurance company to make payments to us or our tenants upon an event of loss covered by an insurance policy could adversely affect our business, financial condition and results of operations.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holders of our common stock could lose a significant portion of their investment if the market price of our common stock declines.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 price of our common stock may be volatile, and shareholders may not be able to resell their shares of our common stock at or above the price at which they acquired the common stock due to fluctuations in its market price, including changes in price caused by factors unrelated to our performance or prospects.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factors that may have a significant effect on the market price for our common stock include, among others, the following:</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stock market analyst recommendations or earnings estimates regarding our common stock or other comparable REITs;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stream or future prospects;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close pending acquisitions;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to achieve the perceived benefits of our acquisitions, including financial results, as rapidly as or to the extent anticipated by financial or industry analysts;</w:t>
      </w:r>
    </w:p>
    <w:p>
      <w:pPr>
        <w:spacing w:after="0" w:line="170"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and operations or the gaming industry;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interest rate environment;</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resulting from war, incidents of terrorism and responses to such events;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members of our management team or other significant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31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30"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addition to these costs, which are typically not limited by law or regulation and could exceed the property's value, we could be liable for certain other costs, including governmental fines and injuries to persons, property or natural resources. Further, some environmental laws create a lien on the contaminated site in favor of the government for damages and the costs the government incurs in connection with such contamination.</w:t>
      </w:r>
    </w:p>
    <w:p>
      <w:pPr>
        <w:spacing w:after="0" w:line="22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Although we require our operators and tenants to undertake to indemnify us for certain environmental liabilities, including environmental liabilities they cause, the amount of such liabilities could exceed the financial ability of the tenant or operator to indemnify us. The presence of contamination or the failure to remediate contamination may adversely affect our ability to sell or lease the real estate or to borrow using the real estate as collateral.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U.S. federal income tax laws could materially and adversely affect us and our shareholders.</w:t>
      </w:r>
    </w:p>
    <w:p>
      <w:pPr>
        <w:spacing w:after="0" w:line="2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Tax Cuts and Jobs Act made significant changes to the federal income taxation of individuals and corporations under the Code, generally effective for taxable years beginning after December 31, 2017. In addition to reducing corporate and individual income tax rates, the Tax Cuts and Jobs Act eliminates or restricts various deductions that, along with other provisions, may change the way that we calculate our REIT taxable income and our TRS’s taxable income. Significant provisions of the Tax Cuts and Jobs Act that investors should be aware of include provisions that: (i) lower the corporate income tax rate to 21%, (ii) provide noncorporate taxpayers with a deduction of up to 20% of certain income earned through partnerships and REITs, (iii) limit the net operating loss deduction to 80% of taxable income, where taxable income is determined without regard to the net operating loss deduction itself, generally eliminates net operating loss carrybacks and allows unused net operating losses to be carried forward indefinitely, (iv) expand the ability of businesses to deduct the cost of certain property investments in the year in which the property is purchased, (v) generally lower tax rates for individuals and other noncorporate taxpayers, while limiting deductions such as miscellaneous itemized deductions and state and local tax deductions, and (vi) limit the deduction for net interest expense incurred by a business to 30% of the "adjusted taxable income" of the taxpayer, but do not apply to certain small-business taxpayers or electing real property trades or businesses, including REITs. The effect of these, and the many other, changes made is highly uncertain, both in terms of their direct effect on the taxation of holders of our common stock and their indirect effect on the value of our assets or market conditions generally.</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 intrusions or otherwise, as well as other significant disruptions of our information technology (IT) networks and related systems.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face risks associated with security breaches, whether through cyber-attacks or cyber 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 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others could use to compete against us or for disruptive, destructive or otherwise harmful purposes and outcomes; require significant management attention and resources to remedy any damages that result; subject us to claims for breach of contract, damages, credits, penalties or termination of certain agreements; or damage our reputation among our tenants and investors generally.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included in this filing may not be a reliable indicator of future results.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historical financial statements included herein do not reflect what the business, financial position or results of operations of GLPI may be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Status as a REIT</w:t>
      </w:r>
    </w:p>
    <w:p>
      <w:pPr>
        <w:spacing w:after="0" w:line="28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we do not qualify to be taxed as a REIT, or fail to remain qualified as a REIT, we will be subject to U.S. federal income tax as a regular corporation and could face a substantial tax liability, which may reduce the amount of cash available for distribution to our shareholders.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elected on our 2014 U.S. federal income tax return to be treated as a REIT and intend to continue to be organized and to operate in a manner that will permit us to qualify as a REIT. We currently operate, and intend to continue to operate, in a manner that will allow us to continue to qualify to be taxed as a REIT for U.S. federal income tax purposes. We received an opinion from our special tax advisors, Wachtell, Lipton, Rosen &amp; Katz and KPMG LLP (collectively the "Special Tax Advisors"), with respect to our qualification as a REIT in connection with the Spin-Off. Opinions of advisors are not binding on the IRS or any court. The opinions of the Special Tax Advisors represent only the view of the Special Tax Advisors based on their review and analysis of existing law and on certain representations as to factual matters and covenants made by us, including representations relating to the values of our assets and the sources of our income. The opinions are expressed as of the date issued. The Special Tax Advisors have no obligation to advise us or the holders of our common stock of any subsequent change in the matters stated, represented or assumed or of any subsequent change in applicable law. Furthermore, both the validity of the opinions of Special Tax Advisors and our qualification as a REIT will depend on our satisfaction of certain asset, income, organizational, distribution, shareholder ownership and other requirements on a continuing basis, the results of which are not monitored by the Special Tax Advisors.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22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Penn has received a private letter ruling from the IRS with respect to certain issues relevant to our qualification as a REIT. In general, the ruling provides, subject to the terms and conditions contained therein, that (1) certain of the assets to be held by us after the Spin-Off and (2) the methodology for calculating a certain portion of rent received by us pursuant to the Penn Master Lease will not adversely affect our qualification as a REIT. No assurance can be given that the IRS will not challenge our qualification as a REIT on the basis of other issues or facts outside the scope of the ruling.</w:t>
      </w:r>
    </w:p>
    <w:p>
      <w:pPr>
        <w:spacing w:after="0" w:line="20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If we were to fail to qualify to be taxed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to be taxed as a REIT.</w:t>
      </w:r>
    </w:p>
    <w:p>
      <w:pPr>
        <w:spacing w:after="0" w:line="21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 and violations of these provisions could jeopardize our REIT qualifications.</w:t>
      </w:r>
    </w:p>
    <w:p>
      <w:pPr>
        <w:spacing w:after="0" w:line="22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shareholder ownership and other requirements on a continuing basis. In addition, our ability to satisfy the requirements to qualify to be taxed as a REIT may depend in part on the actions of third parties over which we have no control or only limited influence.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fail to qualify to be taxed as a REIT if income we receive from Penn, Eldorado, Boyd, or their subsidiaries, is not treated as qualifying income.</w:t>
      </w:r>
    </w:p>
    <w:p>
      <w:pPr>
        <w:spacing w:after="0" w:line="31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Rents received or accrued by us from Penn, Eldorado, Boyd, or their subsidiaries, will not be treated as qualifying rent for purposes of these requirements if the Penn Master Lease, Amended Pinnacle Master Lease, Eldorado Master Lease or Boyd Master Lease is not respected as a true lease for U.S. federal income tax purposes and is instead treated as a service contract, joint venture or some other type of arrangement. If the Penn Master Lease, Amended Pinnacle Master Lease, Eldorado Master Lease or Boyd Master Lease is not respected as a true lease for U.S. federal income tax purposes, we may fail to qualify to be taxed as a REIT. Furthermore, our qualification as a REIT will depend on our satisfaction of certain asset, income, organizational, distribution, shareholder ownership and other requirements on a continuing basis.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3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subject to certain exceptions, rents received or accrued by us from Penn, Eldorado, Boyd, or their subsidiaries, will not be treated as qualifying rent for purposes of these requirements if we or an actual or constructive owner of 10% or more of our stock actually or constructively owns 10% or more of the total combined voting power of all classes of Penn stock, Eldorado stock or Boyd stock entitled to vote or 10% or more of the total value of all classes of Penn stock, Eldorado stock or Boyd stock. Our charter provides for restrictions on ownership and transfer of our shares of stock, including restrictions on such ownership or transfer that would cause the rents received or accrued by us from Penn, Eldorado, Boyd, or their subsidiaries, to be treated as non-qualifying rent for purposes of the REIT gross income requirements. Nevertheless, there can be no assurance that such restrictions will be effective in ensuring that rents received or accrued by us from Penn, Eldorado, Boyd, or their subsidiaries, will not be treated as qualifying rent for purposes of REIT qualification requirements.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maximum U.S. federal income tax rate applicable to income from "qualified dividends" payable by U.S. corporations to U.S. shareholders that are individuals, trusts and estates is currently 20%. Ordinary dividends payable by REITs, however, generally are not eligible for the reduced rates. However, for taxable years that begin after December 31, 2017, and before January 1, 2026: (i) the U.S. federal income tax brackets generally applicable to ordinary income of individuals, trusts and estates have been modified (with the rates generally reduced) and (ii) shareholders that are individuals, trusts or estates are generally entitled to a deduction equal to 20% of the aggregate amount of ordinary income dividends received from a REIT (not including dividends that are eligible for the reduced rates applicable to "qualified dividend income" or treated as capital gain dividends), subject to certain limitations.</w:t>
      </w:r>
    </w:p>
    <w:p>
      <w:pPr>
        <w:spacing w:after="0" w:line="21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more favorable rates applicable to regular corporate qualified dividends could cause investors who are individuals, trusts or estates to perceive investments in REITs to be relatively less attractive than investments in the stocks of non-REIT corporations that pay dividends, which could adversely affect the value of the stock of REITs, including our stock, even taking into account the lower 37% maximum rate for ordinary income and the 20% deduction for ordinary REIT dividends received in taxable years beginning after December 31, 2017 and before January 1,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7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23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distribute amounts that would otherwise be invested in future acquisitions, or pay dividends in the form of taxable in-kind distributions of property, including potentially, shares of our common stock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stock. Restrictions on our indebtedness, including restrictions on our ability to incur additional indebtedness or make certain distributions, could preclude us from meeting the 90% distribution requirement. Decreases in funds from operations due to unfinanced expenditures for acquisitions of properties or increases in the number of shares of our common stock outstanding without commensurate increases in funds from operations each would adversely affect our ability to maintain distributions to our shareholders. Moreover, the failure of Penn to make rental payments under the Penn Master Lease, the Amended Pinnacle Master Lease or the Meadows Lease, as applicable, would materially impair our ability to make distributions. Consequently, there can be no assurance that we will be able to make distributions at the anticipated distribution rate or any other 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7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certain of our assets and conduct related activities through TRS subsidiary corporations that are subject to</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federal, state, and local corporate-level income taxes as regular C corporations as well as state and local gaming taxes. In addition, we may incur a 100% excise tax on transactions with a TRS if they are not conducted on an arm's-length basis. Any of these taxes would decrease cash available for distribution to our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Complying with REIT requirements may cause us to forego otherwise attractive acquisition opportunities or liquidate otherwise attractive investments.</w:t>
      </w:r>
    </w:p>
    <w:p>
      <w:pPr>
        <w:spacing w:after="0" w:line="31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qualify to be taxed as a REIT for U.S. federal income tax purposes, we must ensure that, at the end of each calendar quarter, at least 75% of the value of our assets consist of cash, cash items, government securities and "real estate assets" (as defined in the Code), including certain mortgage loans and securities.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23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to the asset tests set forth above, to qualify to be taxed as a REIT we must continually satisfy tests concerning, among other things, the sources of our income, the amounts we distribute to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2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23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could be subject to tax on any unrealized net built-in gains on the assets held before electing to be treated as a REIT and on the assets acquired from Pinnacle (prior to the Penn-Pinnacle Merger), which could have a material and adverse effect on our business and financial condition.</w:t>
      </w:r>
    </w:p>
    <w:p>
      <w:pPr>
        <w:spacing w:after="0" w:line="17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own appreciated assets that were held by a C corporation before we elected to be treated as a REIT and were acquired in a transaction in which the adjusted tax basis of the assets in our ownership is determined by reference to the adjusted tax basis of the assets in the hands of the C corporation. If we dispose of any such appreciated assets during the five-year period following our acquisition of the assets from the C corporation (i.e., during the five-year period following our qualification as a REIT), we will be subject to tax at the highest corporate tax rates on any gain from such assets to the extent of the excess of the fair market value of the assets on the date that they were acquired by us over the adjusted tax basis of such assets on such date, which are referred to as built-in gains. The assets acquired from Pinnacle (prior to the Penn-Pinnacle Merger) are expected to have significant built-in-gains. Because, prior to the original Pinnacle transaction, Pinnacle was a C corporation, if we dispose of any such appreciated assets during the five-year period following the transactions, we will be subject to tax at the highest corporate tax rates on any gain from such assets to the extent of the built-in-gain in such assets at the time of the transaction.</w:t>
      </w:r>
    </w:p>
    <w:p>
      <w:pPr>
        <w:spacing w:after="0" w:line="2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would be subject to this tax liability even if we continue to qualify and maintain our status as a REIT. Any recognized built-in gain will retain our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December 31, 2019, we had approximately $5.7 billion in long-term indebtedness, net of unamortized debt issuance costs, bond premiums and original issuance discounts, consisting of:</w:t>
      </w:r>
    </w:p>
    <w:p>
      <w:pPr>
        <w:spacing w:after="0" w:line="89" w:lineRule="exact"/>
        <w:rPr>
          <w:sz w:val="20"/>
          <w:szCs w:val="20"/>
          <w:color w:val="auto"/>
        </w:rPr>
      </w:pPr>
    </w:p>
    <w:p>
      <w:pPr>
        <w:ind w:left="1300" w:right="160" w:hanging="320"/>
        <w:spacing w:after="0" w:line="28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$495.0 million of total indebtedness outstanding under our senior unsecured credit facility (the "Credit Facility") (consisting of the $449.0 million Term Loan A-1 facility and $46.0 million of borrowings under our revolving credit facility) and approximately $1,128.6 million available for borrowing under our revolver (including $0.4 million of contingent obligations under letters of credit);</w:t>
      </w:r>
    </w:p>
    <w:p>
      <w:pPr>
        <w:spacing w:after="0" w:line="165" w:lineRule="exact"/>
        <w:rPr>
          <w:rFonts w:ascii="Arial" w:cs="Arial" w:eastAsia="Arial" w:hAnsi="Arial"/>
          <w:sz w:val="17"/>
          <w:szCs w:val="17"/>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$5,290.2 million of outstanding senior unsecured notes;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$1.0 million of finance lease liabilities related to certain assets.</w:t>
      </w:r>
    </w:p>
    <w:p>
      <w:pPr>
        <w:spacing w:after="0" w:line="14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may incur additional indebtedness in the future to refinance our existing indebtedness or to finance newly-acquired properties.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may also limit our ability to adjust rapidly to changing market conditions, make us more vulnerable to general adverse economic and industry conditions and create competitive disadvantages for us compared to other companies with relatively lower debt levels and/or borrowing costs. Increased future debt service obligations may limit our operational flexibility, including our ability to acquire properties, finance or refinance our properties, contribute properties to joint ventures or sell properties as needed. If we incur additional indebtedness or such other obligations, the risks associated with our leverage, including our possible inability to service our debt, may increase.</w:t>
      </w:r>
    </w:p>
    <w:p>
      <w:pPr>
        <w:spacing w:after="0" w:line="22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If financing is not available when needed, or is available on unfavorable terms, we may be unable to develop new or enhance our existing properties, complete acquisitions or otherwise take advantage of business opportunities or respond to competitive pressures, any of which could have a material adverse effect on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material amount of indebtedness which could have significant effects on our business including the following:</w:t>
      </w:r>
    </w:p>
    <w:p>
      <w:pPr>
        <w:spacing w:after="0" w:line="225" w:lineRule="exact"/>
        <w:rPr>
          <w:sz w:val="20"/>
          <w:szCs w:val="20"/>
          <w:color w:val="auto"/>
        </w:rPr>
      </w:pPr>
    </w:p>
    <w:p>
      <w:pPr>
        <w:ind w:left="1300" w:right="38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70"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70"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70"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Credit Facility bears interest at floating rates;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300" w:right="14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Credit Facility and other outstanding debt obligations; and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could impact our ability to pay dividends to our shareholders.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may have an adverse effect, which could be material to our business,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shareholders may be subject to significant dilution caused by the additional issuance of equity securities.</w:t>
      </w:r>
    </w:p>
    <w:p>
      <w:pPr>
        <w:spacing w:after="0" w:line="2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and when additional funds are raised through the issuance of equity securities, including under our "at the market" offering program relating to our common stock (the "ATM Program") or in connection with future acquisitions, our shareholders may experience significant dilution. Additionally, sales of substantial amounts of our common stock in the public market, or the perception that such sales could occur, could adversely affect the market price of our common stock, make it more difficult for our shareholders to sell their GLPI common stock at a time and price that they deem appropriate and impair our future ability to raise capital through an offering of our equity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position,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may have a negative effect on our future growth.</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obtain additional capital, our growth may be limited.</w:t>
      </w:r>
    </w:p>
    <w:p>
      <w:pPr>
        <w:spacing w:after="0" w:line="2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described above, in order to qualify and maintain our qualification as a REIT each year, we are required to distribute at least 90% of our REIT taxable income, excluding net capital gains, to our shareholders. As a result, our retained earnings available to fund acquisitions, development, or other capital expenditures are nominal, and we rely upon the availability of additional debt or equity capital to fund these activities. Our long-term ability to grow through acquisitions or development, which is an important component of our strategy, may be limited if we cannot obtain additional debt financing or raise equity capital. Market conditions may make it difficult to obtain debt financing or raise equity capital, and we cannot assure you that we will be able to obtain additional debt or equity financing or that we will be able to obtain such capital on favorable terms.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29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interest rates increase, so could our interest costs for any new debt and our variable rate debt obligations.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w:t>
      </w:r>
    </w:p>
    <w:p>
      <w:pPr>
        <w:spacing w:after="0" w:line="24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may influence the price of such common stock. Thus, an increase in market interest rates may lead prospective purchasers of our common stock to expect a higher dividend yield, which may adversely affect the market price of our common stock.</w:t>
      </w:r>
    </w:p>
    <w:p>
      <w:pPr>
        <w:spacing w:after="0" w:line="10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majority of our debt is at fixed rates and our exposure to variable interest rates is currently limited to our revolving credit facility and our Term Loan A-1. Both of these debt instruments are indexed to LIBOR which is expected to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phased out during late 2021. The discontinuance of LIBOR would affect our interest expense and earnings. As the Term Loan A-1 matures in mid-2021, only the borrowings under our revolver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 However, the transition away from LIBOR rates will likely require us to renegotiate our revolving credit facility, which does not provide for reference rate replacement. We intend to continue to monitor the developments with respect to the phase out of LIBOR after 2021 and work with our lenders to minimize the impact of any LIBOR transition on our financial condition and results of operations, but can provide no assurances regarding the impact of the discontinuance of LIBOR.</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adversely affect our business, financial position or results of operations.</w:t>
      </w:r>
    </w:p>
    <w:p>
      <w:pPr>
        <w:spacing w:after="0" w:line="2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Specifically, our debt agreements contain the following financial covenants: a maximum total debt to total asset value ratio of 60% (subject to increase to 65% for specified periods in connection with certain acquisitions), a minimum fixed charge coverage ratio of 1.5 to 1, a maximum senior secured debt to total asset value ratio of 40% and a maximum unsecured debt to unencumbered asset value ratio of 60%. These restrictions may limit our operational flexibility. Covenants that limit our operational flexibility as well as defaults under our debt instruments could have a material adverse effect on our business, financial position or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Acquisition of Penn, Pinnacle and Tropicana's Gaming Properties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recourse against Tropicana, including for any breaches under the Amended Real Estate Purchase Agreement or the Tropicana Merger Agreement, is limited.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is customary for a public company target in a merger and acquisition transaction, Tropicana has no obligation to indemnify us or Eldorado for any breaches of its representations and warranties or covenants included in the Merger Agreement and the Real Estate Purchase Agreement, or for any pre-closing liabilities or claims. While we have certain arrangements in place with Eldorado in connection with certain limited pre-closing liabilities, if any issues arise post-closing (other than as provided for in the Eldorado Master Lease), we may not be entitled to sufficient, or any, indemnification or recourse from Tropicana or Eldorado, which could have a materially adverse impact on our business and results of operations.</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Penn has contractual obligations to indemnify us for certain liabilities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including liabilities as successor in interest to Pinnacle. However, there can be no assurance that these indemnities will be sufficient to insure us against the full amount of such liabilities, or that Penn's ability to satisfy its and Pinnacle's indemnification obligations will not be impaired in the future.</w:t>
      </w:r>
    </w:p>
    <w:p>
      <w:pPr>
        <w:spacing w:after="0" w:line="23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Penn has contractual obligations to indemnify us for certain liabilities, including liabilities as successor in interest to Pinnacle. However, third parties could seek to hold us responsible for any of the liabilities that Penn and Pinnacle agreed to retain, and there can be no assurance that Penn will be able to fully satisfy its indemnification obligations. Moreover, even if we ultimately succeed in recovering from Penn any amounts for which we are held liable, we may be temporarily required to bear these losses while seeking recovery from Penn and such recovery could have a material adverse impact on Penn's financial condition and ability to pay rent due under the Penn Master Lease and/or the Amended Pinnacle Master Lease.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Spin-Off from Penn</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the Spin-Off, together with certain related transactions, does not qualify as a transaction that is generally tax-free for U.S. federal income tax purposes, GLPI could be subject to significant tax liabilities and, in certain circumstances, GLPI could be required to indemnify Penn for material taxes pursuant to indemnification obligations under the Tax Matters Agreement.</w:t>
      </w:r>
    </w:p>
    <w:p>
      <w:pPr>
        <w:spacing w:after="0" w:line="23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Penn has received a private letter ruling from the IRS substantially to the effect that, among other things, the Spin-Off, together with the required compliance exchanges and certain related transactions, will qualify as a transaction that is generally tax-free for U.S. federal income tax purposes under Sections 355 and/or 368(a)(1)(D) of the Code (the "IRS Ruling"). The IRS Ruling does not address certain requirements for tax-free treatment of the Spin-Off under Section 355, and Penn received from its tax advisors a tax opinion substantially to the effect that, with respect to such requirements on which the IRS will not rule, such requirements have been satisfied. The IRS Ruling, and the tax opinions that Penn received from its tax advisors, relied on, among other things, certain representations, assumptions and undertakings, including those relating to the past and future conduct of GLPI's business, and the IRS Ruling and the opinions would not be valid if such representations, assumptions and undertakings were incorrect in any material respect.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Notwithstanding the IRS Ruling and the tax opinions, the IRS could determine the Spin-Off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opinions that are not covered by the IRS Ruling.</w:t>
      </w:r>
    </w:p>
    <w:p>
      <w:pPr>
        <w:spacing w:after="0" w:line="22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a Tax Matters Agreement that GLPI entered into with Penn, GLPI generally is required to indemnify Penn against any tax resulting from the Spin-Off to the extent that such tax resulted from (i) an acquisition of all or a portion of the equity securities or assets of GLPI, whether by merger or otherwise, (ii) other actions or failures to act by GLPI, or (iii) any of GLPI's representations or undertakings being incorrect or violated. GLPI's indemnification obligations to Penn and its subsidiaries, officers and directors will not be limited by any maximum amount. If GLPI is required to indemnify Penn or such other persons under the circumstance set forth in the Tax Matters Agreement, GLPI may be subject to substantial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indemnification liabilities of GLPI pursuant to the Separation and Distribution Agreement could materially adversely affect GLPI.</w:t>
      </w:r>
    </w:p>
    <w:p>
      <w:pPr>
        <w:spacing w:after="0" w:line="29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Separation and Distribution Agreement between GLPI and Penn provides for, among other things, the principal corporate transactions required to effect the separation, certain conditions to the separation and provisions governing the relationship between GLPI and Penn with respect to and resulting from the separation.</w:t>
      </w:r>
    </w:p>
    <w:p>
      <w:pPr>
        <w:spacing w:after="0" w:line="235" w:lineRule="exact"/>
        <w:rPr>
          <w:sz w:val="20"/>
          <w:szCs w:val="20"/>
          <w:color w:val="auto"/>
        </w:rPr>
      </w:pPr>
    </w:p>
    <w:p>
      <w:pPr>
        <w:jc w:val="both"/>
        <w:ind w:right="720" w:firstLine="648"/>
        <w:spacing w:after="0" w:line="286" w:lineRule="auto"/>
        <w:rPr>
          <w:sz w:val="20"/>
          <w:szCs w:val="20"/>
          <w:color w:val="auto"/>
        </w:rPr>
      </w:pPr>
      <w:r>
        <w:rPr>
          <w:rFonts w:ascii="Arial" w:cs="Arial" w:eastAsia="Arial" w:hAnsi="Arial"/>
          <w:sz w:val="17"/>
          <w:szCs w:val="17"/>
          <w:color w:val="auto"/>
        </w:rPr>
        <w:t>Among other things, the Separation and Distribution Agreement provides for indemnification obligations designed to make us financially responsible for substantially all liabilities that may result relating to or arising out of our business. If GLPI is required to indemnify Penn under the circumstances set forth in the Separation and Distribution Agreement, GLPI may be subject to substantial liabilities.</w:t>
      </w:r>
    </w:p>
    <w:p>
      <w:pPr>
        <w:spacing w:after="0" w:line="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130" w:right="3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Properties</w:t>
      </w:r>
    </w:p>
    <w:p>
      <w:pPr>
        <w:spacing w:after="0" w:line="28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2019, the Company had 41 rental properties, consisting of the real property associated with 32 gaming and related facilities operated by Penn, the real property associated with five gaming and related facilities operated by Eldorado, the real property associated with three gaming and related facilities operated by Boyd and the real property associated with the Casino Queen in East St. Louis, Illinois. All rental properties are subject to long-term triple-net leases. For additional information pertaining to our tenant leases and our rental properties see Item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GLPI Financed Property</w:t>
      </w:r>
    </w:p>
    <w:p>
      <w:pPr>
        <w:spacing w:after="0" w:line="2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2019, the Company had a financial interest in one casino property through a real estate loan to the respective casino owner-operator. For additional information pertaining to this property see Item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TRS Properties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Baton Rouge</w:t>
      </w:r>
    </w:p>
    <w:p>
      <w:pPr>
        <w:spacing w:after="0" w:line="27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Hollywood Casino Baton Rouge is a dockside riverboat casino located on approximately 21.1 acres, which we own, on the east bank of the Mississippi River in the East Baton Rouge Downtown Development District. The property site serves as the dockside embarkation for Hollywood Casino Baton Rouge and features a two-story building. We also own approximately 4.0 acres of land which features a railroad underpass that provides unimpeded access to the casino property.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Hollywood Casino Perryville</w:t>
      </w:r>
    </w:p>
    <w:p>
      <w:pPr>
        <w:spacing w:after="0" w:line="14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own 36.3 acres of land in Perryville, Maryland where Hollywood Casino Perryville is located. The property is located directly off Interstate 95 in Cecil County, Maryland just 35 miles northeast of Baltimore and 70 miles from Washington, D.C.</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 for further information pertaining to our TRS Properties.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Office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corporate headquarters building is located in Wyomissing, Pennsylvania and is owned by the Company.</w:t>
      </w:r>
    </w:p>
    <w:p>
      <w:pPr>
        <w:spacing w:after="0" w:line="35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8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consolidated financial condition or results of operations. Further, no assurance can be given that the amount or scope of existing insurance coverage will be sufficient to cover losses arising from such matters.</w:t>
      </w: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4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"GLPI." As of February 18, 2020, there were approximately 714 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annual dividend is greater than or equal to at least 90% of its REIT taxable income on an annual basis, determined without regard to the dividends paid deduction and excluding any net capital gains. U.S. federal income tax law generally requires that a REIT annually distribute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available for distribution to GLPI shareholders is derived from income from real estate and the income of the TRS Properties. All distributions will be made by GLPI at the discretion of its Board of Directors and will depend on the financial position, results of operations, cash flows, capital requirements, debt covenants, applicable laws and other factors as the Board of Directors of GLPI deems relevant. See Note 16 to the consolidated financial statements for further details on dividends.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30"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83"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following selected consolidated financial and operating data for the five-year period ended December 31, 2019 is derived from our consolidated financial statements. The selected consolidated financial and operating data should be read in conjunction with our consolidated financial statements and notes thereto, "Management's Discussion and Analysis of Financial Condition and Results of Operations" and the other financial information included herein.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8"/>
                <w:szCs w:val="8"/>
                <w:b w:val="1"/>
                <w:bCs w:val="1"/>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3"/>
              </w:rPr>
              <w:t xml:space="preserve">2017 </w:t>
            </w:r>
            <w:r>
              <w:rPr>
                <w:rFonts w:ascii="Arial" w:cs="Arial" w:eastAsia="Arial" w:hAnsi="Arial"/>
                <w:sz w:val="8"/>
                <w:szCs w:val="8"/>
                <w:b w:val="1"/>
                <w:bCs w:val="1"/>
                <w:color w:val="auto"/>
                <w:w w:val="93"/>
              </w:rPr>
              <w:t>(1)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1,153,473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1,055,727</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971,307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828,255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575,053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436,050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461,917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347,632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717,423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593,810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605,518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480,623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257,415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321,778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183,773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121,851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395,645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344,480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390,385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296,850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135,564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390,881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339,516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380,598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289,305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128,122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shares outstanding - Basic</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214,667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213,720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210,705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178,594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114,432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shares outstanding - Diluted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Cash dividends per common share declared and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750,302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654,433</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598,711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514,370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319,688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(1,509,784)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852,080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2,698,927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(299,644)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109,783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Straight-line rent adjustments</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34,574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65,971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58,673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55,825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Impairment charges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Collections of principal payments on investment in direct</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gridSpan w:val="2"/>
          </w:tcPr>
          <w:p>
            <w:pPr>
              <w:ind w:left="200"/>
              <w:spacing w:after="0" w:line="257" w:lineRule="exact"/>
              <w:rPr>
                <w:sz w:val="20"/>
                <w:szCs w:val="20"/>
                <w:color w:val="auto"/>
              </w:rPr>
            </w:pPr>
            <w:r>
              <w:rPr>
                <w:rFonts w:ascii="Arial" w:cs="Arial" w:eastAsia="Arial" w:hAnsi="Arial"/>
                <w:sz w:val="18"/>
                <w:szCs w:val="18"/>
                <w:color w:val="auto"/>
              </w:rPr>
              <w:t xml:space="preserve">financing lease </w:t>
            </w:r>
            <w:r>
              <w:rPr>
                <w:rFonts w:ascii="Arial" w:cs="Arial" w:eastAsia="Arial" w:hAnsi="Arial"/>
                <w:sz w:val="25"/>
                <w:szCs w:val="25"/>
                <w:color w:val="auto"/>
                <w:vertAlign w:val="superscript"/>
              </w:rPr>
              <w:t>(3)</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73,072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48,533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124,183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Real estate investments, net </w:t>
            </w:r>
            <w:r>
              <w:rPr>
                <w:rFonts w:ascii="Arial" w:cs="Arial" w:eastAsia="Arial" w:hAnsi="Arial"/>
                <w:sz w:val="25"/>
                <w:szCs w:val="25"/>
                <w:color w:val="auto"/>
                <w:vertAlign w:val="superscript"/>
              </w:rPr>
              <w:t>(3)</w:t>
            </w:r>
          </w:p>
        </w:tc>
        <w:tc>
          <w:tcPr>
            <w:tcW w:w="26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7,100,555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7,331,460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3,739,091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2,090,059</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Investment in direct financing lease,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2,710,711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8,434,298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8,577,293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7,246,882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7,369,330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2,448,155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premiums and original issuance discounts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5,737,962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5,853,497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4,442,880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4,664,965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2,510,341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Shareholders' equity (deficit)</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2,074,245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2,265,607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2,433,869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(253,514)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Property Data: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Number of rental properties owned at year end</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Rentable square feet at year end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57"/>
        </w:trPr>
        <w:tc>
          <w:tcPr>
            <w:tcW w:w="2220" w:type="dxa"/>
            <w:vAlign w:val="bottom"/>
            <w:tcBorders>
              <w:bottom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140" w:hanging="652"/>
        <w:spacing w:after="0" w:line="235"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 October 2018, the Company purchased the real property assets of five Tropicana properties for approximately $992.5 million. These assets were subsequently leased to Eldorado under a triple-net master lease. Also in October 2018, the Company purchased Plainridge Park from Penn for $250.9 million in conjunction with the Penn-Pinnacle Merger. This property was leased back to Penn under the Amended Pinnacle Master Lease. The purchase of these assets contributed to the Company's growth in asset base as well as improved financial performance during fiscal years 2019 and 2018.</w:t>
      </w:r>
    </w:p>
    <w:p>
      <w:pPr>
        <w:spacing w:after="0" w:line="204" w:lineRule="exact"/>
        <w:rPr>
          <w:sz w:val="20"/>
          <w:szCs w:val="20"/>
          <w:color w:val="auto"/>
        </w:rPr>
      </w:pPr>
    </w:p>
    <w:p>
      <w:pPr>
        <w:ind w:left="660" w:right="60" w:firstLine="648"/>
        <w:spacing w:after="0" w:line="272" w:lineRule="auto"/>
        <w:rPr>
          <w:sz w:val="20"/>
          <w:szCs w:val="20"/>
          <w:color w:val="auto"/>
        </w:rPr>
      </w:pPr>
      <w:r>
        <w:rPr>
          <w:rFonts w:ascii="Arial" w:cs="Arial" w:eastAsia="Arial" w:hAnsi="Arial"/>
          <w:sz w:val="17"/>
          <w:szCs w:val="17"/>
          <w:color w:val="auto"/>
        </w:rPr>
        <w:t>In April 2016, the Company purchased substantially all of the real property assets of Pinnacle for approximately $4.8 billion. The purchase of these assets, which were subsequently leased back to Pinnacle under a triple-net lease and financed through a combination of debt and equity, contributed to the Company's significant growth in asset base as well as improved financial performance during fiscal years 2017 and 2016. To a lesser extent, the purchase of the real property assets of the Meadows for $323.3 million in September 2016 also contributed to the Company's improved operating results during fiscal years 2017 and 2016. Finally, the purchase of the real property assets of the 1st Jackpot Casino and Resorts Casino Tunica for $82.9 million in May 2017 contributed slightly to the Company's increase in net revenues for fiscal year 2017. See Note 18 to the consolidated financial statements for additional information on the Company's acquisitions.</w:t>
      </w:r>
    </w:p>
    <w:p>
      <w:pPr>
        <w:spacing w:after="0" w:line="178" w:lineRule="exact"/>
        <w:rPr>
          <w:sz w:val="20"/>
          <w:szCs w:val="20"/>
          <w:color w:val="auto"/>
        </w:rPr>
      </w:pPr>
    </w:p>
    <w:p>
      <w:pPr>
        <w:ind w:left="660" w:hanging="652"/>
        <w:spacing w:after="0" w:line="235"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During the first quarter of 2019, the Company recorded an impairment charge of $13.0 million to write-off its unsecured loan (the "Casino Queen Loan") to CQ Holding Company, Inc., an affiliate of Casino Queen ("CQ Holding Company"), as repayment of the loan was no longer expected. During the fourth quarter of 2018, the Company recorded an impairment charge of $59.5 million, related to the goodwill recorded on the books of its subsidiary, Hollywood Casino Baton Rouge. For further information on the impairment charges see Notes 6 and 8 to the consolidated financial statements.</w:t>
      </w:r>
    </w:p>
    <w:p>
      <w:pPr>
        <w:spacing w:after="0" w:line="204" w:lineRule="exact"/>
        <w:rPr>
          <w:rFonts w:ascii="Arial" w:cs="Arial" w:eastAsia="Arial" w:hAnsi="Arial"/>
          <w:sz w:val="25"/>
          <w:szCs w:val="25"/>
          <w:color w:val="auto"/>
          <w:vertAlign w:val="superscript"/>
        </w:rPr>
      </w:pPr>
    </w:p>
    <w:p>
      <w:pPr>
        <w:ind w:left="660" w:right="120" w:hanging="652"/>
        <w:spacing w:after="0" w:line="275"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 xml:space="preserve">Prior to the Penn-Pinnacle Merger, the Pinnacle Master Lease was bifurcated between an operating lease and a direct financing lease, with the land assets qualifying for operating lease treatment and the building assets triggering direct financing lease treatment. This net investment in direct financing lease was unwound in conjunction with the Penn-Pinnacle Merger, via the fourth amendment to the Pinnacle Master Lease. As a result of this amendment, the Company reassessed the lease's classification and determined the new lease agreement qualified for operating lease treatment under ASC 840 -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Therefore, subsequent to the Penn-Pinnacle Merger, the Amended Pinnacle Master Lease is treated as an operating lease in its entirety, the building assets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(d/b/a Hollywood Casino Baton Rouge) and Penn Cecil Maryland, Inc. (d/b/a Hollywood Casino Perryville) as a "taxable REIT subsidiary" effective on the first day of the first taxable year of GLPI as a REIT. As a result of the Spin-Off, GLPI owns substantially all of Penn's former real property assets (as of the consummation of the Spin-Off) and leases back most of those assets to Penn for use by its subsidiaries, under the Penn Master Lease and owns and operates the TRS Properties through its indirect wholly-owned subsidiary, GLP Holdings, Inc. The assets and liabilities of GLPI were recorded at their respective historical carrying values at the time of the Spin-Off.</w:t>
      </w:r>
    </w:p>
    <w:p>
      <w:pPr>
        <w:spacing w:after="0" w:line="23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 April 2016, the Company acquired substantially all of the real estate assets of Pinnacle for approximately $4.8 billion. GLPI originally leased these assets back to Pinnacle, under a unitary triple-net lease with an initial term of 10 years, with no purchase option, followed by five 5-year renewal options (exercisable by Pinnacle) on the same terms and conditions. On October 15, 2018, the Company completed its previously announced transactions with Penn, Pinnacle and Boyd to</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30"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accommodate Penn's acquisition of the majority of Pinnacle's operations, pursuant to a definitive agreement and plan of merger between Penn and Pinnacle, dated December 17, 2017. Concurrent with the Penn-Pinnacle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whereby the Company loaned Boyd $57.7 million.</w:t>
      </w:r>
    </w:p>
    <w:p>
      <w:pPr>
        <w:spacing w:after="0" w:line="2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addition to the acquisition of Plainridge Park described above, on October 1, 2018, the Company closed its previously announced transaction to acquire certain real property assets from Tropicana and certain of its affiliates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 GLP Assets from the Company pursuant to the terms of a new unitary triple-net master lease with an initial term of 15 years, with no purchase option, followed by four successive 5-year renewal periods (exercisable by Eldorado) on the same terms and conditions. Additionally, on October 1, 2018 the Company entered into a loan agreement with Eldorado in connection with Eldorado’s acquisition of Lumière Place, whereby the Company loaned Eldorado $246.0 million.</w:t>
      </w:r>
    </w:p>
    <w:p>
      <w:pPr>
        <w:spacing w:after="0" w:line="223"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December 31, 2019, GLPI's portfolio consisted of interests in 44 gaming and related facilities, including the TRS Properties, the real property associated with 32 gaming and related facilities operated by Penn, the real property associated with 5 gaming and related facilities operated by Eldorado, the real property associated with 4 gaming and related facilities operated by Boyd (including one financed property) and the real property associated with the Casino Queen in East St. Louis, Illinois. These facilities, including our corporate headquarters building, are geographically diversified across 16 states and contain approximately 22.1 million square feet. As of December 31, 2019, our properties were 100% occupied. We expect to continue growing our portfolio by pursuing opportunities to acquire additional gaming facilities to lease to gaming operators under prudent terms.</w:t>
      </w:r>
    </w:p>
    <w:p>
      <w:pPr>
        <w:spacing w:after="0" w:line="8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December 31, 2019, the majority of our earnings are the result of the rental revenues we receive from our triple-net master leases with Penn, Boyd and Eldorado. Additionally, we have rental revenue from the Casino Queen property which is leased back to a third-party operator on a triple-net basis and the Meadows property which is leased to Penn under a single property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6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Additionally, in accordance with ASC 842,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66" w:lineRule="exact"/>
        <w:rPr>
          <w:sz w:val="20"/>
          <w:szCs w:val="20"/>
          <w:color w:val="auto"/>
        </w:rPr>
      </w:pPr>
    </w:p>
    <w:p>
      <w:pPr>
        <w:ind w:right="14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30" w:right="27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will contribute significantly to our success: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Property Portfolio</w:t>
      </w:r>
    </w:p>
    <w:p>
      <w:pPr>
        <w:spacing w:after="0" w:line="27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December 31, 2019, our portfolio consisted of 44 gaming and related facilities, including 41 rental properties, the TRS Properties and one property we had a financial interest in, pursuant to a real estate loan we made to the respective casino owner-operator. Our portfolio, including our corporate headquarters building, comprises approximately 22.1 million square feet and over 5,600 acres of land and is broadly diversified by location across 16 states. We expect that our geographic diversification will limit the effect of a decline in any one regional market on our overall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Tenants</w:t>
      </w:r>
    </w:p>
    <w:p>
      <w:pPr>
        <w:spacing w:after="0" w:line="279"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Three of the company's tenants, Penn, Eldorado and Boyd, are leading, diversified, multi-jurisdictional owners and managers of gaming and pari-mutuel properties and established gaming providers with strong financial performance. Additionally, all of the aforementioned tenants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Penn's, Eldorado's and Boyd's respective websites for further financial information on these companies.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2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real estate properties are leased under long-term triple-net leases guaranteed by our tenants, pursuant to which the tenant is responsible for all facility maintenance, insurance required in connection with the leased properties and the business conducted on the leased properties, including coverage of the landlord's interests, taxes levied on or with respect to the leased properties (other than taxes on our income) and all utilities and other services necessary or appropriate for the leased properties and the business conducted on the leased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UPREIT Structure</w:t>
      </w:r>
    </w:p>
    <w:p>
      <w:pPr>
        <w:spacing w:after="0" w:line="2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the flexibility to operate through an umbrella partnership, commonly referred to as an UPREIT structure, in which substantially all of our properties and assets are held by GLP Capital or by subsidiaries of GLP Capital. Conducting business through GLP Capital allows us flexibility in the manner in which we structure and acquire properties. In particular, an UPREIT structure enables us to acquire additional properties from sellers in exchange for limited partnership units, which provides property owners the opportunity to defer the tax consequences that would otherwise arise from a sale of their real properties and other assets to us. As a result, this structure potentially may facilitate our acquisition of assets in a more efficient manner and may allow us to acquire assets that the owner would otherwise be unwilling to sell because of tax considerations. We believe that this flexibility will provide us an advantage in seeking future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and Committed Management Team</w:t>
      </w:r>
    </w:p>
    <w:p>
      <w:pPr>
        <w:spacing w:after="0" w:line="2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management team has extensive gaming and real estate experience. Peter M. Carlino, our chief executive officer, has more than 30 years of experience in the acquisition and development of gaming facilities and other real estate projects. Steven T. Snyder, our chief financial officer and previously our senior vice president of corporate development, is a finance professional with more than 20 years of experience in the gaming industry, including identifying and analyzing potential acquisitions. Through years of public company experience, our management team also has extensive experience accessing both debt and equity capital markets to fund growth and maintain a flexible capital structure.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Consistent with how our Chief Operating Decision Maker (as such term is defined in ASC 280 - </w:t>
      </w:r>
      <w:r>
        <w:rPr>
          <w:rFonts w:ascii="Arial" w:cs="Arial" w:eastAsia="Arial" w:hAnsi="Arial"/>
          <w:sz w:val="18"/>
          <w:szCs w:val="18"/>
          <w:i w:val="1"/>
          <w:iCs w:val="1"/>
          <w:color w:val="auto"/>
        </w:rPr>
        <w:t>Segment Reporting</w:t>
      </w:r>
      <w:r>
        <w:rPr>
          <w:rFonts w:ascii="Arial" w:cs="Arial" w:eastAsia="Arial" w:hAnsi="Arial"/>
          <w:sz w:val="18"/>
          <w:szCs w:val="18"/>
          <w:color w:val="auto"/>
        </w:rPr>
        <w:t>)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reported total revenues and income from operations of $1,153.5 million and $717.4 million, respectively, for the year ended December 31, 2019, compared to $1,055.7 million and $593.8 million, respectively, for the year ended</w:t>
      </w:r>
    </w:p>
    <w:p>
      <w:pPr>
        <w:sectPr>
          <w:pgSz w:w="11900" w:h="16838" w:orient="portrait"/>
          <w:cols w:equalWidth="0" w:num="1">
            <w:col w:w="11420"/>
          </w:cols>
          <w:pgMar w:left="240" w:top="130"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December 31, 2018. The major factors affecting our results for the year ended December 31, 2019, as compared to the year ended December 31, 2018, were as follows:</w:t>
      </w:r>
    </w:p>
    <w:p>
      <w:pPr>
        <w:spacing w:after="0" w:line="170" w:lineRule="exact"/>
        <w:rPr>
          <w:sz w:val="20"/>
          <w:szCs w:val="20"/>
          <w:color w:val="auto"/>
        </w:rPr>
      </w:pPr>
    </w:p>
    <w:p>
      <w:pPr>
        <w:ind w:left="660" w:right="80" w:hanging="328"/>
        <w:spacing w:after="0" w:line="28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income from real estate was $1,025.1 million and $923.2 million for the years ended December 31, 2019 and 2018, respectively. Total income from real estate increased by $101.9 million for the year ended December 31, 2019, as compared to the year ended December 31, 2018, primarily due to the Tropicana Transactions, the Penn-Pinnacle Merger and our entry into the Belterra Park Loan, as well as the impact of the rent escalators under our master leases, the partial recognition of income previously deferred under the Penn Master Lease and the Meadows Lease and the recognition of cash rent that was previously applied against the lease receivable on our balance sheet as rental income.</w:t>
      </w:r>
    </w:p>
    <w:p>
      <w:pPr>
        <w:spacing w:after="0" w:line="2" w:lineRule="exact"/>
        <w:rPr>
          <w:rFonts w:ascii="Arial" w:cs="Arial" w:eastAsia="Arial" w:hAnsi="Arial"/>
          <w:sz w:val="16"/>
          <w:szCs w:val="16"/>
          <w:color w:val="auto"/>
        </w:rPr>
      </w:pPr>
    </w:p>
    <w:p>
      <w:pPr>
        <w:ind w:left="660" w:right="80"/>
        <w:spacing w:after="0" w:line="261" w:lineRule="auto"/>
        <w:rPr>
          <w:rFonts w:ascii="Arial" w:cs="Arial" w:eastAsia="Arial" w:hAnsi="Arial"/>
          <w:sz w:val="16"/>
          <w:szCs w:val="16"/>
          <w:color w:val="auto"/>
        </w:rPr>
      </w:pPr>
      <w:r>
        <w:rPr>
          <w:rFonts w:ascii="Arial" w:cs="Arial" w:eastAsia="Arial" w:hAnsi="Arial"/>
          <w:sz w:val="18"/>
          <w:szCs w:val="18"/>
          <w:color w:val="auto"/>
        </w:rPr>
        <w:t>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83" w:lineRule="exact"/>
        <w:rPr>
          <w:rFonts w:ascii="Arial" w:cs="Arial" w:eastAsia="Arial" w:hAnsi="Arial"/>
          <w:sz w:val="16"/>
          <w:szCs w:val="16"/>
          <w:color w:val="auto"/>
        </w:rPr>
      </w:pPr>
    </w:p>
    <w:p>
      <w:pPr>
        <w:ind w:left="660" w:right="120" w:hanging="328"/>
        <w:spacing w:after="0" w:line="28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Net revenues for our TRS Properties decreased by $4.2 million for the year ended December 31, 2019, as compared to the prior year, due to decreased revenues at both TRS properties. The largest driver of the decrease resulted from general market deterioration in the Baton Rouge region and the smoking ban at all Baton Rouge, Louisiana casinos that went into effect during the second quarter of 2018.</w:t>
      </w:r>
    </w:p>
    <w:p>
      <w:pPr>
        <w:spacing w:after="0" w:line="165" w:lineRule="exact"/>
        <w:rPr>
          <w:rFonts w:ascii="Arial" w:cs="Arial" w:eastAsia="Arial" w:hAnsi="Arial"/>
          <w:sz w:val="17"/>
          <w:szCs w:val="17"/>
          <w:color w:val="auto"/>
        </w:rPr>
      </w:pPr>
    </w:p>
    <w:p>
      <w:pPr>
        <w:ind w:left="660" w:right="160" w:hanging="328"/>
        <w:spacing w:after="0" w:line="28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operating expenses decreased by $25.9 million for the year ended December 31, 2019, as compared to the prior year, primarily driven by a decrease in real estate tax expense, as we are no longer required to gross-up our financial statements for the real estate taxes paid directly by our tenants under ASC 842 and by the absence of retirement costs and goodwill impairment charges in the current year. These decreases were partially offset by a loan impairment charge of $13.0 million related to the write-off of the Company's Casino Queen Loan and an increase in depreciation expense resulting from the addition of the Tropicana and Plainridge Park real estate assets to our real estate portfolio, the reclassification of the Pinnacle building assets to real estate investments on our balance sheet and the acceleration of depreciation related to the closure of the Resorts Casino Tunica property by our tenant in the second quarter of 2019. Land rights and ground lease expense also increased resulting from the acquisition of rights to six long-term ground leases in connection with the October 2018 Tropicana Acquisition and the acceleration of land rights amortization expense related to the closure of the Resorts Casino Tunica property. The closure of the Resorts Casino Tunica property by our tenant will not impact the rent collected from Penn under the Penn Master Lease, as our lease with Penn is unitary and cross-collateralized and does not allow for rent reductions for individual property closure.</w:t>
      </w:r>
    </w:p>
    <w:p>
      <w:pPr>
        <w:spacing w:after="0" w:line="172" w:lineRule="exact"/>
        <w:rPr>
          <w:rFonts w:ascii="Arial" w:cs="Arial" w:eastAsia="Arial" w:hAnsi="Arial"/>
          <w:sz w:val="16"/>
          <w:szCs w:val="16"/>
          <w:color w:val="auto"/>
        </w:rPr>
      </w:pPr>
    </w:p>
    <w:p>
      <w:pPr>
        <w:ind w:left="660" w:right="34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expenses, net increased by $72.4 million for the year ended December 31, 2019, as compared to the prior year, primarily due to interest expense related to the debt refinancing in the second quarter of 2018 and debt issuances in the third quarter of 2018, the proceeds of which were utilized for the October 2018 closings of the Tropicana Transactions and the acquisition of Plainridge Park Casino, as well as the funding of the Belterra Park Loan in connection with the</w:t>
      </w:r>
    </w:p>
    <w:p>
      <w:pPr>
        <w:spacing w:after="0" w:line="2"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Penn-Pinnacle Merger. Also driving the increase was a $21.0 million loss on the early extinguishment of debt related to the Company's cash tender of a portion of its 2020 Notes and the issuance of $1.1 billion in new unsecured notes during the third quarter of 2019, in connection with our efforts to reduce our borrowing costs and lengthen our average debt maturity.</w:t>
      </w:r>
    </w:p>
    <w:p>
      <w:pPr>
        <w:spacing w:after="0" w:line="19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increased by $51.4 million for the year ended December 31, 2019, as compared to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expected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25" w:lineRule="exact"/>
        <w:rPr>
          <w:sz w:val="20"/>
          <w:szCs w:val="20"/>
          <w:color w:val="auto"/>
        </w:rPr>
      </w:pPr>
    </w:p>
    <w:p>
      <w:pPr>
        <w:ind w:left="1300" w:hanging="320"/>
        <w:spacing w:after="0" w:line="25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Amended Pinnacle Master Lease. We also entered into a loan agreement with Boyd in connection with</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30"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Boyd's acquisition of Belterra Park, whereby we loaned Boyd $57.7 million, act as mortgagee and collect interest income from Boyd.</w:t>
      </w:r>
    </w:p>
    <w:p>
      <w:pPr>
        <w:spacing w:after="0" w:line="237" w:lineRule="exact"/>
        <w:rPr>
          <w:sz w:val="20"/>
          <w:szCs w:val="20"/>
          <w:color w:val="auto"/>
        </w:rPr>
      </w:pPr>
    </w:p>
    <w:p>
      <w:pPr>
        <w:ind w:left="1300" w:right="20" w:hanging="320"/>
        <w:spacing w:after="0" w:line="255"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The Company also made a loan to Eldorado in the amount of $246.0 million in connection with Eldorado’s acquisition of Lumière Place.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TRS Properties</w:t>
      </w:r>
    </w:p>
    <w:p>
      <w:pPr>
        <w:spacing w:after="0" w:line="225" w:lineRule="exact"/>
        <w:rPr>
          <w:sz w:val="20"/>
          <w:szCs w:val="20"/>
          <w:color w:val="auto"/>
        </w:rPr>
      </w:pPr>
    </w:p>
    <w:p>
      <w:pPr>
        <w:jc w:val="both"/>
        <w:ind w:left="1300" w:right="220" w:hanging="320"/>
        <w:spacing w:after="0" w:line="286"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During the second quarter of 2018, a smoking ban went into effect at all Baton Rouge, Louisiana casinos, which in combination with the general market deterioration in the Baton Rouge region has contributed to the poor performance of our Hollywood Casino Baton Rouge property, resulting in an impairment charge of $59.5 million during the fourth quarter of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income taxes, real estate investments, and goodwill and other intangible assets as critical accounting estimates, as they are the most important to our financial statement presentation and require difficult, subjective and complex judgments.</w:t>
      </w:r>
    </w:p>
    <w:p>
      <w:pPr>
        <w:spacing w:after="0" w:line="24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REIT, the majority of our revenues are derived from rent received from our tenants under long-term triple-net leases. Currently, we have master leases with Penn, Eldorado and Boyd under which we lease 31, five and three properties, respectively, to these tenants. We also have a long-term lease with Casino Queen and a separate single property lease by which we lease the Meadows' real estate assets to Penn. The accounting guidance under ASC 842 is complex and requires the use of judgments and assumptions by management to determine the proper accounting treatment of a lease. We perform a lease classification test upon the entry into any new tenant lease or lease modification to determine if we will account for the lease as an operating or sales-type lease. The revenue recognition model and thus the presentation of our financial statements is significantly different under operating leases and sales-type leases.</w:t>
      </w:r>
    </w:p>
    <w:p>
      <w:pPr>
        <w:spacing w:after="0" w:line="18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operating lease model, as the lessor, the assets we own and lease to our tenants remain on our balance sheet as real estate investments and we record rental revenues on a straight-line basis over the lease term. This includes the recognition of percentage rents that are fixed and determinable at the lease inception date on a straight-line basis over the entire lease term, resulting in the recognition of deferred rental revenue on our consolidated balance sheets. Deferred rental revenue is amortized to rental revenue on a straight-line basis over the remainder of the lease term. The lease term includes the initial non-cancelable lease term and any reasonably assured renewal periods. Contingent rental income that is not fixed and determinable at lease inception is recognized only when the lessee achieves the specified target.</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the sales-type lease model, however, at lease inception we would record an investment in sales-type lease on our consolidated balance sheet rather than recording the actual assets we own. Furthermore, the cash rent we receive from tenants is not entirely recorded as rental revenue, but rather a portion is recorded as interest income and a portion is recorded as a reduction to the lease receivable. Under ASC 842, for leases with both land and building components, leases may be bifurcated between operating and sales-type leases. To determine if our real estate leases trigger full or partial sales-type lease treatment we conduct the five lease tests outlined in ASC 842 below. If a lease meets any of the five criteria below, it is accounted for as a sales-type lease.</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30" w:right="29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right="12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ownership - </w:t>
      </w:r>
      <w:r>
        <w:rPr>
          <w:rFonts w:ascii="Arial" w:cs="Arial" w:eastAsia="Arial" w:hAnsi="Arial"/>
          <w:sz w:val="18"/>
          <w:szCs w:val="18"/>
          <w:color w:val="auto"/>
        </w:rPr>
        <w:t>The lease transfers ownership of the underlying asset to the lessee by the end of the lease term. This criterion is met in</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 lease agreement provides for the transfer of title at or shortly after the end of the lease term in exchange for the payment of a nominal fee, for example, the minimum required by statutory regulation to transfer title.</w:t>
      </w:r>
    </w:p>
    <w:p>
      <w:pPr>
        <w:spacing w:after="0" w:line="176" w:lineRule="exact"/>
        <w:rPr>
          <w:rFonts w:ascii="Arial" w:cs="Arial" w:eastAsia="Arial" w:hAnsi="Arial"/>
          <w:sz w:val="18"/>
          <w:szCs w:val="18"/>
          <w:color w:val="auto"/>
        </w:rPr>
      </w:pPr>
    </w:p>
    <w:p>
      <w:pPr>
        <w:ind w:right="20" w:firstLine="332"/>
        <w:spacing w:after="0" w:line="266"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Bargain purchase option </w:t>
      </w:r>
      <w:r>
        <w:rPr>
          <w:rFonts w:ascii="Arial" w:cs="Arial" w:eastAsia="Arial" w:hAnsi="Arial"/>
          <w:sz w:val="18"/>
          <w:szCs w:val="18"/>
          <w:color w:val="auto"/>
        </w:rPr>
        <w:t>- The lease contains a bargain purchase option, which is a provision allowing the lessee, at its option, to purchase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for a price which is sufficiently lower than the expected fair value of the property at the date the option becomes exercisable and that is reasonably certain to be exercised.</w:t>
      </w:r>
    </w:p>
    <w:p>
      <w:pPr>
        <w:spacing w:after="0" w:line="176" w:lineRule="exact"/>
        <w:rPr>
          <w:rFonts w:ascii="Arial" w:cs="Arial" w:eastAsia="Arial" w:hAnsi="Arial"/>
          <w:sz w:val="18"/>
          <w:szCs w:val="18"/>
          <w:color w:val="auto"/>
        </w:rPr>
      </w:pPr>
    </w:p>
    <w:p>
      <w:pPr>
        <w:ind w:right="120" w:firstLine="332"/>
        <w:spacing w:after="0" w:line="313" w:lineRule="auto"/>
        <w:tabs>
          <w:tab w:leader="none" w:pos="51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Lease term </w:t>
      </w:r>
      <w:r>
        <w:rPr>
          <w:rFonts w:ascii="Arial" w:cs="Arial" w:eastAsia="Arial" w:hAnsi="Arial"/>
          <w:sz w:val="17"/>
          <w:szCs w:val="17"/>
          <w:color w:val="auto"/>
        </w:rPr>
        <w:t>- The lease term is for the major part of the remaining economic life of the underlying asset. However, if the commencement date falls at</w:t>
      </w:r>
      <w:r>
        <w:rPr>
          <w:rFonts w:ascii="Arial" w:cs="Arial" w:eastAsia="Arial" w:hAnsi="Arial"/>
          <w:sz w:val="17"/>
          <w:szCs w:val="17"/>
          <w:b w:val="1"/>
          <w:bCs w:val="1"/>
          <w:color w:val="auto"/>
        </w:rPr>
        <w:t xml:space="preserve"> </w:t>
      </w:r>
      <w:r>
        <w:rPr>
          <w:rFonts w:ascii="Arial" w:cs="Arial" w:eastAsia="Arial" w:hAnsi="Arial"/>
          <w:sz w:val="17"/>
          <w:szCs w:val="17"/>
          <w:color w:val="auto"/>
        </w:rPr>
        <w:t>or near the end of the economic life of the underlying asset, this criterion shall not be used for purposes of classifying the lease.</w:t>
      </w:r>
    </w:p>
    <w:p>
      <w:pPr>
        <w:spacing w:after="0" w:line="138" w:lineRule="exact"/>
        <w:rPr>
          <w:rFonts w:ascii="Arial" w:cs="Arial" w:eastAsia="Arial" w:hAnsi="Arial"/>
          <w:sz w:val="17"/>
          <w:szCs w:val="17"/>
          <w:color w:val="auto"/>
        </w:rPr>
      </w:pPr>
    </w:p>
    <w:p>
      <w:pPr>
        <w:ind w:right="280" w:firstLine="332"/>
        <w:spacing w:after="0" w:line="282" w:lineRule="auto"/>
        <w:tabs>
          <w:tab w:leader="none" w:pos="51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Minimum lease payments </w:t>
      </w:r>
      <w:r>
        <w:rPr>
          <w:rFonts w:ascii="Arial" w:cs="Arial" w:eastAsia="Arial" w:hAnsi="Arial"/>
          <w:sz w:val="18"/>
          <w:szCs w:val="18"/>
          <w:color w:val="auto"/>
        </w:rPr>
        <w:t>- The present value of the sum of the lease payments and any residual value guaranteed by the lessee that is not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reflected in the lease payments equals or exceeds substantially all of the fair value of the underlying asset.</w:t>
      </w:r>
    </w:p>
    <w:p>
      <w:pPr>
        <w:spacing w:after="0" w:line="161" w:lineRule="exact"/>
        <w:rPr>
          <w:rFonts w:ascii="Arial" w:cs="Arial" w:eastAsia="Arial" w:hAnsi="Arial"/>
          <w:sz w:val="18"/>
          <w:szCs w:val="18"/>
          <w:color w:val="auto"/>
        </w:rPr>
      </w:pPr>
    </w:p>
    <w:p>
      <w:pPr>
        <w:ind w:right="280" w:firstLine="332"/>
        <w:spacing w:after="0" w:line="282"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Specialized nature </w:t>
      </w:r>
      <w:r>
        <w:rPr>
          <w:rFonts w:ascii="Arial" w:cs="Arial" w:eastAsia="Arial" w:hAnsi="Arial"/>
          <w:sz w:val="18"/>
          <w:szCs w:val="18"/>
          <w:color w:val="auto"/>
        </w:rPr>
        <w:t>- The underlying asset is of such specialized nature that it is expected to have no alternative use to the lessor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Additionally, the adoption of ASC 842 requires us to record right-of-use assets and lease liabilities on balance sheet for the assets we lease from third-party landlords, including equipment and real estate. As a lessee, we utilize our own incremental borrowing rate as the discount rate utilized to determine the initial lease liability and right-of-use asset we record on balance sheet, as well as the lease's classification as an operating or finance lease, using the same tests outlined above. Although both operating and finance leases result in the same right-of-use asset and lease liability being recorded on balance sheet at lease inception, the expense profile of the two lease types differs, in that expense is straight-lined over the term of an operating lease, while the expense profile under a finance lease is front-loaded. Furthermore, expense under the operating lease model is classified simply as lease expense, whereas the finance lease model breaks the expense into the interest expense and asset amortization expense.</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underlying leased assets, the residual value of the assets at the end of the lease term, the likelihood a tenant will exercise all renewal options (in order to determine the lease term), the estimated remaining economic life of the leased assets, the interest rates implicit in our leases for which we act as the lessor and our own incremental borrowing rates for leases of various maturities and amounts in which we are the lessee. A slight change in estimate or judgment can result in a materially different financial statement presentation.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elected on our U.S. federal income tax return for our taxable year that began on January 1, 2014 to be treated as a REIT and we,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determined without regard to the dividends paid deduction and excluding any net capital gain, and meet the various other requirements imposed by the Code relating to matters such as operating results, asset holdings, distribution levels, and diversity of stock ownership.</w:t>
      </w:r>
    </w:p>
    <w:p>
      <w:pPr>
        <w:spacing w:after="0" w:line="2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REIT, we generally will not be subject to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 It is not possible to state whether in all circumstances we would be entitled to this statutory relief.</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TRS Properties are able to engage in activities resulting in income that would not be qualifying income for a REIT. As a result, certain activities of the Company which occur within our TRS Properties are subject to federal and state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Investments</w:t>
      </w:r>
    </w:p>
    <w:p>
      <w:pPr>
        <w:spacing w:after="0" w:line="2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Real estate investments primarily represent land and buildings leased to the Company's tenants. Real estate investments that we received in connection with the Spin-Off were contributed to us at Penn's historical carrying amount. We record the acquisition of real estate at fair value, including acquisition and closing costs. The cost of properties developed by GLPI includes costs of construction, property taxes, interest and other miscellaneous costs incurred during the development period until the project is substantially complete and available for occupancy. We consider the period of future benefit of the asset to determine the appropriate useful lives. Depreciation is computed using a straight-line method over the estimated useful lives of the buildings and building improvements.</w:t>
      </w:r>
    </w:p>
    <w:p>
      <w:pPr>
        <w:spacing w:after="0" w:line="2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continually monitor events and circumstances that could indicate that the carrying amount of our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we estimate the fair value of the investment by calculating the undiscounted future cash flows from the use and eventual disposition of the investment. This amount is compared to the asset's carrying value. If we determine the carrying amount is not recoverable, we would recognize an impairment charge equivalent to the amount required to reduce the carrying value of the asset to its estimated fair value, calculated in accordance with GAAP. We group our real estate investments together by lease,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279"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 xml:space="preserve">Under ASC 350 -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we are required to test goodwill and other intangible assets for impairment at least annually and whenever events or circumstances indicate that it is more likely than not that goodwill or other intangible assets may be impaired. We have elected to perform our annual goodwill and intangible asset impairment tests as of October 1 of each year. Goodwill is tested at the reporting unit level, which is an operating segment or one level below an operating segment for which discrete financial information is available.</w:t>
      </w:r>
    </w:p>
    <w:p>
      <w:pPr>
        <w:spacing w:after="0" w:line="225"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ASC 350 prescribes a two-step goodwill impairment test, the first step which involves the determination of the fair value of each reporting unit and its comparison to the carrying amount. In order to determine the fair value of the Baton Rouge reporting unit, where the Company's goodwill resides, the Company utilizes a discounted cash flow model, which relies on projected EBITDA to determine the reporting unit's future cash flows. If the carrying amount of the reporting unit exceeds the fair value in step 1, then step 2 of the impairment test is performed to determine the implied value of goodwill. If the implied value of goodwill is less than the goodwill allocated to the reporting unit, an impairment loss is recognized.</w:t>
      </w:r>
    </w:p>
    <w:p>
      <w:pPr>
        <w:spacing w:after="0" w:line="22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accordance with ASC 350, we consider the Hollywood Casino Perryville gaming license an indefinite-lived intangible asset that does not require amortization based on our future expectations to operate this casino indefinitely as well as the gaming industry's historical experience in renewing these intangible assets at minimal cost with various state gaming commissions. Rather, the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We expect to expense any costs related to the gaming license renewal as incurred.</w:t>
      </w:r>
    </w:p>
    <w:p>
      <w:pPr>
        <w:spacing w:after="0" w:line="21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assess the fair value of our gaming license using the Greenfield Method under the income approach. The Greenfield Method estimates the fair value of the gaming license assuming we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0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evaluation of goodwill and indefinite-lived intangible assets requires the use of estimates about future operating results to determine the estimated fair value of the reporting unit and the indefinite-lived intangible assets. We must make various assumptions and estimates in performing our impairment testing. The implied fair value includes estimates of future cash flows that are based on reasonable and supportable assumptions which represent our best estimates of the cash flows expected to result from the use of the assets. Changes in estimates, increases in our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our estimates. If our ongoing estimates of future cash flows are not met, we may have to record additional impairment charges in future accounting periods. Our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3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Forecasted cash flows can be significantly impacted by the local economy in which our subsidiaries operate. For example, increases in unemployment rates can result in decreased customer visitations and/or lower customer spend per visit. In addition, new legislation which approves gaming in nearby jurisdictions or further expands gaming in jurisdictions in which we operate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2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our business strategy, which may reallocate capital and resources to different or new opportunities which management believes will enhance our overall value but may be to the detriment of our existing operations. A change in any of our assumptions or estimates could result in additional impairment charges in future periods.</w:t>
      </w:r>
    </w:p>
    <w:p>
      <w:pPr>
        <w:spacing w:after="0" w:line="10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The Company's adoption of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on January 1, 2020 (as described in Note 3) is expected to simplify the analysis required under the Company's future goodwill impairment tests.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most important factors and trends that contribute or may contribute to our operating performance:</w:t>
      </w:r>
    </w:p>
    <w:p>
      <w:pPr>
        <w:spacing w:after="0" w:line="225" w:lineRule="exact"/>
        <w:rPr>
          <w:sz w:val="20"/>
          <w:szCs w:val="20"/>
          <w:color w:val="auto"/>
        </w:rPr>
      </w:pPr>
    </w:p>
    <w:p>
      <w:pPr>
        <w:ind w:left="660" w:right="4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several wholly-owned subsidiaries of Penn lease a substantial number of our properties, pursuant to two master leases and a single property lease and account for a significant portion of our revenue.</w:t>
      </w:r>
    </w:p>
    <w:p>
      <w:pPr>
        <w:spacing w:after="0" w:line="170"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and annual rent escalators we receive from our tenants as outlined in the long-term triple-net leases with these tenants.</w:t>
      </w:r>
    </w:p>
    <w:p>
      <w:pPr>
        <w:spacing w:after="0" w:line="181"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years ended December 31, 2019 and 2018 are summarized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196"/>
        </w:trPr>
        <w:tc>
          <w:tcPr>
            <w:tcW w:w="6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(in thousands)</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1,055,727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436,050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461,917</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593,810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(321,778)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(249,330)</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344,480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4,964</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339,516</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accordance with the SEC's recent amendments to modernize and simplify Regulation S-K, the Company has omitted the discussion comparing its operating results for the year ended December 31, 2018 to its operating results for the year ended December 31, 2017 from its Annual Report on Form 10-K for the year ended December 31, 2019. Readers are directed to Item 7 of the Company's Annual Report on Form 10-K for the year ended December 31, 2018 for these disclosures.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information regarding our results of operations by segment for the years ended December 31, 2019 and 2018 is summarized below:</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88"/>
              </w:rPr>
              <w:t>Total 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3"/>
              </w:rPr>
              <w:t>Income (Loss) from Operations</w:t>
            </w:r>
          </w:p>
        </w:tc>
      </w:tr>
      <w:tr>
        <w:trPr>
          <w:trHeight w:val="250"/>
        </w:trPr>
        <w:tc>
          <w:tcPr>
            <w:tcW w:w="2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21"/>
                <w:szCs w:val="21"/>
                <w:color w:val="auto"/>
              </w:rPr>
            </w:pPr>
          </w:p>
        </w:tc>
        <w:tc>
          <w:tcPr>
            <w:tcW w:w="21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28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r>
      <w:tr>
        <w:trPr>
          <w:trHeight w:val="196"/>
        </w:trPr>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1,025,082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630,122</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(36,312)</w:t>
            </w:r>
          </w:p>
        </w:tc>
      </w:tr>
      <w:tr>
        <w:trPr>
          <w:trHeight w:val="27"/>
        </w:trPr>
        <w:tc>
          <w:tcPr>
            <w:tcW w:w="2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1,153,473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1,055,727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593,810</w:t>
            </w:r>
          </w:p>
        </w:tc>
      </w:tr>
      <w:tr>
        <w:trPr>
          <w:trHeight w:val="20"/>
        </w:trPr>
        <w:tc>
          <w:tcPr>
            <w:tcW w:w="2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7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sales of property and real estate depreciation. We define AFFO as FFO excluding stock based compensation expense, the amortization of debt issuance costs, bond premiums and original issuance discounts, other depreciation, amortization of land rights, straight-line rent adjustments, direct financing lease adjustments, losses on debt extinguishment, retirement costs and goodwill and loan impairment charges, reduced by maintenance capital expenditures. Finally, we define Adjusted EBITDA as net income excluding interest, taxes on income, depreciation, (gains) or losses from sales of property, stock based compensation expense, straight-line rent adjustments, direct financing lease adjustments, amortization of land rights, losses on debt extinguishment, retirement costs and goodwill and loan impairment charges.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fact that not all real estate companies use the same definitions. Our presentation of these measures does not replace the presentation of our financial results in accordance with GAAP.</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the Company’s net income per GAAP to FFO, AFFO, and Adjusted EBITDA for the years ended December 31, 2019 and 2018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5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5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390,881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339,516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Losses from dispositions of property</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230,716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125,630</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Funds from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621,689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465,455</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Direct financing lease adjustments</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38,459</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land rights</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11,272</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Amortization of debt issuance costs, bond premiums and original issuance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57"/>
        </w:trPr>
        <w:tc>
          <w:tcPr>
            <w:tcW w:w="5700" w:type="dxa"/>
            <w:vAlign w:val="bottom"/>
            <w:shd w:val="clear" w:color="auto" w:fill="CCEEFF"/>
          </w:tcPr>
          <w:p>
            <w:pPr>
              <w:ind w:left="260"/>
              <w:spacing w:after="0" w:line="257" w:lineRule="exact"/>
              <w:rPr>
                <w:sz w:val="20"/>
                <w:szCs w:val="20"/>
                <w:color w:val="auto"/>
              </w:rPr>
            </w:pPr>
            <w:r>
              <w:rPr>
                <w:rFonts w:ascii="Arial" w:cs="Arial" w:eastAsia="Arial" w:hAnsi="Arial"/>
                <w:sz w:val="18"/>
                <w:szCs w:val="18"/>
                <w:color w:val="auto"/>
              </w:rPr>
              <w:t xml:space="preserve">discounts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11,455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11,152</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Retirement costs</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13,149</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59,454</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Adjusted funds from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743,168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683,648</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245,857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4,964</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4,284</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w w:val="95"/>
              </w:rPr>
              <w:t>Amortization of debt issuance costs, bond premiums and original issuance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5700" w:type="dxa"/>
            <w:vAlign w:val="bottom"/>
            <w:tcBorders>
              <w:bottom w:val="single" w:sz="8" w:color="CCEEFF"/>
            </w:tcBorders>
          </w:tcPr>
          <w:p>
            <w:pPr>
              <w:ind w:left="180"/>
              <w:spacing w:after="0" w:line="257" w:lineRule="exact"/>
              <w:rPr>
                <w:sz w:val="20"/>
                <w:szCs w:val="20"/>
                <w:color w:val="auto"/>
              </w:rPr>
            </w:pPr>
            <w:r>
              <w:rPr>
                <w:rFonts w:ascii="Arial" w:cs="Arial" w:eastAsia="Arial" w:hAnsi="Arial"/>
                <w:sz w:val="18"/>
                <w:szCs w:val="18"/>
                <w:color w:val="auto"/>
              </w:rPr>
              <w:t xml:space="preserve">discounts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(12,167)</w:t>
            </w: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1,040,258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926,586</w:t>
            </w: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Such amortization is a non-cash component included in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reconciliation of each segment’s net income per GAAP to FFO, AFFO, and Adjusted EBITDA for the years ended December 31, 2019 and 2018 is as follows:</w:t>
      </w:r>
    </w:p>
    <w:p>
      <w:pPr>
        <w:spacing w:after="0" w:line="39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8"/>
              </w:rPr>
              <w:t>GLP Capital</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TRS Properties</w:t>
            </w:r>
          </w:p>
        </w:tc>
      </w:tr>
      <w:tr>
        <w:trPr>
          <w:trHeight w:val="250"/>
        </w:trPr>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Pr>
          <w:p>
            <w:pPr>
              <w:spacing w:after="0"/>
              <w:rPr>
                <w:sz w:val="21"/>
                <w:szCs w:val="21"/>
                <w:color w:val="auto"/>
              </w:rPr>
            </w:pPr>
          </w:p>
        </w:tc>
        <w:tc>
          <w:tcPr>
            <w:tcW w:w="19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1"/>
              </w:rPr>
              <w:t>Year Ended December 31,</w:t>
            </w:r>
          </w:p>
        </w:tc>
      </w:tr>
      <w:tr>
        <w:trPr>
          <w:trHeight w:val="264"/>
        </w:trPr>
        <w:tc>
          <w:tcPr>
            <w:tcW w:w="36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r>
      <w:tr>
        <w:trPr>
          <w:trHeight w:val="244"/>
        </w:trPr>
        <w:tc>
          <w:tcPr>
            <w:tcW w:w="3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382,184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390,341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b w:val="1"/>
                <w:bCs w:val="1"/>
                <w:color w:val="auto"/>
              </w:rPr>
              <w:t>8,697</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(50,825)</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dispositions of property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230,716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125,630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612,908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516,047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61,888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9,397</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tcPr>
          <w:p>
            <w:pPr>
              <w:ind w:left="40"/>
              <w:spacing w:after="0"/>
              <w:rPr>
                <w:sz w:val="20"/>
                <w:szCs w:val="20"/>
                <w:color w:val="auto"/>
              </w:rPr>
            </w:pPr>
            <w:r>
              <w:rPr>
                <w:rFonts w:ascii="Arial" w:cs="Arial" w:eastAsia="Arial" w:hAnsi="Arial"/>
                <w:sz w:val="18"/>
                <w:szCs w:val="18"/>
                <w:color w:val="auto"/>
              </w:rPr>
              <w:t>Amortization of debt issuance costs, bond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3660" w:type="dxa"/>
            <w:vAlign w:val="bottom"/>
          </w:tcPr>
          <w:p>
            <w:pPr>
              <w:ind w:left="200"/>
              <w:spacing w:after="0" w:line="257" w:lineRule="exact"/>
              <w:rPr>
                <w:sz w:val="20"/>
                <w:szCs w:val="20"/>
                <w:color w:val="auto"/>
              </w:rPr>
            </w:pPr>
            <w:r>
              <w:rPr>
                <w:rFonts w:ascii="Arial" w:cs="Arial" w:eastAsia="Arial" w:hAnsi="Arial"/>
                <w:sz w:val="18"/>
                <w:szCs w:val="18"/>
                <w:color w:val="auto"/>
                <w:w w:val="95"/>
              </w:rPr>
              <w:t xml:space="preserve">premiums and original issuance discounts </w:t>
            </w:r>
            <w:r>
              <w:rPr>
                <w:rFonts w:ascii="Arial" w:cs="Arial" w:eastAsia="Arial" w:hAnsi="Arial"/>
                <w:sz w:val="25"/>
                <w:szCs w:val="25"/>
                <w:color w:val="auto"/>
                <w:w w:val="95"/>
                <w:vertAlign w:val="superscript"/>
              </w:rPr>
              <w:t>(1)</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12,167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Losses on debt extinguishment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Loan impairment charges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(4,229)</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729,655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8"/>
              </w:rPr>
              <w:t>669,618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14,030</w:t>
            </w: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235,453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10,404</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4,229</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 bond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366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w w:val="95"/>
              </w:rPr>
              <w:t xml:space="preserve">premiums and original issuance discounts </w:t>
            </w:r>
            <w:r>
              <w:rPr>
                <w:rFonts w:ascii="Arial" w:cs="Arial" w:eastAsia="Arial" w:hAnsi="Arial"/>
                <w:sz w:val="25"/>
                <w:szCs w:val="25"/>
                <w:color w:val="auto"/>
                <w:w w:val="95"/>
                <w:vertAlign w:val="superscript"/>
              </w:rPr>
              <w:t>(1)</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1,009,239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893,814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31,019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32,772</w:t>
            </w: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300355</wp:posOffset>
            </wp:positionV>
            <wp:extent cx="1534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188"/>
        <w:spacing w:after="0"/>
        <w:tabs>
          <w:tab w:leader="none" w:pos="520" w:val="left"/>
        </w:tabs>
        <w:numPr>
          <w:ilvl w:val="0"/>
          <w:numId w:val="34"/>
        </w:numPr>
        <w:rPr>
          <w:rFonts w:ascii="Arial" w:cs="Arial" w:eastAsia="Arial" w:hAnsi="Arial"/>
          <w:sz w:val="23"/>
          <w:szCs w:val="23"/>
          <w:color w:val="auto"/>
          <w:vertAlign w:val="superscript"/>
        </w:rPr>
      </w:pPr>
      <w:r>
        <w:rPr>
          <w:rFonts w:ascii="Arial" w:cs="Arial" w:eastAsia="Arial" w:hAnsi="Arial"/>
          <w:sz w:val="17"/>
          <w:szCs w:val="17"/>
          <w:color w:val="auto"/>
        </w:rPr>
        <w:t>Such amortization is a non-cash component included in interest, net.</w:t>
      </w:r>
    </w:p>
    <w:p>
      <w:pPr>
        <w:spacing w:after="0" w:line="201" w:lineRule="exact"/>
        <w:rPr>
          <w:rFonts w:ascii="Arial" w:cs="Arial" w:eastAsia="Arial" w:hAnsi="Arial"/>
          <w:sz w:val="23"/>
          <w:szCs w:val="23"/>
          <w:color w:val="auto"/>
          <w:vertAlign w:val="superscript"/>
        </w:rPr>
      </w:pPr>
    </w:p>
    <w:p>
      <w:pPr>
        <w:ind w:left="660" w:right="180" w:hanging="328"/>
        <w:spacing w:after="0" w:line="216"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an intercompany interest elimination of $10.4 million for the years ended December 31, 2019 and 2018.</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income, FFO, AFFO, and Adjusted EBITDA for our GLP Capital segment were $382.2 million, $612.9 million, $729.7 million and $1,009.2 million, respectively, for the year ended December 31, 2019. This compared to net income, FFO, AFFO, and Adjusted EBITDA, for our GLP Capital segment of $390.3 million, $516.0 million, $669.6 million and $893.8 million, respectively, for the year ended December 31, 2018. The decrease in net income in our GLP Capital segment was primarily driven by a $37.8 million increase in operating expenses and a $72.4 million increase in other expenses, net, partially offset by a $101.9 million increase in income from real estate.</w:t>
      </w:r>
    </w:p>
    <w:p>
      <w:pPr>
        <w:spacing w:after="0" w:line="188"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increase in income from real estate in our GLP Capital segment was primarily due to the Tropicana Transactions, the Penn-Pinnacle Merger, our entry into the Belterra Park Loan, the impact of the rent escalators under our master leases and the partial recognition of income previously deferred under the Penn Master Lease and Meadows Lease. These increases were partially offset by the elimination of the revenue gross-up for real estate taxes paid directly by our tenants under ASC 842 and the first percentage rent reset under the Penn Master Lease, which resulted in a rent decrease.</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increase in operating expenses in our GLP Capital segment was driven by an increase in depreciation expense resulting from the addition of the Tropicana and Plainridge Park real estate assets to our real estate portfolio, the reclassification of the Pinnacle building assets to real estate investments on our balance sheet and the acceleration of depreciation related to the closure of the Resorts Casino Tunica property by our tenant in the second quarter of 2019. Land rights and ground lease</w:t>
      </w:r>
    </w:p>
    <w:p>
      <w:pPr>
        <w:sectPr>
          <w:pgSz w:w="11900" w:h="16838" w:orient="portrait"/>
          <w:cols w:equalWidth="0" w:num="1">
            <w:col w:w="11420"/>
          </w:cols>
          <w:pgMar w:left="240" w:top="130"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expense also increased resulting from the acquisition of rights to six long-term ground leases in connection with the October 2018 Tropicana Acquisition and the acceleration of land rights amortization expense also related to the closure of the Resorts Casino Tunica property. As a result of the Penn-Pinnacle Merger, the Amended Pinnacle Master Lease is treated as an operating lease in its entirety and our investment in the direct financing lease was unwound. Also driving the increase in total operating expenses for the year ended December 31, 2019, as compared to the prior year is a loan impairment charge of $13.0 million related to the Company's write-off of its Casino Queen Loan. These increases were partially offset by a decrease in real estate tax expense, as we are no longer required to gross-up our financial statements for the real estate taxes paid directly by our tenants under ASC 842 and the absence of retirement costs in the current year.</w:t>
      </w:r>
    </w:p>
    <w:p>
      <w:pPr>
        <w:spacing w:after="0" w:line="18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increase in other expenses, net was driven by an increase in interest expense related to the debt refinancing in the second quarter of 2018 and debt issuances in the third quarter of 2018, the proceeds of which were utilized for the October closings of the Tropicana Transactions and the acquisition of Plainridge Park, as well as the funding of the Belterra Park Loan in connection with the Penn-Pinnacle Merger. Also driving the increase was a $21.0 million loss on the early extinguishment of debt related to the Company's cash tender of a portion of its 2020 Notes and the issuance of $1.1 billion in new unsecured notes during the third quarter of 2019, in connection with our efforts to reduce our borrowing costs and lengthen our average debt maturity.</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changes described above also led to higher FFO for the year ended December 31, 2019, as compared to the year ended December 31, 2018. The increase in AFFO for our GLP Capital segment was primarily driven by the changes described above, as well as higher stock based compensation charges, partially offset by the elimination of direct financing lease adjustments and lower straight-line rent adjustments, all of which are added back for purposes of calculating AFFO. Direct financing lease adjustments represent the portion of cash rent we received from tenants that was applied against our lease receivable and thus not recorded as revenue. These adjustments were eliminated due to the unwinding of the direct financing lease in October 2018, as the cash received is now recorded as rental income and no add-back to AFFO is necessary. The increase in Adjusted EBITDA for our GLP Capital segment was primarily driven by the increases in AFFO described above, as well as, a higher add-back for interest.</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net income of $8.7 million for our TRS Properties segment for the year ended December 31, 2019 as compared to the net loss of $50.8 million for our TRS Properties segment for the year ended December 31, 2018 is primarily related to a goodwill impairment charge of $59.5 million at our Hollywood Casino Baton Rouge property during the year ended December 31, 2018. This charge was the result of general market deterioration in the Baton Rouge region and the smoking ban at all Baton Rouge, Louisiana casinos that went into effect during the second quarter of 2018. The absence of an impairment charge in 2019 also led to higher FFO for our TRS Properties segment for the year ended December 31, 2019, as compared to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years ended December 31, 2019 and 2018 were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53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996,166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747,654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248,512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33.2 %</w:t>
            </w:r>
          </w:p>
        </w:tc>
      </w:tr>
      <w:tr>
        <w:trPr>
          <w:trHeight w:val="243"/>
        </w:trPr>
        <w:tc>
          <w:tcPr>
            <w:tcW w:w="5300" w:type="dxa"/>
            <w:vAlign w:val="bottom"/>
          </w:tcPr>
          <w:p>
            <w:pPr>
              <w:ind w:left="200"/>
              <w:spacing w:after="0"/>
              <w:rPr>
                <w:sz w:val="20"/>
                <w:szCs w:val="20"/>
                <w:color w:val="auto"/>
              </w:rPr>
            </w:pPr>
            <w:r>
              <w:rPr>
                <w:rFonts w:ascii="Arial" w:cs="Arial" w:eastAsia="Arial" w:hAnsi="Arial"/>
                <w:sz w:val="18"/>
                <w:szCs w:val="18"/>
                <w:color w:val="auto"/>
              </w:rPr>
              <w:t>Income from direct financing lease</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from real estate loans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316.5 %</w:t>
            </w:r>
          </w:p>
        </w:tc>
      </w:tr>
      <w:tr>
        <w:trPr>
          <w:trHeight w:val="243"/>
        </w:trPr>
        <w:tc>
          <w:tcPr>
            <w:tcW w:w="5300" w:type="dxa"/>
            <w:vAlign w:val="bottom"/>
          </w:tcPr>
          <w:p>
            <w:pPr>
              <w:ind w:left="200"/>
              <w:spacing w:after="0"/>
              <w:rPr>
                <w:sz w:val="20"/>
                <w:szCs w:val="20"/>
                <w:color w:val="auto"/>
              </w:rPr>
            </w:pPr>
            <w:r>
              <w:rPr>
                <w:rFonts w:ascii="Arial" w:cs="Arial" w:eastAsia="Arial" w:hAnsi="Arial"/>
                <w:sz w:val="18"/>
                <w:szCs w:val="18"/>
                <w:color w:val="auto"/>
              </w:rPr>
              <w:t>Real estate taxes paid by tenants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87,466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(87,466)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1,025,082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5300" w:type="dxa"/>
            <w:vAlign w:val="bottom"/>
          </w:tcPr>
          <w:p>
            <w:pPr>
              <w:ind w:left="20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128,391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132,545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1,153,473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1,055,727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97,746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income from real estate</w:t>
      </w:r>
    </w:p>
    <w:p>
      <w:pPr>
        <w:spacing w:after="0" w:line="229"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For the years ended December 31, 2019 and 2018, total income from real estate was $1,025.1 million and $923.2 million, respectively, for our GLP Capital segment.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income from real estate increased $101.9 million, or 11.0%, for the year ended December 31, 2019, as compared to the year ended December 31, 2018, primarily due to the Tropicana Transactions and the Penn-Pinnacle Merger (including the Plainridge Park acquisition, the increased rent under the Amended Pinnacle Master Lease and the Belterra Park Loan) both of which occurred in the fourth quarter of 2018, the impact of the rent escalators under our master leases, the partial recognition of income previously deferred under the Penn Master Lease and Meadows Lease and the recognition of cash rent that was previously applied against the lease receivable on our balance sheet as rental income. As a result of the Penn-Pinnacle Merger, the Amended Pinnacle Master Lease is treated as an operating lease in its entirety and all cash rent received from our tenants is recognized as revenue when earned. These increases were partially offset by the first percentage rent reset on the Penn Master Lease, which resulted in a rent decrease and the elimination of the revenue gross-up for real estate taxes paid directly by our tenants under ASC 842.</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income from real estate for the year ended December 31, 2019 was as follows (in thousands):</w:t>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Penn</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Amended</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Eldorado</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Boyd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Penn -</w:t>
            </w:r>
          </w:p>
        </w:tc>
        <w:tc>
          <w:tcPr>
            <w:tcW w:w="120" w:type="dxa"/>
            <w:vAlign w:val="bottom"/>
          </w:tcPr>
          <w:p>
            <w:pPr>
              <w:spacing w:after="0"/>
              <w:rPr>
                <w:sz w:val="14"/>
                <w:szCs w:val="14"/>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Casino</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Master</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Master</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2019</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Master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Pinnacle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Lease and</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Lease and</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Meadows</w:t>
            </w:r>
          </w:p>
        </w:tc>
        <w:tc>
          <w:tcPr>
            <w:tcW w:w="1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Queen</w:t>
            </w:r>
          </w:p>
        </w:tc>
        <w:tc>
          <w:tcPr>
            <w:tcW w:w="120" w:type="dxa"/>
            <w:vAlign w:val="bottom"/>
          </w:tcPr>
          <w:p>
            <w:pPr>
              <w:spacing w:after="0"/>
              <w:rPr>
                <w:sz w:val="12"/>
                <w:szCs w:val="12"/>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Lease</w:t>
            </w: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Master Lease</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Loan</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Mortgage</w:t>
            </w: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3"/>
                <w:szCs w:val="13"/>
                <w:color w:val="auto"/>
              </w:rPr>
            </w:pPr>
          </w:p>
        </w:tc>
        <w:tc>
          <w:tcPr>
            <w:tcW w:w="6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Lease</w:t>
            </w: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Building base rent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$ 274,841</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225,842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61,223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74,810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$ 13,803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659,620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 base rent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Percentage rent</w:t>
            </w:r>
          </w:p>
        </w:tc>
        <w:tc>
          <w:tcPr>
            <w:tcW w:w="800" w:type="dxa"/>
            <w:vAlign w:val="bottom"/>
          </w:tcPr>
          <w:p>
            <w:pPr>
              <w:jc w:val="right"/>
              <w:spacing w:after="0"/>
              <w:rPr>
                <w:sz w:val="20"/>
                <w:szCs w:val="20"/>
                <w:color w:val="auto"/>
              </w:rPr>
            </w:pPr>
            <w:r>
              <w:rPr>
                <w:rFonts w:ascii="Arial" w:cs="Arial" w:eastAsia="Arial" w:hAnsi="Arial"/>
                <w:sz w:val="18"/>
                <w:szCs w:val="18"/>
                <w:color w:val="auto"/>
              </w:rPr>
              <w:t>86,351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31,622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13,360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11,182</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159,107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rental income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$ 455,161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328,572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97,723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$ 24,971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1,008,895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Straight-line rent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Ground rent in revenue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Other rental revenue</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rental income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$ 467,748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310,516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$ 27,758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996,166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Interest income from real estate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loans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22,471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from real estate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$ 467,748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310,516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107,703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96,832</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$ 27,758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14,525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1,025,082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Gaming, food, beverage and other revenue for our TRS Properties segment decreased by $4.2 million, or 3.1%, for the year ended December 31, 2019, as compared to the year ended December 31, 2018, due to decreased gaming, food, beverage and other revenues of $3.6 million and $0.6 million at Hollywood Casino Baton Rouge and Hollywood Casino Perryville, respectively. The largest driver of the decrease resulted from general market deterioration in the Baton Rouge region and the smoking ban at all Baton Rouge, Louisiana casinos that went into effect during the second quarter of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years ended December 31,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2"/>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50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(88,757)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103,342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75.4 %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Loan impairment charges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620" w:type="dxa"/>
            <w:vAlign w:val="bottom"/>
          </w:tcPr>
          <w:p>
            <w:pPr>
              <w:jc w:val="right"/>
              <w:ind w:right="182"/>
              <w:spacing w:after="0"/>
              <w:rPr>
                <w:sz w:val="20"/>
                <w:szCs w:val="20"/>
                <w:color w:val="auto"/>
              </w:rPr>
            </w:pPr>
            <w:r>
              <w:rPr>
                <w:rFonts w:ascii="Arial" w:cs="Arial" w:eastAsia="Arial" w:hAnsi="Arial"/>
                <w:sz w:val="18"/>
                <w:szCs w:val="18"/>
                <w:color w:val="auto"/>
              </w:rPr>
              <w:t>N/A</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436,050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461,917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22"/>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Gaming, food, beverage and other expense</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Gaming, food, beverage and other expense for our TRS Properties segment decreased by approximately $2.4 million, or 3.1%, for the year ended December 31, 2019, as compared to the year ended December 31, 2018, primarily resulting from lower gaming taxes due to lower revenues at both TRS properties.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 taxes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Real estate taxes decreased as we are no longer required to gross-up our financial statements for the real estate taxes paid directly by our tenants under ASC 842. In December 2018, the FASB issued ASU 2018-20, which clarifies that lessor costs paid directly to a third-party by a lessee on behalf of the lessor, are no longer required to be recognized in the lessor's financial statements. Therefore, upon the adoption of ASU 2016-02 on January 1, 2019, we are no longer required to gross-up our financial statements for real estate taxes paid directly to third-parties by our tenants.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Land rights and ground lease expense</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$14.1 million, or 49.7%, for the year ended December 31, 2019, as compared to the year ended December 31, 2018, primarily due to our acquisition of rights to six long-term ground leases in connection with the Tropicana Acquisition, as well as accelerated land rights amortization expense related to the closure of the Resorts Casino Tunica property by our tenant in the second quarter of 2019. In connection with the Tropicana Acquisition, we acquired land rights to long-term leases which are recorded on our consolidated balance sheet as land right assets and amortized over the term of the leases, including renewal options. We also record rent expense related to these ground leases with offsetting revenue recorded within the consolidated statements of income as we have concluded that as the lessee we are the primary obligor under the ground leases. We sublease these ground leases back to our tenants, who are responsible for payment directly to the landlord.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General and administrative expenses include items such as compensation costs (including stock-based compensation awards), professional services and costs associated with development activities. General and administrative expenses decreased by $5.7 million, or 7.9%, for the year ended December 31, 2019, as compared to the year ended December 31, 2018, primarily due to the absence of retirement costs (related to the retirement of our former Chief Financial Officer in 2018), partially offset by higher stock-based compensation charges in the current year.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 expense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Depreciation expense increased by $103.3 million, or 75.4%, to $240.4 million for the year ended December 31, 2019 as compared to the year ended December 31, 2018, primarily resulting from the addition of the Tropicana and Plainridge Park real estate assets to our portfolio, the reclassification of the Pinnacle building assets to real estate investments on our balance sheet as a result of the Penn-Pinnacle Merger, which required the Amended Pinnacle Master Lease to be treated as an operating lease in its entirety and the acceleration of depreciation related to the closure of the Resorts Casino Tunica property by our tenant in the second quarter of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 impairment charges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March 17, 2017 the Company provided the Casino Queen Loan to CQ Holding Company, to partially finance its acquisition of Lady Luck Casino in Marquette, Iowa. During 2018, the operating results of Casino Queen declined substantially and Casino Queen defaulted under its senior credit agreement and also the Casino Queen Loan. As a result, the operations of Casino Queen were put up for sale during the fourth quarter of 2018. At December 31, 2018, active negotiations for the sale of Casino Queen's operations were taking place and full payment of the principal was still expected, due to the anticipation that the operations were to be sold in the near term for an amount allowing for repayment of the full $13.0 million of loan principal due to GLPI.</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Thus, because the Company did not expect Casino Queen to be able to repay the $13.0 million of principal due to it under the Casino Queen Loan, the full $13.0 million of principal was written off at March 31, 2019. The Company has recorded an impairment charge of $13.0 million through the consolidated statement of income for the year ended December 31, 2019 to reflect the write-off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Casino Queen Loan. Additionally, at December 31, 2019, all lease payments due from Casino Queen remain current, however Casino Queen was in violation of the rent coverage ratio required under its lease with the Company and the Company provided notice and a reservation of rights to Casino Queen and its secured lenders of such default.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impairment charges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During the year ended December 31, 2018, the Company recorded a goodwill impairment charge of $59.5 million in connection with its operations at Hollywood Casino Baton Rouge. This charge was driven by general market deterioration in the Baton Rouge region and the smoking ban at all Baton Rouge, Louisiana casinos that went into effect during the second quarter of 2018, both of which significantly impacted the Company's forecasted cash flows for this reporting unit. Subsequent to conducting its impairment tests on other long-lived assets, including the gaming license at Hollywood Casino Perryville, the Company performed Step 1 of the goodwill impairment test, which indicated a potential impairment. Step 1 of the goodwill impairment test involved the determination of the fair value of the Baton Rouge reporting unit and its comparison to the reporting unit's carrying amount. Using a discounted cash flow model, which relied on projected EBITDA to determine the reporting unit's future cash flows, the Company calculated a fair value that was less than the reporting unit's carrying value and proceeded to Step 2. In Step 2 of the goodwill impairment test, the Company performed a fair value allocation as if the reporting unit had been acquired in a business combination and assigned the fair value of the reporting unit calculated in Step 1 to all assets and liabilities of the reporting unit, including any unrecognized intangible assets. Any residual fair value was allocated to goodwill to arrive at the implied fair value of goodwill. After completing the Step 2 allocation, the Company determined the goodwill on its Baton Rouge reporting unit had an implied fair value of $16.1 million and recorded the impairment charge of $59.5 million during the fourth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years ended December 31, 2019 and 2018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Percentage</w:t>
            </w:r>
          </w:p>
        </w:tc>
      </w:tr>
      <w:tr>
        <w:trPr>
          <w:trHeight w:val="264"/>
        </w:trPr>
        <w:tc>
          <w:tcPr>
            <w:tcW w:w="504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(53,836)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(58.6)%</w:t>
            </w: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505.1 %</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other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(249,330)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(72,448)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29.1 %</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For the year ended December 31, 2019, interest expense related to our fixed and variable rate borrowings was $301.5 million, as compared to $247.7 million in the year ended December 31, 2018. Interest expense increased primarily due to the issuance of an aggregate $2.1 billion of new senior unsecured notes during May and September 2018 and to a lesser extent the issuance of $400 million of 3.35% senior unsecured notes due 2024 and $700 million of</w:t>
      </w:r>
    </w:p>
    <w:p>
      <w:pPr>
        <w:ind w:right="60"/>
        <w:spacing w:after="0" w:line="252" w:lineRule="auto"/>
        <w:rPr>
          <w:sz w:val="20"/>
          <w:szCs w:val="20"/>
          <w:color w:val="auto"/>
        </w:rPr>
      </w:pPr>
      <w:r>
        <w:rPr>
          <w:rFonts w:ascii="Arial" w:cs="Arial" w:eastAsia="Arial" w:hAnsi="Arial"/>
          <w:sz w:val="18"/>
          <w:szCs w:val="18"/>
          <w:color w:val="auto"/>
        </w:rPr>
        <w:t>4.00% senior unsecured notes due 2030 during the third quarter of 2019. These increases were partially offset by decreases in interest expense related to the termination of the Term Loan A facility, partial repayment of our Term Loan A-1 facility, repayments of borrowing under our revolving credit facility and the 2018 and 2019 Tender Offers (as defined below). The proceeds from the issuance of the senior unsecured notes issued in September 2018 were used to finance the Tropicana Transactions, to purchase Plainridge Park and to fund the Belterra Park Loan, while the proceeds from the unsecured notes issued in 2019 were used to finance the 2019 Tender Offer, repay borrowings under our revolving credit facility and repay a portion of outstanding borrowings under our Term Loan A-1 facility. The 2019 issuances and tender offer were part of our efforts to reduce our borrowing costs and lengthen our average debt maturity.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77" w:lineRule="auto"/>
        <w:rPr>
          <w:sz w:val="20"/>
          <w:szCs w:val="20"/>
          <w:color w:val="auto"/>
        </w:rPr>
      </w:pPr>
      <w:r>
        <w:rPr>
          <w:rFonts w:ascii="Arial" w:cs="Arial" w:eastAsia="Arial" w:hAnsi="Arial"/>
          <w:sz w:val="17"/>
          <w:szCs w:val="17"/>
          <w:color w:val="auto"/>
        </w:rPr>
        <w:t>102.337% of the unpaid principal amount plus accrued and unpaid interest through the settlement date. Subsequent to the early tender deadline, an additional $2.2 million in aggregate principal of the 2020 Notes were tendered at a price of 99.337% of the unpaid principal amount plus accrued and unpaid interest through the settlement date, for a total redemption of $784.8 million of the 2020 Notes. The Company recorded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loss on the early extinguishment of debt related to the 2019 Tender Offer, of approximately $21.0 million, for the difference between the reaquisition price of the tendered 2020 Notes and their net carrying value.</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May 21, 2018, the Company entered into the second amendment to its senior unsecured credit facility (the "Credit Facility"), which increased the Company's revolving commitments, eliminated the Term Loan A facility, required the Company to repay a portion of the Term Loan A-1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73"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Also on May 21, 2018, the Company completed a cash tender offer (the "2018 Tender Offer") to purchase any and all of the outstanding $550 million aggregate principal of its 4.375% Senior Unsecured Notes due 2018 (the "2018 Notes"). The Company received tenders from the holders of approximately $393.5 million in aggregate principal of the 2018 Notes, or approximately 72% of its outstanding 2018 Notes, in connection with the 2018 Tender Offer at a price of 100.396% of the unpaid principal amount plus accrued and unpaid interest through the settlement date. The Company recorded a loss on the early extinguishment of debt, related to the 2018 Tender Offer of approximately $2.5 million for the difference between the reaquisition price of the tendered 2018 Notes and their net carrying value. On August 16, 2018, the Company redeemed the remaining 2018 Notes for 100% of the principal amount and accrued and unpaid interest to, but not including, the redemption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income tax expense decreased $0.2 million for the year ended December 31, 2019 as compared to the year ended December 31, 2018. During the year ended December 31, 2019, we had income tax expense of approximately $4.8 million, compared to income tax expense of $5.0 million during the year ended December 31, 2018. Our income tax expense is primarily driven from the operations of the TRS Properties, which are taxed at the corporate rate. Our effective tax rate (income taxes as a percentage of income before income taxes) was 1.2% and 1.4%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30"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Net cash provided by operating activities was $750.3 million and $654.4 million during the years ended December 31, 2019 and 2018, respectively. The increase in net cash provided by operating activities of $95.9 million for the year ended December 31, 2019 as compared to the year ended December 31, 2018 was primarily comprised of an increase in cash receipts from customers/tenants of $151.0 million and a decrease in cash paid to employees of $3.3 million, partially offset by increases in cash paid for interest and operating expenses of $44.8 million and $6.4 million, respectively. The increase in cash receipts collected from our customers and tenants for the year ended December 31, 2019 as compared to the year ended December 31, 2018 was primarily due to the Tropicana Transactions and the Penn-Pinnacle Merger both of which occurred in the fourth quarter of 2018, partially offset by a decrease in our TRS Properties' revenues. The increase in cash paid for interest was related to the Company's September 2018 borrowings which were used to fund the Tropicana Transactions, the acquisition of Plainridge Park and the Belterra Park Loan.</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Investing activities used net cash of $2.8 million and $1,509.8 million during the years ended December 31, 2019 and 2018, respectively. Net cash used in investing activities during the year ended December 31, 2019 primarily consisted of capital expenditures of $3.0 million, partially offset by proceeds from sales of property and equipment of $0.2 million. Net cash used in investing activities during the year ended December 31, 2018 primarily consisted of cash payments of $1,243.5 million related to the acquisition of five Tropicana properties and Plainridge Park and $304 million of cash paid for the origination of real estate loans to casino owner-operators, partially offset by $38.5 million of rental payments received from tenants and applied against the lease receivable we had on our balance sheet prior to the Penn-Pinnacle Merger.</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Financing activities used net cash of $746.4 million during the year ended December 31, 2019 and provided net cash of $852.1 million during the year ended December 31, 2018. Net cash used in financing activities for the year ended December 31, 2019 was driven by repayments of long-term debt of $1,477.9 million, dividend payments of $589.1 million, $18.9 million of premium and related costs paid on the tender of senior unsecured notes, taxes paid related to shares withheld for tax purposes on restricted stock award vestings, net of stock option exercises of $9.1 million and financing costs of $10.0 million, partially offset by $1,358.9 million of proceeds from the issuance of long-term debt. During the year ended December 31, 2019, the Company issued $1,100.0 million par value in new senior unsecured notes, completed a cash tender for a portion of our 2020 Notes, partially repaid borrowings under our Term Loan A-1 and revolving credit facilities and launched a $600 million ATM Program.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financing activities for the year ended December 31, 2018 was driven by proceeds from the issuance of long-term debt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$2,593.4 million and proceeds from stock option exercises, net of taxes paid related to shares withheld for tax purposes on restricted stock award vestings,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 million, partially offset by dividend payments of $550.4 million, repayments of long-term debt of $1,164.1 million, financing costs of $32.4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of premium and related costs paid on the tender of senior unsecured notes. During the year ended December 31, 2018, the Company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$2,100.0 million par value of new senior unsecured notes, completed a tender and redemption of the 2018 Notes, repaid a portion of the Term Loan A-1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and extinguished the Term Loan A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years ended December 31, 2019 and 2018 we spent approximately $3.0 million and $4.3 million, respectively, for capital maintenance expenditures. The majority of the capital maintenance expenditures were for slot machines and slot machine equipment at our TRS Properties. Our tenants are responsible for capital maintenance expenditures at our leased properties.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Credit Facility consists of a $1,175 million revolving credit facility and a $449 million Term Loan A-1 facility. The revolving credit facility matures on May 21, 2023 and the Term Loan A-1 facility matures on April 28, 2021.</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December 31, 2019, the Credit Facility had a gross outstanding balance of $495 million, consisting of the $449 million Term Loan A-1 facility and $46 million of borrowings under the revolving credit facility. Additionally, at December 31, 2019, the Company was contingently obligated under letters of credit issued pursuant to the Credit Facility with face amounts aggregating approximately $0.4 million, resulting in $1,128.6 million of available borrowing capacity under the revolving credit facility as of December 31, 2019.</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December 31, 2019, the applicable margin was 1.50% for LIBOR loans and 0.50% for base rate loans. In addition, the Company is required to pay a commitment fee on the unused portion of the commitments under the revolving facility at a rate that ranges from 0.15% to 0.35% per annum, depending on the credit ratings assigned to the Credit Facility. At December 31, 2019, the commitment fee rate was 0.25%. The Company is not required to repay any loans under the Credit Facility prior to maturity and may prepay all or any portion of the loans under the Credit Facility prior to maturity without premium or penalty, subject to reimbursement of any LIBOR breakage costs of the lenders. The Company's wholly owned subsidiary, GLP Capital is the primary obligor under the Credit Facility, which is guaranteed by GLPI.</w:t>
      </w:r>
    </w:p>
    <w:p>
      <w:pPr>
        <w:spacing w:after="0" w:line="1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2019, the Company was in compliance with all required financial covenants under the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 Company had an outstanding balance of $5,290.2 million of senior unsecured notes (the "Senior Notes").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61" w:lineRule="auto"/>
        <w:rPr>
          <w:sz w:val="20"/>
          <w:szCs w:val="20"/>
          <w:color w:val="auto"/>
        </w:rPr>
      </w:pPr>
      <w:r>
        <w:rPr>
          <w:rFonts w:ascii="Arial" w:cs="Arial" w:eastAsia="Arial" w:hAnsi="Arial"/>
          <w:sz w:val="18"/>
          <w:szCs w:val="18"/>
          <w:color w:val="auto"/>
        </w:rPr>
        <w:t>102.337% of the unpaid principal amount plus accrued and unpaid interest through the settlement date. Subsequent to the early tender deadline, an additional $2.2 million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aggregate principal of the 2020 Notes were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reaquisition price of the tendered 2020 Notes and their net carrying value.</w:t>
      </w:r>
    </w:p>
    <w:p>
      <w:pPr>
        <w:spacing w:after="0" w:line="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2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Senior Notes were issued by GLP Capital, L.P. and GLP Financing II, Inc. (the "Issuers"), two wholly-owned subsidiaries of GLPI, and are guaranteed on a senior unsecured basis by GLPI. The guarantees of GLPI are full and unconditional. The Senior Notes are the Issuers'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the Credit Facility, and senior in right of payment to all of the Issuers' subordinated indebtedness, without giving effect to collateral arrangements. See Note 21 for additional financial information on the parent guarantor and subsidiary issuers of the Senior Notes.</w:t>
      </w:r>
    </w:p>
    <w:p>
      <w:pPr>
        <w:spacing w:after="0" w:line="10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 Company was in compliance with all required financial covenants under its 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 Liability</w:t>
      </w:r>
    </w:p>
    <w:p>
      <w:pPr>
        <w:spacing w:after="0" w:line="225"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Company assumed the finance lease obligations related to certain assets at its Aurora, Illinois property. GLPI recorded the asset and liability associated with the finance lease on its consolidated balance sheet. The original term of the finance lease is 30 years and it will terminate in 2026.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Requirements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 Transition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majority of our debt is at fixed rates and our exposure to variable interest rates is currently limited to our revolving credit facility and our Term Loan A-1. Both of these debt instruments are indexed to LIBOR which is expected to be phased out during late 2021. The discontinuance of LIBOR would affect our interest expense and earnings. As the Term Loan A-1 matures in mid-2021, only the borrowings under our revolver will be subject to the expected LIBOR transition. LIBOR is currently expected to transition to a new standard rate, the Secured Overnight Financing Rate (“SOFR”). We are currently monitoring the transition and cannot be certain whether SOFR will become the standard rate for our variable rate debt. However, the transition away from LIBOR rates will likely require us to renegotiate our revolving credit facility, which does not provide for reference rate replacement. We expect to successfully renegotiate this agreement and do not expect the reference rate transition to have a significant impact to our overall operations.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30" w:right="29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Based on our current level of operations and anticipated earnings, we believe that cash generated from operations and cash on hand, together with amounts available under our senior unsecured credit facility, will be adequate to meet our anticipated debt service requirements, capital expenditures, working capital needs and dividend requirements. In addition, 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ATM Program)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of this Annual Report on Form 10-K for a discussion of the risk related to our capital structure.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Contingencies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Contractual Cash Obligations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contractual obligations at December 31,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3"/>
              </w:rPr>
              <w:t>2021 - 2022</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2023 - 2024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2025 and After</w:t>
            </w: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credit facility</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26,445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4.875% senior unsecured notes due 2020</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215,174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215,174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4.375% senior unsecured notes due 2021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5.375% senior unsecured notes due 2023</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3.35% senior unsecured notes due 2024</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67,074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5.25% senior unsecured notes due 2025</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850,000</w:t>
            </w:r>
          </w:p>
        </w:tc>
      </w:tr>
      <w:tr>
        <w:trPr>
          <w:trHeight w:val="270"/>
        </w:trPr>
        <w:tc>
          <w:tcPr>
            <w:tcW w:w="4120" w:type="dxa"/>
            <w:vAlign w:val="bottom"/>
            <w:gridSpan w:val="2"/>
          </w:tcPr>
          <w:p>
            <w:pPr>
              <w:ind w:left="12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245,438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44,625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89,250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22,313</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5.375% senior unsecured notes due 2026</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975,000</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340,641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78,609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5.75% senior unsecured notes due 2028</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500,000</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244,375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57,500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100,625</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5.30% senior unsecured notes due 2029</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750,000</w:t>
            </w:r>
          </w:p>
        </w:tc>
      </w:tr>
      <w:tr>
        <w:trPr>
          <w:trHeight w:val="277"/>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377,625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178,875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4.00% senior unsecured notes due 2030</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Principal</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700,000</w:t>
            </w: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290,578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24,578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154,000</w:t>
            </w:r>
          </w:p>
        </w:tc>
      </w:tr>
      <w:tr>
        <w:trPr>
          <w:trHeight w:val="27"/>
        </w:trPr>
        <w:tc>
          <w:tcPr>
            <w:tcW w:w="2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lease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712,810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27,425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27,255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644,059</w:t>
            </w: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Other liabilities reflected in the Company's consolidated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balance sheets </w:t>
            </w:r>
            <w:r>
              <w:rPr>
                <w:rFonts w:ascii="Arial" w:cs="Arial" w:eastAsia="Arial" w:hAnsi="Arial"/>
                <w:sz w:val="25"/>
                <w:szCs w:val="25"/>
                <w:color w:val="auto"/>
                <w:vertAlign w:val="superscript"/>
              </w:rPr>
              <w:t>(3)</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41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8,235,894</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505,917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1,361,315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1,414,903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4,953,759</w:t>
            </w: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240" w:type="dxa"/>
            <w:vAlign w:val="bottom"/>
            <w:tcBorders>
              <w:bottom w:val="single" w:sz="8" w:color="auto"/>
            </w:tcBorders>
          </w:tcPr>
          <w:p>
            <w:pPr>
              <w:spacing w:after="0"/>
              <w:rPr>
                <w:sz w:val="21"/>
                <w:szCs w:val="21"/>
                <w:color w:val="auto"/>
              </w:rPr>
            </w:pPr>
          </w:p>
        </w:tc>
        <w:tc>
          <w:tcPr>
            <w:tcW w:w="1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2" w:lineRule="exact"/>
        <w:rPr>
          <w:sz w:val="20"/>
          <w:szCs w:val="20"/>
          <w:color w:val="auto"/>
        </w:rPr>
      </w:pPr>
    </w:p>
    <w:p>
      <w:pPr>
        <w:ind w:left="660" w:right="140" w:hanging="652"/>
        <w:spacing w:after="0" w:line="232"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The interest rates associated with the variable rate components of our senior unsecured credit facility are estimated, reflected of forward LIBOR curves plus the spread over LIBOR of 150 basis points. The contractual amounts to be paid on our variable rate obligations are affected by changes in market interest rates and changes in our spreads which are based on our leverage ratios. Future changes in such ratios will impact the contractual amounts to be paid. For</w:t>
      </w:r>
    </w:p>
    <w:p>
      <w:pPr>
        <w:sectPr>
          <w:pgSz w:w="11900" w:h="16838" w:orient="portrait"/>
          <w:cols w:equalWidth="0" w:num="1">
            <w:col w:w="11400"/>
          </w:cols>
          <w:pgMar w:left="240" w:top="130" w:right="25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30" w:right="25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considerations surrounding the phase out of LIBOR refer to the Liquidity and Capital Resources discussion in this Annual Report on Form 10-K.</w:t>
      </w:r>
    </w:p>
    <w:p>
      <w:pPr>
        <w:spacing w:after="0" w:line="248" w:lineRule="exact"/>
        <w:rPr>
          <w:sz w:val="20"/>
          <w:szCs w:val="20"/>
          <w:color w:val="auto"/>
        </w:rPr>
      </w:pPr>
    </w:p>
    <w:p>
      <w:pPr>
        <w:ind w:left="660" w:right="180" w:hanging="652"/>
        <w:spacing w:after="0" w:line="232"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Company's operating leases liabilities include the fixed payments due under those ground leases for which the Company subleases the land to our tenants who are responsible for payment directly to the landlord, as we are considered the primary obligor under these leases. Variable lease costs, including lease payments tied to a property's performance and changes in an index such as the CPI that are not determinable at lease commencement, are excluded from our operating lease liabilities.</w:t>
      </w:r>
    </w:p>
    <w:p>
      <w:pPr>
        <w:spacing w:after="0" w:line="145"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Primarily represents liabilities associated with reward programs at our TRS Properties that can be redeemed for free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play, merchandise or services.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Commercial Commitments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material commercial commitments as of December 31, 2019 for the following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272415</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Total Amounts</w:t>
            </w:r>
          </w:p>
        </w:tc>
        <w:tc>
          <w:tcPr>
            <w:tcW w:w="340" w:type="dxa"/>
            <w:vAlign w:val="bottom"/>
          </w:tcPr>
          <w:p>
            <w:pPr>
              <w:spacing w:after="0"/>
              <w:rPr>
                <w:sz w:val="14"/>
                <w:szCs w:val="14"/>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2021 - 2022</w:t>
            </w:r>
          </w:p>
        </w:tc>
        <w:tc>
          <w:tcPr>
            <w:tcW w:w="100" w:type="dxa"/>
            <w:vAlign w:val="bottom"/>
          </w:tcPr>
          <w:p>
            <w:pPr>
              <w:spacing w:after="0"/>
              <w:rPr>
                <w:sz w:val="14"/>
                <w:szCs w:val="14"/>
                <w:color w:val="auto"/>
              </w:rPr>
            </w:pPr>
          </w:p>
        </w:tc>
        <w:tc>
          <w:tcPr>
            <w:tcW w:w="14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2023 - 2024</w:t>
            </w:r>
          </w:p>
        </w:tc>
        <w:tc>
          <w:tcPr>
            <w:tcW w:w="120" w:type="dxa"/>
            <w:vAlign w:val="bottom"/>
          </w:tcPr>
          <w:p>
            <w:pPr>
              <w:spacing w:after="0"/>
              <w:rPr>
                <w:sz w:val="14"/>
                <w:szCs w:val="14"/>
                <w:color w:val="auto"/>
              </w:rPr>
            </w:pPr>
          </w:p>
        </w:tc>
        <w:tc>
          <w:tcPr>
            <w:tcW w:w="14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2025 and After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Committed</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60" w:type="dxa"/>
            <w:vAlign w:val="bottom"/>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The available balance under the revolving credit portion of our senior unsecured credit facility is reduced by outstanding letters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off-balance sheet arrangements as of 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GLPI’s primary market risk exposure is interest rate risk with respect to its indebtedness of $5,786.2 million at December 31, 2019. Furthermore, $5,290.2 million of our obligations are the senior unsecured notes that have fixed interest rates with maturity dates ranging from less than one year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GLPI also expects to manage its exposure to interest rate risk by maintaining a mix of fixed and variable rates for its indebtedness. However, the provisions of the Code applicable to REITs substantially limit GLPI’s ability to hedge its assets and liabilities.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December 31, 2019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for our variable rate debt are based on implied forward LIBOR rates at December 31, 2019.</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30" w:right="29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1/01/20-</w:t>
            </w:r>
          </w:p>
        </w:tc>
        <w:tc>
          <w:tcPr>
            <w:tcW w:w="24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1/01/21-</w:t>
            </w:r>
          </w:p>
        </w:tc>
        <w:tc>
          <w:tcPr>
            <w:tcW w:w="2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1/01/22-</w:t>
            </w:r>
          </w:p>
        </w:tc>
        <w:tc>
          <w:tcPr>
            <w:tcW w:w="28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1/01/23-</w:t>
            </w:r>
          </w:p>
        </w:tc>
        <w:tc>
          <w:tcPr>
            <w:tcW w:w="240" w:type="dxa"/>
            <w:vAlign w:val="bottom"/>
          </w:tcPr>
          <w:p>
            <w:pPr>
              <w:spacing w:after="0"/>
              <w:rPr>
                <w:sz w:val="14"/>
                <w:szCs w:val="1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1/01/24-</w:t>
            </w:r>
          </w:p>
        </w:tc>
        <w:tc>
          <w:tcPr>
            <w:tcW w:w="22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4"/>
                <w:szCs w:val="14"/>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12/31/21</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12/31/22</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12/31/23</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12/31/24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12/31/2019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1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0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215,174</w:t>
            </w:r>
          </w:p>
        </w:tc>
        <w:tc>
          <w:tcPr>
            <w:tcW w:w="2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ind w:left="56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500,000</w:t>
            </w:r>
          </w:p>
        </w:tc>
        <w:tc>
          <w:tcPr>
            <w:tcW w:w="2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400,000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CCEEFF"/>
            </w:tcBorders>
          </w:tcPr>
          <w:p>
            <w:pPr>
              <w:jc w:val="right"/>
              <w:ind w:right="128"/>
              <w:spacing w:after="0"/>
              <w:rPr>
                <w:sz w:val="20"/>
                <w:szCs w:val="20"/>
                <w:color w:val="auto"/>
              </w:rPr>
            </w:pPr>
            <w:r>
              <w:rPr>
                <w:rFonts w:ascii="Arial" w:cs="Arial" w:eastAsia="Arial" w:hAnsi="Arial"/>
                <w:sz w:val="14"/>
                <w:szCs w:val="14"/>
                <w:color w:val="auto"/>
              </w:rPr>
              <w:t>3,775,000</w:t>
            </w:r>
          </w:p>
        </w:tc>
        <w:tc>
          <w:tcPr>
            <w:tcW w:w="2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5,290,174</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5,707,996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449,000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46,000</w:t>
            </w:r>
          </w:p>
        </w:tc>
        <w:tc>
          <w:tcPr>
            <w:tcW w:w="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495,000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493,533</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8"/>
        <w:spacing w:after="0" w:line="223" w:lineRule="auto"/>
        <w:tabs>
          <w:tab w:leader="none" w:pos="556"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Estimated rate, reflective of forward LIBOR plus the spread over LIBOR applicable to variable-rate borrowing. For considerations surrounding the phase out of LIBOR refer to the Liquidity and Capital Resources discussion in this Annual Report on Form 10-K.</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130" w:right="4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Gaming and Leisure Properties, Inc. and Subsidiaries (the "Company") as of December 31, 2019 and 2018, the related consolidated statements of income, changes in shareholders’ equity (deficit), and cash flows, for each of the three years in the period ended December 31, 2019, and the related notes and the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6"/>
          <w:szCs w:val="16"/>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20, 2020,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00" w:lineRule="exact"/>
        <w:rPr>
          <w:sz w:val="20"/>
          <w:szCs w:val="20"/>
          <w:color w:val="auto"/>
        </w:rPr>
      </w:pPr>
    </w:p>
    <w:p>
      <w:pPr>
        <w:spacing w:after="0" w:line="2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 - See Note 2 to the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Real estate investments primarily represent land and buildings leased to the Company's tenants. Single-property lease assets account for $428.8M of the total real estate investment, net, account balance. 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its lease payments, the tenant’s rent coverage ratio, the financial stability of the tenant and its parent company, and any other relevant factors. When indicators of potential impairment suggest that the carrying value of a real estate investment may not be recoverable, the Company estimates the fair value of the investment by calculating the undiscounted future cash flows from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use and eventual disposition of the investment. For the year ended December 31, 2019, no impairment loss has been recognized on these real estate assets.</w:t>
      </w:r>
    </w:p>
    <w:p>
      <w:pPr>
        <w:spacing w:after="0" w:line="24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Auditing the Company’s evaluation of potential impairment indicators of single-property lease assets was highly subjective as it required assessing the financial stability of the tenants, the parent companies’ willingness to fund rent shortfalls should they arise, and the overall market for the tenants’ market offerings in the geographies in which the properties are located. We evaluated whether management appropriately identified events or changes in circumstances that indicated that the carrying amounts of these real estate assets may not be recoverable, which required significant judgment.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evaluation of real estate assets for possible indicators of impairment included the following, among others:</w:t>
      </w:r>
    </w:p>
    <w:p>
      <w:pPr>
        <w:spacing w:after="0" w:line="225" w:lineRule="exact"/>
        <w:rPr>
          <w:sz w:val="20"/>
          <w:szCs w:val="20"/>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the controls over management’s identification of possible circumstances that may indicate that the carrying amounts of the single-property lease assets are no longer recoverable or realizable</w:t>
      </w:r>
    </w:p>
    <w:p>
      <w:pPr>
        <w:spacing w:after="0" w:line="170"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obtained and examined internal communications to management and the Board of Directors to identify potential inconsistencies or contradictory information regarding the financial stability of the tenants that may not have been considered in the Company’s assessment</w:t>
      </w:r>
    </w:p>
    <w:p>
      <w:pPr>
        <w:spacing w:after="0" w:line="146" w:lineRule="exact"/>
        <w:rPr>
          <w:rFonts w:ascii="Arial" w:cs="Arial" w:eastAsia="Arial" w:hAnsi="Arial"/>
          <w:sz w:val="17"/>
          <w:szCs w:val="17"/>
          <w:color w:val="auto"/>
        </w:rPr>
      </w:pPr>
    </w:p>
    <w:p>
      <w:pPr>
        <w:jc w:val="both"/>
        <w:ind w:left="660" w:right="42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impairment analysis by testing the single-property lease assets for possible indicators of impairment, including the identification of events or changes affecting the tenants’ financial stability by searching for adverse asset-specific or market conditions through obtaining gaming industry and regulatory reports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30"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r>
      <w:tr>
        <w:trPr>
          <w:trHeight w:val="270"/>
        </w:trPr>
        <w:tc>
          <w:tcPr>
            <w:tcW w:w="83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7,100,555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7,331,460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loans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303,684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25,783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16,067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67,486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8,434,298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60,695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45,261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42,879</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7"/>
              </w:rPr>
              <w:t>Long-term debt, net of unamortized debt issuance costs, bond premiums and original issuance discounts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5,737,962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5,853,497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26,059</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6,360,053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6,311,686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7"/>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11)</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December 31,</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2019 and December 31, 2018)</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($.01 par value, 500,000,000 shares authorized, 214,694,165 and 214,211,932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at December 31, 2019 and December 31, 2018,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3,959,383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3,952,503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2,074,245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8,434,298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83"/>
        </w:trPr>
        <w:tc>
          <w:tcPr>
            <w:tcW w:w="6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996,166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747,654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671,190</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income from real estate loans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83,698</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1,025,082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829,221</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142,086</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1,153,473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1,055,727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971,307</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80,487</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84,666</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24,005</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63,151</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113,480</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Loan impairment charges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Goodwill impairment charges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436,050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461,917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365,789</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605,518</w:t>
            </w:r>
          </w:p>
        </w:tc>
      </w:tr>
      <w:tr>
        <w:trPr>
          <w:trHeight w:val="277"/>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(301,520)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(217,068)</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9,787</w:t>
            </w:r>
          </w:p>
        </w:tc>
      </w:tr>
      <w:tr>
        <w:trPr>
          <w:trHeight w:val="27"/>
        </w:trPr>
        <w:tc>
          <w:tcPr>
            <w:tcW w:w="6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390,881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339,516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6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40"/>
          </w:cols>
          <w:pgMar w:left="240" w:top="130" w:right="141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2"/>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207,676,827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3,760,729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2,433,869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Issuance of common stock</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3,864,872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139,376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1,013,984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161,866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($2.50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380,598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212,717,549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3,933,829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1,007,750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486,633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paid ($2.57 per common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(550,435)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339,516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214,211,932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3,952,503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ATM Program offering costs, net of issuance of</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activity</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Restricted stock activity</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453,934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($2.74 per common share)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390,881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390,881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214,694,165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3,959,383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2,074,245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6860" w:type="dxa"/>
            <w:vAlign w:val="bottom"/>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8"/>
        </w:trPr>
        <w:tc>
          <w:tcPr>
            <w:tcW w:w="116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1879"/>
              <w:spacing w:after="0"/>
              <w:rPr>
                <w:sz w:val="20"/>
                <w:szCs w:val="20"/>
                <w:color w:val="auto"/>
              </w:rPr>
            </w:pPr>
            <w:r>
              <w:rPr>
                <w:rFonts w:ascii="Arial" w:cs="Arial" w:eastAsia="Arial" w:hAnsi="Arial"/>
                <w:sz w:val="16"/>
                <w:szCs w:val="16"/>
                <w:b w:val="1"/>
                <w:bCs w:val="1"/>
                <w:color w:val="auto"/>
                <w:w w:val="91"/>
              </w:rPr>
              <w:t>Gaming and Leisure Properties, Inc. and Subsidiaries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1160" w:type="dxa"/>
            <w:vAlign w:val="bottom"/>
          </w:tcPr>
          <w:p>
            <w:pPr>
              <w:spacing w:after="0"/>
              <w:rPr>
                <w:sz w:val="16"/>
                <w:szCs w:val="16"/>
                <w:color w:val="auto"/>
              </w:rPr>
            </w:pPr>
          </w:p>
        </w:tc>
        <w:tc>
          <w:tcPr>
            <w:tcW w:w="6040" w:type="dxa"/>
            <w:vAlign w:val="bottom"/>
            <w:gridSpan w:val="3"/>
          </w:tcPr>
          <w:p>
            <w:pPr>
              <w:jc w:val="center"/>
              <w:ind w:left="303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1160" w:type="dxa"/>
            <w:vAlign w:val="bottom"/>
          </w:tcPr>
          <w:p>
            <w:pPr>
              <w:spacing w:after="0"/>
              <w:rPr>
                <w:sz w:val="18"/>
                <w:szCs w:val="18"/>
                <w:color w:val="auto"/>
              </w:rPr>
            </w:pPr>
          </w:p>
        </w:tc>
        <w:tc>
          <w:tcPr>
            <w:tcW w:w="5700" w:type="dxa"/>
            <w:vAlign w:val="bottom"/>
            <w:gridSpan w:val="2"/>
          </w:tcPr>
          <w:p>
            <w:pPr>
              <w:jc w:val="center"/>
              <w:ind w:left="3319"/>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71"/>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116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390,881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339,516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380,598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258,971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148,365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123,835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6"/>
              </w:rPr>
              <w:t>Amortization of debt issuance costs, bond premiums and original issuance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13,026</w:t>
            </w: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Losses on dispositions of property</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15,636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65,971</w:t>
            </w: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Losses on debt extinguishment</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Loan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Goodwill impairment charges</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116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(Increase) decrease,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r>
      <w:tr>
        <w:trPr>
          <w:trHeight w:val="243"/>
        </w:trPr>
        <w:tc>
          <w:tcPr>
            <w:tcW w:w="6860" w:type="dxa"/>
            <w:vAlign w:val="bottom"/>
            <w:gridSpan w:val="3"/>
          </w:tcPr>
          <w:p>
            <w:pPr>
              <w:ind w:left="380"/>
              <w:spacing w:after="0"/>
              <w:rPr>
                <w:sz w:val="20"/>
                <w:szCs w:val="20"/>
                <w:color w:val="auto"/>
              </w:rPr>
            </w:pPr>
            <w:r>
              <w:rPr>
                <w:rFonts w:ascii="Arial" w:cs="Arial" w:eastAsia="Arial" w:hAnsi="Arial"/>
                <w:sz w:val="18"/>
                <w:szCs w:val="18"/>
                <w:color w:val="auto"/>
              </w:rPr>
              <w:t>(Decrease), increase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Accrued salaries and wages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43"/>
        </w:trPr>
        <w:tc>
          <w:tcPr>
            <w:tcW w:w="6860" w:type="dxa"/>
            <w:vAlign w:val="bottom"/>
            <w:gridSpan w:val="3"/>
          </w:tcPr>
          <w:p>
            <w:pPr>
              <w:ind w:left="60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5,847</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750,302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654,433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598,711</w:t>
            </w: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Capital project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Capital maintenance expenditures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13,200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Acquisition of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(83,252)</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Originations of real estate loans</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73,072</w:t>
            </w: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(1,509,784)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(589,128)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(529,370)</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Taxes paid related to shares withheld for tax purposes on restricted stock award vestings,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68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of proceeds from exercise of options</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18,157</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ATM Program offering costs and proceeds from issuance of common stock, net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139,414</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1,358,853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2,593,405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Financing costs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(335,112)</w:t>
            </w:r>
          </w:p>
        </w:tc>
      </w:tr>
      <w:tr>
        <w:trPr>
          <w:trHeight w:val="243"/>
        </w:trPr>
        <w:tc>
          <w:tcPr>
            <w:tcW w:w="6860" w:type="dxa"/>
            <w:vAlign w:val="bottom"/>
            <w:gridSpan w:val="3"/>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(746,445)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852,080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(606,911)</w:t>
            </w: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36,556</w:t>
            </w:r>
          </w:p>
        </w:tc>
      </w:tr>
      <w:tr>
        <w:trPr>
          <w:trHeight w:val="250"/>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2684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See Note 20 to the consolidated financial statements for supplemental cash flow information and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-115570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100"/>
          </w:cols>
          <w:pgMar w:left="240" w:top="118" w:right="559" w:bottom="1440" w:gutter="0" w:footer="0" w:header="0"/>
        </w:sect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00"/>
          </w:cols>
          <w:pgMar w:left="240" w:top="118" w:right="55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Basis of Presentation</w:t>
      </w:r>
    </w:p>
    <w:p>
      <w:pPr>
        <w:spacing w:after="0" w:line="2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8"/>
          <w:szCs w:val="18"/>
          <w:i w:val="1"/>
          <w:iCs w:val="1"/>
          <w:color w:val="auto"/>
        </w:rPr>
        <w:t>Spinoffs and</w:t>
      </w:r>
      <w:r>
        <w:rPr>
          <w:rFonts w:ascii="Arial" w:cs="Arial" w:eastAsia="Arial" w:hAnsi="Arial"/>
          <w:sz w:val="18"/>
          <w:szCs w:val="18"/>
          <w:color w:val="auto"/>
        </w:rPr>
        <w:t xml:space="preserve"> </w:t>
      </w:r>
      <w:r>
        <w:rPr>
          <w:rFonts w:ascii="Arial" w:cs="Arial" w:eastAsia="Arial" w:hAnsi="Arial"/>
          <w:sz w:val="18"/>
          <w:szCs w:val="18"/>
          <w:i w:val="1"/>
          <w:iCs w:val="1"/>
          <w:color w:val="auto"/>
        </w:rPr>
        <w:t>Reverse Spinoffs ("</w:t>
      </w:r>
      <w:r>
        <w:rPr>
          <w:rFonts w:ascii="Arial" w:cs="Arial" w:eastAsia="Arial" w:hAnsi="Arial"/>
          <w:sz w:val="18"/>
          <w:szCs w:val="18"/>
          <w:color w:val="auto"/>
        </w:rPr>
        <w:t>ASC 505"</w:t>
      </w:r>
      <w:r>
        <w:rPr>
          <w:rFonts w:ascii="Arial" w:cs="Arial" w:eastAsia="Arial" w:hAnsi="Arial"/>
          <w:sz w:val="18"/>
          <w:szCs w:val="18"/>
          <w:i w:val="1"/>
          <w:iCs w:val="1"/>
          <w:color w:val="auto"/>
        </w:rPr>
        <w:t>).</w:t>
      </w:r>
    </w:p>
    <w:p>
      <w:pPr>
        <w:spacing w:after="0" w:line="19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a result of the Spin-Off, GLPI owns substantially all of Penn’s former real property assets (as of the consummation of the Spin-Off)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originally leased these assets back to Pinnacle, under a unitary triple-net lease with an initial term of 10 years (expiring April 30, 2026), with no purchase option, followed by five 5-year renewal options (exercisable by Pinnacle) on the same terms and conditions (the "Pinnacle Master Lease"). On October 15, 2018, the Company completed its previously announced transactions with Penn, Pinnacle and Boyd Gaming Corporation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Boyd)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See Note 18 for further details surrounding the original Pinnacle acquisition and the subsequent acquisition of Pinnacle by Penn.</w:t>
      </w:r>
    </w:p>
    <w:p>
      <w:pPr>
        <w:spacing w:after="0" w:line="17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addition to the acquisition of Plainridge Park described above,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(the "Eldorado Master Lease"). Additionally, on October 1, 2018, the Company entered into a loan agreement with Eldorado in connection with Eldorado’s acquisition of Lumière Place, whereby the Company loaned Eldorado $246.0 million (together with the Tropicana Acquisition the, "Tropicana Transactions").</w:t>
      </w:r>
    </w:p>
    <w:p>
      <w:pPr>
        <w:spacing w:after="0" w:line="16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December 31, 2019, GLPI’s portfolio consisted of interests in 44 gaming and related facilities, including the TRS Properties, the real property associated with 32 gaming and related facilities operated by Penn, the real property associated with 5 gaming and related facilities operated by Eldorado, the real property associated with 4 gaming and related facilities operated by Boyd (including one financed facility) and the real property associated with the Casino Queen in East St. Louis, Illinois. These facilities, including our corporate headquarters building, are geographically diversified across 16 states and contain approximately 22.1 million square feet. As of December 31, 2019, the Company's properties were 100% occupied. GLPI expects to continue growing its portfolio by pursuing opportunities to acquire additional gaming facilities to lease to gaming operators under prudent terms.</w:t>
      </w:r>
    </w:p>
    <w:p>
      <w:pPr>
        <w:spacing w:after="0" w:line="8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GLPI and its subsidiaries. All intercompany accounts and transactions have been eliminated in consolidation.</w:t>
      </w:r>
    </w:p>
    <w:p>
      <w:pPr>
        <w:spacing w:after="0" w:line="8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may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14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Real estate investments primarily represent land and buildings leased to the Company's tenants. The Company records the acquisition of real estate assets at fair value, including acquisition and closing costs. The cost of properties developed by the Company include costs of construction, property taxes, interest and other miscellaneous costs incurred during the development period until the project is substantially complete and available for occupancy. The Company considers the period of future benefit of the asset to determine the appropriate useful lives. Depreciation is computed using a straight-line method over the estimated useful lives of the buildings and building improvements which are generally between 10 to 31 years.</w:t>
      </w:r>
    </w:p>
    <w:p>
      <w:pPr>
        <w:spacing w:after="0" w:line="21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continually monitors events and circumstances that could indicate that the carrying amount of its real estate investments may not be recoverable or realized. The factors considered by the Company in performing these assessments include evaluating whether the tenant is current on their lease payments, the tenant’s rent coverage ratio, the financial stability of the tenant and its parent company, and any other relevant factors. When indicators of potential impairment suggest that the carrying value of a real estate investment may not be recoverable, the Company estimates the fair value of the investment by calculating the undiscounted future cash flows from the use and eventual disposition of the investment. This amount is compared to the asset's carrying value. If the Company determines the carrying amount is not recoverable, it would recognize an impairment charge equivalent to the amount required to reduce the carrying value of the asset to its estimated fair value, calculated in accordance with GAAP. The Company groups its real estate investments together by lease, the lowest level for which identifiable cash flows are available, in evaluating impairment. In assessing the recoverability of the carrying value,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Used in Operations</w:t>
      </w:r>
    </w:p>
    <w:p>
      <w:pPr>
        <w:spacing w:after="0" w:line="28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represent assets used by the Company's TRS operations and certain corporate assets.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30" w:right="25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of property and equipment is recorded using the straight-line method over the following estimated useful lives: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years</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2140" w:type="dxa"/>
            <w:vAlign w:val="bottom"/>
          </w:tcPr>
          <w:p>
            <w:pPr>
              <w:jc w:val="right"/>
              <w:spacing w:after="0"/>
              <w:rPr>
                <w:sz w:val="20"/>
                <w:szCs w:val="20"/>
                <w:color w:val="auto"/>
              </w:rPr>
            </w:pPr>
            <w:r>
              <w:rPr>
                <w:rFonts w:ascii="Arial" w:cs="Arial" w:eastAsia="Arial" w:hAnsi="Arial"/>
                <w:sz w:val="18"/>
                <w:szCs w:val="18"/>
                <w:color w:val="auto"/>
              </w:rPr>
              <w:t>5 to 31 years</w:t>
            </w:r>
          </w:p>
        </w:tc>
      </w:tr>
      <w:tr>
        <w:trPr>
          <w:trHeight w:val="27"/>
        </w:trPr>
        <w:tc>
          <w:tcPr>
            <w:tcW w:w="37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31 years</w:t>
            </w:r>
          </w:p>
        </w:tc>
      </w:tr>
      <w:tr>
        <w:trPr>
          <w:trHeight w:val="27"/>
        </w:trPr>
        <w:tc>
          <w:tcPr>
            <w:tcW w:w="37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Leasehold improvements are depreciated over the shorter of the estimated useful life of the improvement or the related lease term. The estimated useful lives are determined based on the nature of the assets as well as the Company's current operating strategy.</w:t>
      </w:r>
    </w:p>
    <w:p>
      <w:pPr>
        <w:spacing w:after="0" w:line="2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reviews the carrying value of its property and equipment for possible impairment whenever events or changes in circumstances indicate that the carrying value of an asset may not be recoverable based upon the estimated undiscounted future cash flows expected to result from its use and eventual disposition. If the Company determines the carrying amount is not recoverable, it would recognize an impairment charge equivalent to the amount required to reduce the carrying value of the asset to its estimated fair value, calculated in accordance with GAAP. In estimating expected future cash flows for determining whether an asset is impaired, assets are grouped at the individual property level. In assessing the recoverability of the carrying value of property and equipment, the Company must make assumptions regarding future cash flows and other factors. The factors considered by the Company in performing this assessment include current operating results, market and other applicable trends and residual values, as well as the effect of obsolescence, demand, competition and other factors. If these estimates or the related assumptions change in the future, the Company may be required to record an impairment loss for these assets.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 and Other Loans Receivable</w:t>
      </w:r>
    </w:p>
    <w:p>
      <w:pPr>
        <w:spacing w:after="0" w:line="28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may periodically loan funds to casino owner-operators for the purchase of gaming related real estate and/or operations. Loans for the purchase of real estate assets of gaming-related properties are classified as real estate loans on the Company's consolidated balance sheets, while loans for an operator's general operations are classified as loans receivable on the Company's consolidated balance sheets. All loans receivable are recorded on the Company's consolidated balance sheets at carrying value which approximates fair value. Interest income related to real estate loans is recorded as interest income from real estate loans within the Company's consolidated statements of income in the period earned, whereas interest income related to other loans receivable is recorded as non-operating interest income within the Company's consolidated statements of income in the period earned.</w:t>
      </w:r>
    </w:p>
    <w:p>
      <w:pPr>
        <w:spacing w:after="0" w:line="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evaluates loans for impairment when it is probable that it will not be able to collect all amounts due according to the contractual terms of the agreement. All amounts due under the contractual terms of the agreement means that both contractual interest payments and contractual principal payments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24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The Company's adoption of Accounting Standards Update ("ASU") No. 2016-13, </w:t>
      </w:r>
      <w:r>
        <w:rPr>
          <w:rFonts w:ascii="Arial" w:cs="Arial" w:eastAsia="Arial" w:hAnsi="Arial"/>
          <w:sz w:val="18"/>
          <w:szCs w:val="18"/>
          <w:i w:val="1"/>
          <w:iCs w:val="1"/>
          <w:color w:val="auto"/>
        </w:rPr>
        <w:t>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("ASU 2016-13") on January 1, 2020 (as described in Note 3) did not result in the Company recording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allowances against its real estate loans for expected losses.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Assets and Lease Liabilities</w:t>
      </w:r>
    </w:p>
    <w:p>
      <w:pPr>
        <w:spacing w:after="0" w:line="28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determines whether a contract is or contains a lease at its inception. A lease is defined as the right to control the use of identified property, plant, or equipment for a period of time in exchange for consideration. Right-of-use assets and lease liabilities are recorded on the Company's consolidated balance sheet at the lease commencement date for operating leases in which the Company acts as lessee. Right-of-use assets represent the Company's rights to use underlying assets for the term of the lease and lease liabilities represent the Company's future obligations under the lease agreement. Right-of-use assets and lease liabilities are recognized at the lease commencement date based upon the estimated present value of the lease payments. As the rate implicit in the Company's leases (in which the Company acts as lessee) cannot readily be determined, the Company utilizes its own estimated incremental borrowing rates to determine the present value of its lease payments. Consideration is given to the Company's recent debt issuances, as well as publicly available data for instruments with similar characteristics, including tenor, when determining the incremental borrowing rates of the Company's leases.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30" w:right="25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includes options to extend a lease in its lease term when it is reasonably certain that the Company will exercise those renewal options. In the instance of the Company's ground leases associated with its tenant occupied properties, the Company has included all available renewal options in the lease term, as it intends to renew these leases indefinitely. The Company accounts for the lease and nonlease components (as necessary) of its leases of all classes of underlying assets as a single lease component. Leases with a term of 12 months or less are not recorded on the Company's consolidated balance sheet.</w:t>
      </w:r>
    </w:p>
    <w:p>
      <w:pPr>
        <w:spacing w:after="0" w:line="10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1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Right-of-use assets and land rights are monitored for potential impairment in much the same way as the Company's real estate assets, using the impairment model in ASC 360 -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If the Company determines the carrying amount of a right-of-use asset or land right is not recoverable, it would recognize an impairment charge equivalent to the amount required to reduce the carrying value of the asset to its estimated fair value, calculated in accordance with GAAP.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83"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considers all cash balances and highly-liquid investments with original maturities of three months or less to be cash and cash equivalents.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28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Prepaid expenses consist of expenditures for goods or services before the goods are used or the services are received. These amounts are deferred and charged to operations as the benefits are realized and primarily consist of prepayments for insurance, property taxes and other contracts that will be expensed during the subsequent year. It also includes transaction costs that will be allocated to purchase price upon the closing of an asset acquisition. Other assets primarily consists of accounts receivable and deferred compensation plan assets (See Note 11 for further details on the deferred compensation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8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The Company's goodwill and intangible assets are the result of the contribution of Hollywood Casino Baton Rouge and Hollywood Casino Perryville in connection with the Spin-Off. The Company's goodwill resides on the books of its Hollywood Casino Baton Rouge subsidiary, while the other intangible asset represents a gaming license on the books of its Hollywood Casino Perryville subsidiary. Both subsidiaries are members of the TRS Properties segment and are considered separate reporting units under ASC 350 -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Goodwill is tested at the reporting unit level, which is an operating segment or one level below an operating segment for which discrete financial information is available</w:t>
      </w:r>
    </w:p>
    <w:p>
      <w:pPr>
        <w:spacing w:after="0" w:line="22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ASC 350, the Company is required to test goodwill for impairment at least annually and whenever events or circumstances indicate that it is more likely than not that goodwill may be impaired. The Company has elected to perform its annual goodwill impairment test as of October 1 of each year. In accordance with ASC 350, the Company tests goodwill for impairment subsequent to testing its other long-lived assets for impairment.</w:t>
      </w:r>
    </w:p>
    <w:p>
      <w:pPr>
        <w:spacing w:after="0" w:line="22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ASC 350 prescribes a two-step goodwill impairment test, the first step which involves the determination of the fair value of each reporting unit and its comparison to the carrying amount. In order to determine the fair value of the Baton Rouge reporting unit, the Company utilizes a discounted cash flow model, which relies on projected EBITDA to determine the reporting unit's future cash flows. If the carrying amount exceeds the fair value in step 1, then step 2 of the impairment test is performed to determine the implied fair value of goodwill. If the implied fair value of goodwill is less than the goodwill allocated to the reporting unit, an impairment loss is recognized.</w:t>
      </w:r>
    </w:p>
    <w:p>
      <w:pPr>
        <w:spacing w:after="0" w:line="24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accordance with ASC 350, the Company considers its Hollywood Casino Perryville gaming license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30" w:right="2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calculates the fair value of its gaming license using the Greenfield Method under the income approach. The Greenfield Method estimates the fair value of the gaming license assuming the Company built a casino with similar utility to that of the existing facility. The method assumes a theoretical start-up company going into business without any assets other than the intangible asset being valued. As such the value of the license is a function of the following items:</w:t>
      </w:r>
    </w:p>
    <w:p>
      <w:pPr>
        <w:spacing w:after="0" w:line="24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Projected revenues and operating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Theoretical construction costs and duration;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Pre-opening expenses;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Discounting that reflects the level of risk associated with receiving future cash flows attributable to the license;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Remaining useful life of the license</w:t>
      </w:r>
    </w:p>
    <w:p>
      <w:pPr>
        <w:spacing w:after="0" w:line="27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evaluation of goodwill and indefinite-lived intangible assets requires the use of estimates about future operating results to determine the estimated fair value of the reporting unit and the indefinite-lived intangible assets. The Company must make various assumptions and estimates in performing its impairment testing. The implied fair value includes estimates of future cash flows that are based on reasonable and supportable assumptions, which represent the Company's best estimates of the cash flows expected to result from the use of the assets.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the Company's ongoing estimates of future cash flows are not met, the Company may have to record impairment charges in future accounting periods. The Company's estimates of cash flows are based on the current regulatory and economic climates, as well as recent operating information and budgets. These estimates could be negatively impacted by changes in federal, state or local regulations, economic downturns, or other events.</w:t>
      </w:r>
    </w:p>
    <w:p>
      <w:pPr>
        <w:spacing w:after="0" w:line="22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Forecasted cash flows can be significantly impacted by the local economy in which the Company's subsidiaries operate. For example, increases in unemployment rates can result in decreased customer visitations and/or lower customer spend per visit. In addition, new legislation which approves gaming in nearby jurisdictions or further expands gaming in jurisdictions in which the Company operates can result in increased competition for the property. This generally has a negative effect on profitability once competitors become established, as a certain level of cannibalization occurs absent an overall increase in customer visitations. Lastly, increases in gaming taxes approved by state regulatory bodies can negatively impact forecasted cash flows.</w:t>
      </w:r>
    </w:p>
    <w:p>
      <w:pPr>
        <w:spacing w:after="0" w:line="21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Assumptions and estimates about future cash flow levels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the Company's overall value but may be to the detriment of its existing operations.</w:t>
      </w:r>
    </w:p>
    <w:p>
      <w:pPr>
        <w:spacing w:after="0" w:line="24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The Company's adoption of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xml:space="preserve"> ("ASU 2017-04") on January 1, 2020 (as described in Note 3) is expected to simplify the analysis required under the Company's future goodwill impairment tests.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Bond Premiums and Discounts</w:t>
      </w:r>
    </w:p>
    <w:p>
      <w:pPr>
        <w:spacing w:after="0" w:line="28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Debt issuance costs that are incurred by the Company in connection with the issuance of debt are deferred and amortized to interest expense over the contractual term of the underlying indebtedness. In accordance with ASU 2015-03, </w:t>
      </w:r>
      <w:r>
        <w:rPr>
          <w:rFonts w:ascii="Arial" w:cs="Arial" w:eastAsia="Arial" w:hAnsi="Arial"/>
          <w:sz w:val="16"/>
          <w:szCs w:val="16"/>
          <w:i w:val="1"/>
          <w:iCs w:val="1"/>
          <w:color w:val="auto"/>
        </w:rPr>
        <w:t>Interest - Imputation of Interest (Subtopic 835-30):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Debt Issuance Costs, </w:t>
      </w:r>
      <w:r>
        <w:rPr>
          <w:rFonts w:ascii="Arial" w:cs="Arial" w:eastAsia="Arial" w:hAnsi="Arial"/>
          <w:sz w:val="16"/>
          <w:szCs w:val="16"/>
          <w:color w:val="auto"/>
        </w:rPr>
        <w:t>the Company records long-term debt net of unamortized debt issuance costs on its consolidated balance sheets.</w:t>
      </w:r>
      <w:r>
        <w:rPr>
          <w:rFonts w:ascii="Arial" w:cs="Arial" w:eastAsia="Arial" w:hAnsi="Arial"/>
          <w:sz w:val="16"/>
          <w:szCs w:val="16"/>
          <w:i w:val="1"/>
          <w:iCs w:val="1"/>
          <w:color w:val="auto"/>
        </w:rPr>
        <w:t xml:space="preserve"> </w:t>
      </w:r>
      <w:r>
        <w:rPr>
          <w:rFonts w:ascii="Arial" w:cs="Arial" w:eastAsia="Arial" w:hAnsi="Arial"/>
          <w:sz w:val="16"/>
          <w:szCs w:val="16"/>
          <w:color w:val="auto"/>
        </w:rPr>
        <w:t>Similarly, the Company records long-term debt net of any unamortized bond premiums and original issuance discounts on its consolidated balance sheets. Any original issuance discounts or bond premiums are also amortized to interest expense over the contractual term of the underlying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that prioritizes fair value measurements based on the types of inputs used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various valuation techniques (market approach, income approach, and cost approach). The levels of the hierarchy related to the subjectivity of the valuation inputs are described below:</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 as there is little, if any, related market activity.</w:t>
      </w:r>
    </w:p>
    <w:p>
      <w:pPr>
        <w:spacing w:after="0" w:line="225" w:lineRule="exact"/>
        <w:rPr>
          <w:sz w:val="20"/>
          <w:szCs w:val="20"/>
          <w:color w:val="auto"/>
        </w:rPr>
      </w:pPr>
    </w:p>
    <w:p>
      <w:pPr>
        <w:ind w:right="420" w:firstLine="357"/>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The Company recognizes rental revenue from tenants, including rental abatements, lease incentives and contractually fixed increases attributable to operating leases, on a straight-line basis over the term of the related leases when collectability is reasonably assured in accordance with ASC 842 - </w:t>
      </w:r>
      <w:r>
        <w:rPr>
          <w:rFonts w:ascii="Arial" w:cs="Arial" w:eastAsia="Arial" w:hAnsi="Arial"/>
          <w:sz w:val="17"/>
          <w:szCs w:val="17"/>
          <w:i w:val="1"/>
          <w:iCs w:val="1"/>
          <w:color w:val="auto"/>
        </w:rPr>
        <w:t>Leases</w:t>
      </w:r>
      <w:r>
        <w:rPr>
          <w:rFonts w:ascii="Arial" w:cs="Arial" w:eastAsia="Arial" w:hAnsi="Arial"/>
          <w:sz w:val="17"/>
          <w:szCs w:val="17"/>
          <w:color w:val="auto"/>
        </w:rPr>
        <w:t>. Additionally, percentage rent that is fixed and determinable at the lease inception date is recorded on a straight-line basis over the lease term, resulting in the recognition of deferred rental revenue on the Company’s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Additionally, in accordance with ASC 842, the Company records revenue for the ground lease rent paid by its tenants with an offsetting expense in land rights and ground lease expense within the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66"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Company may periodically loan funds to casino owner-operators for the purchase of gaming related real estate. Interest income related to real estate loans is recorded as revenue from real estate within the Company's consolidated statements of income in the period earned.</w:t>
      </w:r>
    </w:p>
    <w:p>
      <w:pPr>
        <w:spacing w:after="0" w:line="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Gaming revenue is recognized net of certain sales incentives, including promotional allowances in accordance with ASC 606 - </w:t>
      </w:r>
      <w:r>
        <w:rPr>
          <w:rFonts w:ascii="Arial" w:cs="Arial" w:eastAsia="Arial" w:hAnsi="Arial"/>
          <w:sz w:val="16"/>
          <w:szCs w:val="16"/>
          <w:i w:val="1"/>
          <w:iCs w:val="1"/>
          <w:color w:val="auto"/>
        </w:rPr>
        <w:t>Revenues from Contracts with Customers</w:t>
      </w:r>
      <w:r>
        <w:rPr>
          <w:rFonts w:ascii="Arial" w:cs="Arial" w:eastAsia="Arial" w:hAnsi="Arial"/>
          <w:sz w:val="16"/>
          <w:szCs w:val="16"/>
          <w:color w:val="auto"/>
        </w:rPr>
        <w:t>. The Company also defers a portion of the revenue received from customers (who participate in the points-based loyalty programs) at the time of play until a later period when the points are redeemed or forfeited. Other revenues at the TRS Properties are derived from the properties' dining, retail and certain other ancillary activities and revenue for these activities is recognized as services are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Amended 2013 Long Term Incentive Compensation Plan (the "2013 Plan") provides for the Company to issue restricted stock awards, including performance-based restricted stock awards, and other equity or cash based awards to employees. Any director, employee or consultant shall be eligible to receive such awards.</w:t>
      </w:r>
    </w:p>
    <w:p>
      <w:pPr>
        <w:spacing w:after="0" w:line="1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Company accounts for stock compensation under ASC 718 -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grant. The Company utilizes a third-party valuation firm to measure the fair value of performance-based restricted stock awards at grant date using the Monte Carlo model.</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unrecognized compensation cost relating to restricted stock awards and performance-based restricted stock awards is recognized as expense over the awards’ remaining vesting periods.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for further information related to stock-based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TRS Properties are able to engage in activities resulting in income that would not be qualifying income for a REIT. As a result, certain activities of the Company which occur within its TRS Properties are subject to federal and state income taxes.</w:t>
      </w:r>
    </w:p>
    <w:p>
      <w:pPr>
        <w:spacing w:after="0" w:line="22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Under ASC 740, deferred tax assets and liabilities are determined based on the differences between the 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 likely than not that some portion or all of the deferred tax assets will not be realized. The realizability of the deferred tax assets is evaluated by assessing the valuation allowance and by adjusting the amount of the allowance, if any, as necessary. The factors used to assess the likelihood of realization are the forecast of future taxable income.</w:t>
      </w:r>
    </w:p>
    <w:p>
      <w:pPr>
        <w:spacing w:after="0" w:line="23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The Company did not have any uncertain tax positions for the three years ended December 31, 2019.</w:t>
      </w:r>
    </w:p>
    <w:p>
      <w:pPr>
        <w:spacing w:after="0" w:line="20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 is required under ASC 740 to disclose its accounting policy for classifying interest and penalties, the amount of interest and penalties charged to expense each period, as well as the cumulative amounts recorded in the consolidated balance sheets. If and when they occur, the Company will classify any income tax-related penalties and interest accrued related to unrecognized tax benefits in taxes on income within the consolidated statements of income. During the years ended December 31, 2019, 2018 and 2017, the Company recognized no penalties and interest, net of deferred income taxes.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elected on its U.S. federal income tax return for its taxable year that began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The Company continues to be organized and to operate in a manner that will permit the Company to qualify as a REIT. To qualify as a REIT, the Company must meet certain organizational and operational requirements, including a requirement to distribute at least 90% of its annual REIT taxable income to shareholders. As a REIT, the Company generally will not be subject to federal, state or local income tax on income that it distributes as dividends to its shareholders, except in those jurisdictions that do not allow a deduction for such distributions. If the Company fails to qualify as a REIT in any taxable year, it will be subject to U.S. federal, state and local income tax, including any applicable alternative minimum tax, on its taxable income at regular corporate income tax rates, and dividends paid to its shareholders would not be deductible by the Company in computing taxable income. Any resulting corporate liability could be substantial and could materially and adversely affect the Company's net income and net cash available for distribution to shareholders. Unless the Company was entitled to relief under certain Internal Revenue Code provisions, the Company also would be disqualified from re-electing to be taxed as a REIT for the 4 taxable years following the year in which it failed to qualify to be taxed as a REIT.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The Company calculates earnings per share ("EPS") in accordance with ASC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See Note 15 for further details on the Company's earnings per share calculations.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 xml:space="preserve">Consistent with how the Company’s Chief Operating Decision Maker (as such term is defined in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reviews and assesses the Company’s financial performance, the Company has two reportable segments, GLP Capital, L.P. (a wholly-owned subsidiary of GLPI through which GLPI owns substantially all of its real estate assets) and the TRS Properties. The GLP Capital reportable segment consists of the leased real property and represents the majority of the Company’s business. The TRS Properties reportable segment consists of Hollywood Casino Perryville and Hollywood Casino Baton Rouge. See Note 17 for further information with respect to the Company’s segments.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3"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Concentrations of credit risk arise when a number of operators, tenants, or obligors related to the Company's investments are engaged in similar business activities, or activities in the same geographic region, or have similar economic features that would cause their ability to meet contractual obligations, including those to the Company, to be similarly affected by changes in economic conditions. Additionally, concentrations of credit risk may arise when revenues of the Company are derived from a small number of tenants. As of December 31, 2019, substantially all of the Company's real estate properties were leased to Penn, Eldorado and Boyd. During the year ended December 31, 2019, approximately 79%, 11% and 9% of the Company's collective income from real estate was derived from tenant leases and real estate loans with Penn, Eldorado and Boyd, respectively. Revenues from our tenants are reported in the Company's GLP Capital, L.P. reportable segment. Penn, Eldorado and Boyd are publicly traded companies that are subject to the informational filing requirements of the Securities Exchange Act of 1934, as amended, and are required to file periodic reports on Form 10-K and Form 10-Q and current reports on Form 8-K with the Securities and Exchange Commission ("SEC"). Readers are directed to Penn, Eldorado and Boyd's respective websites for further financial information on these companies. Other than the Company's tenant concentration, management believes the Company's portfolio was reasonably diversified by geographical location and did not contain any other significant concentrations of credit risk. As of December 31, 2019, the Company's portfolio of 44 properties is diversified by location across 16 states.</w:t>
      </w:r>
    </w:p>
    <w:p>
      <w:pPr>
        <w:spacing w:after="0" w:line="23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Financial instruments that subject the Company to credit risk consist of cash and cash equivalents, accounts receivable, real estate loans and other loans 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At times, the Company has bank deposits and overnight repurchase agreements that exceed federally-insured limits.</w:t>
      </w:r>
    </w:p>
    <w:p>
      <w:pPr>
        <w:spacing w:after="0" w:line="8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This ASU primarily provides new guidance for lessees on the accounting treatment of operating leases. Under the new guidance, lessees are required to recognize assets and liabilities arising from operating leases on the balance sheet. ASU 2016-02 also aligns lessor accounting with the revenue recognition guidance in Topic 606 of the Accounting Standards Codification. Generally speaking, ASU 2016-02 more significantly impacted the accounting for leases in which GLPI is the lessee by requiring the Company to record a right-of-use asset and lease liability on its consolidated balance sheet for these leases. The Company's accounting treatment of its triple-net tenant leases, which are the primary source of revenues to the Company, were not significantly impacted by the adoption of ASU 2016-02, other than to eliminate the real estate tax gross-up discussed below.</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permits companies to apply the transition provisions of ASU 2016-02 at its effective date (i.e. comparative financial statements are not required). Furthermore, in December 2018, the FASB issued ASU No. 2018-20, </w:t>
      </w:r>
      <w:r>
        <w:rPr>
          <w:rFonts w:ascii="Arial" w:cs="Arial" w:eastAsia="Arial" w:hAnsi="Arial"/>
          <w:sz w:val="17"/>
          <w:szCs w:val="17"/>
          <w:i w:val="1"/>
          <w:iCs w:val="1"/>
          <w:color w:val="auto"/>
        </w:rPr>
        <w:t>Leases (Topic 842): Narrow Scope Improvements for Lessors</w:t>
      </w:r>
      <w:r>
        <w:rPr>
          <w:rFonts w:ascii="Arial" w:cs="Arial" w:eastAsia="Arial" w:hAnsi="Arial"/>
          <w:sz w:val="17"/>
          <w:szCs w:val="17"/>
          <w:color w:val="auto"/>
        </w:rPr>
        <w:t xml:space="preserve"> ("ASU 2018-20"). ASU 2018-20 clarifies that lessor costs paid directly to a third-party by a lessee on behalf of the lessor are no longer required to be recognized in the lessor's financial statements. Therefore, upon the adoption of ASU 2016-02, the Company no longer grosses-up its financial statements for real estate taxes paid directly to third-parties by its tenants. The Company notes, however, that ground leases for which the tenant pays the landlord directly on the Company's behalf are still required to be grossed-up within its consolidated financial statements upon the adoption of ASU 2016-02 as these are not considered lessor costs. On January 1, 2019, the Company adopted ASU 2016-02 using the new transition option available under ASU 2018-11 and recorded right-of-use assets and related lease liabilities of $203 million on its consolidated balance sheet to represent its rights to underlying assets and its future lease obligations. Also in connection with the adoption of ASC 842 - </w:t>
      </w:r>
      <w:r>
        <w:rPr>
          <w:rFonts w:ascii="Arial" w:cs="Arial" w:eastAsia="Arial" w:hAnsi="Arial"/>
          <w:sz w:val="17"/>
          <w:szCs w:val="17"/>
          <w:i w:val="1"/>
          <w:iCs w:val="1"/>
          <w:color w:val="auto"/>
        </w:rPr>
        <w:t xml:space="preserve">Leases </w:t>
      </w:r>
      <w:r>
        <w:rPr>
          <w:rFonts w:ascii="Arial" w:cs="Arial" w:eastAsia="Arial" w:hAnsi="Arial"/>
          <w:sz w:val="17"/>
          <w:szCs w:val="17"/>
          <w:color w:val="auto"/>
        </w:rPr>
        <w:t>("ASC 842"), the land rights recorded on balance sheet in conjunction with the Company's assumption of below market leases at the time it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land and building assets are now required to be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reported in the aggregate with the Company's operating lease right-of-use assets, reflected as right-of-use assets and land rights, net on the consolidated balance sheet. Furthermore, the Company elected the package of practical expedients, which among other things, did not require the Company to reassess the lease classification of its existing leases and the practical expedient related to land easements, which allowed the Company to bypass the reassessment of existing or expired land easements for the existence of a lease under ASC 842. See Note 7 for further disclosures related to the adoption of ASU 2016-02.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 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 (a consensus of the FASB Emerging Issues Task Force</w:t>
      </w:r>
      <w:r>
        <w:rPr>
          <w:rFonts w:ascii="Arial" w:cs="Arial" w:eastAsia="Arial" w:hAnsi="Arial"/>
          <w:sz w:val="17"/>
          <w:szCs w:val="17"/>
          <w:color w:val="auto"/>
        </w:rPr>
        <w:t>) ("ASU 2018-15"). This ASU clarifies that entities should follow the guidance for capitalizing implementation costs incurred to develop or obtain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internal-use software to account for implementation costs of cloud computing arrangements that are service contracts. ASU 2018-15 does not change the accounting for the service component of a cloud computing arrangement. The Company adopted ASU 2018-15 on January 1, 2020 and does not expect the adoption of ASU 2018-15 to have a significant impact on its consolidated financial statements.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January 2017, the FASB issued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The Company adopted ASU 2017-04 on January 1, 2020 and expects the new guidance to simplify the analysis required under its future goodwill impairment tests.</w:t>
      </w:r>
    </w:p>
    <w:p>
      <w:pPr>
        <w:spacing w:after="0" w:line="165"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In June 2016, the FASB issued ASU No. 2016-13. This ASU introduces a new model for estimating credit losses for certain types of financial instruments, including mortgage, real estate and other loans receivable,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The Company adopted ASU 2016-13 on January 1, 2020 and did not record any allowances against its financial instruments subject to the new guidance.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 investments in 42 rental properties and the corporate headquarters building and is summarized as follows:</w:t>
      </w:r>
    </w:p>
    <w:p>
      <w:pPr>
        <w:spacing w:after="0" w:line="38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196"/>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2,552,285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2,552,475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5,749,211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5,762,071</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real estate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8,301,496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8,314,546</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(983,086)</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7,100,555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7,331,460</w:t>
            </w:r>
          </w:p>
        </w:tc>
      </w:tr>
      <w:tr>
        <w:trPr>
          <w:trHeight w:val="20"/>
        </w:trPr>
        <w:tc>
          <w:tcPr>
            <w:tcW w:w="6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June 30, 2019, the Resorts Casino Tunica property was closed by the Company's tenant, resulting in the acceleration of $10.3 million of depreciation expense related to the building at this property. The net book value of this building is zero at December 31, 2019. The Company entered into an agreement to terminate the long-term ground lease for this property, which will be effective in February 2020, at which time such ground lease will be removed from the Penn Master Lease.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30" w:right="29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at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30,431</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116,776</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117,247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284</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264,738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(163,854)</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94,080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100,884</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20" w:firstLine="8"/>
        <w:spacing w:after="0" w:line="566" w:lineRule="auto"/>
        <w:tabs>
          <w:tab w:leader="none" w:pos="18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Receivables Real Estate Loans</w:t>
      </w:r>
    </w:p>
    <w:p>
      <w:pPr>
        <w:spacing w:after="0" w:line="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At December 31, 2019, the Company has two loans, the proceeds of which were used to acquire real estate by the respective casino owner-operators. On October 1, 2018, Eldorado purchased the real estate assets of Lumière Place Casino and Hotel from Tropicana for a cash purchase price of $246.0 million, exclusive of transaction fees. Financing for the transaction was provided by the Company in the form of $246.0 million real estate loan (the "Eldorado Loan"). The Eldorado Loan bears interest at a rate equal to (i) 9.09% until October 1, 2019 and (ii) 9.27% until its maturity. On the one-year anniversary of the Eldorado Loan, the mortgage evidenced by a deed of trust on the Lumière Place property terminated and the loan became unsecured and will remain unsecured until its final maturity on the two-year anniversary of the closing. The parties anticipate that the Eldorado Loan will be fully repaid on or prior to maturity by way of substitution of one or more additional Eldorado properties acceptable to Eldorado and the Company, which will be transferred to the Company and added to the Eldorado Master Lease.</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October 15, 2018, Boyd purchased the real estate assets of Belterra Park from Pinnacle for a cash purchase price of $57.7 million, exclusive of transaction fees. Financing for the transaction was provided by the Company in the form of $57.7 million secured mortgage loan on Belterra Park (the "Belterra Park Loan"). The Belterra Park Loan's initial interest rate was equal to 11.11% and the loan matures in connection with the expiration of the Boyd Master Lease (as may be extended at the tenant's option to April 30, 2051). At December 31, 2019, the interest rate on the Belterra Park Loan had increased to 11.20%.</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December 31, 2019, the Company does not have any allowances recorded against its real estate loans as the collection of the remaining principal and interest payments is reasonable assured.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Loans Receivable</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January 2014, the Company completed the asset acquisition of the real property associated with the Casino Queen in East St. Louis, Illinois. GLPI leases the property back to Casino Queen on a triple-net basis on terms similar to those in the Company's existing master leases. The lease has an initial term of 15 years and the tenant has an option to renew it at the same terms and conditions for four successive 5-year periods (the "Casino Queen Lease").</w:t>
      </w:r>
    </w:p>
    <w:p>
      <w:pPr>
        <w:spacing w:after="0" w:line="14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5.5-year term loan (the "Casino Queen Loan") to CQ Holding Company, Inc., an affiliate of Casino Queen ("CQ Holding Company"), to partially finance its acquisition of Lady Luck Casino in Marquette, Iowa. The Casino Queen Loan bears an interest rate of 15% and is pre-payable at any time.</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June 12, 2018, the Company received a Notice of Event of Default under the senior credit agreement of CQ Holding Company from the secured lender under such agreement, which reported a covenant default under its senior secured agreement. Under the terms of that agreement, when an event of default occurs, CQ Holding Company is prohibited from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making cash payments to unsecured lenders such as GLPI. Therefore, beginning in June 2018 and through December 31, 2019, the interest due from CQ Holding Company under the Company's unsecured loan was paid in kind. In addition to the covenant violation noted above under its senior credit agreement, CQ Holding Company also had a payment default under the senior credit agreement. Furthermore, the Company notified Casino Queen of events of default under the Company's unsecured loan with CQ Holding Company, related to financial covenant violations during the year ended December 31, 2018.</w:t>
      </w:r>
    </w:p>
    <w:p>
      <w:pPr>
        <w:spacing w:after="0" w:line="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December 31, 2018, active negotiations for the sale of Casino Queen's operations were taking place. Despite the payment and covenant defaults noted above, at that time, full payment of the principal was still expected, due to the anticipation that the operations were to be sold in the near term for an amount allowing for repayment of the full $13.0 million of loan principal due to GLPI. However, the paid-in-kind interest due to the Company at December 31, 2018 was not expected to be collected, resulting in an impairment charge of $1.5 million during the fourth quarter of 2018.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w:t>
      </w:r>
    </w:p>
    <w:p>
      <w:pPr>
        <w:spacing w:after="0" w:line="10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2019, the operating results of Casino Queen continued to decline, the secured debt of Casino Queen was sold to a third-party casino operator at a discount and the Company no longer expected the loan to be repaid. Thus, because the Company did not expect Casino Queen to be able to repay the $13.0 million of principal due to the Company under the Casino Queen Loan, the full $13.0 million of principal was written off at March 31, 2019. The Company has recorded an impairment charge of $13.0 million through the consolidated statement of income for the year ended December 31, 2019 to reflect the write-off of the Casino Queen Loan.</w:t>
      </w:r>
    </w:p>
    <w:p>
      <w:pPr>
        <w:spacing w:after="0" w:line="10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At December 31, 2019, all lease payments due from Casino Queen remain current, however Casino Queen was in violation of the rent coverage ratio required under its lease with the Company and the Company provided notice and a reservation of rights to Casino Queen and its secured lenders of such default.</w:t>
      </w:r>
    </w:p>
    <w:p>
      <w:pPr>
        <w:spacing w:after="0" w:line="177" w:lineRule="exact"/>
        <w:rPr>
          <w:sz w:val="20"/>
          <w:szCs w:val="20"/>
          <w:color w:val="auto"/>
        </w:rPr>
      </w:pPr>
    </w:p>
    <w:p>
      <w:pPr>
        <w:ind w:right="8600" w:firstLine="8"/>
        <w:spacing w:after="0" w:line="503" w:lineRule="auto"/>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Lease Assets and Lease Liabilities Lease Assets</w:t>
      </w:r>
    </w:p>
    <w:p>
      <w:pPr>
        <w:spacing w:after="0" w:line="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consolidated financial statements for these ground leases as the Company is considered the primary obligor. In conjunction with the adoption of ASU 2016-02 on January 1, 2019, the Company recorded right-of-use assets and related lease liabilities on its consolidated balance sheet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consolidated balance sheet in conjunction with the Company's assumption of below market leases at the time it acquired the related land and building assets, the Company is required to report the right-of-use assets and land rights in the aggregate on the consolidated balance sheet.</w:t>
      </w:r>
    </w:p>
    <w:p>
      <w:pPr>
        <w:spacing w:after="0" w:line="16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the Company's right-of use assets and land rights, net are detailed below (in thousands):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Right-of use assets - operating leases</w:t>
            </w:r>
          </w:p>
        </w:tc>
        <w:tc>
          <w:tcPr>
            <w:tcW w:w="2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184,063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rights, net</w:t>
            </w:r>
          </w:p>
        </w:tc>
        <w:tc>
          <w:tcPr>
            <w:tcW w:w="2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654,671</w:t>
            </w:r>
          </w:p>
        </w:tc>
        <w:tc>
          <w:tcPr>
            <w:tcW w:w="0" w:type="dxa"/>
            <w:vAlign w:val="bottom"/>
          </w:tcPr>
          <w:p>
            <w:pPr>
              <w:spacing w:after="0"/>
              <w:rPr>
                <w:sz w:val="1"/>
                <w:szCs w:val="1"/>
                <w:color w:val="auto"/>
              </w:rPr>
            </w:pPr>
          </w:p>
        </w:tc>
      </w:tr>
      <w:tr>
        <w:trPr>
          <w:trHeight w:val="257"/>
        </w:trPr>
        <w:tc>
          <w:tcPr>
            <w:tcW w:w="3320" w:type="dxa"/>
            <w:vAlign w:val="bottom"/>
          </w:tcPr>
          <w:p>
            <w:pPr>
              <w:ind w:left="40"/>
              <w:spacing w:after="0"/>
              <w:rPr>
                <w:sz w:val="20"/>
                <w:szCs w:val="20"/>
                <w:color w:val="auto"/>
              </w:rPr>
            </w:pPr>
            <w:r>
              <w:rPr>
                <w:rFonts w:ascii="Arial" w:cs="Arial" w:eastAsia="Arial" w:hAnsi="Arial"/>
                <w:sz w:val="18"/>
                <w:szCs w:val="18"/>
                <w:color w:val="auto"/>
              </w:rPr>
              <w:t>Right-of-use assets and land rights, net</w:t>
            </w:r>
          </w:p>
        </w:tc>
        <w:tc>
          <w:tcPr>
            <w:tcW w:w="25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838,734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20" w:type="dxa"/>
            <w:vAlign w:val="bottom"/>
            <w:vMerge w:val="restart"/>
          </w:tcPr>
          <w:p>
            <w:pPr>
              <w:jc w:val="right"/>
              <w:ind w:right="1750"/>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30" w:right="2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June 30, 2019, the Resorts Casino Tunica property was closed by the Company's tenant, resulting in the acceleration of $6.3 million of land right amortization expense related to the long-term ground lease at this property and bringing the net book value of this land right to zero at December 31, 2019. Subsequent to the property's closure, the Company entered into an agreement to terminate the long-term ground lease for the Resorts Casino Tunica property, which will be effective in February 2020. In connection with the exercised termination option, the Company remeasured the lease liability and adjusted the right-of-use asset it had recorded on its consolidated balance sheet for this lease to align with the new termination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Rights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the related ground lease, including all renewal options, which ranged from 10 years to 92 years at their respective acquisition dates. Land rights net, consist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694,077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700,997</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(27,790)</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654,671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673,207</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2019, estimated future amortization expense related to the Company’s land rights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88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2060" w:type="dxa"/>
            <w:vAlign w:val="bottom"/>
            <w:gridSpan w:val="3"/>
          </w:tcPr>
          <w:p>
            <w:pPr>
              <w:ind w:left="44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5880" w:type="dxa"/>
            <w:vAlign w:val="bottom"/>
            <w:gridSpan w:val="6"/>
          </w:tcPr>
          <w:p>
            <w:pPr>
              <w:ind w:left="2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594,266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588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654,671</w:t>
            </w:r>
          </w:p>
        </w:tc>
        <w:tc>
          <w:tcPr>
            <w:tcW w:w="0" w:type="dxa"/>
            <w:vAlign w:val="bottom"/>
          </w:tcPr>
          <w:p>
            <w:pPr>
              <w:spacing w:after="0"/>
              <w:rPr>
                <w:sz w:val="1"/>
                <w:szCs w:val="1"/>
                <w:color w:val="auto"/>
              </w:rPr>
            </w:pPr>
          </w:p>
        </w:tc>
      </w:tr>
      <w:tr>
        <w:trPr>
          <w:trHeight w:val="20"/>
        </w:trPr>
        <w:tc>
          <w:tcPr>
            <w:tcW w:w="630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Lease Liabilities</w:t>
            </w: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300" w:type="dxa"/>
            <w:vAlign w:val="bottom"/>
            <w:gridSpan w:val="7"/>
            <w:vMerge w:val="continue"/>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9"/>
          </w:tcPr>
          <w:p>
            <w:pPr>
              <w:jc w:val="right"/>
              <w:ind w:right="1390"/>
              <w:spacing w:after="0"/>
              <w:rPr>
                <w:sz w:val="20"/>
                <w:szCs w:val="20"/>
                <w:color w:val="auto"/>
              </w:rPr>
            </w:pPr>
            <w:r>
              <w:rPr>
                <w:rFonts w:ascii="Arial" w:cs="Arial" w:eastAsia="Arial" w:hAnsi="Arial"/>
                <w:sz w:val="18"/>
                <w:szCs w:val="18"/>
                <w:color w:val="auto"/>
                <w:w w:val="93"/>
              </w:rPr>
              <w:t>At December 31, 2019, maturities of the Company's operating lease liabilities were as follows (in thousands):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14,071</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6"/>
          </w:tcPr>
          <w:p>
            <w:pPr>
              <w:ind w:left="2520"/>
              <w:spacing w:after="0"/>
              <w:rPr>
                <w:sz w:val="20"/>
                <w:szCs w:val="20"/>
                <w:color w:val="auto"/>
              </w:rPr>
            </w:pPr>
            <w:r>
              <w:rPr>
                <w:rFonts w:ascii="Arial" w:cs="Arial" w:eastAsia="Arial" w:hAnsi="Arial"/>
                <w:sz w:val="18"/>
                <w:szCs w:val="18"/>
                <w:color w:val="auto"/>
              </w:rPr>
              <w:t>2021</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13,766</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13,659</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6"/>
          </w:tcPr>
          <w:p>
            <w:pPr>
              <w:ind w:left="2520"/>
              <w:spacing w:after="0"/>
              <w:rPr>
                <w:sz w:val="20"/>
                <w:szCs w:val="20"/>
                <w:color w:val="auto"/>
              </w:rPr>
            </w:pPr>
            <w:r>
              <w:rPr>
                <w:rFonts w:ascii="Arial" w:cs="Arial" w:eastAsia="Arial" w:hAnsi="Arial"/>
                <w:sz w:val="18"/>
                <w:szCs w:val="18"/>
                <w:color w:val="auto"/>
              </w:rPr>
              <w:t>2023</w:t>
            </w:r>
          </w:p>
        </w:tc>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13,638</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gridSpan w:val="2"/>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13,617</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644,059</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712,810</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0" w:type="dxa"/>
            <w:vAlign w:val="bottom"/>
            <w:gridSpan w:val="3"/>
          </w:tcPr>
          <w:p>
            <w:pPr>
              <w:ind w:left="20"/>
              <w:spacing w:after="0"/>
              <w:rPr>
                <w:sz w:val="20"/>
                <w:szCs w:val="20"/>
                <w:color w:val="auto"/>
              </w:rPr>
            </w:pPr>
            <w:r>
              <w:rPr>
                <w:rFonts w:ascii="Arial" w:cs="Arial" w:eastAsia="Arial" w:hAnsi="Arial"/>
                <w:sz w:val="18"/>
                <w:szCs w:val="18"/>
                <w:color w:val="auto"/>
              </w:rPr>
              <w:t>Less: interest</w:t>
            </w:r>
          </w:p>
        </w:tc>
        <w:tc>
          <w:tcPr>
            <w:tcW w:w="10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(528,839)</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183,971</w:t>
            </w: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a result of transitioning from the guidance in ASC 840 to ASC 842, the Company's annual minimum lease payments did not change.</w:t>
      </w:r>
    </w:p>
    <w:p>
      <w:pPr>
        <w:sectPr>
          <w:pgSz w:w="11900" w:h="16838" w:orient="portrait"/>
          <w:cols w:equalWidth="0" w:num="1">
            <w:col w:w="11400"/>
          </w:cols>
          <w:pgMar w:left="240" w:top="1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130" w:right="25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Expense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Operating lease costs represent the entire amount of expense recognized for operating leases that are recorded on the consolidated balance sheet.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34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3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9,048</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Amortization of land right assets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18,536</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44,126</w:t>
            </w:r>
          </w:p>
        </w:tc>
      </w:tr>
      <w:tr>
        <w:trPr>
          <w:trHeight w:val="20"/>
        </w:trPr>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Amortization expense related to the land right intangibles, as well as variable lease costs and the majority of the Company's operating lease costs are recorded within land rights and ground lease expense in the consolidated statements of income. The Company's short-term lease costs are recorded in both gaming, food, beverage and other expense and general and administrative expense in the consolidated statements of income, while a small portion of operating lease costs is also recorded in both gaming, food, beverage and other expense and general and administrative expense in the consolidated statements of income. Amortization expense related to the land right intangibles totaled $11.3 million and $10.4 million, respectively, for the years ended December 31, 2018 and 2017. Other lease costs totaled $18.9 million and $15.8 million, respectively, for the years ended December 31, 2018 and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Related to 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the Company's operating leases was as follows:</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243"/>
        </w:trPr>
        <w:tc>
          <w:tcPr>
            <w:tcW w:w="1140" w:type="dxa"/>
            <w:vAlign w:val="bottom"/>
          </w:tcPr>
          <w:p>
            <w:pPr>
              <w:spacing w:after="0"/>
              <w:rPr>
                <w:sz w:val="21"/>
                <w:szCs w:val="21"/>
                <w:color w:val="auto"/>
              </w:rPr>
            </w:pPr>
          </w:p>
        </w:tc>
        <w:tc>
          <w:tcPr>
            <w:tcW w:w="5880" w:type="dxa"/>
            <w:vAlign w:val="bottom"/>
            <w:gridSpan w:val="2"/>
          </w:tcPr>
          <w:p>
            <w:pPr>
              <w:ind w:left="40"/>
              <w:spacing w:after="0"/>
              <w:rPr>
                <w:sz w:val="20"/>
                <w:szCs w:val="20"/>
                <w:color w:val="auto"/>
              </w:rPr>
            </w:pPr>
            <w:r>
              <w:rPr>
                <w:rFonts w:ascii="Arial" w:cs="Arial" w:eastAsia="Arial" w:hAnsi="Arial"/>
                <w:sz w:val="18"/>
                <w:szCs w:val="18"/>
                <w:color w:val="auto"/>
              </w:rPr>
              <w:t>Weighted average remaining lease term - operating leases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ind w:left="360"/>
              <w:spacing w:after="0"/>
              <w:rPr>
                <w:sz w:val="20"/>
                <w:szCs w:val="20"/>
                <w:color w:val="auto"/>
              </w:rPr>
            </w:pPr>
            <w:r>
              <w:rPr>
                <w:rFonts w:ascii="Arial" w:cs="Arial" w:eastAsia="Arial" w:hAnsi="Arial"/>
                <w:sz w:val="18"/>
                <w:szCs w:val="18"/>
                <w:color w:val="auto"/>
              </w:rPr>
              <w:t>53.51 years</w:t>
            </w:r>
          </w:p>
        </w:tc>
      </w:tr>
      <w:tr>
        <w:trPr>
          <w:trHeight w:val="27"/>
        </w:trPr>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140" w:type="dxa"/>
            <w:vAlign w:val="bottom"/>
          </w:tcPr>
          <w:p>
            <w:pPr>
              <w:spacing w:after="0"/>
              <w:rPr>
                <w:sz w:val="21"/>
                <w:szCs w:val="21"/>
                <w:color w:val="auto"/>
              </w:rPr>
            </w:pPr>
          </w:p>
        </w:tc>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rPr>
              <w:t>6.7%</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648"/>
        </w:trPr>
        <w:tc>
          <w:tcPr>
            <w:tcW w:w="7020" w:type="dxa"/>
            <w:vAlign w:val="bottom"/>
            <w:gridSpan w:val="3"/>
          </w:tcPr>
          <w:p>
            <w:pPr>
              <w:spacing w:after="0"/>
              <w:rPr>
                <w:sz w:val="20"/>
                <w:szCs w:val="20"/>
                <w:color w:val="auto"/>
              </w:rPr>
            </w:pPr>
            <w:r>
              <w:rPr>
                <w:rFonts w:ascii="Arial" w:cs="Arial" w:eastAsia="Arial" w:hAnsi="Arial"/>
                <w:sz w:val="18"/>
                <w:szCs w:val="18"/>
                <w:color w:val="auto"/>
                <w:w w:val="93"/>
              </w:rPr>
              <w:t>Supplemental cash flow information related to the Company's operating leases was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8"/>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December 31, 2019</w:t>
            </w:r>
          </w:p>
        </w:tc>
        <w:tc>
          <w:tcPr>
            <w:tcW w:w="4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leases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4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5"/>
                <w:szCs w:val="25"/>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2,226</w:t>
            </w:r>
          </w:p>
        </w:tc>
        <w:tc>
          <w:tcPr>
            <w:tcW w:w="420" w:type="dxa"/>
            <w:vAlign w:val="bottom"/>
          </w:tcPr>
          <w:p>
            <w:pPr>
              <w:spacing w:after="0"/>
              <w:rPr>
                <w:sz w:val="23"/>
                <w:szCs w:val="23"/>
                <w:color w:val="auto"/>
              </w:rPr>
            </w:pPr>
          </w:p>
        </w:tc>
      </w:tr>
      <w:tr>
        <w:trPr>
          <w:trHeight w:val="297"/>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43"/>
        </w:trPr>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tcPr>
          <w:p>
            <w:pPr>
              <w:spacing w:after="0"/>
              <w:rPr>
                <w:sz w:val="2"/>
                <w:szCs w:val="2"/>
                <w:color w:val="auto"/>
              </w:rPr>
            </w:pPr>
          </w:p>
        </w:tc>
      </w:tr>
    </w:tbl>
    <w:p>
      <w:pPr>
        <w:spacing w:after="0" w:line="202" w:lineRule="exact"/>
        <w:rPr>
          <w:sz w:val="20"/>
          <w:szCs w:val="20"/>
          <w:color w:val="auto"/>
        </w:rPr>
      </w:pPr>
    </w:p>
    <w:p>
      <w:pPr>
        <w:ind w:right="160" w:firstLine="656"/>
        <w:spacing w:after="0" w:line="292" w:lineRule="auto"/>
        <w:tabs>
          <w:tab w:leader="none" w:pos="827" w:val="left"/>
        </w:tabs>
        <w:numPr>
          <w:ilvl w:val="1"/>
          <w:numId w:val="44"/>
        </w:numPr>
        <w:rPr>
          <w:rFonts w:ascii="Arial" w:cs="Arial" w:eastAsia="Arial" w:hAnsi="Arial"/>
          <w:sz w:val="20"/>
          <w:szCs w:val="20"/>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financial statements under ASC 842.</w:t>
      </w:r>
    </w:p>
    <w:p>
      <w:pPr>
        <w:spacing w:after="0" w:line="16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 The only goodwill of the Company is the goodwill recorded on the books of Hollywood Casino Baton Rouge, in connection with Penn's purchase of this entity prior to the Spin-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Off. The original assets and liabilities of GLPI, including goodwill and intangible assets were recorded at their respective historical carrying values at the time of the Spin-Off in accordance with the provisions of ASC 505. There is no goodwill recorded on the Company's GLP Capital segment, which holds the Company's REIT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amount of goodwill for the years ended December 31, 2019 and 2018 are as follows:</w:t>
      </w:r>
    </w:p>
    <w:p>
      <w:pPr>
        <w:spacing w:after="0" w:line="3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TRS Properties Business</w:t>
            </w:r>
          </w:p>
        </w:tc>
      </w:t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1"/>
              </w:rPr>
              <w:t>Segment</w:t>
            </w:r>
          </w:p>
        </w:tc>
      </w:tr>
      <w:tr>
        <w:trPr>
          <w:trHeight w:val="250"/>
        </w:trPr>
        <w:tc>
          <w:tcPr>
            <w:tcW w:w="7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(in thousands)</w:t>
            </w:r>
          </w:p>
        </w:tc>
      </w:tr>
      <w:tr>
        <w:trPr>
          <w:trHeight w:val="256"/>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75,521</w:t>
            </w:r>
          </w:p>
        </w:tc>
      </w:tr>
      <w:tr>
        <w:trPr>
          <w:trHeight w:val="243"/>
        </w:trPr>
        <w:tc>
          <w:tcPr>
            <w:tcW w:w="76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(59,454)</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16,067</w:t>
            </w: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22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16,067</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During the year ended December 31, 2018, the Company recorded a goodwill impairment charge of $59.5 million in connection with its operations at Hollywood Casino Baton Rouge. This charge was driven by general market deterioration in the Baton Rouge region and the smoking ban at all Baton Rouge, Louisiana casinos that went into effect during the second quarter of 2018, both of which significantly impacted the Company's forecasted cash flows for this reporting unit. Subsequent to conducting its impairment tests on other long-lived assets, including the gaming license described below, the Company performed Step 1 of the goodwill impairment test, which indicated a potential impairment. Step 1 of the goodwill impairment test involved the determination of the fair value of the Baton Rouge reporting unit and its comparison to the reporting unit's carrying amount. Using a discounted cash flow model, which relied on projected EBITDA to determine the reporting unit's future cash flows, the Company calculated a fair value that was less than the reporting unit's carrying value and proceeded to Step 2. In Step 2 of the goodwill impairment test, the Company performed a fair value allocation as if the reporting unit had been acquired in a business combination and assigned the fair value of the reporting unit calculated in Step 1 to all assets and liabilities of the reporting unit, including any unrecognized intangible assets. Any residual fair value was allocated to goodwill to arrive at the implied fair value of goodwill. After completing the Step 2 allocation, the Company determined the goodwill on its Baton Rouge reporting unit had an implied fair value of $16.1 million and recorded the impairment charge of $59.5 million during the fourth quarter of 2018.</w:t>
      </w:r>
    </w:p>
    <w:p>
      <w:pPr>
        <w:spacing w:after="0" w:line="16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accordance with ASC 350, the Company considers its gaming license at the Hollywood Casino Perryville property an indefinite-lived intangible asset that does not require amortization based on the Company's future expectations to operate this casino indefinitely, as well as the gaming industry's historical experience in renewing these intangible assets at minimal cost with various state gaming commissions. Rather, the Company's gaming license is tested annually, or more frequently if indicators of impairment exist, for impairment by comparing the fair value of the recorded asset to its carrying amount. If the carrying amount of the indefinite-life intangible asset exceeds its fair value, an impairment loss is recognized. Hollywood Casino Perryville's gaming license will expire in September 2025, fifteen years from the casino's opening date. The Company expects to expense any costs related to the gaming license renewal as incurred. The Company conducted its annual impairment assessment of the gaming license on October 1, 2019 using the Greenfield Method which estimates the fair value of the gaming license assuming the Company built a casino with similar utility to that of the existing facility. This method also assumes a theoretical start-up company going into business without any assets other than the intangible asset being valued. Based upon these assumptions and the Company's current forecasted cash flows for this reporting unit, the gaming license was not impaired. At both December 31, 2019 and 2018, the gaming license had a carrying value of $9.6 million.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30" w:right="25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of current maturities and unamortized debt issuance costs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$1,175 million revolver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525,000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3.35% senior unsecured notes due September 2024</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$850 million 5.250% senior unsecured notes due June 2025</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5.750% senior unsecured notes due June 2028</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 million 4.00% senior unsecured notes due January 2030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Finance lease liability</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5,786,163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5,903,112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w w:val="95"/>
              </w:rPr>
              <w:t>Less: unamortized debt issuance costs, bond premiums and original issuance discounts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5,737,962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discounts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December 31, 2019 (in thousands):</w:t>
      </w:r>
    </w:p>
    <w:p>
      <w:pPr>
        <w:spacing w:after="0" w:line="375"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215,303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849,135</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546,149</w:t>
            </w:r>
          </w:p>
        </w:tc>
      </w:tr>
      <w:tr>
        <w:trPr>
          <w:trHeight w:val="27"/>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400,156</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Over 5 years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3,775,278</w:t>
            </w:r>
          </w:p>
        </w:tc>
      </w:tr>
      <w:tr>
        <w:trPr>
          <w:trHeight w:val="27"/>
        </w:trPr>
        <w:tc>
          <w:tcPr>
            <w:tcW w:w="3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5,786,163</w:t>
            </w:r>
          </w:p>
        </w:tc>
      </w:tr>
      <w:tr>
        <w:trPr>
          <w:trHeight w:val="20"/>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senior unsecured credit facility (the "Credit Facility"), consists of a $1,175 million revolving credit facility and a $449 million Term Loan A-1 facility. The revolving credit facility matures on May 21, 2023 and the Term Loan A-1 facility matures on April 28, 2021.</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December 31, 2019, the Credit Facility had a gross outstanding balance of $495 million, consisting of the $449 million Term Loan A-1 facility and $46 million of borrowings under the revolving credit facility. Additionally, at December 31, 2019, the Company was contingently obligated under letters of credit issued pursuant to the Credit Facility with face amounts aggregating approximately $0.4 million, resulting in $1,128.6 million of available borrowing capacity under the revolving credit facility as of December 31, 2019.</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interest rates payable on the loans are, at the Company's option, equal to either a LIBOR rate or a base rate plus an applicable margin, which ranges from 1.0% to 2.0% per annum for LIBOR loans and 0.0% to 1.0% per annum for base rate loans, in each case, depending on the credit ratings assigned to the Credit Facility. At December 31, 2019, the applicable margin was 1.50% for LIBOR loans and 0.50% for base rate loans. In addition, the Company is required to pay a commitment fee on the unused portion of the commitments under the revolving facility at a rate that ranges from 0.15% to 0.35% per annum, depending on the credit ratings assigned to the Credit Facility. At December 31, 2019, the commitment fee rate was 0.25%. The Company is not required to repay any loans under the Credit Facility prior to maturity and may prepay all or any portion of the loans under the Credit Facility prior to maturity without premium or penalty, subject to reimbursement of any</w:t>
      </w:r>
    </w:p>
    <w:p>
      <w:pPr>
        <w:sectPr>
          <w:pgSz w:w="11900" w:h="16838" w:orient="portrait"/>
          <w:cols w:equalWidth="0" w:num="1">
            <w:col w:w="11420"/>
          </w:cols>
          <w:pgMar w:left="240" w:top="130"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LIBOR breakage costs of the lenders. The Company's wholly owned subsidiary, GLP Capital is the primary obligor under the Credit Facility, which is guaranteed by GLPI.</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December 31, 2019, the Company was in compliance with all required financial covenants under the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 Company had an outstanding balance of $5,290.2 million of senior unsecured notes (the "Senior Notes").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August 29, 2019, the Company issued $400 million of 3.35% Senior Unsecured Notes maturing on September 1, 2024 at an issue price equal to 99.899% of the principal amount (the "2024 Notes") and $700 million of 4.00% Senior Unsecured Notes maturing on January 15, 2030 at an issue price equal to 99.751% of the principal amount (the "2030 Notes"). Interest on the 2024 Notes is payable semi-annually on March 1 and September 1 of each year, commencing on March 1, 2020. Interest on the 2030 Notes is payable semi-annually on January 15 and July 15 of each year, commencing on January 15, 2020. The net proceeds from the sale of the 2024 Notes and 2030 Notes were used to (i) finance the Company's cash tender offer to purchase its 4.875% Senior Unsecured Notes due 2020 (described below) (ii) repay outstanding borrowings under the Company's revolving credit facility and (iii) repay a portion of the outstanding borrowings under the Company's Term Loan A-1 facility.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September 12, 2019, the Company completed a cash tender offer (the "2019 Tender Offer") to purchase its $1,000 million aggregate principal amount 4.875% Senior Unsecured Notes due 2020 (the "2020 Notes"). The Company received early tenders from the holders of approximately $782.6 million in aggregate principal of the 2020 Notes, or approximately 78% of its outstanding 2020 Notes, in connection with the 2019 Tender Offer at a price of</w:t>
      </w:r>
    </w:p>
    <w:p>
      <w:pPr>
        <w:ind w:right="100"/>
        <w:spacing w:after="0" w:line="253" w:lineRule="auto"/>
        <w:rPr>
          <w:sz w:val="20"/>
          <w:szCs w:val="20"/>
          <w:color w:val="auto"/>
        </w:rPr>
      </w:pPr>
      <w:r>
        <w:rPr>
          <w:rFonts w:ascii="Arial" w:cs="Arial" w:eastAsia="Arial" w:hAnsi="Arial"/>
          <w:sz w:val="18"/>
          <w:szCs w:val="18"/>
          <w:color w:val="auto"/>
        </w:rPr>
        <w:t>102.337% of the unpaid principal amount plus accrued and unpaid interest through the settlement date. Subsequent to the early tender deadline, an additional $2.2 million in aggregate principal of the 2020 Notes were tendered at a price of 99.337% of the unpaid principal amount plus accrued and unpaid interest through the settlement date, for a total redemption of $784.8 million of the 2020 Notes. The Company recorded a loss on the early extinguishment of debt related to the 2019 Tender Offer, of approximately $21.0 million, for the difference between the reaquisition price of the tendered 2020 Notes and their net carrying value.</w:t>
      </w:r>
    </w:p>
    <w:p>
      <w:pPr>
        <w:spacing w:after="0" w:line="11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23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The Senior Notes were issued by GLP Capital, L.P. and GLP Financing II, Inc. (the "Issuers"), two wholly-owned subsidiaries of GLPI, and are guaranteed on a senior unsecured basis by GLPI. The guarantees of GLPI are full and unconditional. The Senior Notes are the Issuers'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the Credit Facility, and senior in right of payment to all of the Issuers'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subordinated indebtedness, without giving effect to collateral arrangements. See Note 21 for additional financial information on the parent guarantor and subsidiary issuers of the Senior Notes.</w:t>
      </w:r>
    </w:p>
    <w:p>
      <w:pPr>
        <w:spacing w:after="0" w:line="89"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 Company was in compliance with all required financial covenants under its Senior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 Liability</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assumed the finance lease obligations related to certain assets at its Aurora, Illinois property. GLPI recorded the asset and liability associated with the finance lease on its consolidated balance sheet. The original term of the finance lease is 30 years and it will terminate in 2026.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of Financial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consolidated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Loans</w:t>
      </w:r>
    </w:p>
    <w:p>
      <w:pPr>
        <w:spacing w:after="0" w:line="225"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fair value of the real estate loans approximates the carrying value of the Company's real estate loans, as collection on the outstanding loan balances is reasonably assured. The fair value measurement of the real estate loans is considered a Level 3 measurement as defined under ASC 820.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the Senior Notes and senior unsecured credit facility is estimated based on quoted prices in active markets and as such is a Level 1 measurement as defined under ASC 820.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25,783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22,709</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Real estate loans</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303,684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303,684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495,000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493,533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927,000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909,308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5,290,174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5,707,996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4,975,000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4,958,455</w:t>
            </w:r>
          </w:p>
        </w:tc>
      </w:tr>
      <w:tr>
        <w:trPr>
          <w:trHeight w:val="67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6"/>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4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Certain assets and liabilities are measured at fair value on a nonrecurring basis in periods subsequent to initial recognition. Assets measured at fair value on a nonrecurring basis during the years ended December 31, 2019 and 2018 are categorized in the tables below based upon the lowest level of significant input to the valuation. There were no liabilities measured at fair value on a nonrecurring basis during the years ended December 31, 2019 and 2018.</w:t>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Total Impairment Charges Recorded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23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during the Year Ended December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Loan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Total Impairment Charges Recorded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23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during the Year Ended December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Total assets measured at fair value on a nonrecurring basis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29,067</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60,954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During the first quarter of 2019, the Company recorded an impairment charge of $13.0 million related to the write-off of the principal due to the Company under its unsecured loan to CQ Holding Company. During 2019, the operating results of Casino Queen continued to decline, the secured debt of Casino Queen was sold to a third-party casino operator at a discount and the Company no longer expected the loan to be repaid.</w:t>
      </w:r>
    </w:p>
    <w:p>
      <w:pPr>
        <w:spacing w:after="0" w:line="16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During the fourth quarter of 2018, the Company recorded an impairment charge of $1.5 million related to the paid-in-kind interest income on its Casino Queen Loan. The Company determined, based upon facts and circumstances existing at December 31, 2018, that the paid-in-kind interest due to the Company at December 31, 2018 is not expected to be collected. Therefore, the Company did not recognize the paid-in-kind interest income due to the Company for the quarter ended December 31, 2018 and took a charge for the previously recognized paid-in-kind interest income through the Company’s consolidated statement of earnings as a reversal of the paid-in-kind interest income recognized earlier in the year. See Note 6 for further details surrounding the Casino Queen Loan.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2018, the Company recorded goodwill impairment charges of $59.5 million on its Baton Rouge reporting unit, resulting from a significant reduction in the long-term earnings forecast of this property. The Company utilized the income approach to measure the fair value of goodwill, which involves a number of key assumptions, such as cash flow forecasts and discount rates. See Note 8 for additional information regarding the calculation of the impairment charge.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30" w:right="27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a Separation and Distribution Agreement between Penn and GLPI, any liability arising from or relating to legal proceedings involving the businesses and operations of Penn’s real property holdings prior to the Spin-Off (other than any liability arising from or relating to legal proceedings where the dispute arises from the operation or ownership of the TRS Properties) will be retained by Penn, and Penn will indemnify GLPI (and its subsidiaries, directors, officers, employees and agents and certain other related parties) against any losses it may incur arising from or relating to such legal proceedings. Similarly, pursuant to a Separation and Distribution Agreement between Pinnacle's operating company and GLPI (as successor to Pinnacle Entertainment), any liability arising from or relating to legal proceedings involving the business and operations of Pinnacle's real property holdings prior to the Pinnacle Merger will be retained by Pinnacle, and Pinnacle will indemnify GLPI (and its subsidiaries, directors, officers, employees and agents and certain other related parties) against any losses it may incur arising from or relating to such legal proceedings. Effective October 15, 2018, Penn assumed all obligations of Pinnacle pursuant to a merger of Pinnacle with and into a subsidiary of Penn. There can be no assurance that Penn will be able to fully satisfy these indemnification obligations. Moreover, even if the Company ultimately succeeds in recovering from Penn any amounts for which the Company is liable, it may be temporarily required to bear those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maintains a defined contribution plan under the provisions of Section 401(k) of the Internal Revenue Code of 1986, as amended, which covers all eligible employees. The plan enables participating employees to defer a portion of their salary and/or their annual bonus in a retirement fund to be administered by the Company. The Company makes a discretionary match contribution of 50% of employees' elective salary deferrals, up to a maximum of 6% of eligible employee compensation. The matching contributions for the defined contribution plan were $0.3 million for each of the years ended December 31, 2019, 2018 and 2017.</w:t>
      </w:r>
    </w:p>
    <w:p>
      <w:pPr>
        <w:spacing w:after="0" w:line="24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maintains a non-qualified deferred compensation plan that covers most management and other highly-compensated employees. The plan allows the participants to defer, on a pre-tax basis, a portion of their base annual salary and/or their annual bonus, and earn tax-deferred earnings on these deferrals. The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non-qualified deferred compensation plan for the years ended December 31, 2019, 2018 and 2017 were $0.6 million, $0.7 million and $0.6 million, respectively. The Company's deferred compensation liability, which was included in other liabilities within the consolidated balance sheet, was $25.2 million and $22.8 million at December 31, 2019 and 2018, respectively. Assets held in the Trust were $28.9 million and $22.7 million at December 31, 2019 and 2018, respectively, and are included in other assets within the consolidated balance sheet.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Agreements</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Hollywood Casino Perryville's employees are currently represented by labor unions. The Seafarers Entertainment and Allied Trade Union represents 145 of Hollywood Casino Perryville's employees under an agreement that expires in January 2032. Additionally, United Industrial Service Transportation Professional and Government Workers of North America and Local No. 27 United Food and Commercial Workers represent certain employees under collective bargaining agreements that expire in 2020 and 2032, respectively, neither of which represents more than 50 of Hollywood Casino Perryville's employees. If the Company fails to renew or modify existing agreements on satisfactory terms, this failure could have a material adverse effect on Hollywood Casino Perryville's business, financial condition and results of operations. There can be no assurance that Hollywood Casino Perryville will be able to maintain these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30" w:right="2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right="9320" w:firstLine="8"/>
        <w:spacing w:after="0" w:line="566" w:lineRule="auto"/>
        <w:tabs>
          <w:tab w:leader="none" w:pos="27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Revenues from Real Estate</w:t>
      </w:r>
    </w:p>
    <w:p>
      <w:pPr>
        <w:spacing w:after="0" w:line="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December 31, 2019, 19 of the Company’s real estate investment properties were leased to a subsidiary of Penn under the Penn Master Lease, an additional 12 of the Company's real estate investment properties were leased to a subsidiary of Penn under the Amended Pinnacle Master Lease, 5 of the Company's real estate investment properties were leased to a subsidiary of Eldorado under the Eldorado Master Lease and 3 of the Company's real estate investment properties were leased to a subsidiary of Boyd under the Boyd Master Lease. Additionally, the Meadows real estate assets are leased to Penn under a single property triple-net lease (the "Meadows Lease") and the Casino Queen real estate assets are leased back to the operator under an additional single property triple-net lease.</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obligations under the Penn and Amended Pinnacle Master Leases, as well as the Meadows Lease are guaranteed by Penn and, with respect to each lease, jointly and severally by Penn's subsidiaries that occupy and operate the facilities covered by such lease. Similarly, the obligations under the Eldorado Master Lease are jointly and severally guaranteed by Eldorado and by most of Eldorado's subsidiaries that occupy and operate the facilities leased under the Eldorado Master Lease. The obligations under the Boyd Master Leases are jointly and severally guaranteed by Boyd's subsidiaries that occupy and operate the facilities leased under the Boyd Master Lease.</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net revenues of Hollywood Casino Columbus and Hollywood Casino Toledo during the preceding month.</w:t>
      </w:r>
    </w:p>
    <w:p>
      <w:pPr>
        <w:spacing w:after="0" w:line="18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Similar to the Penn Master Lease, the Amended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Amended Pinnacle Master Lease during the preceding two years.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Eldorado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Eldorado Master Lease during the preceding two years.</w:t>
      </w:r>
    </w:p>
    <w:p>
      <w:pPr>
        <w:spacing w:after="0" w:line="166" w:lineRule="exact"/>
        <w:rPr>
          <w:sz w:val="20"/>
          <w:szCs w:val="20"/>
          <w:color w:val="auto"/>
        </w:rPr>
      </w:pPr>
    </w:p>
    <w:p>
      <w:pPr>
        <w:jc w:val="both"/>
        <w:ind w:right="60" w:firstLine="690"/>
        <w:spacing w:after="0" w:line="28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Boyd Master Lease during the preceding two years.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Meadows Lease contains a fixed component, subject to annual escalators, and a component that is based on the performance of the facility, which is reset every two years to an amount determined by multiplying (i) 4% by (ii) the average annual net revenues of the facility for the trailing two-year period. The Meadows Lease contains an annual escalator provision for up to 5% of the base rent, if certain rent coverage ratio thresholds are met, which remains at 5% until the earlier of ten years or the year in which total rent is $31.0 million, at which point the escalator will be reduced to 2% annually thereafter.</w:t>
      </w:r>
    </w:p>
    <w:p>
      <w:pPr>
        <w:spacing w:after="0" w:line="188"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an amount equal to the greater of (i) the annual amount of non-fixed rent applicable for the lease year immediately preceding such rent reset year and (ii) an amount equal to 4% of the average annual net revenues of the facility for the trailing five-year period.</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In June 2019, a percentage rent floor was triggered 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9"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Penn's Hollywood Casino Toledo property, as a result of Penn's purchase of the operations of the Greektown Casino-Hotel in Detroit, Michigan.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40" w:firstLine="8"/>
        <w:spacing w:after="0" w:line="255"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9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determined, based on facts and circumstances prevailing at the time of each lease's inception, that neither Penn nor Casino Queen could continue as a going concern without the property(ies) that are leased to them under the respective master lease agreement (in the instance of Penn) and single property lease (in the instance of Casino Queen) with the Company. At lease inception, all of Casino Queen's revenues and substantially all of Penn's revenues were generated from operations in connection with the leased properties. There are also various legal restrictions in the jurisdictions in which Penn, and Casino Queen operate that limit the availability and location of gaming facilities, which makes relocation or replacement of the leased gaming facilities restrictive and potentially impracticable or unavailable. Moreover, under the terms of the master lease, Penn must make renewal elections with respect to all of the leased property together; the tenant is not entitled to selectively renew certain of the leased property while not renewing other property. Accordingly, the Company concluded that failure by Penn or Casino Queen to renew the lease would impose a significant penalty on such tenant such that renewal of all lease renewal options appeared at lease inception to be reasonably assured. Therefore, the Company concluded that the term of Penn Master Lease and the Casino Queen Lease is 35 years, equal to the initial 15-year term plus all four of the 5-year renewal options.</w:t>
      </w:r>
    </w:p>
    <w:p>
      <w:pPr>
        <w:spacing w:after="0" w:line="16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discussed in Note 18, 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lease, the Company concluded that the lease term of the Amended Pinnacle Master Lease is 10 years, equal to the initial 10-year term only.</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the Meadows Lease was a single property lease operated by a large multi-property operator, GLPI concluded it was not reasonably assured at lease inception that the operator would elect to exercise all lease renewal options. Therefore, the Company concluded that the lease term of the Meadows Lease is 10 years, equal to the initial 10-year term only. In conjunction with the Penn-Pinnacle Merger, Penn assumed the Meadows Lease from Pinnacle. The accounting for the Meadows Lease, including the lease term was not impacted by the change in tenant. Based upon similar fact patterns, the Company concluded it was not reasonably assured at lease inception that Eldorado or Boyd would elect to exercise all lease renewal options under their respective master leases. The properties under each of the master leases did not represent a meaningful portion of either tenant's business at lease inception; therefore the Company concluded that the lease term of the Eldorado Master Lease is 15 years and the lease term of the Boyd Master Lease is 10 years, equal to the initial terms of such master leases only.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30" w:right="25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rental income for the year ended December 31, 2019 was as follows (in thousands):</w:t>
      </w:r>
    </w:p>
    <w:p>
      <w:pPr>
        <w:spacing w:after="0" w:line="150"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Year Ended December</w:t>
            </w:r>
          </w:p>
        </w:tc>
      </w:tr>
      <w:tr>
        <w:trPr>
          <w:trHeight w:val="192"/>
        </w:trPr>
        <w:tc>
          <w:tcPr>
            <w:tcW w:w="4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31, 2019</w:t>
            </w:r>
          </w:p>
        </w:tc>
      </w:tr>
      <w:tr>
        <w:trPr>
          <w:trHeight w:val="270"/>
        </w:trPr>
        <w:tc>
          <w:tcPr>
            <w:tcW w:w="41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Building base rent </w:t>
            </w:r>
            <w:r>
              <w:rPr>
                <w:rFonts w:ascii="Arial" w:cs="Arial" w:eastAsia="Arial" w:hAnsi="Arial"/>
                <w:sz w:val="25"/>
                <w:szCs w:val="25"/>
                <w:color w:val="auto"/>
                <w:vertAlign w:val="superscript"/>
              </w:rPr>
              <w:t>(1)</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659,620</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Land base rent</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190,168</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159,107</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cash rental income</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1,008,895</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Straight-line rent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(34,574)</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Ground rent in revenue</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21,347</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revenue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57"/>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996,166</w:t>
            </w:r>
          </w:p>
        </w:tc>
      </w:tr>
      <w:tr>
        <w:trPr>
          <w:trHeight w:val="20"/>
        </w:trPr>
        <w:tc>
          <w:tcPr>
            <w:tcW w:w="4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200" w:hanging="192"/>
        <w:spacing w:after="0"/>
        <w:tabs>
          <w:tab w:leader="none" w:pos="200" w:val="left"/>
        </w:tabs>
        <w:numPr>
          <w:ilvl w:val="0"/>
          <w:numId w:val="48"/>
        </w:numPr>
        <w:rPr>
          <w:rFonts w:ascii="Arial" w:cs="Arial" w:eastAsia="Arial" w:hAnsi="Arial"/>
          <w:sz w:val="23"/>
          <w:szCs w:val="23"/>
          <w:color w:val="auto"/>
          <w:vertAlign w:val="superscript"/>
        </w:rPr>
      </w:pPr>
      <w:r>
        <w:rPr>
          <w:rFonts w:ascii="Arial" w:cs="Arial" w:eastAsia="Arial" w:hAnsi="Arial"/>
          <w:sz w:val="17"/>
          <w:szCs w:val="17"/>
          <w:color w:val="auto"/>
        </w:rPr>
        <w:t>Building base rent is subject to the annual rent escalators described above.</w:t>
      </w:r>
    </w:p>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December 31, 2019, the future minimum rental income from the Company's rental properties under non-cancelable operating leases, including any reasonably assured renewal periods, was as follows (in thousands):</w:t>
      </w:r>
    </w:p>
    <w:p>
      <w:pPr>
        <w:spacing w:after="0" w:line="9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Future Rental</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Straight-Line Rent</w:t>
            </w:r>
          </w:p>
        </w:tc>
        <w:tc>
          <w:tcPr>
            <w:tcW w:w="180" w:type="dxa"/>
            <w:vAlign w:val="bottom"/>
          </w:tcPr>
          <w:p>
            <w:pPr>
              <w:spacing w:after="0"/>
              <w:rPr>
                <w:sz w:val="14"/>
                <w:szCs w:val="14"/>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Future Base</w:t>
            </w:r>
          </w:p>
        </w:tc>
        <w:tc>
          <w:tcPr>
            <w:tcW w:w="200" w:type="dxa"/>
            <w:vAlign w:val="bottom"/>
          </w:tcPr>
          <w:p>
            <w:pPr>
              <w:spacing w:after="0"/>
              <w:rPr>
                <w:sz w:val="14"/>
                <w:szCs w:val="14"/>
                <w:color w:val="auto"/>
              </w:rPr>
            </w:pPr>
          </w:p>
        </w:tc>
        <w:tc>
          <w:tcPr>
            <w:tcW w:w="13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Future Income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Payments</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Ground Rents</w:t>
            </w:r>
          </w:p>
        </w:tc>
        <w:tc>
          <w:tcPr>
            <w:tcW w:w="158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0"/>
              </w:rPr>
              <w:t>Recognized Related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40" w:type="dxa"/>
            <w:vAlign w:val="bottom"/>
          </w:tcPr>
          <w:p>
            <w:pPr>
              <w:jc w:val="center"/>
              <w:ind w:right="115"/>
              <w:spacing w:after="0" w:line="158" w:lineRule="exact"/>
              <w:rPr>
                <w:sz w:val="20"/>
                <w:szCs w:val="20"/>
                <w:color w:val="auto"/>
              </w:rPr>
            </w:pPr>
            <w:r>
              <w:rPr>
                <w:rFonts w:ascii="Arial" w:cs="Arial" w:eastAsia="Arial" w:hAnsi="Arial"/>
                <w:sz w:val="14"/>
                <w:szCs w:val="14"/>
                <w:b w:val="1"/>
                <w:bCs w:val="1"/>
                <w:color w:val="auto"/>
                <w:w w:val="90"/>
              </w:rPr>
              <w:t>Receivable</w:t>
            </w:r>
          </w:p>
        </w:tc>
        <w:tc>
          <w:tcPr>
            <w:tcW w:w="200" w:type="dxa"/>
            <w:vAlign w:val="bottom"/>
          </w:tcPr>
          <w:p>
            <w:pPr>
              <w:spacing w:after="0"/>
              <w:rPr>
                <w:sz w:val="13"/>
                <w:szCs w:val="13"/>
                <w:color w:val="auto"/>
              </w:rPr>
            </w:pPr>
          </w:p>
        </w:tc>
        <w:tc>
          <w:tcPr>
            <w:tcW w:w="138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959,603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969,259</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926,874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12,045</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960,705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926,874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12,051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960,711</w:t>
            </w:r>
          </w:p>
        </w:tc>
        <w:tc>
          <w:tcPr>
            <w:tcW w:w="0" w:type="dxa"/>
            <w:vAlign w:val="bottom"/>
          </w:tcPr>
          <w:p>
            <w:pPr>
              <w:spacing w:after="0"/>
              <w:rPr>
                <w:sz w:val="1"/>
                <w:szCs w:val="1"/>
                <w:color w:val="auto"/>
              </w:rPr>
            </w:pP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920,236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12,057</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954,079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887,046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12,063</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920,895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10,984,406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243,908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72,882</w:t>
            </w:r>
          </w:p>
        </w:tc>
        <w:tc>
          <w:tcPr>
            <w:tcW w:w="2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11,301,196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15,605,039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328,485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133,321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16,066,845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For further details on these tenant paid ground leases, refer to Note 7.</w:t>
      </w:r>
    </w:p>
    <w:p>
      <w:pPr>
        <w:spacing w:after="0" w:line="23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At December 31, 2019, the Company has two loans, the proceeds of which were used to acquire real estate, the Belterra Park Loan and the Eldorado Loan. During the years ended December 31, 2019 and 2018, the Company recognized interest income from these real estate loans of $28.9 million and $6.9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Revenues</w:t>
      </w:r>
    </w:p>
    <w:p>
      <w:pPr>
        <w:spacing w:after="0" w:line="1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Gaming revenue generated by the TRS Properties mainly consists of revenue from slot machines, and to a lesser extent, table game and poker revenue. Gaming revenue is recognized net of certain sales incentives, including promotional allowances in accordance with ASC 606. The Company also defers a portion of the revenue received from customers (who participate in the points-based loyalty programs) at the time of play until a later period when the points are redeemed or forfeited. Other revenues at our TRS Properties are derived from our dining, retail and certain other ancillary activities. During the years ended December 31, 2019 and 2018, the Company recognized gaming, food, beverage and other revenue of $128.4 million and $132.5 million,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Stock-Based Compensation</w:t>
      </w:r>
    </w:p>
    <w:p>
      <w:pPr>
        <w:spacing w:after="0" w:line="28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of December 31, 2019, the Company had 1,750,857 shares available for future issuance under the Amended 2013 Long Term Incentive Compensation Plan (the "2013 Plan"). The 2013 Plan provides for the Company to issue restricted stock awards, including performance-based restricted stock awards and other equity or cash based awards to employees. Any director, employee or consultant shall be eligible to receive such awards. The Company issues new authorized common shares to satisfy stock option exercises and restricted stock award releases.</w:t>
      </w:r>
    </w:p>
    <w:p>
      <w:pPr>
        <w:spacing w:after="0" w:line="90"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As of December 31, 2019, there was $5.1 million of total unrecognized compensation cost for restricted stock awards that will be recognized over the grants' remaining weighted average vesting period of 1.62 years. For the years ended December 31, 2019, 2018 and 2017, the Company recognized $7.5 million, $4.7 million and $6.0 million, respectively, of compensation expense associated with these awards. The total fair value of awards released during the years ended December 31, 2019, 2018 and 2017, was $10.1 million, $10.0 million and $7.3 million,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years ended December 31, 2019 and 2018:</w:t>
      </w:r>
    </w:p>
    <w:p>
      <w:pPr>
        <w:spacing w:after="0" w:line="200" w:lineRule="exact"/>
        <w:rPr>
          <w:sz w:val="20"/>
          <w:szCs w:val="20"/>
          <w:color w:val="auto"/>
        </w:rPr>
      </w:pPr>
    </w:p>
    <w:p>
      <w:pPr>
        <w:spacing w:after="0" w:line="383"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5180" w:type="dxa"/>
            <w:vAlign w:val="bottom"/>
          </w:tcPr>
          <w:p>
            <w:pPr>
              <w:spacing w:after="0"/>
              <w:rPr>
                <w:sz w:val="12"/>
                <w:szCs w:val="12"/>
                <w:color w:val="auto"/>
              </w:rPr>
            </w:pPr>
          </w:p>
        </w:tc>
        <w:tc>
          <w:tcPr>
            <w:tcW w:w="1260" w:type="dxa"/>
            <w:vAlign w:val="bottom"/>
          </w:tcPr>
          <w:p>
            <w:pPr>
              <w:jc w:val="right"/>
              <w:ind w:right="334"/>
              <w:spacing w:after="0" w:line="149" w:lineRule="exact"/>
              <w:rPr>
                <w:sz w:val="20"/>
                <w:szCs w:val="20"/>
                <w:color w:val="auto"/>
              </w:rPr>
            </w:pPr>
            <w:r>
              <w:rPr>
                <w:rFonts w:ascii="Arial" w:cs="Arial" w:eastAsia="Arial" w:hAnsi="Arial"/>
                <w:sz w:val="14"/>
                <w:szCs w:val="14"/>
                <w:b w:val="1"/>
                <w:bCs w:val="1"/>
                <w:color w:val="auto"/>
              </w:rPr>
              <w:t>Award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rPr>
              <w:t>Grant-Date Fair</w:t>
            </w:r>
          </w:p>
        </w:tc>
      </w:tr>
      <w:tr>
        <w:trPr>
          <w:trHeight w:val="192"/>
        </w:trPr>
        <w:tc>
          <w:tcPr>
            <w:tcW w:w="51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283,183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23.34</w:t>
            </w:r>
          </w:p>
        </w:tc>
      </w:tr>
      <w:tr>
        <w:trPr>
          <w:trHeight w:val="27"/>
        </w:trPr>
        <w:tc>
          <w:tcPr>
            <w:tcW w:w="5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(273,286)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(54,999)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7"/>
        </w:trPr>
        <w:tc>
          <w:tcPr>
            <w:tcW w:w="5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299,642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317,290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22.69</w:t>
            </w:r>
          </w:p>
        </w:tc>
      </w:tr>
      <w:tr>
        <w:trPr>
          <w:trHeight w:val="27"/>
        </w:trPr>
        <w:tc>
          <w:tcPr>
            <w:tcW w:w="5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(299,961)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Canceled</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316,971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0"/>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and meet a minimum market capitalization. As of December 31, 2019, there was $8.9 million of total unrecognized compensation cost for performance-based restricted stock awards, which will be recognized over the awards' remaining weighted average vesting period of 1.67 years. For the years ended December 31, 2019, 2018 and 2017, the Company recognized $8.7 million, $6.4 million and $9.7 million, respectively, of compensation expense associated with these awards. The total fair value of performance-based stock awards released during the years ended December 31, 2019, and 2018 was $14.7 million and $20.1 million, respectively. No performance-based stock awards were released during the year ended December 31, 2017.</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30" w:right="2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contains information on performance-based restricted stock award activity for the 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Performance-Based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Weighted Average</w:t>
            </w:r>
          </w:p>
        </w:tc>
      </w:tr>
      <w:tr>
        <w:trPr>
          <w:trHeight w:val="192"/>
        </w:trPr>
        <w:tc>
          <w:tcPr>
            <w:tcW w:w="502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Award Shares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Grant-Date Fair Value</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556,000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20.64</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120" w:type="dxa"/>
            <w:vAlign w:val="bottom"/>
          </w:tcPr>
          <w:p>
            <w:pPr>
              <w:jc w:val="right"/>
              <w:spacing w:after="0"/>
              <w:rPr>
                <w:sz w:val="20"/>
                <w:szCs w:val="20"/>
                <w:color w:val="auto"/>
              </w:rPr>
            </w:pPr>
            <w:r>
              <w:rPr>
                <w:rFonts w:ascii="Arial" w:cs="Arial" w:eastAsia="Arial" w:hAnsi="Arial"/>
                <w:sz w:val="18"/>
                <w:szCs w:val="18"/>
                <w:color w:val="auto"/>
              </w:rPr>
              <w:t>(330,000)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18.60</w:t>
            </w:r>
          </w:p>
        </w:tc>
      </w:tr>
      <w:tr>
        <w:trPr>
          <w:trHeight w:val="27"/>
        </w:trPr>
        <w:tc>
          <w:tcPr>
            <w:tcW w:w="50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512,000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17.85</w:t>
            </w:r>
          </w:p>
        </w:tc>
      </w:tr>
      <w:tr>
        <w:trPr>
          <w:trHeight w:val="27"/>
        </w:trPr>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Canceled</w:t>
            </w:r>
          </w:p>
        </w:tc>
        <w:tc>
          <w:tcPr>
            <w:tcW w:w="2120" w:type="dxa"/>
            <w:vAlign w:val="bottom"/>
          </w:tcPr>
          <w:p>
            <w:pPr>
              <w:jc w:val="right"/>
              <w:spacing w:after="0"/>
              <w:rPr>
                <w:sz w:val="20"/>
                <w:szCs w:val="20"/>
                <w:color w:val="auto"/>
              </w:rPr>
            </w:pPr>
            <w:r>
              <w:rPr>
                <w:rFonts w:ascii="Arial" w:cs="Arial" w:eastAsia="Arial" w:hAnsi="Arial"/>
                <w:sz w:val="18"/>
                <w:szCs w:val="18"/>
                <w:color w:val="auto"/>
              </w:rPr>
              <w:t>(23,332)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18.63</w:t>
            </w:r>
          </w:p>
        </w:tc>
      </w:tr>
      <w:tr>
        <w:trPr>
          <w:trHeight w:val="27"/>
        </w:trPr>
        <w:tc>
          <w:tcPr>
            <w:tcW w:w="50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1,383,334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18.77</w:t>
            </w:r>
          </w:p>
        </w:tc>
      </w:tr>
      <w:tr>
        <w:trPr>
          <w:trHeight w:val="20"/>
        </w:trPr>
        <w:tc>
          <w:tcPr>
            <w:tcW w:w="5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1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elected on its U.S. federal income tax return for its taxable year that began on January 1, 2014 to be treated as a REIT. The benefits of the intended REIT conversion on the Company's tax provision and effective income tax rate are reflected in the tables below. Deferred tax assets and liabilities are provided for the effects of temporary differences between the tax basis of an asset or liability and its reported amount in the consolidated balance sheets. These temporary differences result in taxable or deductible amounts in future years. As a result of the Tax Cuts and Jobs Act, the corporate tax rate was permanently lowered from the previous maximum rate of 35% to 21%, effective for tax years including or commencing January 1, 2018. As a result of the reduction of the corporate tax rate, U.S. generally accepted accounting principles required companies to re-value their deferred tax assets and liabilities as of the date of the enactment, with resulting tax effects accounted for in the reported period of enactment. As such, the Company revalued its net deferred tax asset at December 31, 2017. This revaluation resulted in a reduction in the value of its net deferred tax asset of approximately $1.8 million, which was recorded as additional income tax expense in the Company’s consolidated statement of income for the year ended December 31, 2017.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related to its TRS, are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4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4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4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37"/>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4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4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Intangibles</w:t>
            </w:r>
          </w:p>
        </w:tc>
        <w:tc>
          <w:tcPr>
            <w:tcW w:w="4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deferred tax liabilities</w:t>
            </w:r>
          </w:p>
        </w:tc>
        <w:tc>
          <w:tcPr>
            <w:tcW w:w="4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57"/>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Net:</w:t>
            </w:r>
          </w:p>
        </w:tc>
        <w:tc>
          <w:tcPr>
            <w:tcW w:w="44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440" w:type="dxa"/>
            <w:vAlign w:val="bottom"/>
            <w:vMerge w:val="restart"/>
          </w:tcPr>
          <w:p>
            <w:pPr>
              <w:jc w:val="right"/>
              <w:ind w:right="2390"/>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charged to operations for years ended December 31, 2019, 2018 and 2017 was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6"/>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7,039</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3,309</w:t>
            </w:r>
          </w:p>
        </w:tc>
      </w:tr>
      <w:tr>
        <w:trPr>
          <w:trHeight w:val="237"/>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Total current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10,348</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7"/>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9,787</w:t>
            </w: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tables reconcile the statutory federal income tax rate to the actual effective income tax rate for the years ended December 31, 2019, 2018 and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Percent of pretax income</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U.S. federal statutory income tax rate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Federal tax rate change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777"/>
        </w:trPr>
        <w:tc>
          <w:tcPr>
            <w:tcW w:w="64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6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 based upon pretax income</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U.S. federal statutory income tax</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83,086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72,341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136,636</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 and local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2,284</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Federal tax rate change</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1,818</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REIT conversion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(130,876)</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Goodwill impairment charges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Permanent differences</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43"/>
        </w:trPr>
        <w:tc>
          <w:tcPr>
            <w:tcW w:w="40" w:type="dxa"/>
            <w:vAlign w:val="bottom"/>
          </w:tcPr>
          <w:p>
            <w:pPr>
              <w:spacing w:after="0"/>
              <w:rPr>
                <w:sz w:val="21"/>
                <w:szCs w:val="21"/>
                <w:color w:val="auto"/>
              </w:rPr>
            </w:pPr>
          </w:p>
        </w:tc>
        <w:tc>
          <w:tcPr>
            <w:tcW w:w="6400" w:type="dxa"/>
            <w:vAlign w:val="bottom"/>
            <w:gridSpan w:val="2"/>
          </w:tcPr>
          <w:p>
            <w:pPr>
              <w:ind w:left="140"/>
              <w:spacing w:after="0"/>
              <w:rPr>
                <w:sz w:val="20"/>
                <w:szCs w:val="20"/>
                <w:color w:val="auto"/>
              </w:rPr>
            </w:pPr>
            <w:r>
              <w:rPr>
                <w:rFonts w:ascii="Arial" w:cs="Arial" w:eastAsia="Arial" w:hAnsi="Arial"/>
                <w:sz w:val="18"/>
                <w:szCs w:val="18"/>
                <w:color w:val="auto"/>
              </w:rPr>
              <w:t>Other miscellaneous items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subject to federal income tax examinations for its years ended December 31, 2016 and forward.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130" w:right="3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years ended December 31, 2019, 2018 and 2017: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10"/>
          </w:tcPr>
          <w:p>
            <w:pPr>
              <w:jc w:val="center"/>
              <w:ind w:right="85"/>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2"/>
                <w:szCs w:val="22"/>
                <w:color w:val="auto"/>
              </w:rPr>
            </w:pPr>
          </w:p>
        </w:tc>
      </w:tr>
      <w:tr>
        <w:trPr>
          <w:trHeight w:val="196"/>
        </w:trPr>
        <w:tc>
          <w:tcPr>
            <w:tcW w:w="7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214,667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213,720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210,705</w:t>
            </w:r>
          </w:p>
        </w:tc>
        <w:tc>
          <w:tcPr>
            <w:tcW w:w="2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employee stock-based awards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performance-based restricted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23"/>
                <w:szCs w:val="23"/>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215,786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214,779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212,752</w:t>
            </w:r>
          </w:p>
        </w:tc>
        <w:tc>
          <w:tcPr>
            <w:tcW w:w="240" w:type="dxa"/>
            <w:vAlign w:val="bottom"/>
          </w:tcPr>
          <w:p>
            <w:pPr>
              <w:spacing w:after="0"/>
              <w:rPr>
                <w:sz w:val="22"/>
                <w:szCs w:val="22"/>
                <w:color w:val="auto"/>
              </w:rPr>
            </w:pPr>
          </w:p>
        </w:tc>
      </w:tr>
      <w:tr>
        <w:trPr>
          <w:trHeight w:val="20"/>
        </w:trPr>
        <w:tc>
          <w:tcPr>
            <w:tcW w:w="738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21"/>
        </w:trPr>
        <w:tc>
          <w:tcPr>
            <w:tcW w:w="11400" w:type="dxa"/>
            <w:vAlign w:val="bottom"/>
            <w:gridSpan w:val="16"/>
          </w:tcPr>
          <w:p>
            <w:pPr>
              <w:ind w:left="660"/>
              <w:spacing w:after="0"/>
              <w:rPr>
                <w:sz w:val="20"/>
                <w:szCs w:val="20"/>
                <w:color w:val="auto"/>
              </w:rPr>
            </w:pPr>
            <w:r>
              <w:rPr>
                <w:rFonts w:ascii="Arial" w:cs="Arial" w:eastAsia="Arial" w:hAnsi="Arial"/>
                <w:sz w:val="18"/>
                <w:szCs w:val="18"/>
                <w:color w:val="auto"/>
                <w:w w:val="93"/>
              </w:rPr>
              <w:t>The following table presents the calculation of basic and diluted EPS for the Company’s common stock for the years ended December 31, 2019,</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2018 and 2017:</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32"/>
        </w:trPr>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r>
      <w:tr>
        <w:trPr>
          <w:trHeight w:val="196"/>
        </w:trPr>
        <w:tc>
          <w:tcPr>
            <w:tcW w:w="7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20" w:type="dxa"/>
            <w:vAlign w:val="bottom"/>
            <w:gridSpan w:val="14"/>
          </w:tcPr>
          <w:p>
            <w:pPr>
              <w:jc w:val="center"/>
              <w:ind w:right="300"/>
              <w:spacing w:after="0"/>
              <w:rPr>
                <w:sz w:val="20"/>
                <w:szCs w:val="20"/>
                <w:color w:val="auto"/>
              </w:rPr>
            </w:pPr>
            <w:r>
              <w:rPr>
                <w:rFonts w:ascii="Arial" w:cs="Arial" w:eastAsia="Arial" w:hAnsi="Arial"/>
                <w:sz w:val="14"/>
                <w:szCs w:val="14"/>
                <w:b w:val="1"/>
                <w:bCs w:val="1"/>
                <w:color w:val="auto"/>
                <w:w w:val="90"/>
              </w:rPr>
              <w:t>(in thousands, except per share and share amounts)</w:t>
            </w: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390,881</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339,516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380,598</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390,305</w:t>
            </w:r>
          </w:p>
        </w:tc>
        <w:tc>
          <w:tcPr>
            <w:tcW w:w="2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339,041</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379,976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210,705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 EPS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390,881</w:t>
            </w:r>
          </w:p>
        </w:tc>
        <w:tc>
          <w:tcPr>
            <w:tcW w:w="3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380,598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215,786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214,779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212,752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4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r>
      <w:tr>
        <w:trPr>
          <w:trHeight w:val="297"/>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4"/>
              </w:rPr>
              <w:t>Antidilutive securities excluded from the computation of diluted earnings per share (in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34"/>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3,483</w:t>
            </w:r>
          </w:p>
        </w:tc>
      </w:tr>
      <w:tr>
        <w:trPr>
          <w:trHeight w:val="27"/>
        </w:trPr>
        <w:tc>
          <w:tcPr>
            <w:tcW w:w="7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ATM Program</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14, 2019, the Company commenced a continuous equity offering under which the Company may sell up to an aggregate of $600 million of its common stock from time to time through a sales agent in "at the market" offerings (the "2019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2019 ATM Program. The 2019 ATM Program also allows the Company to enter into forward sale agreements. In no event will the aggregate number of shares sold under the 2019 ATM Program (whether under any forward sale agreement or through a sales agent), have an aggregate sales price in excess of $600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ectPr>
          <w:pgSz w:w="11900" w:h="16838" w:orient="portrait"/>
          <w:cols w:equalWidth="0" w:num="1">
            <w:col w:w="11400"/>
          </w:cols>
          <w:pgMar w:left="240" w:top="130" w:right="25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130" w:right="25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connection with the 2019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0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year ended December 31, 2019, GLPI sold 1,500 shares of its common stock at an average price of $43.17 per share under the 2019 ATM Program, which generated gross proceeds of approximately $65 thousand. The Company incurred legal and other fees in connection with the ATM Program, which resulted in net costs of $255 thousand. During the year ended December 31, 2017, GLPI sold 3,864,872 shares of its common stock at an average price of $36.22 per share under a previously authorized ATM Program, which generated gross proceeds of approximately $140.0 million (net proceeds of approximately $139.4 million). The Company used the net proceeds from the 2017 sales to partially fund its acquisition of the Tunica Properties' real estate assets. As of December 31, 2019, the Company had $599.9 million remaining for issuance under the 2019 ATM Program and had not entered into any forward sale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regular dividends declared and paid by the Company during the years ended December 31, 2019, 2018 and 2017:</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40" w:type="dxa"/>
            <w:vAlign w:val="bottom"/>
          </w:tcPr>
          <w:p>
            <w:pPr>
              <w:spacing w:after="0"/>
              <w:rPr>
                <w:sz w:val="18"/>
                <w:szCs w:val="18"/>
                <w:color w:val="auto"/>
              </w:rPr>
            </w:pPr>
          </w:p>
        </w:tc>
        <w:tc>
          <w:tcPr>
            <w:tcW w:w="192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Declaration Date</w:t>
            </w: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8"/>
              </w:rPr>
              <w:t>Shareholder Record Date</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Class</w:t>
            </w:r>
          </w:p>
        </w:tc>
        <w:tc>
          <w:tcPr>
            <w:tcW w:w="22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Period Covered</w:t>
            </w:r>
          </w:p>
        </w:tc>
        <w:tc>
          <w:tcPr>
            <w:tcW w:w="1920" w:type="dxa"/>
            <w:vAlign w:val="bottom"/>
            <w:gridSpan w:val="2"/>
          </w:tcPr>
          <w:p>
            <w:pPr>
              <w:ind w:left="30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33"/>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19, 2019</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8, 2019</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2019</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22,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145,954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28, 2019</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14, 2019</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2019</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28,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145,978</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20, 2019</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6, 2019</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2019</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20, 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145,984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26, 2019</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13, 2019</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2019</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27,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150,285</w:t>
            </w:r>
          </w:p>
        </w:tc>
      </w:tr>
      <w:tr>
        <w:trPr>
          <w:trHeight w:val="203"/>
        </w:trPr>
        <w:tc>
          <w:tcPr>
            <w:tcW w:w="184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 2018</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March 9, 2018</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2018</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23,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134,490</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April 24, 2018</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15, 2018</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2018</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June 29,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134,631</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31, 2018</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7, 2018</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2018</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134,844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12, 2018</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14, 2018</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Fourth Quarter 2018</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28,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145,627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40" w:type="dxa"/>
            <w:vAlign w:val="bottom"/>
            <w:gridSpan w:val="3"/>
            <w:shd w:val="clear" w:color="auto" w:fill="CCEEFF"/>
          </w:tcPr>
          <w:p>
            <w:pPr>
              <w:jc w:val="right"/>
              <w:ind w:right="139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13,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24,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129,007</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25, 2017</w:t>
            </w:r>
          </w:p>
        </w:tc>
        <w:tc>
          <w:tcPr>
            <w:tcW w:w="1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16, 2017</w:t>
            </w:r>
          </w:p>
        </w:tc>
        <w:tc>
          <w:tcPr>
            <w:tcW w:w="1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2017</w:t>
            </w: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131,554</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July 25, 2017</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8, 2017</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2017</w:t>
            </w:r>
          </w:p>
        </w:tc>
        <w:tc>
          <w:tcPr>
            <w:tcW w:w="1920" w:type="dxa"/>
            <w:vAlign w:val="bottom"/>
            <w:gridSpan w:val="2"/>
          </w:tcPr>
          <w:p>
            <w:pPr>
              <w:jc w:val="right"/>
              <w:ind w:right="120"/>
              <w:spacing w:after="0"/>
              <w:rPr>
                <w:sz w:val="20"/>
                <w:szCs w:val="20"/>
                <w:color w:val="auto"/>
              </w:rPr>
            </w:pPr>
            <w:r>
              <w:rPr>
                <w:rFonts w:ascii="Arial" w:cs="Arial" w:eastAsia="Arial" w:hAnsi="Arial"/>
                <w:sz w:val="16"/>
                <w:szCs w:val="16"/>
                <w:color w:val="auto"/>
              </w:rPr>
              <w:t>September 22,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133,936</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19, 2017</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December 1, 2017</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Stock</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Fourth Quarter 2017</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15,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133,942</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In addition for the years ended December 31, 2019, 2018 and 2017, dividend payments were made to or accrued for GLPI restricted stock award holders and for both GLPI and Penn unvested employee stock options in the amount of $0.9 million, $0.8 million and $0.9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common stock distributions for the years ended December 31, 2019, 2018 and 2017 is as follows (unaudited):</w:t>
      </w:r>
    </w:p>
    <w:p>
      <w:pPr>
        <w:spacing w:after="0" w:line="200" w:lineRule="exact"/>
        <w:rPr>
          <w:sz w:val="20"/>
          <w:szCs w:val="20"/>
          <w:color w:val="auto"/>
        </w:rPr>
      </w:pPr>
    </w:p>
    <w:p>
      <w:pPr>
        <w:spacing w:after="0" w:line="269"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2017</w:t>
            </w:r>
          </w:p>
        </w:tc>
      </w:tr>
      <w:tr>
        <w:trPr>
          <w:trHeight w:val="244"/>
        </w:trPr>
        <w:tc>
          <w:tcPr>
            <w:tcW w:w="4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dollars per share)</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4760" w:type="dxa"/>
            <w:vAlign w:val="bottom"/>
          </w:tcPr>
          <w:p>
            <w:pPr>
              <w:ind w:left="20"/>
              <w:spacing w:after="0"/>
              <w:rPr>
                <w:sz w:val="20"/>
                <w:szCs w:val="20"/>
                <w:color w:val="auto"/>
              </w:rPr>
            </w:pPr>
            <w:r>
              <w:rPr>
                <w:rFonts w:ascii="Arial" w:cs="Arial" w:eastAsia="Arial" w:hAnsi="Arial"/>
                <w:sz w:val="18"/>
                <w:szCs w:val="18"/>
                <w:color w:val="auto"/>
              </w:rPr>
              <w:t>Qualified dividends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0.0387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0.0391</w:t>
            </w:r>
          </w:p>
        </w:tc>
        <w:tc>
          <w:tcPr>
            <w:tcW w:w="12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0.0543</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2.2649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2.2955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2.2436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44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0.0353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94"/>
              <w:spacing w:after="0"/>
              <w:rPr>
                <w:sz w:val="20"/>
                <w:szCs w:val="20"/>
                <w:color w:val="auto"/>
              </w:rPr>
            </w:pPr>
            <w:r>
              <w:rPr>
                <w:rFonts w:ascii="Arial" w:cs="Arial" w:eastAsia="Arial" w:hAnsi="Arial"/>
                <w:sz w:val="18"/>
                <w:szCs w:val="18"/>
                <w:color w:val="auto"/>
              </w:rPr>
              <w:t>0.0270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0.0371</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0.4011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0.2084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0.1650</w:t>
            </w:r>
          </w:p>
        </w:tc>
      </w:tr>
      <w:tr>
        <w:trPr>
          <w:trHeight w:val="29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distributions per common share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2.50</w:t>
            </w:r>
          </w:p>
        </w:tc>
      </w:tr>
      <w:tr>
        <w:trPr>
          <w:trHeight w:val="284"/>
        </w:trPr>
        <w:tc>
          <w:tcPr>
            <w:tcW w:w="4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qualified dividends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non-qualified dividends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Percentage classified as capital gains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4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classified as non-taxable return of capital</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7"/>
        </w:trPr>
        <w:tc>
          <w:tcPr>
            <w:tcW w:w="47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47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240" w:top="130" w:right="67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present certain information with respect to the Company’s segments. Intersegment revenues between the Company’s segments were not material in any of the periods presented below.</w:t>
      </w:r>
    </w:p>
    <w:p>
      <w:pPr>
        <w:spacing w:after="0" w:line="39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GLP Capital </w:t>
            </w:r>
            <w:r>
              <w:rPr>
                <w:rFonts w:ascii="Arial" w:cs="Arial" w:eastAsia="Arial" w:hAnsi="Arial"/>
                <w:sz w:val="8"/>
                <w:szCs w:val="8"/>
                <w:b w:val="1"/>
                <w:bCs w:val="1"/>
                <w:color w:val="auto"/>
              </w:rPr>
              <w:t>(1)</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TRS Properties</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2019</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1,025,082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128,391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1,153,473</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694,215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23,208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717,423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291,114</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301,520</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382,841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12,804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395,645</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4,107</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4,764</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382,184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8,697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390,881</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232,708</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7,727</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240,435</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project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2,995</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3,017</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923,182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132,545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1,055,727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630,122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(36,312)</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593,810</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237,278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10,406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247,684</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391,196</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(46,716)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344,480</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4,109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390,341</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(50,825)</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339,516</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127,696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9,397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137,093</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Capital project expenditures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4,229</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4,284</w:t>
            </w: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829,221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142,086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971,307</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578,661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26,857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206,662</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10,406</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217,068</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373,931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16,454</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8,688</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9,787</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372,832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7,766</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102,652</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10,828</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113,480</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project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Capital maintenance expenditures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3,178</w:t>
            </w:r>
          </w:p>
        </w:tc>
        <w:tc>
          <w:tcPr>
            <w:tcW w:w="4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3,178</w:t>
            </w: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Balance sheet at December 31, 2019</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8,299,143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135,155</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8,434,298</w:t>
            </w: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at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8,441,345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135,948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8,577,293</w:t>
            </w:r>
          </w:p>
        </w:tc>
      </w:tr>
    </w:tbl>
    <w:p>
      <w:pPr>
        <w:spacing w:after="0" w:line="200" w:lineRule="exact"/>
        <w:rPr>
          <w:sz w:val="20"/>
          <w:szCs w:val="20"/>
          <w:color w:val="auto"/>
        </w:rPr>
      </w:pPr>
    </w:p>
    <w:p>
      <w:pPr>
        <w:spacing w:after="0" w:line="222"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Interest expense is net of intercompany interest eliminations of $10.4 million for each of the years ended December 31, 2019, 2018 and 2017.</w:t>
      </w:r>
    </w:p>
    <w:p>
      <w:pPr>
        <w:sectPr>
          <w:pgSz w:w="11900" w:h="16838" w:orient="portrait"/>
          <w:cols w:equalWidth="0" w:num="1">
            <w:col w:w="11300"/>
          </w:cols>
          <w:pgMar w:left="240" w:top="130" w:right="3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00"/>
          </w:cols>
          <w:pgMar w:left="240" w:top="130" w:right="359" w:bottom="1440" w:gutter="0" w:footer="0" w:header="0"/>
          <w:type w:val="continuous"/>
        </w:sectPr>
      </w:pPr>
    </w:p>
    <w:bookmarkStart w:id="98" w:name="page99"/>
    <w:bookmarkEnd w:id="9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Acquisitions</w:t>
      </w:r>
    </w:p>
    <w:p>
      <w:pPr>
        <w:spacing w:after="0" w:line="270"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 xml:space="preserve">The Company accounts for its acquisitions of real estate assets as asset acquisitions under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asset acquisition accounting, transaction costs incurred to acquire the purchased assets are also included as part of the asset cost.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Prior Year Acquisitions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2018, in conjunction with the Penn-Pinnacle Merger the Company acquired the real property assets of Plainridge Park from Penn for approximately $250.9 million. This property was added to the Amended Pinnacle Master Lease via the fourth amendment to the Pinnacle Master Lease and is leased to Penn who will continue to operate the property. The initial annual cash rent of $25.0 million for Plainridge Park will not be subject to rent escalators or adjustments.</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Also in conjunction with the Penn-Pinnacle Merger, the Pinnacle Master Lease was amended via the fourth amendment to such lease to allow for the sale of the operating assets of Ameristar Casino Hotel Kansas City, Ameristar Casino Resort Spa St. Charles and Belterra Casino Resort from Pinnacle to Boyd and to increase fixed rent under the lease by an additional $13.9 million annually. The Company entered into a new unitary triple-net master lease agreement with Boyd for these properties on terms similar to the Company’s existing master leases. As a result of the fourth amendment to the Pinnacle Master Lease, the Company reassessed the lease's classification and determined the new lease agreement qualified for operating lease treatment under ASC</w:t>
      </w:r>
    </w:p>
    <w:p>
      <w:pPr>
        <w:spacing w:after="0" w:line="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Therefore, subsequent to the Penn-Pinnacle Merger, the Amended Pinnacle Master Lease is treated as an operating lease in its entirety, the building</w:t>
      </w:r>
    </w:p>
    <w:p>
      <w:pPr>
        <w:spacing w:after="0" w:line="32"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assets of $2.6 billion previously recorded as an investment in direct financing lease on the Company's consolidated balance sheet were recorded as real estate assets on the Company's consolidated balance sheet and all rent received under the Amended Pinnacle Master Lease is recorded as rental income on the Company's consolidated statement of income. The Amended Pinnacle Master Lease was assumed by Penn at the consummation of the Penn-Pinnacle Merger.</w:t>
      </w:r>
    </w:p>
    <w:p>
      <w:pPr>
        <w:spacing w:after="0" w:line="15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October 1, 2018, the Company acquired the real property assets of five casino properties from Tropicana and certain of its affiliates for approximately $992.5 million, pursuant to the Real Estate Purchase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and the rights to six long-term ground leases for land on which the operations of the acquired Tropicana properties reside. Concurrent with the Tropicana Acquisition, Eldorado acquired the operating assets of these properties from Tropicana pursuant to the Tropicana Merger Agreement and leased the GLP Assets from the Company pursuant to the terms of a new unitary triple-net master lease with an initial term of 15 years, with no purchase option, followed by four successive 5-year renewal periods (exercisable by Eldorado) on the same terms and conditions. Initial annual rent under the Eldorado Master Lease was $87.6 million and is subject to annual rent escalators and biennial percentage rent adjustments.</w:t>
      </w:r>
    </w:p>
    <w:p>
      <w:pPr>
        <w:spacing w:after="0" w:line="10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Purchase price allocations are primarily based on the fair values of assets acquired and liabilities assumed at the time of acquisition. The following table summarizes the purchase price allocation of the assets acquired in the Tropicana Acquisition (in thousands):</w:t>
      </w:r>
    </w:p>
    <w:p>
      <w:pPr>
        <w:spacing w:after="0" w:line="374" w:lineRule="exact"/>
        <w:rPr>
          <w:sz w:val="20"/>
          <w:szCs w:val="20"/>
          <w:color w:val="auto"/>
        </w:rPr>
      </w:pPr>
    </w:p>
    <w:tbl>
      <w:tblPr>
        <w:tblLayout w:type="fixed"/>
        <w:tblInd w:w="42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investments, net</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948,217</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Land rights, net</w:t>
            </w:r>
          </w:p>
        </w:tc>
        <w:tc>
          <w:tcPr>
            <w:tcW w:w="7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44,331</w:t>
            </w:r>
          </w:p>
        </w:tc>
      </w:tr>
      <w:tr>
        <w:trPr>
          <w:trHeight w:val="27"/>
        </w:trPr>
        <w:tc>
          <w:tcPr>
            <w:tcW w:w="8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992,548</w:t>
            </w: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2017</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7"/>
          <w:szCs w:val="17"/>
          <w:color w:val="auto"/>
        </w:rPr>
        <w:t>On May 1, 2017, the Company acquired the real property assets of Bally's Casino Tunica (subsequently re-branded as the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Jackpot Casino) and Resorts Casino Tunica (the "Tunica Properties") for $82.9 million. The Company acquired both Bally's Casino Tunica and Resorts Casino Tunica, as well as the Resorts Hotel and land at Bally's Casino Tunica. Land rights to three long-term ground leases related to the Tunica Properties were also acquired in the transaction. Penn purchased the operating assets of the Tunica Properties directly from the seller and originally operated both properties and leased the real assets from the Company under the Penn Master Lease. On June 30, 2019, Penn closed the Resorts Casino Tunica property. The closure of this property resulted in the acceleration of depreciation and amortization of the building and land right assets, which the Company recorded on its books in conjunction with the acquisition of this property.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130" w:right="27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Subsequent to the property's closure, the Company also entered into an agreement to terminate the long-term ground lease for the Resorts Casino Tunica property, which will be effective in February 2020. In connection with the exercised termination option, the Company remeasured the lease liability and adjusted the right-of-use asset it had recorded on its consolidated balance sheet for this lease to align with the new termination date. The closure, however, has no impact on the rent collected from Penn under the Penn Master Lease, as the Company's lease with Penn is unitary cross-collateralized and does not allow for rent reductions for individual property closures. Furthermore, the rent under Company's ground lease is currently paid by the tenant but is required to be reported on a gross basis on our financial statements under ASC 842.</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Summarized Quarterly Data (Unaudited)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quarterly results of operations for the years ended December 31, 2019 and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Quarter</w:t>
            </w: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4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First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Second</w:t>
            </w: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Fourth</w:t>
            </w:r>
          </w:p>
        </w:tc>
        <w:tc>
          <w:tcPr>
            <w:tcW w:w="660" w:type="dxa"/>
            <w:vAlign w:val="bottom"/>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287,864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289,013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287,612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288,984</w:t>
            </w:r>
          </w:p>
        </w:tc>
        <w:tc>
          <w:tcPr>
            <w:tcW w:w="660" w:type="dxa"/>
            <w:vAlign w:val="bottom"/>
          </w:tcPr>
          <w:p>
            <w:pPr>
              <w:ind w:left="60"/>
              <w:spacing w:after="0"/>
              <w:rPr>
                <w:sz w:val="20"/>
                <w:szCs w:val="20"/>
                <w:color w:val="auto"/>
              </w:rPr>
            </w:pPr>
            <w:r>
              <w:rPr>
                <w:rFonts w:ascii="Arial" w:cs="Arial" w:eastAsia="Arial" w:hAnsi="Arial"/>
                <w:sz w:val="13"/>
                <w:szCs w:val="13"/>
                <w:color w:val="auto"/>
              </w:rPr>
              <w:t>(1 )  (2 )</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170,775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170,767</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187,625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188,256</w:t>
            </w:r>
          </w:p>
        </w:tc>
        <w:tc>
          <w:tcPr>
            <w:tcW w:w="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(2 )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93,010</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93,033</w:t>
            </w:r>
          </w:p>
        </w:tc>
        <w:tc>
          <w:tcPr>
            <w:tcW w:w="5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90,547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114,291</w:t>
            </w:r>
          </w:p>
        </w:tc>
        <w:tc>
          <w:tcPr>
            <w:tcW w:w="660" w:type="dxa"/>
            <w:vAlign w:val="bottom"/>
          </w:tcPr>
          <w:p>
            <w:pPr>
              <w:ind w:left="60"/>
              <w:spacing w:after="0"/>
              <w:rPr>
                <w:sz w:val="20"/>
                <w:szCs w:val="20"/>
                <w:color w:val="auto"/>
              </w:rPr>
            </w:pPr>
            <w:r>
              <w:rPr>
                <w:rFonts w:ascii="Arial" w:cs="Arial" w:eastAsia="Arial" w:hAnsi="Arial"/>
                <w:sz w:val="13"/>
                <w:szCs w:val="13"/>
                <w:color w:val="auto"/>
              </w:rPr>
              <w:t>(3 )</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0.42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6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24"/>
        </w:trPr>
        <w:tc>
          <w:tcPr>
            <w:tcW w:w="4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254,221</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303,317</w:t>
            </w:r>
          </w:p>
        </w:tc>
        <w:tc>
          <w:tcPr>
            <w:tcW w:w="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(1 )  (2 )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151,851</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153,241</w:t>
            </w:r>
          </w:p>
        </w:tc>
        <w:tc>
          <w:tcPr>
            <w:tcW w:w="54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164,834</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123,884</w:t>
            </w:r>
          </w:p>
        </w:tc>
        <w:tc>
          <w:tcPr>
            <w:tcW w:w="660" w:type="dxa"/>
            <w:vAlign w:val="bottom"/>
          </w:tcPr>
          <w:p>
            <w:pPr>
              <w:ind w:left="60"/>
              <w:spacing w:after="0"/>
              <w:rPr>
                <w:sz w:val="20"/>
                <w:szCs w:val="20"/>
                <w:color w:val="auto"/>
              </w:rPr>
            </w:pPr>
            <w:r>
              <w:rPr>
                <w:rFonts w:ascii="Arial" w:cs="Arial" w:eastAsia="Arial" w:hAnsi="Arial"/>
                <w:sz w:val="13"/>
                <w:szCs w:val="13"/>
                <w:color w:val="auto"/>
              </w:rPr>
              <w:t>(2 )</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96,772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91,998</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104,815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45,931</w:t>
            </w:r>
          </w:p>
        </w:tc>
        <w:tc>
          <w:tcPr>
            <w:tcW w:w="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(4 )</w:t>
            </w:r>
          </w:p>
        </w:tc>
      </w:tr>
      <w:tr>
        <w:trPr>
          <w:trHeight w:val="324"/>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c>
          <w:tcPr>
            <w:tcW w:w="66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660" w:type="dxa"/>
            <w:vAlign w:val="bottom"/>
            <w:shd w:val="clear" w:color="auto" w:fill="CCEEFF"/>
          </w:tcPr>
          <w:p>
            <w:pPr>
              <w:spacing w:after="0"/>
              <w:rPr>
                <w:sz w:val="21"/>
                <w:szCs w:val="21"/>
                <w:color w:val="auto"/>
              </w:rPr>
            </w:pPr>
          </w:p>
        </w:tc>
      </w:tr>
      <w:tr>
        <w:trPr>
          <w:trHeight w:val="27"/>
        </w:trPr>
        <w:tc>
          <w:tcPr>
            <w:tcW w:w="4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61"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In conjunction with the adoption of ASU 2016-02 on January 1, 2019, the Company is no longer required to gross-</w:t>
      </w:r>
    </w:p>
    <w:p>
      <w:pPr>
        <w:spacing w:after="0" w:line="2"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up its revenues for real estate taxes paid directly by its tenants. This change had no impact to the Company's operating results as these revenue gross-ups were offset with a gross-up to our operating expenses.</w:t>
      </w:r>
    </w:p>
    <w:p>
      <w:pPr>
        <w:spacing w:after="0" w:line="128"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During October 2018, the Company acquired the real property assets of five casino properties from Tropicana and</w:t>
      </w:r>
    </w:p>
    <w:p>
      <w:pPr>
        <w:spacing w:after="0" w:line="2" w:lineRule="exact"/>
        <w:rPr>
          <w:sz w:val="20"/>
          <w:szCs w:val="20"/>
          <w:color w:val="auto"/>
        </w:rPr>
      </w:pPr>
    </w:p>
    <w:p>
      <w:pPr>
        <w:ind w:left="660" w:right="400"/>
        <w:spacing w:after="0" w:line="249" w:lineRule="auto"/>
        <w:rPr>
          <w:sz w:val="20"/>
          <w:szCs w:val="20"/>
          <w:color w:val="auto"/>
        </w:rPr>
      </w:pPr>
      <w:r>
        <w:rPr>
          <w:rFonts w:ascii="Arial" w:cs="Arial" w:eastAsia="Arial" w:hAnsi="Arial"/>
          <w:sz w:val="18"/>
          <w:szCs w:val="18"/>
          <w:color w:val="auto"/>
        </w:rPr>
        <w:t>leased these assets to Eldorado under the Eldorado Master Lease. Also during October 2018, in conjunction with the Penn-Pinnacle Merger, the Company acquired the real property assets of Plainridge Park and added this property to the</w:t>
      </w:r>
    </w:p>
    <w:p>
      <w:pPr>
        <w:spacing w:after="0" w:line="1" w:lineRule="exact"/>
        <w:rPr>
          <w:sz w:val="20"/>
          <w:szCs w:val="20"/>
          <w:color w:val="auto"/>
        </w:rPr>
      </w:pPr>
    </w:p>
    <w:p>
      <w:pPr>
        <w:ind w:left="660" w:right="80"/>
        <w:spacing w:after="0" w:line="323" w:lineRule="auto"/>
        <w:rPr>
          <w:sz w:val="20"/>
          <w:szCs w:val="20"/>
          <w:color w:val="auto"/>
        </w:rPr>
      </w:pPr>
      <w:r>
        <w:rPr>
          <w:rFonts w:ascii="Arial" w:cs="Arial" w:eastAsia="Arial" w:hAnsi="Arial"/>
          <w:sz w:val="16"/>
          <w:szCs w:val="16"/>
          <w:color w:val="auto"/>
        </w:rPr>
        <w:t>Amended Pinnacle Master Lease. These transactions, in addition to the treatment of the Amended Pinnacle Master Lease as an operating lease in its entirety, as detailed in Note 18 were the primary drivers for the Company's improved operating results in 2019 as compared to 2018.</w:t>
      </w:r>
    </w:p>
    <w:p>
      <w:pPr>
        <w:spacing w:after="0" w:line="82"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During March 2019, the Company recorded a $13.0 million loan impairment charge related to the write-off of the</w:t>
      </w:r>
    </w:p>
    <w:p>
      <w:pPr>
        <w:spacing w:after="0" w:line="2"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Casino Queen Loan. During June 2019, the Company recorded accelerated depreciation and amortization expense in the aggregate amount of $16.6 million related to the closure of the Resorts Casino Tunica property by our tenant. In September 2019, the Company recorded a loss on the early extinguishment of debt related to the 2019 Tender Offer of approximately $21.0 million. The absence of any unusual charges in the fourth quarter is the driving factor in increased net income for the period.</w:t>
      </w:r>
    </w:p>
    <w:p>
      <w:pPr>
        <w:spacing w:after="0" w:line="192" w:lineRule="exact"/>
        <w:rPr>
          <w:sz w:val="20"/>
          <w:szCs w:val="20"/>
          <w:color w:val="auto"/>
        </w:rPr>
      </w:pPr>
    </w:p>
    <w:p>
      <w:pPr>
        <w:ind w:left="5620" w:right="3120" w:hanging="5612"/>
        <w:spacing w:after="0" w:line="434" w:lineRule="auto"/>
        <w:tabs>
          <w:tab w:leader="none" w:pos="277"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2018, the Company recorded an impairment charge of $59.5 million, related to the 99</w:t>
      </w:r>
    </w:p>
    <w:p>
      <w:pPr>
        <w:sectPr>
          <w:pgSz w:w="11900" w:h="16838" w:orient="portrait"/>
          <w:cols w:equalWidth="0" w:num="1">
            <w:col w:w="11400"/>
          </w:cols>
          <w:pgMar w:left="240" w:top="130" w:right="2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goodwill recorded on the books of its subsidiary, Hollywood Casino Baton Rouge. This was the largest driver of the decrease in the Company's net income during the fourth quarter of 2018. For further information on the impairment charge see Note 8.</w:t>
      </w:r>
    </w:p>
    <w:p>
      <w:pPr>
        <w:spacing w:after="0" w:line="166" w:lineRule="exact"/>
        <w:rPr>
          <w:sz w:val="20"/>
          <w:szCs w:val="20"/>
          <w:color w:val="auto"/>
        </w:rPr>
      </w:pPr>
    </w:p>
    <w:p>
      <w:pPr>
        <w:ind w:left="660" w:right="5240" w:hanging="652"/>
        <w:spacing w:after="0" w:line="682" w:lineRule="auto"/>
        <w:tabs>
          <w:tab w:leader="none" w:pos="291"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Disclosures of Cash Flow Information and Noncash Activities </w:t>
      </w:r>
      <w:r>
        <w:rPr>
          <w:rFonts w:ascii="Arial" w:cs="Arial" w:eastAsia="Arial" w:hAnsi="Arial"/>
          <w:sz w:val="16"/>
          <w:szCs w:val="16"/>
          <w:color w:val="auto"/>
        </w:rPr>
        <w:t>Supplemental disclosures of cash flow information are as follows: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540" w:type="dxa"/>
            <w:vAlign w:val="bottom"/>
          </w:tcPr>
          <w:p>
            <w:pPr>
              <w:jc w:val="right"/>
              <w:ind w:right="719"/>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1380" w:type="dxa"/>
            <w:vAlign w:val="bottom"/>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9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income taxes, net of refunds received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5,554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5,389</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11,646</w:t>
            </w:r>
          </w:p>
        </w:tc>
      </w:tr>
      <w:tr>
        <w:trPr>
          <w:trHeight w:val="243"/>
        </w:trPr>
        <w:tc>
          <w:tcPr>
            <w:tcW w:w="5060" w:type="dxa"/>
            <w:vAlign w:val="bottom"/>
            <w:gridSpan w:val="3"/>
          </w:tcPr>
          <w:p>
            <w:pPr>
              <w:ind w:left="40"/>
              <w:spacing w:after="0"/>
              <w:rPr>
                <w:sz w:val="20"/>
                <w:szCs w:val="20"/>
                <w:color w:val="auto"/>
              </w:rPr>
            </w:pPr>
            <w:r>
              <w:rPr>
                <w:rFonts w:ascii="Arial" w:cs="Arial" w:eastAsia="Arial" w:hAnsi="Arial"/>
                <w:sz w:val="18"/>
                <w:szCs w:val="18"/>
                <w:color w:val="auto"/>
              </w:rPr>
              <w:t>Cash paid for interest</w:t>
            </w:r>
          </w:p>
        </w:tc>
        <w:tc>
          <w:tcPr>
            <w:tcW w:w="44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274,530</w:t>
            </w:r>
          </w:p>
        </w:tc>
        <w:tc>
          <w:tcPr>
            <w:tcW w:w="40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229,779</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204,442</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January 1, 2019, in conjunction with its adoption of ASU 2016-02, the Company recorded right-of-use assets and related lease liabilities of $203 million on its consolidated balance sheet to represent its rights to underlying assets and future lease obligations. In conjunction with the October 2018 Penn-Pinnacle Merger, the Company reassessed the classification of the Pinnacle Master Lease and determined the new lease agreement qualified for operating lease treatment in its entirety. Therefore, on October 15, 2018, the building assets of $2.6 billion previously recorded as an investment in direct financing lease on the Company's consolidated balance sheet were reclassified to real estate assets on the Company's consolidated balance sheet. The Company did not engage in any other noncash investing and financing activities during the years ended December 31, 2019, 2018 and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Supplementary Consolidating Financial Information of Parent Guarantor and Subsidiary Issuers</w:t>
      </w:r>
    </w:p>
    <w:p>
      <w:pPr>
        <w:spacing w:after="0" w:line="2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GLPI guarantees the Senior Notes issued by its subsidiaries, GLP Capital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other subsidiaries guarantee the Senior Notes.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Summarized balance sheet information as of December 31, 2019 and 2018 and summarized income statement and cash flow information for the years ended December 31, 2019, 2018 and 2017 for GLPI as the parent guarantor, for GLP Capital, L.P. and GLP Financing II, Inc. as the subsidiary issuers and the other subsidiary non-issuers is presented below.</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130" w:right="31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2019</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2,514,806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4,585,749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7,100,555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94,080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loans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 and 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838,734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5,082,624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(9,655,446)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2,074,245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8,272,515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7,935,816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(9,848,278)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60,695</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183,971</w:t>
            </w: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5"/>
              </w:rPr>
              <w:t>Long-term debt, net of unamortized debt issuance costs, bond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5,737,962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5,737,962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271,837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328,485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6,198,270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6,360,053</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 at December 31, 2019)</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214,694,165 shares issued and outstanding at December 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3,959,383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3,959,384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9,839,709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(13,799,093)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3,959,383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(2,260,655)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4,147,941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(1,887,285)</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2,074,245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2,074,245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7,581,201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(9,655,446)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2,074,245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2,074,245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8,272,515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7,935,816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(9,848,278)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8,434,298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552,980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443,186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996,166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from real estate loans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575,451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449,631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1,025,082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128,391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575,451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578,022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1,153,473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74,700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74,700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65,477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Loan impairment charges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244,769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384,170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333,253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717,423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494,179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(321,778)</w:t>
            </w: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395,645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555,913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336,873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390,881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555,913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336,873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390,881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133,693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258,971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21,014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Loan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Intercompany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15,434</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745,933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506,274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750,302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(589,128)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Taxes paid related to shares withheld for tax purposes 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restricted stock award vestings, net of proceeds from exercise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of options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ATM Program offering costs and proceeds from issuance of</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340"/>
              <w:spacing w:after="0"/>
              <w:rPr>
                <w:sz w:val="20"/>
                <w:szCs w:val="20"/>
                <w:color w:val="auto"/>
              </w:rPr>
            </w:pPr>
            <w:r>
              <w:rPr>
                <w:rFonts w:ascii="Arial" w:cs="Arial" w:eastAsia="Arial" w:hAnsi="Arial"/>
                <w:sz w:val="18"/>
                <w:szCs w:val="18"/>
                <w:color w:val="auto"/>
              </w:rPr>
              <w:t>common stock, net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1,358,853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Financing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(1,477,949)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(1,477,949)</w:t>
            </w:r>
          </w:p>
        </w:tc>
        <w:tc>
          <w:tcPr>
            <w:tcW w:w="0" w:type="dxa"/>
            <w:vAlign w:val="bottom"/>
          </w:tcPr>
          <w:p>
            <w:pPr>
              <w:spacing w:after="0"/>
              <w:rPr>
                <w:sz w:val="1"/>
                <w:szCs w:val="1"/>
                <w:color w:val="auto"/>
              </w:rPr>
            </w:pPr>
          </w:p>
        </w:tc>
      </w:tr>
      <w:tr>
        <w:trPr>
          <w:trHeight w:val="229"/>
        </w:trPr>
        <w:tc>
          <w:tcPr>
            <w:tcW w:w="5040" w:type="dxa"/>
            <w:vAlign w:val="bottom"/>
            <w:gridSpan w:val="2"/>
          </w:tcPr>
          <w:p>
            <w:pPr>
              <w:ind w:left="120"/>
              <w:spacing w:after="0"/>
              <w:rPr>
                <w:sz w:val="20"/>
                <w:szCs w:val="20"/>
                <w:color w:val="auto"/>
              </w:rPr>
            </w:pPr>
            <w:r>
              <w:rPr>
                <w:rFonts w:ascii="Arial" w:cs="Arial" w:eastAsia="Arial" w:hAnsi="Arial"/>
                <w:sz w:val="18"/>
                <w:szCs w:val="18"/>
                <w:color w:val="auto"/>
                <w:w w:val="98"/>
              </w:rPr>
              <w:t>Premium and related costs paid on tender of senior unsecured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notes</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(18,879)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501,905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(746,444)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501,905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(746,445)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22,542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30" w:right="23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Parent</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Balance Sheet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Issuers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2,637,404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4,694,056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7,331,460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673,207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100,884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loans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2,265,607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5,247,229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2,697,241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(10,210,077)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67,486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2,265,607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8,522,824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8,191,523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45,261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24,055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18,824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5,853,497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293,911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6,257,216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6,311,686</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no shares issued or outstanding at December 31, 2018)</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authorized, 214,211,932 shares issued and outstanding at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3,952,503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3,952,506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9,832,830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(13,785,336)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3,952,503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(1,689,038)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(1,890,503)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3,579,543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(1,689,038)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2,265,607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7,944,469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(10,210,077)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2,265,607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2,265,607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8,522,824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8,191,523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(10,402,661)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8,577,293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437,211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310,443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747,654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81,119</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Interest income from real estate loans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87,466</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income from real estate</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489,128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434,054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923,182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132,545</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489,128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566,599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1,055,727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77,127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77,127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Land rights and ground lease expense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137,093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203,392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258,525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461,917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285,736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593,810</w:t>
            </w:r>
          </w:p>
        </w:tc>
        <w:tc>
          <w:tcPr>
            <w:tcW w:w="0" w:type="dxa"/>
            <w:vAlign w:val="bottom"/>
          </w:tcPr>
          <w:p>
            <w:pPr>
              <w:spacing w:after="0"/>
              <w:rPr>
                <w:sz w:val="1"/>
                <w:szCs w:val="1"/>
                <w:color w:val="auto"/>
              </w:rPr>
            </w:pPr>
          </w:p>
        </w:tc>
      </w:tr>
      <w:tr>
        <w:trPr>
          <w:trHeight w:val="277"/>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(247,684)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460,044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495,978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318,826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344,480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495,123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314,717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30" w:right="23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495,123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314,717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339,516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(used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99,678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48,687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148,365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59,454</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(Decrease) increase,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689,866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434,891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654,433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(1,243,466)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Originations of real estate loans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(303,684)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38,459</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(1,509,784)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(550,435)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 withheld for tax purposes on restricted stock award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vestings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4"/>
              </w:rPr>
              <w:t>Proceeds from issuance of long-term debt, net of unamortized debt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00"/>
              <w:spacing w:after="0"/>
              <w:rPr>
                <w:sz w:val="20"/>
                <w:szCs w:val="20"/>
                <w:color w:val="auto"/>
              </w:rPr>
            </w:pPr>
            <w:r>
              <w:rPr>
                <w:rFonts w:ascii="Arial" w:cs="Arial" w:eastAsia="Arial" w:hAnsi="Arial"/>
                <w:sz w:val="18"/>
                <w:szCs w:val="18"/>
                <w:color w:val="auto"/>
              </w:rPr>
              <w:t>issuance costs,bond premium and original issuance discounts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2,593,405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2,593,405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(1,164,117)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Premium and related costs paid on tender of senior unsecured notes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542,898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470,324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536,662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852,080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958"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30" w:right="239" w:bottom="958" w:gutter="0" w:footer="0" w:header="0"/>
          <w:type w:val="continuous"/>
        </w:sectPr>
      </w:pPr>
    </w:p>
    <w:bookmarkStart w:id="107" w:name="page108"/>
    <w:bookmarkEnd w:id="10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Income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398,070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273,120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671,190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74,333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40,026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from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829,221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142,086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441,742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971,307</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40,911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84,666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63,151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113,480</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183,461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182,328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365,789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605,518</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(217,068)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451,295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(215,133)</w:t>
            </w: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390,385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491,409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352,802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Consolidating Statement of Cash Flows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491,409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352,802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380,598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to net cash provided by (used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95,058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123,835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65,971</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Intercompany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salaries and wages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Gaming, property and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671,989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390,335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598,711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project expenditures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maintenance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 assets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lease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73,072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83,632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exercise of options, net of taxes paid related to</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 withheld for tax purposes on restricted stock award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vestings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w w:val="97"/>
              </w:rPr>
              <w:t>Proceeds from issuance of common stock, net of issuance costs</w:t>
            </w:r>
          </w:p>
        </w:tc>
        <w:tc>
          <w:tcPr>
            <w:tcW w:w="1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139,414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(335,112)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Intercompany financing</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371,799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(358,983)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463,613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(476,429)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463,613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30" w:right="239" w:bottom="1440" w:gutter="0" w:footer="0" w:header="0"/>
          <w:type w:val="continuous"/>
        </w:sectPr>
      </w:pPr>
    </w:p>
    <w:bookmarkStart w:id="109" w:name="page110"/>
    <w:bookmarkEnd w:id="10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2"/>
                <w:szCs w:val="12"/>
                <w:b w:val="1"/>
                <w:bCs w:val="1"/>
                <w:color w:val="auto"/>
                <w:w w:val="88"/>
              </w:rPr>
              <w:t>Gross Amount at which Carried at Close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1"/>
              </w:rPr>
              <w:t>Life on</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162"/>
              <w:spacing w:after="0" w:line="135" w:lineRule="exact"/>
              <w:rPr>
                <w:sz w:val="20"/>
                <w:szCs w:val="20"/>
                <w:color w:val="auto"/>
              </w:rPr>
            </w:pPr>
            <w:r>
              <w:rPr>
                <w:rFonts w:ascii="Arial" w:cs="Arial" w:eastAsia="Arial" w:hAnsi="Arial"/>
                <w:sz w:val="12"/>
                <w:szCs w:val="12"/>
                <w:b w:val="1"/>
                <w:bCs w:val="1"/>
                <w:color w:val="auto"/>
                <w:w w:val="98"/>
              </w:rPr>
              <w:t>Initial Cost to Company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which</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Capitalized</w:t>
            </w: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87"/>
              </w:rPr>
              <w:t>Depreciation</w:t>
            </w: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Costs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Original</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9"/>
              </w:rPr>
              <w:t>in Latest</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(Retirements)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Date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Income</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7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auto"/>
                <w:w w:val="90"/>
              </w:rPr>
              <w:t>Buildings and</w:t>
            </w:r>
          </w:p>
        </w:tc>
        <w:tc>
          <w:tcPr>
            <w:tcW w:w="12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83"/>
              </w:rPr>
              <w:t>Subsequent to</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Land and</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Buildings and</w:t>
            </w: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9"/>
                <w:szCs w:val="19"/>
                <w:b w:val="1"/>
                <w:bCs w:val="1"/>
                <w:color w:val="auto"/>
                <w:vertAlign w:val="superscript"/>
              </w:rPr>
              <w:t>(6)</w:t>
            </w:r>
          </w:p>
        </w:tc>
        <w:tc>
          <w:tcPr>
            <w:tcW w:w="100" w:type="dxa"/>
            <w:vAlign w:val="bottom"/>
            <w:vMerge w:val="restart"/>
          </w:tcPr>
          <w:p>
            <w:pPr>
              <w:spacing w:after="0"/>
              <w:rPr>
                <w:sz w:val="11"/>
                <w:szCs w:val="11"/>
                <w:color w:val="auto"/>
              </w:rPr>
            </w:pPr>
          </w:p>
        </w:tc>
        <w:tc>
          <w:tcPr>
            <w:tcW w:w="780" w:type="dxa"/>
            <w:vAlign w:val="bottom"/>
            <w:gridSpan w:val="2"/>
          </w:tcPr>
          <w:p>
            <w:pPr>
              <w:jc w:val="right"/>
              <w:ind w:right="2"/>
              <w:spacing w:after="0" w:line="135"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Construction /</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Date</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Statement is</w:t>
            </w:r>
          </w:p>
        </w:tc>
        <w:tc>
          <w:tcPr>
            <w:tcW w:w="0" w:type="dxa"/>
            <w:vAlign w:val="bottom"/>
          </w:tcPr>
          <w:p>
            <w:pPr>
              <w:spacing w:after="0"/>
              <w:rPr>
                <w:sz w:val="1"/>
                <w:szCs w:val="1"/>
                <w:color w:val="auto"/>
              </w:rPr>
            </w:pPr>
          </w:p>
        </w:tc>
      </w:tr>
      <w:tr>
        <w:trPr>
          <w:trHeight w:val="170"/>
        </w:trPr>
        <w:tc>
          <w:tcPr>
            <w:tcW w:w="7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Location</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Encumbrances</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Acquisition</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7"/>
              </w:rPr>
              <w:t>Improvements</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0"/>
              </w:rPr>
              <w:t>Improvements</w:t>
            </w:r>
          </w:p>
        </w:tc>
        <w:tc>
          <w:tcPr>
            <w:tcW w:w="1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w w:val="96"/>
              </w:rPr>
              <w:t>Depreciation</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Renovation</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Acquire</w:t>
            </w:r>
            <w:r>
              <w:rPr>
                <w:rFonts w:ascii="Arial" w:cs="Arial" w:eastAsia="Arial" w:hAnsi="Arial"/>
                <w:sz w:val="12"/>
                <w:szCs w:val="12"/>
                <w:color w:val="auto"/>
                <w:w w:val="89"/>
              </w:rPr>
              <w:t>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Computed</w:t>
            </w:r>
          </w:p>
        </w:tc>
        <w:tc>
          <w:tcPr>
            <w:tcW w:w="0" w:type="dxa"/>
            <w:vAlign w:val="bottom"/>
          </w:tcPr>
          <w:p>
            <w:pPr>
              <w:spacing w:after="0"/>
              <w:rPr>
                <w:sz w:val="1"/>
                <w:szCs w:val="1"/>
                <w:color w:val="auto"/>
              </w:rPr>
            </w:pPr>
          </w:p>
        </w:tc>
      </w:tr>
      <w:tr>
        <w:trPr>
          <w:trHeight w:val="149"/>
        </w:trPr>
        <w:tc>
          <w:tcPr>
            <w:tcW w:w="8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Rental</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Properties: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Casino</w:t>
            </w:r>
          </w:p>
        </w:tc>
        <w:tc>
          <w:tcPr>
            <w:tcW w:w="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Lawrenceburg,</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Lawrenceburg</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IN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15,251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15,222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342,392</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$ 357,614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150,315</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1997/2009</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1993/2002/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Aurora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Aurora, IL</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4,937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98,378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4,936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97,996</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102,932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68,924</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9"/>
              </w:rPr>
              <w:t>1992/2003/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 Joliet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Joliet, IL</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19,214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101,104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19,194</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101,104</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120,298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61,511</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2010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Argosy Casino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Alton</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Alton, IL</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6,462</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6,462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4,599</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1991/1999</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 Toledo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Toledo, OH</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12,003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144,093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11,802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144,093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155,895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40,111</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Columbus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Columbus, OH</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38,240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188,543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38,266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188,622</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226,888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52,883</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Charles</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Town</w:t>
            </w:r>
          </w:p>
        </w:tc>
        <w:tc>
          <w:tcPr>
            <w:tcW w:w="9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2"/>
                <w:szCs w:val="12"/>
                <w:color w:val="auto"/>
              </w:rPr>
              <w:t>Charles Town,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Races</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WV</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35,102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233,069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35,102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233,069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268,171</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138,278</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1997/2010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Penn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National</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Race</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200"/>
              <w:spacing w:after="0"/>
              <w:rPr>
                <w:sz w:val="20"/>
                <w:szCs w:val="20"/>
                <w:color w:val="auto"/>
              </w:rPr>
            </w:pPr>
            <w:r>
              <w:rPr>
                <w:rFonts w:ascii="Arial" w:cs="Arial" w:eastAsia="Arial" w:hAnsi="Arial"/>
                <w:sz w:val="12"/>
                <w:szCs w:val="12"/>
                <w:color w:val="auto"/>
              </w:rPr>
              <w:t>Course</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Grantville, PA</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25,500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161,810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25,500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161,810</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187,310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81,702</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2008/2010</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Henderson,</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M Resort</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NV</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66,104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126,689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(436)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65,668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126,689</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192,357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40,605</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2009/2012</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Bangor</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Bangor, ME</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12,883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84,257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12,883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84,257</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97,140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35,033</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2008/2012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Zia Park</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Casino</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Hobbs, NM</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9,313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38,947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9,313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38,947</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48,260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21,456</w:t>
            </w:r>
          </w:p>
        </w:tc>
        <w:tc>
          <w:tcPr>
            <w:tcW w:w="920" w:type="dxa"/>
            <w:vAlign w:val="bottom"/>
            <w:tcBorders>
              <w:bottom w:val="single" w:sz="8" w:color="CCEEFF"/>
            </w:tcBorders>
            <w:gridSpan w:val="2"/>
            <w:shd w:val="clear" w:color="auto" w:fill="CCEEFF"/>
          </w:tcPr>
          <w:p>
            <w:pPr>
              <w:jc w:val="center"/>
              <w:ind w:left="62"/>
              <w:spacing w:after="0"/>
              <w:rPr>
                <w:sz w:val="20"/>
                <w:szCs w:val="20"/>
                <w:color w:val="auto"/>
              </w:rPr>
            </w:pPr>
            <w:r>
              <w:rPr>
                <w:rFonts w:ascii="Arial" w:cs="Arial" w:eastAsia="Arial" w:hAnsi="Arial"/>
                <w:sz w:val="12"/>
                <w:szCs w:val="12"/>
                <w:color w:val="auto"/>
                <w:w w:val="89"/>
              </w:rPr>
              <w:t>2005</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 Gulf</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Bay St. Louis,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jc w:val="center"/>
              <w:ind w:left="42"/>
              <w:spacing w:after="0" w:line="135" w:lineRule="exact"/>
              <w:rPr>
                <w:sz w:val="20"/>
                <w:szCs w:val="20"/>
                <w:color w:val="auto"/>
              </w:rPr>
            </w:pPr>
            <w:r>
              <w:rPr>
                <w:rFonts w:ascii="Arial" w:cs="Arial" w:eastAsia="Arial" w:hAnsi="Arial"/>
                <w:sz w:val="12"/>
                <w:szCs w:val="12"/>
                <w:color w:val="auto"/>
                <w:w w:val="89"/>
              </w:rPr>
              <w:t>1992/2006/</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Coast</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59,388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87,352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(229)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59,176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87,335</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146,511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53,256</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2"/>
              </w:rPr>
              <w:t>2011</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Argosy Casino</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Riverside</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Riverside, MO</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23,468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143,301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23,391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143,301</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166,692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67,802</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1994/2007</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Casino Tunica</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4,634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42,031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4,634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42,031</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46,665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28,362</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1994/2012</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Boomtown</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Biloxi</w:t>
            </w:r>
          </w:p>
        </w:tc>
        <w:tc>
          <w:tcPr>
            <w:tcW w:w="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Biloxi, MS</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3,423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63,083</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3,286</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63,083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66,369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49,446</w:t>
            </w:r>
          </w:p>
        </w:tc>
        <w:tc>
          <w:tcPr>
            <w:tcW w:w="920" w:type="dxa"/>
            <w:vAlign w:val="bottom"/>
            <w:tcBorders>
              <w:bottom w:val="single" w:sz="8" w:color="CCEEFF"/>
            </w:tcBorders>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1994/2006</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Casino</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Maryland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St. Louis</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Heights, MO</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44,198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177,063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(3,239)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40,959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177,063</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218,022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87,157</w:t>
            </w:r>
          </w:p>
        </w:tc>
        <w:tc>
          <w:tcPr>
            <w:tcW w:w="920" w:type="dxa"/>
            <w:vAlign w:val="bottom"/>
            <w:gridSpan w:val="2"/>
          </w:tcPr>
          <w:p>
            <w:pPr>
              <w:jc w:val="center"/>
              <w:ind w:left="42"/>
              <w:spacing w:after="0"/>
              <w:rPr>
                <w:sz w:val="20"/>
                <w:szCs w:val="20"/>
                <w:color w:val="auto"/>
              </w:rPr>
            </w:pPr>
            <w:r>
              <w:rPr>
                <w:rFonts w:ascii="Arial" w:cs="Arial" w:eastAsia="Arial" w:hAnsi="Arial"/>
                <w:sz w:val="12"/>
                <w:szCs w:val="12"/>
                <w:color w:val="auto"/>
                <w:w w:val="88"/>
              </w:rPr>
              <w:t>1997/2013</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2"/>
                <w:szCs w:val="12"/>
                <w:color w:val="auto"/>
              </w:rPr>
              <w:t>Dayton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80" w:type="dxa"/>
            <w:vAlign w:val="bottom"/>
            <w:gridSpan w:val="2"/>
            <w:shd w:val="clear" w:color="auto" w:fill="CCEEFF"/>
          </w:tcPr>
          <w:p>
            <w:pPr>
              <w:ind w:left="200"/>
              <w:spacing w:after="0" w:line="128" w:lineRule="exact"/>
              <w:rPr>
                <w:sz w:val="20"/>
                <w:szCs w:val="20"/>
                <w:color w:val="auto"/>
              </w:rPr>
            </w:pPr>
            <w:r>
              <w:rPr>
                <w:rFonts w:ascii="Arial" w:cs="Arial" w:eastAsia="Arial" w:hAnsi="Arial"/>
                <w:sz w:val="12"/>
                <w:szCs w:val="12"/>
                <w:color w:val="auto"/>
              </w:rPr>
              <w:t>Raceway</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Dayton, OH</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3,211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86,288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3,211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86,288</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89,499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14,949</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2014</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90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Hollywood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Casino at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Mahoning</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gridSpan w:val="2"/>
          </w:tcPr>
          <w:p>
            <w:pPr>
              <w:ind w:left="200"/>
              <w:spacing w:after="0" w:line="135" w:lineRule="exact"/>
              <w:rPr>
                <w:sz w:val="20"/>
                <w:szCs w:val="20"/>
                <w:color w:val="auto"/>
              </w:rPr>
            </w:pPr>
            <w:r>
              <w:rPr>
                <w:rFonts w:ascii="Arial" w:cs="Arial" w:eastAsia="Arial" w:hAnsi="Arial"/>
                <w:sz w:val="12"/>
                <w:szCs w:val="12"/>
                <w:color w:val="auto"/>
              </w:rPr>
              <w:t>Valley</w:t>
            </w: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color w:val="auto"/>
              </w:rPr>
              <w:t>Youngstown,</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880" w:type="dxa"/>
            <w:vAlign w:val="bottom"/>
            <w:gridSpan w:val="2"/>
          </w:tcPr>
          <w:p>
            <w:pPr>
              <w:ind w:left="200"/>
              <w:spacing w:after="0" w:line="114" w:lineRule="exact"/>
              <w:rPr>
                <w:sz w:val="20"/>
                <w:szCs w:val="20"/>
                <w:color w:val="auto"/>
              </w:rPr>
            </w:pPr>
            <w:r>
              <w:rPr>
                <w:rFonts w:ascii="Arial" w:cs="Arial" w:eastAsia="Arial" w:hAnsi="Arial"/>
                <w:sz w:val="12"/>
                <w:szCs w:val="12"/>
                <w:color w:val="auto"/>
              </w:rPr>
              <w:t>Race Track</w:t>
            </w: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2"/>
                <w:szCs w:val="12"/>
                <w:color w:val="auto"/>
              </w:rPr>
              <w:t>5,683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2"/>
                <w:szCs w:val="12"/>
                <w:color w:val="auto"/>
              </w:rPr>
              <w:t>94,314</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2"/>
                <w:szCs w:val="12"/>
                <w:color w:val="auto"/>
              </w:rPr>
              <w:t>5,833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42"/>
              <w:spacing w:after="0"/>
              <w:rPr>
                <w:sz w:val="20"/>
                <w:szCs w:val="20"/>
                <w:color w:val="auto"/>
              </w:rPr>
            </w:pPr>
            <w:r>
              <w:rPr>
                <w:rFonts w:ascii="Arial" w:cs="Arial" w:eastAsia="Arial" w:hAnsi="Arial"/>
                <w:sz w:val="12"/>
                <w:szCs w:val="12"/>
                <w:color w:val="auto"/>
              </w:rPr>
              <w:t>94,164</w:t>
            </w:r>
          </w:p>
        </w:tc>
        <w:tc>
          <w:tcPr>
            <w:tcW w:w="100" w:type="dxa"/>
            <w:vAlign w:val="bottom"/>
          </w:tcPr>
          <w:p>
            <w:pPr>
              <w:spacing w:after="0"/>
              <w:rPr>
                <w:sz w:val="9"/>
                <w:szCs w:val="9"/>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99,997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2"/>
                <w:szCs w:val="12"/>
                <w:color w:val="auto"/>
              </w:rPr>
              <w:t>16,065</w:t>
            </w:r>
          </w:p>
        </w:tc>
        <w:tc>
          <w:tcPr>
            <w:tcW w:w="920" w:type="dxa"/>
            <w:vAlign w:val="bottom"/>
            <w:gridSpan w:val="2"/>
            <w:vMerge w:val="restart"/>
          </w:tcPr>
          <w:p>
            <w:pPr>
              <w:jc w:val="center"/>
              <w:ind w:left="62"/>
              <w:spacing w:after="0"/>
              <w:rPr>
                <w:sz w:val="20"/>
                <w:szCs w:val="20"/>
                <w:color w:val="auto"/>
              </w:rPr>
            </w:pPr>
            <w:r>
              <w:rPr>
                <w:rFonts w:ascii="Arial" w:cs="Arial" w:eastAsia="Arial" w:hAnsi="Arial"/>
                <w:sz w:val="12"/>
                <w:szCs w:val="12"/>
                <w:color w:val="auto"/>
                <w:w w:val="89"/>
              </w:rPr>
              <w:t>2014</w:t>
            </w:r>
          </w:p>
        </w:tc>
        <w:tc>
          <w:tcPr>
            <w:tcW w:w="10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11/1/2013</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760" w:type="dxa"/>
            <w:vAlign w:val="bottom"/>
          </w:tcPr>
          <w:p>
            <w:pPr>
              <w:ind w:left="200"/>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OH</w:t>
            </w: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Resorts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left="42"/>
              <w:spacing w:after="0"/>
              <w:rPr>
                <w:sz w:val="20"/>
                <w:szCs w:val="20"/>
                <w:color w:val="auto"/>
              </w:rPr>
            </w:pPr>
            <w:r>
              <w:rPr>
                <w:rFonts w:ascii="Arial" w:cs="Arial" w:eastAsia="Arial" w:hAnsi="Arial"/>
                <w:sz w:val="12"/>
                <w:szCs w:val="12"/>
                <w:color w:val="auto"/>
                <w:w w:val="89"/>
              </w:rPr>
              <w:t>1994/1996/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88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2"/>
                <w:szCs w:val="12"/>
                <w:color w:val="auto"/>
              </w:rPr>
              <w:t>Casino Tunica</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12,860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(12,860)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5/1/2017</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ind w:left="40"/>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gridSpan w:val="2"/>
            <w:shd w:val="clear" w:color="auto" w:fill="CCEEFF"/>
          </w:tcPr>
          <w:p>
            <w:pPr>
              <w:jc w:val="center"/>
              <w:ind w:left="42"/>
              <w:spacing w:after="0"/>
              <w:rPr>
                <w:sz w:val="20"/>
                <w:szCs w:val="20"/>
                <w:color w:val="auto"/>
              </w:rPr>
            </w:pPr>
            <w:r>
              <w:rPr>
                <w:rFonts w:ascii="Arial" w:cs="Arial" w:eastAsia="Arial" w:hAnsi="Arial"/>
                <w:sz w:val="12"/>
                <w:szCs w:val="12"/>
                <w:color w:val="auto"/>
                <w:w w:val="88"/>
              </w:rPr>
              <w:t>2005/2014</w:t>
            </w: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gridSpan w:val="2"/>
          </w:tcPr>
          <w:p>
            <w:pPr>
              <w:ind w:left="40"/>
              <w:spacing w:after="0" w:line="156" w:lineRule="exact"/>
              <w:rPr>
                <w:sz w:val="20"/>
                <w:szCs w:val="20"/>
                <w:color w:val="auto"/>
              </w:rPr>
            </w:pPr>
            <w:r>
              <w:rPr>
                <w:rFonts w:ascii="Arial" w:cs="Arial" w:eastAsia="Arial" w:hAnsi="Arial"/>
                <w:sz w:val="11"/>
                <w:szCs w:val="11"/>
                <w:color w:val="auto"/>
              </w:rPr>
              <w:t>1</w:t>
            </w:r>
            <w:r>
              <w:rPr>
                <w:rFonts w:ascii="Arial" w:cs="Arial" w:eastAsia="Arial" w:hAnsi="Arial"/>
                <w:sz w:val="18"/>
                <w:szCs w:val="18"/>
                <w:color w:val="auto"/>
                <w:vertAlign w:val="superscript"/>
              </w:rPr>
              <w:t>st</w:t>
            </w:r>
            <w:r>
              <w:rPr>
                <w:rFonts w:ascii="Arial" w:cs="Arial" w:eastAsia="Arial" w:hAnsi="Arial"/>
                <w:sz w:val="11"/>
                <w:szCs w:val="11"/>
                <w:color w:val="auto"/>
              </w:rPr>
              <w:t xml:space="preserve"> Jackpot</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200"/>
              <w:spacing w:after="0"/>
              <w:rPr>
                <w:sz w:val="20"/>
                <w:szCs w:val="20"/>
                <w:color w:val="auto"/>
              </w:rPr>
            </w:pPr>
            <w:r>
              <w:rPr>
                <w:rFonts w:ascii="Arial" w:cs="Arial" w:eastAsia="Arial" w:hAnsi="Arial"/>
                <w:sz w:val="12"/>
                <w:szCs w:val="12"/>
                <w:color w:val="auto"/>
              </w:rPr>
              <w:t>Casino</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Tunica, MS</w:t>
            </w:r>
          </w:p>
        </w:tc>
        <w:tc>
          <w:tcPr>
            <w:tcW w:w="80" w:type="dxa"/>
            <w:vAlign w:val="bottom"/>
          </w:tcPr>
          <w:p>
            <w:pPr>
              <w:spacing w:after="0"/>
              <w:rPr>
                <w:sz w:val="12"/>
                <w:szCs w:val="12"/>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10,100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10,100</w:t>
            </w:r>
          </w:p>
        </w:tc>
        <w:tc>
          <w:tcPr>
            <w:tcW w:w="1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10,261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982</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1995</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5/1/2017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Black Hawk,</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80" w:type="dxa"/>
            <w:vAlign w:val="bottom"/>
            <w:gridSpan w:val="2"/>
            <w:shd w:val="clear" w:color="auto" w:fill="CCEEFF"/>
          </w:tcPr>
          <w:p>
            <w:pPr>
              <w:ind w:left="40"/>
              <w:spacing w:after="0" w:line="114" w:lineRule="exact"/>
              <w:rPr>
                <w:sz w:val="20"/>
                <w:szCs w:val="20"/>
                <w:color w:val="auto"/>
              </w:rPr>
            </w:pPr>
            <w:r>
              <w:rPr>
                <w:rFonts w:ascii="Arial" w:cs="Arial" w:eastAsia="Arial" w:hAnsi="Arial"/>
                <w:sz w:val="12"/>
                <w:szCs w:val="12"/>
                <w:color w:val="auto"/>
              </w:rPr>
              <w:t>Black Hawk</w:t>
            </w:r>
          </w:p>
        </w:tc>
        <w:tc>
          <w:tcPr>
            <w:tcW w:w="94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243,092</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334,024</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243,092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334,024</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577,116</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13,617</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2000</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760" w:type="dxa"/>
            <w:vAlign w:val="bottom"/>
            <w:shd w:val="clear" w:color="auto" w:fill="CCEEFF"/>
          </w:tcPr>
          <w:p>
            <w:pPr>
              <w:ind w:left="4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CO</w:t>
            </w: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ind w:left="40"/>
              <w:spacing w:after="0"/>
              <w:rPr>
                <w:sz w:val="20"/>
                <w:szCs w:val="20"/>
                <w:color w:val="auto"/>
              </w:rPr>
            </w:pPr>
            <w:r>
              <w:rPr>
                <w:rFonts w:ascii="Arial" w:cs="Arial" w:eastAsia="Arial" w:hAnsi="Arial"/>
                <w:sz w:val="12"/>
                <w:szCs w:val="12"/>
                <w:color w:val="auto"/>
              </w:rPr>
              <w:t>Ameristar East</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East Chicago,</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0" w:type="dxa"/>
            <w:vAlign w:val="bottom"/>
            <w:gridSpan w:val="2"/>
          </w:tcPr>
          <w:p>
            <w:pPr>
              <w:ind w:left="40"/>
              <w:spacing w:after="0" w:line="176" w:lineRule="exact"/>
              <w:rPr>
                <w:sz w:val="20"/>
                <w:szCs w:val="20"/>
                <w:color w:val="auto"/>
              </w:rPr>
            </w:pPr>
            <w:r>
              <w:rPr>
                <w:rFonts w:ascii="Arial" w:cs="Arial" w:eastAsia="Arial" w:hAnsi="Arial"/>
                <w:sz w:val="12"/>
                <w:szCs w:val="12"/>
                <w:color w:val="auto"/>
              </w:rPr>
              <w:t xml:space="preserve">Chicago </w:t>
            </w:r>
            <w:r>
              <w:rPr>
                <w:rFonts w:ascii="Arial" w:cs="Arial" w:eastAsia="Arial" w:hAnsi="Arial"/>
                <w:sz w:val="19"/>
                <w:szCs w:val="19"/>
                <w:color w:val="auto"/>
                <w:vertAlign w:val="superscript"/>
              </w:rPr>
              <w:t>(3)</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IN</w:t>
            </w:r>
          </w:p>
        </w:tc>
        <w:tc>
          <w:tcPr>
            <w:tcW w:w="80" w:type="dxa"/>
            <w:vAlign w:val="bottom"/>
          </w:tcPr>
          <w:p>
            <w:pPr>
              <w:spacing w:after="0"/>
              <w:rPr>
                <w:sz w:val="15"/>
                <w:szCs w:val="15"/>
                <w:color w:val="auto"/>
              </w:rPr>
            </w:pPr>
          </w:p>
        </w:tc>
        <w:tc>
          <w:tcPr>
            <w:tcW w:w="980" w:type="dxa"/>
            <w:vAlign w:val="bottom"/>
            <w:gridSpan w:val="2"/>
          </w:tcPr>
          <w:p>
            <w:pPr>
              <w:ind w:left="6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ind w:right="62"/>
              <w:spacing w:after="0"/>
              <w:rPr>
                <w:sz w:val="20"/>
                <w:szCs w:val="20"/>
                <w:color w:val="auto"/>
              </w:rPr>
            </w:pPr>
            <w:r>
              <w:rPr>
                <w:rFonts w:ascii="Arial" w:cs="Arial" w:eastAsia="Arial" w:hAnsi="Arial"/>
                <w:sz w:val="12"/>
                <w:szCs w:val="12"/>
                <w:color w:val="auto"/>
              </w:rPr>
              <w:t>4,198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123,430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4,198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123,430</w:t>
            </w:r>
          </w:p>
        </w:tc>
        <w:tc>
          <w:tcPr>
            <w:tcW w:w="10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127,628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2"/>
                <w:szCs w:val="12"/>
                <w:color w:val="auto"/>
              </w:rPr>
              <w:t>5,788</w:t>
            </w:r>
          </w:p>
        </w:tc>
        <w:tc>
          <w:tcPr>
            <w:tcW w:w="92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1997</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Belterra</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80" w:type="dxa"/>
            <w:vAlign w:val="bottom"/>
            <w:gridSpan w:val="2"/>
            <w:shd w:val="clear" w:color="auto" w:fill="CCEEFF"/>
          </w:tcPr>
          <w:p>
            <w:pPr>
              <w:ind w:left="40"/>
              <w:spacing w:after="0" w:line="128" w:lineRule="exact"/>
              <w:rPr>
                <w:sz w:val="20"/>
                <w:szCs w:val="20"/>
                <w:color w:val="auto"/>
              </w:rPr>
            </w:pPr>
            <w:r>
              <w:rPr>
                <w:rFonts w:ascii="Arial" w:cs="Arial" w:eastAsia="Arial" w:hAnsi="Arial"/>
                <w:sz w:val="12"/>
                <w:szCs w:val="12"/>
                <w:color w:val="auto"/>
              </w:rPr>
              <w:t>Casino Resort</w:t>
            </w: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Florence, IN</w:t>
            </w: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63,420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172,875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63,420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172,875</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236,295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10,014</w:t>
            </w:r>
          </w:p>
        </w:tc>
        <w:tc>
          <w:tcPr>
            <w:tcW w:w="920" w:type="dxa"/>
            <w:vAlign w:val="bottom"/>
            <w:gridSpan w:val="2"/>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2000</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2"/>
                <w:szCs w:val="12"/>
                <w:color w:val="auto"/>
                <w:w w:val="89"/>
              </w:rPr>
              <w:t>4/28/2016</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760" w:type="dxa"/>
            <w:vAlign w:val="bottom"/>
            <w:shd w:val="clear" w:color="auto" w:fill="CCEEFF"/>
          </w:tcPr>
          <w:p>
            <w:pPr>
              <w:ind w:left="40"/>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30" w:right="239"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ind w:left="40"/>
              <w:spacing w:after="0"/>
              <w:rPr>
                <w:sz w:val="20"/>
                <w:szCs w:val="20"/>
                <w:color w:val="auto"/>
              </w:rPr>
            </w:pPr>
            <w:r>
              <w:rPr>
                <w:rFonts w:ascii="Arial" w:cs="Arial" w:eastAsia="Arial" w:hAnsi="Arial"/>
                <w:sz w:val="12"/>
                <w:szCs w:val="12"/>
                <w:color w:val="auto"/>
              </w:rPr>
              <w:t>Ameristar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Council</w:t>
            </w:r>
          </w:p>
        </w:tc>
        <w:tc>
          <w:tcPr>
            <w:tcW w:w="100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Council Bluffs,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Bluffs </w:t>
            </w:r>
            <w:r>
              <w:rPr>
                <w:rFonts w:ascii="Arial" w:cs="Arial" w:eastAsia="Arial" w:hAnsi="Arial"/>
                <w:sz w:val="19"/>
                <w:szCs w:val="19"/>
                <w:color w:val="auto"/>
                <w:vertAlign w:val="superscript"/>
              </w:rPr>
              <w:t>(3)</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IA</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84,009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109,027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84,009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109,027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193,036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5,332</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1996</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L'Auberge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Baton Rouge,</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Baton Rouge</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205,274</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178,426</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205,274</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178,426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383,700</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7,747</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2012</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Boomtown</w:t>
            </w:r>
          </w:p>
        </w:tc>
        <w:tc>
          <w:tcPr>
            <w:tcW w:w="1000" w:type="dxa"/>
            <w:vAlign w:val="bottom"/>
            <w:gridSpan w:val="2"/>
            <w:vMerge w:val="restart"/>
          </w:tcPr>
          <w:p>
            <w:pPr>
              <w:ind w:left="100"/>
              <w:spacing w:after="0"/>
              <w:rPr>
                <w:sz w:val="20"/>
                <w:szCs w:val="20"/>
                <w:color w:val="auto"/>
              </w:rPr>
            </w:pPr>
            <w:r>
              <w:rPr>
                <w:rFonts w:ascii="Arial" w:cs="Arial" w:eastAsia="Arial" w:hAnsi="Arial"/>
                <w:sz w:val="12"/>
                <w:szCs w:val="12"/>
                <w:color w:val="auto"/>
              </w:rPr>
              <w:t>Bossier City,</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tcPr>
          <w:p>
            <w:pPr>
              <w:ind w:left="40"/>
              <w:spacing w:after="0" w:line="114" w:lineRule="exact"/>
              <w:rPr>
                <w:sz w:val="20"/>
                <w:szCs w:val="20"/>
                <w:color w:val="auto"/>
              </w:rPr>
            </w:pPr>
            <w:r>
              <w:rPr>
                <w:rFonts w:ascii="Arial" w:cs="Arial" w:eastAsia="Arial" w:hAnsi="Arial"/>
                <w:sz w:val="12"/>
                <w:szCs w:val="12"/>
                <w:color w:val="auto"/>
              </w:rPr>
              <w:t>Bossier City</w:t>
            </w: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9"/>
                <w:szCs w:val="9"/>
                <w:color w:val="auto"/>
              </w:rPr>
            </w:pPr>
          </w:p>
        </w:tc>
        <w:tc>
          <w:tcPr>
            <w:tcW w:w="640" w:type="dxa"/>
            <w:vAlign w:val="bottom"/>
            <w:vMerge w:val="restart"/>
          </w:tcPr>
          <w:p>
            <w:pPr>
              <w:jc w:val="right"/>
              <w:ind w:right="62"/>
              <w:spacing w:after="0"/>
              <w:rPr>
                <w:sz w:val="20"/>
                <w:szCs w:val="20"/>
                <w:color w:val="auto"/>
              </w:rPr>
            </w:pPr>
            <w:r>
              <w:rPr>
                <w:rFonts w:ascii="Arial" w:cs="Arial" w:eastAsia="Arial" w:hAnsi="Arial"/>
                <w:sz w:val="12"/>
                <w:szCs w:val="12"/>
                <w:color w:val="auto"/>
              </w:rPr>
              <w:t>79,022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107,067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79,022</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107,067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ind w:right="62"/>
              <w:spacing w:after="0"/>
              <w:rPr>
                <w:sz w:val="20"/>
                <w:szCs w:val="20"/>
                <w:color w:val="auto"/>
              </w:rPr>
            </w:pPr>
            <w:r>
              <w:rPr>
                <w:rFonts w:ascii="Arial" w:cs="Arial" w:eastAsia="Arial" w:hAnsi="Arial"/>
                <w:sz w:val="12"/>
                <w:szCs w:val="12"/>
                <w:color w:val="auto"/>
              </w:rPr>
              <w:t>186,089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4,829</w:t>
            </w:r>
          </w:p>
        </w:tc>
        <w:tc>
          <w:tcPr>
            <w:tcW w:w="920" w:type="dxa"/>
            <w:vAlign w:val="bottom"/>
            <w:vMerge w:val="restart"/>
          </w:tcPr>
          <w:p>
            <w:pPr>
              <w:jc w:val="center"/>
              <w:ind w:left="62"/>
              <w:spacing w:after="0"/>
              <w:rPr>
                <w:sz w:val="20"/>
                <w:szCs w:val="20"/>
                <w:color w:val="auto"/>
              </w:rPr>
            </w:pPr>
            <w:r>
              <w:rPr>
                <w:rFonts w:ascii="Arial" w:cs="Arial" w:eastAsia="Arial" w:hAnsi="Arial"/>
                <w:sz w:val="12"/>
                <w:szCs w:val="12"/>
                <w:color w:val="auto"/>
                <w:w w:val="89"/>
              </w:rPr>
              <w:t>2002</w:t>
            </w:r>
          </w:p>
        </w:tc>
        <w:tc>
          <w:tcPr>
            <w:tcW w:w="1080" w:type="dxa"/>
            <w:vAlign w:val="bottom"/>
            <w:vMerge w:val="restart"/>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5"/>
        </w:trPr>
        <w:tc>
          <w:tcPr>
            <w:tcW w:w="800" w:type="dxa"/>
            <w:vAlign w:val="bottom"/>
          </w:tcPr>
          <w:p>
            <w:pPr>
              <w:ind w:left="40"/>
              <w:spacing w:after="0"/>
              <w:rPr>
                <w:sz w:val="20"/>
                <w:szCs w:val="20"/>
                <w:color w:val="auto"/>
              </w:rPr>
            </w:pPr>
            <w:r>
              <w:rPr>
                <w:rFonts w:ascii="Arial" w:cs="Arial" w:eastAsia="Arial" w:hAnsi="Arial"/>
                <w:sz w:val="10"/>
                <w:szCs w:val="10"/>
                <w:color w:val="auto"/>
              </w:rPr>
              <w:t>(3)</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LA</w:t>
            </w:r>
          </w:p>
        </w:tc>
        <w:tc>
          <w:tcPr>
            <w:tcW w:w="3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L'Auberge</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Lake Charles,</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Lake Charles</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14,831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310,877</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14,831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310,877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325,708</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15,412</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2005</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Boomtown</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New Orleans</w:t>
            </w:r>
          </w:p>
        </w:tc>
        <w:tc>
          <w:tcPr>
            <w:tcW w:w="1000" w:type="dxa"/>
            <w:vAlign w:val="bottom"/>
            <w:gridSpan w:val="2"/>
            <w:vMerge w:val="restart"/>
          </w:tcPr>
          <w:p>
            <w:pPr>
              <w:ind w:left="100"/>
              <w:spacing w:after="0"/>
              <w:rPr>
                <w:sz w:val="20"/>
                <w:szCs w:val="20"/>
                <w:color w:val="auto"/>
              </w:rPr>
            </w:pPr>
            <w:r>
              <w:rPr>
                <w:rFonts w:ascii="Arial" w:cs="Arial" w:eastAsia="Arial" w:hAnsi="Arial"/>
                <w:sz w:val="12"/>
                <w:szCs w:val="12"/>
                <w:color w:val="auto"/>
              </w:rPr>
              <w:t>Boomtown, LA</w:t>
            </w:r>
          </w:p>
        </w:tc>
        <w:tc>
          <w:tcPr>
            <w:tcW w:w="360" w:type="dxa"/>
            <w:vAlign w:val="bottom"/>
          </w:tcPr>
          <w:p>
            <w:pPr>
              <w:spacing w:after="0"/>
              <w:rPr>
                <w:sz w:val="11"/>
                <w:szCs w:val="11"/>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62"/>
              <w:spacing w:after="0"/>
              <w:rPr>
                <w:sz w:val="20"/>
                <w:szCs w:val="20"/>
                <w:color w:val="auto"/>
              </w:rPr>
            </w:pPr>
            <w:r>
              <w:rPr>
                <w:rFonts w:ascii="Arial" w:cs="Arial" w:eastAsia="Arial" w:hAnsi="Arial"/>
                <w:sz w:val="12"/>
                <w:szCs w:val="12"/>
                <w:color w:val="auto"/>
              </w:rPr>
              <w:t>46,019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58,258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46,019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58,258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62"/>
              <w:spacing w:after="0"/>
              <w:rPr>
                <w:sz w:val="20"/>
                <w:szCs w:val="20"/>
                <w:color w:val="auto"/>
              </w:rPr>
            </w:pPr>
            <w:r>
              <w:rPr>
                <w:rFonts w:ascii="Arial" w:cs="Arial" w:eastAsia="Arial" w:hAnsi="Arial"/>
                <w:sz w:val="12"/>
                <w:szCs w:val="12"/>
                <w:color w:val="auto"/>
              </w:rPr>
              <w:t>104,277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2,866</w:t>
            </w:r>
          </w:p>
        </w:tc>
        <w:tc>
          <w:tcPr>
            <w:tcW w:w="920" w:type="dxa"/>
            <w:vAlign w:val="bottom"/>
            <w:vMerge w:val="restart"/>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vMerge w:val="restart"/>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9"/>
        </w:trPr>
        <w:tc>
          <w:tcPr>
            <w:tcW w:w="800" w:type="dxa"/>
            <w:vAlign w:val="bottom"/>
          </w:tcPr>
          <w:p>
            <w:pPr>
              <w:ind w:left="40"/>
              <w:spacing w:after="0"/>
              <w:rPr>
                <w:sz w:val="20"/>
                <w:szCs w:val="20"/>
                <w:color w:val="auto"/>
              </w:rPr>
            </w:pPr>
            <w:r>
              <w:rPr>
                <w:rFonts w:ascii="Arial" w:cs="Arial" w:eastAsia="Arial" w:hAnsi="Arial"/>
                <w:sz w:val="10"/>
                <w:szCs w:val="10"/>
                <w:color w:val="auto"/>
              </w:rPr>
              <w:t>(3)</w:t>
            </w:r>
          </w:p>
        </w:tc>
        <w:tc>
          <w:tcPr>
            <w:tcW w:w="10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CEEFF"/>
          </w:tcPr>
          <w:p>
            <w:pPr>
              <w:ind w:left="40"/>
              <w:spacing w:after="0" w:line="176" w:lineRule="exact"/>
              <w:rPr>
                <w:sz w:val="20"/>
                <w:szCs w:val="20"/>
                <w:color w:val="auto"/>
              </w:rPr>
            </w:pPr>
            <w:r>
              <w:rPr>
                <w:rFonts w:ascii="Arial" w:cs="Arial" w:eastAsia="Arial" w:hAnsi="Arial"/>
                <w:sz w:val="12"/>
                <w:szCs w:val="12"/>
                <w:color w:val="auto"/>
              </w:rPr>
              <w:t xml:space="preserve">Vicksburg </w:t>
            </w:r>
            <w:r>
              <w:rPr>
                <w:rFonts w:ascii="Arial" w:cs="Arial" w:eastAsia="Arial" w:hAnsi="Arial"/>
                <w:sz w:val="19"/>
                <w:szCs w:val="19"/>
                <w:color w:val="auto"/>
                <w:vertAlign w:val="superscript"/>
              </w:rPr>
              <w:t>(3)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Vicksburg, MS</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128,068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96,106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128,068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96,106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224,174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5,631</w:t>
            </w:r>
          </w:p>
        </w:tc>
        <w:tc>
          <w:tcPr>
            <w:tcW w:w="92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River City</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Casino &amp;</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Hotel </w:t>
            </w:r>
            <w:r>
              <w:rPr>
                <w:rFonts w:ascii="Arial" w:cs="Arial" w:eastAsia="Arial" w:hAnsi="Arial"/>
                <w:sz w:val="19"/>
                <w:szCs w:val="19"/>
                <w:color w:val="auto"/>
                <w:vertAlign w:val="superscript"/>
              </w:rPr>
              <w:t>(3)</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 Louis, MO</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8,117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221,038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221,038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229,155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9,924</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2010</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Ameristar</w:t>
            </w:r>
          </w:p>
        </w:tc>
        <w:tc>
          <w:tcPr>
            <w:tcW w:w="1000" w:type="dxa"/>
            <w:vAlign w:val="bottom"/>
            <w:gridSpan w:val="2"/>
            <w:vMerge w:val="restart"/>
            <w:shd w:val="clear" w:color="auto" w:fill="CCEEFF"/>
          </w:tcPr>
          <w:p>
            <w:pPr>
              <w:ind w:left="100"/>
              <w:spacing w:after="0"/>
              <w:rPr>
                <w:sz w:val="20"/>
                <w:szCs w:val="20"/>
                <w:color w:val="auto"/>
              </w:rPr>
            </w:pPr>
            <w:r>
              <w:rPr>
                <w:rFonts w:ascii="Arial" w:cs="Arial" w:eastAsia="Arial" w:hAnsi="Arial"/>
                <w:sz w:val="12"/>
                <w:szCs w:val="12"/>
                <w:color w:val="auto"/>
              </w:rPr>
              <w:t>Kansas City,</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0" w:type="dxa"/>
            <w:vAlign w:val="bottom"/>
            <w:shd w:val="clear" w:color="auto" w:fill="CCEEFF"/>
          </w:tcPr>
          <w:p>
            <w:pPr>
              <w:ind w:left="40"/>
              <w:spacing w:after="0" w:line="114" w:lineRule="exact"/>
              <w:rPr>
                <w:sz w:val="20"/>
                <w:szCs w:val="20"/>
                <w:color w:val="auto"/>
              </w:rPr>
            </w:pPr>
            <w:r>
              <w:rPr>
                <w:rFonts w:ascii="Arial" w:cs="Arial" w:eastAsia="Arial" w:hAnsi="Arial"/>
                <w:sz w:val="12"/>
                <w:szCs w:val="12"/>
                <w:color w:val="auto"/>
              </w:rPr>
              <w:t>Kansas City</w:t>
            </w:r>
          </w:p>
        </w:tc>
        <w:tc>
          <w:tcPr>
            <w:tcW w:w="10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239,111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271,598</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239,111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271,598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510,709</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13,663</w:t>
            </w:r>
          </w:p>
        </w:tc>
        <w:tc>
          <w:tcPr>
            <w:tcW w:w="920" w:type="dxa"/>
            <w:vAlign w:val="bottom"/>
            <w:vMerge w:val="restart"/>
            <w:shd w:val="clear" w:color="auto" w:fill="CCEEFF"/>
          </w:tcPr>
          <w:p>
            <w:pPr>
              <w:jc w:val="center"/>
              <w:ind w:left="62"/>
              <w:spacing w:after="0"/>
              <w:rPr>
                <w:sz w:val="20"/>
                <w:szCs w:val="20"/>
                <w:color w:val="auto"/>
              </w:rPr>
            </w:pPr>
            <w:r>
              <w:rPr>
                <w:rFonts w:ascii="Arial" w:cs="Arial" w:eastAsia="Arial" w:hAnsi="Arial"/>
                <w:sz w:val="12"/>
                <w:szCs w:val="12"/>
                <w:color w:val="auto"/>
                <w:w w:val="89"/>
              </w:rPr>
              <w:t>1997</w:t>
            </w:r>
          </w:p>
        </w:tc>
        <w:tc>
          <w:tcPr>
            <w:tcW w:w="1080" w:type="dxa"/>
            <w:vAlign w:val="bottom"/>
            <w:vMerge w:val="restart"/>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2"/>
        </w:trPr>
        <w:tc>
          <w:tcPr>
            <w:tcW w:w="800" w:type="dxa"/>
            <w:vAlign w:val="bottom"/>
            <w:shd w:val="clear" w:color="auto" w:fill="CCEEFF"/>
          </w:tcPr>
          <w:p>
            <w:pPr>
              <w:ind w:left="40"/>
              <w:spacing w:after="0"/>
              <w:rPr>
                <w:sz w:val="20"/>
                <w:szCs w:val="20"/>
                <w:color w:val="auto"/>
              </w:rPr>
            </w:pPr>
            <w:r>
              <w:rPr>
                <w:rFonts w:ascii="Arial" w:cs="Arial" w:eastAsia="Arial" w:hAnsi="Arial"/>
                <w:sz w:val="10"/>
                <w:szCs w:val="10"/>
                <w:color w:val="auto"/>
              </w:rPr>
              <w:t>(3)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MO</w:t>
            </w:r>
          </w:p>
        </w:tc>
        <w:tc>
          <w:tcPr>
            <w:tcW w:w="3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rPr>
              <w:t>Ameristar St.</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St. Charles,</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Charles </w:t>
            </w:r>
            <w:r>
              <w:rPr>
                <w:rFonts w:ascii="Arial" w:cs="Arial" w:eastAsia="Arial" w:hAnsi="Arial"/>
                <w:sz w:val="19"/>
                <w:szCs w:val="19"/>
                <w:color w:val="auto"/>
                <w:vertAlign w:val="superscript"/>
              </w:rPr>
              <w:t>(3)</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MO</w:t>
            </w:r>
          </w:p>
        </w:tc>
        <w:tc>
          <w:tcPr>
            <w:tcW w:w="360" w:type="dxa"/>
            <w:vAlign w:val="bottom"/>
          </w:tcPr>
          <w:p>
            <w:pPr>
              <w:spacing w:after="0"/>
              <w:rPr>
                <w:sz w:val="15"/>
                <w:szCs w:val="15"/>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375,597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437,908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375,596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437,908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813,504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18,220</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8"/>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Jackpot</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shd w:val="clear" w:color="auto" w:fill="CCEEFF"/>
          </w:tcPr>
          <w:p>
            <w:pPr>
              <w:ind w:left="40"/>
              <w:spacing w:after="0" w:line="176" w:lineRule="exact"/>
              <w:rPr>
                <w:sz w:val="20"/>
                <w:szCs w:val="20"/>
                <w:color w:val="auto"/>
              </w:rPr>
            </w:pPr>
            <w:r>
              <w:rPr>
                <w:rFonts w:ascii="Arial" w:cs="Arial" w:eastAsia="Arial" w:hAnsi="Arial"/>
                <w:sz w:val="12"/>
                <w:szCs w:val="12"/>
                <w:color w:val="auto"/>
              </w:rPr>
              <w:t xml:space="preserve">Properties </w:t>
            </w:r>
            <w:r>
              <w:rPr>
                <w:rFonts w:ascii="Arial" w:cs="Arial" w:eastAsia="Arial" w:hAnsi="Arial"/>
                <w:sz w:val="19"/>
                <w:szCs w:val="19"/>
                <w:color w:val="auto"/>
                <w:vertAlign w:val="superscript"/>
              </w:rPr>
              <w:t>(3)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Jackpot, NV</w:t>
            </w:r>
          </w:p>
        </w:tc>
        <w:tc>
          <w:tcPr>
            <w:tcW w:w="3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48,785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61,550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48,785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61,550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110,335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4,596</w:t>
            </w:r>
          </w:p>
        </w:tc>
        <w:tc>
          <w:tcPr>
            <w:tcW w:w="920" w:type="dxa"/>
            <w:vAlign w:val="bottom"/>
            <w:shd w:val="clear" w:color="auto" w:fill="CCEEFF"/>
          </w:tcPr>
          <w:p>
            <w:pPr>
              <w:jc w:val="center"/>
              <w:ind w:left="62"/>
              <w:spacing w:after="0"/>
              <w:rPr>
                <w:sz w:val="20"/>
                <w:szCs w:val="20"/>
                <w:color w:val="auto"/>
              </w:rPr>
            </w:pPr>
            <w:r>
              <w:rPr>
                <w:rFonts w:ascii="Arial" w:cs="Arial" w:eastAsia="Arial" w:hAnsi="Arial"/>
                <w:sz w:val="12"/>
                <w:szCs w:val="12"/>
                <w:color w:val="auto"/>
                <w:w w:val="89"/>
              </w:rPr>
              <w:t>1954</w:t>
            </w:r>
          </w:p>
        </w:tc>
        <w:tc>
          <w:tcPr>
            <w:tcW w:w="108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9"/>
              </w:rPr>
              <w:t>4/28/2016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Plainridge</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tcPr>
          <w:p>
            <w:pPr>
              <w:ind w:left="200"/>
              <w:spacing w:after="0" w:line="135" w:lineRule="exact"/>
              <w:rPr>
                <w:sz w:val="20"/>
                <w:szCs w:val="20"/>
                <w:color w:val="auto"/>
              </w:rPr>
            </w:pPr>
            <w:r>
              <w:rPr>
                <w:rFonts w:ascii="Arial" w:cs="Arial" w:eastAsia="Arial" w:hAnsi="Arial"/>
                <w:sz w:val="12"/>
                <w:szCs w:val="12"/>
                <w:color w:val="auto"/>
              </w:rPr>
              <w:t>Park</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Casino</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Plainridge, MA</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127,068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123,850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127,068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123,850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250,918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4,827</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6"/>
              </w:rPr>
              <w:t>10/15/2018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w w:val="98"/>
              </w:rPr>
              <w:t>The Meadows</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Racetrack</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5"/>
              </w:rPr>
              <w:t>and Casino</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Washington, PA</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181,532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141,370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386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181,918</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141,370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323,288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18,630</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2006</w:t>
            </w:r>
          </w:p>
        </w:tc>
        <w:tc>
          <w:tcPr>
            <w:tcW w:w="1080" w:type="dxa"/>
            <w:vAlign w:val="bottom"/>
            <w:tcBorders>
              <w:bottom w:val="single" w:sz="8" w:color="CCEEFF"/>
            </w:tcBorders>
            <w:shd w:val="clear" w:color="auto" w:fill="CCEEFF"/>
          </w:tcPr>
          <w:p>
            <w:pPr>
              <w:jc w:val="center"/>
              <w:ind w:right="162"/>
              <w:spacing w:after="0"/>
              <w:rPr>
                <w:sz w:val="20"/>
                <w:szCs w:val="20"/>
                <w:color w:val="auto"/>
              </w:rPr>
            </w:pPr>
            <w:r>
              <w:rPr>
                <w:rFonts w:ascii="Arial" w:cs="Arial" w:eastAsia="Arial" w:hAnsi="Arial"/>
                <w:sz w:val="12"/>
                <w:szCs w:val="12"/>
                <w:color w:val="auto"/>
                <w:w w:val="89"/>
              </w:rPr>
              <w:t>9/9/2016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East St. Louis,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w w:val="96"/>
              </w:rPr>
              <w:t>Casino Queen</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IL</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70,716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70,014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70,716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70,014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140,730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16,615</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1999</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1/23/2014</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Atlantic</w:t>
            </w:r>
          </w:p>
        </w:tc>
        <w:tc>
          <w:tcPr>
            <w:tcW w:w="10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rPr>
              <w:t>Atlantic City,</w:t>
            </w: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City</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NJ</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166,974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392,923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166,974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392,923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559,897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15,386</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1981</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Evansville</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Evansville, IN</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47,439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146,930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47,439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146,930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194,369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5,727</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1995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rPr>
              <w:t>Tropicana</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Laughlin</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Laughlin, NV</w:t>
            </w:r>
          </w:p>
        </w:tc>
        <w:tc>
          <w:tcPr>
            <w:tcW w:w="3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20,671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80,530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20,671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80,530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101,201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3,517</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1988</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Trop Casino</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200"/>
              <w:spacing w:after="0"/>
              <w:rPr>
                <w:sz w:val="20"/>
                <w:szCs w:val="20"/>
                <w:color w:val="auto"/>
              </w:rPr>
            </w:pPr>
            <w:r>
              <w:rPr>
                <w:rFonts w:ascii="Arial" w:cs="Arial" w:eastAsia="Arial" w:hAnsi="Arial"/>
                <w:sz w:val="12"/>
                <w:szCs w:val="12"/>
                <w:color w:val="auto"/>
              </w:rPr>
              <w:t>Greenville</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Greenville, MS</w:t>
            </w:r>
          </w:p>
        </w:tc>
        <w:tc>
          <w:tcPr>
            <w:tcW w:w="36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21,680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21,680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21,680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845</w:t>
            </w:r>
          </w:p>
        </w:tc>
        <w:tc>
          <w:tcPr>
            <w:tcW w:w="920" w:type="dxa"/>
            <w:vAlign w:val="bottom"/>
          </w:tcPr>
          <w:p>
            <w:pPr>
              <w:jc w:val="center"/>
              <w:ind w:left="62"/>
              <w:spacing w:after="0"/>
              <w:rPr>
                <w:sz w:val="20"/>
                <w:szCs w:val="20"/>
                <w:color w:val="auto"/>
              </w:rPr>
            </w:pPr>
            <w:r>
              <w:rPr>
                <w:rFonts w:ascii="Arial" w:cs="Arial" w:eastAsia="Arial" w:hAnsi="Arial"/>
                <w:sz w:val="12"/>
                <w:szCs w:val="12"/>
                <w:color w:val="auto"/>
                <w:w w:val="89"/>
              </w:rPr>
              <w:t>2012</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color w:val="auto"/>
                <w:w w:val="98"/>
              </w:rPr>
              <w:t>Belle of Baton</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Baton Rouge,</w:t>
            </w: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Rouge</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LA</w:t>
            </w:r>
          </w:p>
        </w:tc>
        <w:tc>
          <w:tcPr>
            <w:tcW w:w="3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11,873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52,400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11,873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52,400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64,273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3,160</w:t>
            </w:r>
          </w:p>
        </w:tc>
        <w:tc>
          <w:tcPr>
            <w:tcW w:w="920" w:type="dxa"/>
            <w:vAlign w:val="bottom"/>
            <w:tcBorders>
              <w:bottom w:val="single" w:sz="8" w:color="CCEEFF"/>
            </w:tcBorders>
            <w:shd w:val="clear" w:color="auto" w:fill="CCEEFF"/>
          </w:tcPr>
          <w:p>
            <w:pPr>
              <w:jc w:val="center"/>
              <w:ind w:left="62"/>
              <w:spacing w:after="0"/>
              <w:rPr>
                <w:sz w:val="20"/>
                <w:szCs w:val="20"/>
                <w:color w:val="auto"/>
              </w:rPr>
            </w:pPr>
            <w:r>
              <w:rPr>
                <w:rFonts w:ascii="Arial" w:cs="Arial" w:eastAsia="Arial" w:hAnsi="Arial"/>
                <w:sz w:val="12"/>
                <w:szCs w:val="12"/>
                <w:color w:val="auto"/>
                <w:w w:val="89"/>
              </w:rPr>
              <w:t>1994</w:t>
            </w:r>
          </w:p>
        </w:tc>
        <w:tc>
          <w:tcPr>
            <w:tcW w:w="108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2"/>
                <w:szCs w:val="12"/>
                <w:color w:val="auto"/>
                <w:w w:val="89"/>
              </w:rPr>
              <w:t>10/1/2018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tcPr>
          <w:p>
            <w:pPr>
              <w:ind w:left="3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93"/>
              </w:rPr>
              <w:t>2,548,529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7"/>
              </w:rPr>
              <w:t>5,573,416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163,481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3"/>
              </w:rPr>
              <w:t>2,544,738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7"/>
              </w:rPr>
              <w:t>5,740,687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w w:val="86"/>
              </w:rPr>
              <w:t>8,285,425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w w:val="93"/>
              </w:rPr>
              <w:t>1,199,782</w:t>
            </w: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w w:val="95"/>
              </w:rPr>
              <w:t>Headquarters</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Property:</w:t>
            </w: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0" w:type="dxa"/>
            <w:vAlign w:val="bottom"/>
          </w:tcPr>
          <w:p>
            <w:pPr>
              <w:ind w:left="40"/>
              <w:spacing w:after="0"/>
              <w:rPr>
                <w:sz w:val="20"/>
                <w:szCs w:val="20"/>
                <w:color w:val="auto"/>
              </w:rPr>
            </w:pPr>
            <w:r>
              <w:rPr>
                <w:rFonts w:ascii="Arial" w:cs="Arial" w:eastAsia="Arial" w:hAnsi="Arial"/>
                <w:sz w:val="12"/>
                <w:szCs w:val="12"/>
                <w:color w:val="auto"/>
              </w:rPr>
              <w:t>GLPI</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0" w:type="dxa"/>
            <w:vAlign w:val="bottom"/>
          </w:tcPr>
          <w:p>
            <w:pPr>
              <w:ind w:left="40"/>
              <w:spacing w:after="0" w:line="128" w:lineRule="exact"/>
              <w:rPr>
                <w:sz w:val="20"/>
                <w:szCs w:val="20"/>
                <w:color w:val="auto"/>
              </w:rPr>
            </w:pPr>
            <w:r>
              <w:rPr>
                <w:rFonts w:ascii="Arial" w:cs="Arial" w:eastAsia="Arial" w:hAnsi="Arial"/>
                <w:sz w:val="12"/>
                <w:szCs w:val="12"/>
                <w:color w:val="auto"/>
              </w:rPr>
              <w:t>Corporate</w:t>
            </w:r>
          </w:p>
        </w:tc>
        <w:tc>
          <w:tcPr>
            <w:tcW w:w="1000" w:type="dxa"/>
            <w:vAlign w:val="bottom"/>
            <w:gridSpan w:val="2"/>
          </w:tcPr>
          <w:p>
            <w:pPr>
              <w:ind w:left="100"/>
              <w:spacing w:after="0" w:line="128" w:lineRule="exact"/>
              <w:rPr>
                <w:sz w:val="20"/>
                <w:szCs w:val="20"/>
                <w:color w:val="auto"/>
              </w:rPr>
            </w:pPr>
            <w:r>
              <w:rPr>
                <w:rFonts w:ascii="Arial" w:cs="Arial" w:eastAsia="Arial" w:hAnsi="Arial"/>
                <w:sz w:val="12"/>
                <w:szCs w:val="12"/>
                <w:color w:val="auto"/>
              </w:rPr>
              <w:t>Wyomissing,</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00" w:type="dxa"/>
            <w:vAlign w:val="bottom"/>
          </w:tcPr>
          <w:p>
            <w:pPr>
              <w:ind w:left="40"/>
              <w:spacing w:after="0" w:line="176" w:lineRule="exact"/>
              <w:rPr>
                <w:sz w:val="20"/>
                <w:szCs w:val="20"/>
                <w:color w:val="auto"/>
              </w:rPr>
            </w:pPr>
            <w:r>
              <w:rPr>
                <w:rFonts w:ascii="Arial" w:cs="Arial" w:eastAsia="Arial" w:hAnsi="Arial"/>
                <w:sz w:val="12"/>
                <w:szCs w:val="12"/>
                <w:color w:val="auto"/>
              </w:rPr>
              <w:t xml:space="preserve">Office </w:t>
            </w:r>
            <w:r>
              <w:rPr>
                <w:rFonts w:ascii="Arial" w:cs="Arial" w:eastAsia="Arial" w:hAnsi="Arial"/>
                <w:sz w:val="19"/>
                <w:szCs w:val="19"/>
                <w:color w:val="auto"/>
                <w:vertAlign w:val="superscript"/>
              </w:rPr>
              <w:t>(4)</w:t>
            </w:r>
          </w:p>
        </w:tc>
        <w:tc>
          <w:tcPr>
            <w:tcW w:w="1000" w:type="dxa"/>
            <w:vAlign w:val="bottom"/>
            <w:gridSpan w:val="2"/>
          </w:tcPr>
          <w:p>
            <w:pPr>
              <w:ind w:left="100"/>
              <w:spacing w:after="0"/>
              <w:rPr>
                <w:sz w:val="20"/>
                <w:szCs w:val="20"/>
                <w:color w:val="auto"/>
              </w:rPr>
            </w:pPr>
            <w:r>
              <w:rPr>
                <w:rFonts w:ascii="Arial" w:cs="Arial" w:eastAsia="Arial" w:hAnsi="Arial"/>
                <w:sz w:val="12"/>
                <w:szCs w:val="12"/>
                <w:color w:val="auto"/>
              </w:rPr>
              <w:t>PA</w:t>
            </w: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62"/>
              <w:spacing w:after="0"/>
              <w:rPr>
                <w:sz w:val="20"/>
                <w:szCs w:val="20"/>
                <w:color w:val="auto"/>
              </w:rPr>
            </w:pPr>
            <w:r>
              <w:rPr>
                <w:rFonts w:ascii="Arial" w:cs="Arial" w:eastAsia="Arial" w:hAnsi="Arial"/>
                <w:sz w:val="12"/>
                <w:szCs w:val="12"/>
                <w:color w:val="auto"/>
              </w:rPr>
              <w:t>750</w:t>
            </w:r>
          </w:p>
        </w:tc>
        <w:tc>
          <w:tcPr>
            <w:tcW w:w="10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8,465</w:t>
            </w:r>
          </w:p>
        </w:tc>
        <w:tc>
          <w:tcPr>
            <w:tcW w:w="120" w:type="dxa"/>
            <w:vAlign w:val="bottom"/>
          </w:tcPr>
          <w:p>
            <w:pPr>
              <w:spacing w:after="0"/>
              <w:rPr>
                <w:sz w:val="15"/>
                <w:szCs w:val="15"/>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5"/>
                <w:szCs w:val="15"/>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750</w:t>
            </w:r>
          </w:p>
        </w:tc>
        <w:tc>
          <w:tcPr>
            <w:tcW w:w="120" w:type="dxa"/>
            <w:vAlign w:val="bottom"/>
          </w:tcPr>
          <w:p>
            <w:pPr>
              <w:spacing w:after="0"/>
              <w:rPr>
                <w:sz w:val="15"/>
                <w:szCs w:val="15"/>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8,523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9,273</w:t>
            </w:r>
          </w:p>
        </w:tc>
        <w:tc>
          <w:tcPr>
            <w:tcW w:w="100" w:type="dxa"/>
            <w:vAlign w:val="bottom"/>
          </w:tcPr>
          <w:p>
            <w:pPr>
              <w:spacing w:after="0"/>
              <w:rPr>
                <w:sz w:val="15"/>
                <w:szCs w:val="15"/>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1,159</w:t>
            </w:r>
          </w:p>
        </w:tc>
        <w:tc>
          <w:tcPr>
            <w:tcW w:w="920" w:type="dxa"/>
            <w:vAlign w:val="bottom"/>
          </w:tcPr>
          <w:p>
            <w:pPr>
              <w:jc w:val="center"/>
              <w:ind w:left="42"/>
              <w:spacing w:after="0"/>
              <w:rPr>
                <w:sz w:val="20"/>
                <w:szCs w:val="20"/>
                <w:color w:val="auto"/>
              </w:rPr>
            </w:pPr>
            <w:r>
              <w:rPr>
                <w:rFonts w:ascii="Arial" w:cs="Arial" w:eastAsia="Arial" w:hAnsi="Arial"/>
                <w:sz w:val="12"/>
                <w:szCs w:val="12"/>
                <w:color w:val="auto"/>
                <w:w w:val="88"/>
              </w:rPr>
              <w:t>2014/2015</w:t>
            </w:r>
          </w:p>
        </w:tc>
        <w:tc>
          <w:tcPr>
            <w:tcW w:w="1080" w:type="dxa"/>
            <w:vAlign w:val="bottom"/>
          </w:tcPr>
          <w:p>
            <w:pPr>
              <w:jc w:val="center"/>
              <w:ind w:right="142"/>
              <w:spacing w:after="0"/>
              <w:rPr>
                <w:sz w:val="20"/>
                <w:szCs w:val="20"/>
                <w:color w:val="auto"/>
              </w:rPr>
            </w:pPr>
            <w:r>
              <w:rPr>
                <w:rFonts w:ascii="Arial" w:cs="Arial" w:eastAsia="Arial" w:hAnsi="Arial"/>
                <w:sz w:val="12"/>
                <w:szCs w:val="12"/>
                <w:color w:val="auto"/>
                <w:w w:val="89"/>
              </w:rPr>
              <w:t>9/19/2014</w:t>
            </w: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6"/>
        </w:trPr>
        <w:tc>
          <w:tcPr>
            <w:tcW w:w="800" w:type="dxa"/>
            <w:vAlign w:val="bottom"/>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Other</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i w:val="1"/>
                <w:iCs w:val="1"/>
                <w:color w:val="auto"/>
              </w:rPr>
              <w:t>Properties</w:t>
            </w:r>
          </w:p>
        </w:tc>
        <w:tc>
          <w:tcPr>
            <w:tcW w:w="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ind w:left="40"/>
              <w:spacing w:after="0"/>
              <w:rPr>
                <w:sz w:val="20"/>
                <w:szCs w:val="20"/>
                <w:color w:val="auto"/>
              </w:rPr>
            </w:pPr>
            <w:r>
              <w:rPr>
                <w:rFonts w:ascii="Arial" w:cs="Arial" w:eastAsia="Arial" w:hAnsi="Arial"/>
                <w:sz w:val="12"/>
                <w:szCs w:val="12"/>
                <w:color w:val="auto"/>
              </w:rPr>
              <w:t>Other owned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CCEEFF"/>
            </w:tcBorders>
          </w:tcPr>
          <w:p>
            <w:pPr>
              <w:ind w:left="40"/>
              <w:spacing w:after="0" w:line="176" w:lineRule="exact"/>
              <w:rPr>
                <w:sz w:val="20"/>
                <w:szCs w:val="20"/>
                <w:color w:val="auto"/>
              </w:rPr>
            </w:pPr>
            <w:r>
              <w:rPr>
                <w:rFonts w:ascii="Arial" w:cs="Arial" w:eastAsia="Arial" w:hAnsi="Arial"/>
                <w:sz w:val="12"/>
                <w:szCs w:val="12"/>
                <w:color w:val="auto"/>
              </w:rPr>
              <w:t xml:space="preserve">land </w:t>
            </w:r>
            <w:r>
              <w:rPr>
                <w:rFonts w:ascii="Arial" w:cs="Arial" w:eastAsia="Arial" w:hAnsi="Arial"/>
                <w:sz w:val="19"/>
                <w:szCs w:val="19"/>
                <w:color w:val="auto"/>
                <w:vertAlign w:val="superscript"/>
              </w:rPr>
              <w:t>(5)</w:t>
            </w:r>
          </w:p>
        </w:tc>
        <w:tc>
          <w:tcPr>
            <w:tcW w:w="1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various</w:t>
            </w: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6,798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6,798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6,798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jc w:val="center"/>
              <w:ind w:right="142"/>
              <w:spacing w:after="0"/>
              <w:rPr>
                <w:sz w:val="20"/>
                <w:szCs w:val="20"/>
                <w:color w:val="auto"/>
              </w:rPr>
            </w:pPr>
            <w:r>
              <w:rPr>
                <w:rFonts w:ascii="Arial" w:cs="Arial" w:eastAsia="Arial" w:hAnsi="Arial"/>
                <w:sz w:val="12"/>
                <w:szCs w:val="12"/>
                <w:color w:val="auto"/>
                <w:w w:val="89"/>
              </w:rPr>
              <w:t>10/1/18</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42"/>
        </w:trPr>
        <w:tc>
          <w:tcPr>
            <w:tcW w:w="8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93"/>
              </w:rPr>
              <w:t>2,556,077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5,581,881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163,539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3"/>
              </w:rPr>
              <w:t>2,552,286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7"/>
              </w:rPr>
              <w:t>5,749,210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6"/>
              </w:rPr>
              <w:t>8,301,496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93"/>
              </w:rPr>
              <w:t>1,200,941</w:t>
            </w: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8"/>
        <w:spacing w:after="0" w:line="312" w:lineRule="auto"/>
        <w:tabs>
          <w:tab w:leader="none" w:pos="8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Hollywood Casino at Dayton Raceway and Hollywood Casino at Mahoning Valley Race Course were jointly developed with Penn National Gaming, Inc. The costs capitalized subsequent to acquisition represent the capital expenditures incurred by the Company subsequent to the transfer of the development properties at Spin-Off. Both properties commenced operations and began paying rent during the year ended December 31, 2014.</w:t>
      </w:r>
    </w:p>
    <w:p>
      <w:pPr>
        <w:spacing w:after="0" w:line="146" w:lineRule="exact"/>
        <w:rPr>
          <w:rFonts w:ascii="Arial" w:cs="Arial" w:eastAsia="Arial" w:hAnsi="Arial"/>
          <w:sz w:val="16"/>
          <w:szCs w:val="16"/>
          <w:color w:val="auto"/>
        </w:rPr>
      </w:pPr>
    </w:p>
    <w:p>
      <w:pPr>
        <w:ind w:right="40" w:firstLine="8"/>
        <w:spacing w:after="0" w:line="232" w:lineRule="auto"/>
        <w:tabs>
          <w:tab w:leader="none" w:pos="304"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We currently lease 86.6 acres in Tunica, Mississippi, where the Resorts Casino Tunica is located. This property is leased to Penn as part of the Penn Master Lease, however, the casino and hotel were closed by Penn in June 2019. As a result of the property closure, the Company entered into an agreement to terminate the long-term ground lease for this property, which will be effective in February 2020, at which time such ground lease will be removed from the Penn Master Lease.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firstLine="8"/>
        <w:spacing w:after="0" w:line="235" w:lineRule="auto"/>
        <w:tabs>
          <w:tab w:leader="none" w:pos="273"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During April 2016, the Company acquired substantially all of the real estate assets of Pinnacle and subsequently leased the assets back to Pinnacle. As discussed further in the footnotes to the consolidated financial statements, the Pinnacle Master Lease was originally bifurcated between an operating lease and a direct financing lease, resulting in the land that was subject to operating lease treatment being recorded as a real estate asset on the Company's consolidated balance sheet, while the building assets that triggered direct financing lease treatment were recorded as an investment in direct financing lease on the Company's consolidated balance sheet.</w:t>
      </w:r>
    </w:p>
    <w:p>
      <w:pPr>
        <w:spacing w:after="0" w:line="20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conjunction with the Penn-Pinnacle Merger, on October 15, 2018, the Pinnacle Master Lease was amended via the fourth amendment to such lease to allow for the sale of the operating assets of Ameristar Casino Hotel Kansas City, Ameristar Casino Resort Spa St. Charles and Belterra Casino Resort from Pinnacle to Boyd. As a result of this amendment, the Company reassessed the lease's classification and determined the new lease agreement qualified for operating lease treatment under ASC 840. Therefore, subsequent to the Penn-Pinnacle Merger, the Amended Pinnacle Master Lease is treated as an operating lease in its entirety and the building assets previously recorded as an investment in direct financing lease on the Company's consolidated balance sheet were recorded as real estate assets on the Company's consolidated balance sheet.</w:t>
      </w:r>
    </w:p>
    <w:p>
      <w:pPr>
        <w:spacing w:after="0" w:line="178" w:lineRule="exact"/>
        <w:rPr>
          <w:sz w:val="20"/>
          <w:szCs w:val="20"/>
          <w:color w:val="auto"/>
        </w:rPr>
      </w:pPr>
    </w:p>
    <w:p>
      <w:pPr>
        <w:ind w:right="80" w:firstLine="8"/>
        <w:spacing w:after="0" w:line="216" w:lineRule="auto"/>
        <w:tabs>
          <w:tab w:leader="none" w:pos="273"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The Company's corporate headquarters building was completed in October 2015. The land was purchased on September 19, 2014 and construction on the building occurred through October 2015.</w:t>
      </w:r>
    </w:p>
    <w:p>
      <w:pPr>
        <w:spacing w:after="0" w:line="254"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This includes undeveloped land the Company owns at locations other than its tenant occupied properties.</w:t>
      </w:r>
    </w:p>
    <w:p>
      <w:pPr>
        <w:spacing w:after="0" w:line="147" w:lineRule="exact"/>
        <w:rPr>
          <w:rFonts w:ascii="Arial" w:cs="Arial" w:eastAsia="Arial" w:hAnsi="Arial"/>
          <w:sz w:val="25"/>
          <w:szCs w:val="25"/>
          <w:color w:val="auto"/>
          <w:vertAlign w:val="superscript"/>
        </w:rPr>
      </w:pPr>
    </w:p>
    <w:p>
      <w:pPr>
        <w:ind w:right="220" w:firstLine="8"/>
        <w:spacing w:after="0" w:line="216" w:lineRule="auto"/>
        <w:tabs>
          <w:tab w:leader="none" w:pos="273"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The aggregate cost for federal income tax purposes of the properties listed above was $7.95 billion at December 31, 2019. This amount includes the tax basis of all real property assets acquired from Pinnacle, including building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for real estate and accumulated depreciation for the years ended December 31, 2019, 2018 and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w w:val="94"/>
              </w:rPr>
              <w:t>8,314,546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4,519,501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w w:val="87"/>
              </w:rPr>
              <w:t>4,495,972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1,199,135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23,507</w:t>
            </w:r>
          </w:p>
        </w:tc>
        <w:tc>
          <w:tcPr>
            <w:tcW w:w="0" w:type="dxa"/>
            <w:vAlign w:val="bottom"/>
          </w:tcPr>
          <w:p>
            <w:pPr>
              <w:spacing w:after="0"/>
              <w:rPr>
                <w:sz w:val="1"/>
                <w:szCs w:val="1"/>
                <w:color w:val="auto"/>
              </w:rPr>
            </w:pPr>
          </w:p>
        </w:tc>
      </w:tr>
      <w:tr>
        <w:trPr>
          <w:trHeight w:val="270"/>
        </w:trPr>
        <w:tc>
          <w:tcPr>
            <w:tcW w:w="804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Reclass of assets from investment in direct financing lease to real estate investments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2,599,180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expenditures and assets placed in service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Dispositions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8,301,496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8,314,546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4,519,501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(756,881)</w:t>
            </w:r>
          </w:p>
        </w:tc>
        <w:tc>
          <w:tcPr>
            <w:tcW w:w="0" w:type="dxa"/>
            <w:vAlign w:val="bottom"/>
          </w:tcPr>
          <w:p>
            <w:pPr>
              <w:spacing w:after="0"/>
              <w:rPr>
                <w:sz w:val="1"/>
                <w:szCs w:val="1"/>
                <w:color w:val="auto"/>
              </w:rPr>
            </w:pPr>
          </w:p>
        </w:tc>
      </w:tr>
      <w:tr>
        <w:trPr>
          <w:trHeight w:val="243"/>
        </w:trPr>
        <w:tc>
          <w:tcPr>
            <w:tcW w:w="80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(100,576)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Dispositions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(1,200,941)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(983,086)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(857,456)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130" w:right="27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 of</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Final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Periodic</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Loans Subject to</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Face Amount</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2"/>
              </w:rPr>
              <w:t>Delinquent Principal or</w:t>
            </w:r>
          </w:p>
        </w:tc>
      </w:tr>
      <w:tr>
        <w:trPr>
          <w:trHeight w:val="261"/>
        </w:trPr>
        <w:tc>
          <w:tcPr>
            <w:tcW w:w="19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Terms</w:t>
            </w:r>
          </w:p>
        </w:tc>
        <w:tc>
          <w:tcPr>
            <w:tcW w:w="120" w:type="dxa"/>
            <w:vAlign w:val="bottom"/>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9"/>
              </w:rPr>
              <w:t>Prior Liens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of Mortgage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8"/>
              </w:rPr>
              <w:t xml:space="preserve">Mortgage </w:t>
            </w:r>
            <w:r>
              <w:rPr>
                <w:rFonts w:ascii="Arial" w:cs="Arial" w:eastAsia="Arial" w:hAnsi="Arial"/>
                <w:sz w:val="25"/>
                <w:szCs w:val="25"/>
                <w:b w:val="1"/>
                <w:bCs w:val="1"/>
                <w:color w:val="auto"/>
                <w:w w:val="88"/>
                <w:vertAlign w:val="superscript"/>
              </w:rPr>
              <w:t>(3)</w:t>
            </w:r>
          </w:p>
        </w:tc>
        <w:tc>
          <w:tcPr>
            <w:tcW w:w="120" w:type="dxa"/>
            <w:vAlign w:val="bottom"/>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interest paid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57"/>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Belterra Park Loan</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11.20%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ind w:right="190"/>
              <w:spacing w:after="0" w:line="257" w:lineRule="exact"/>
              <w:rPr>
                <w:sz w:val="20"/>
                <w:szCs w:val="20"/>
                <w:color w:val="auto"/>
              </w:rPr>
            </w:pPr>
            <w:r>
              <w:rPr>
                <w:rFonts w:ascii="Arial" w:cs="Arial" w:eastAsia="Arial" w:hAnsi="Arial"/>
                <w:sz w:val="18"/>
                <w:szCs w:val="18"/>
                <w:color w:val="auto"/>
                <w:w w:val="85"/>
              </w:rPr>
              <w:t xml:space="preserve">4/3/2051 </w:t>
            </w:r>
            <w:r>
              <w:rPr>
                <w:rFonts w:ascii="Arial" w:cs="Arial" w:eastAsia="Arial" w:hAnsi="Arial"/>
                <w:sz w:val="25"/>
                <w:szCs w:val="25"/>
                <w:color w:val="auto"/>
                <w:w w:val="85"/>
                <w:vertAlign w:val="superscript"/>
              </w:rPr>
              <w:t>(1)</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monthly</w:t>
            </w:r>
          </w:p>
        </w:tc>
        <w:tc>
          <w:tcPr>
            <w:tcW w:w="110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w:t>
            </w:r>
          </w:p>
        </w:tc>
      </w:tr>
      <w:tr>
        <w:trPr>
          <w:trHeight w:val="237"/>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57,684</w:t>
            </w: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5"/>
          <w:szCs w:val="15"/>
          <w:color w:val="auto"/>
        </w:rPr>
        <w:t>The Belterra Park Loan matures in connection with the expiration of the Boyd Master Lease (as may be extended at the tenant's option to April 30, 2051).</w:t>
      </w:r>
    </w:p>
    <w:p>
      <w:pPr>
        <w:spacing w:after="0" w:line="168"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23"/>
          <w:szCs w:val="23"/>
          <w:color w:val="auto"/>
          <w:vertAlign w:val="superscript"/>
        </w:rPr>
      </w:pPr>
      <w:r>
        <w:rPr>
          <w:rFonts w:ascii="Arial" w:cs="Arial" w:eastAsia="Arial" w:hAnsi="Arial"/>
          <w:sz w:val="17"/>
          <w:szCs w:val="17"/>
          <w:color w:val="auto"/>
        </w:rPr>
        <w:t>The aggregate cost for federal income tax purposes of the mortgage loan listed above was approximately $58 million at December 31, 2019.</w:t>
      </w:r>
    </w:p>
    <w:p>
      <w:pPr>
        <w:spacing w:after="0" w:line="127" w:lineRule="exact"/>
        <w:rPr>
          <w:sz w:val="20"/>
          <w:szCs w:val="20"/>
          <w:color w:val="auto"/>
        </w:rPr>
      </w:pPr>
    </w:p>
    <w:tbl>
      <w:tblPr>
        <w:tblLayout w:type="fixed"/>
        <w:tblInd w:w="756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Year Ended December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 December</w:t>
            </w:r>
          </w:p>
        </w:tc>
      </w:tr>
      <w:tr>
        <w:trPr>
          <w:trHeight w:val="192"/>
        </w:trPr>
        <w:tc>
          <w:tcPr>
            <w:tcW w:w="15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31, 2019</w:t>
            </w:r>
          </w:p>
        </w:tc>
        <w:tc>
          <w:tcPr>
            <w:tcW w:w="15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31, 2018</w:t>
            </w:r>
          </w:p>
        </w:tc>
      </w:tr>
    </w:tbl>
    <w:p>
      <w:pPr>
        <w:spacing w:after="0" w:line="58"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62261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6175" cy="180340"/>
                    </a:xfrm>
                    <a:prstGeom prst="rect">
                      <a:avLst/>
                    </a:prstGeom>
                    <a:noFill/>
                  </pic:spPr>
                </pic:pic>
              </a:graphicData>
            </a:graphic>
          </wp:anchor>
        </w:drawing>
      </w:r>
    </w:p>
    <w:p>
      <w:pPr>
        <w:spacing w:after="0" w:line="3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Mortgage Loans:</w:t>
      </w:r>
    </w:p>
    <w:p>
      <w:pPr>
        <w:spacing w:after="0" w:line="6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740" w:type="dxa"/>
            <w:vAlign w:val="bottom"/>
          </w:tcPr>
          <w:p>
            <w:pPr>
              <w:ind w:left="160"/>
              <w:spacing w:after="0"/>
              <w:rPr>
                <w:sz w:val="20"/>
                <w:szCs w:val="20"/>
                <w:color w:val="auto"/>
              </w:rPr>
            </w:pPr>
            <w:r>
              <w:rPr>
                <w:rFonts w:ascii="Arial" w:cs="Arial" w:eastAsia="Arial" w:hAnsi="Arial"/>
                <w:sz w:val="18"/>
                <w:szCs w:val="18"/>
                <w:color w:val="auto"/>
              </w:rPr>
              <w:t>Balance at the beginning of the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303,684</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Additions during the period:</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20"/>
              <w:spacing w:after="0"/>
              <w:rPr>
                <w:sz w:val="20"/>
                <w:szCs w:val="20"/>
                <w:color w:val="auto"/>
              </w:rPr>
            </w:pPr>
            <w:r>
              <w:rPr>
                <w:rFonts w:ascii="Arial" w:cs="Arial" w:eastAsia="Arial" w:hAnsi="Arial"/>
                <w:sz w:val="18"/>
                <w:szCs w:val="18"/>
                <w:color w:val="auto"/>
              </w:rPr>
              <w:t>New mortgage loans</w:t>
            </w:r>
          </w:p>
        </w:tc>
        <w:tc>
          <w:tcPr>
            <w:tcW w:w="4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303,684</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Deductions during the period:</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20"/>
              <w:spacing w:after="0"/>
              <w:rPr>
                <w:sz w:val="20"/>
                <w:szCs w:val="20"/>
                <w:color w:val="auto"/>
              </w:rPr>
            </w:pPr>
            <w:r>
              <w:rPr>
                <w:rFonts w:ascii="Arial" w:cs="Arial" w:eastAsia="Arial" w:hAnsi="Arial"/>
                <w:sz w:val="18"/>
                <w:szCs w:val="18"/>
                <w:color w:val="auto"/>
              </w:rPr>
              <w:t>Collections of principal</w:t>
            </w:r>
          </w:p>
        </w:tc>
        <w:tc>
          <w:tcPr>
            <w:tcW w:w="4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shd w:val="clear" w:color="auto" w:fill="CCEEFF"/>
          </w:tcPr>
          <w:p>
            <w:pPr>
              <w:ind w:left="420"/>
              <w:spacing w:after="0" w:line="270" w:lineRule="exact"/>
              <w:rPr>
                <w:sz w:val="20"/>
                <w:szCs w:val="20"/>
                <w:color w:val="auto"/>
              </w:rPr>
            </w:pPr>
            <w:r>
              <w:rPr>
                <w:rFonts w:ascii="Arial" w:cs="Arial" w:eastAsia="Arial" w:hAnsi="Arial"/>
                <w:sz w:val="18"/>
                <w:szCs w:val="18"/>
                <w:color w:val="auto"/>
              </w:rPr>
              <w:t xml:space="preserve">Other deductions </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160"/>
              <w:spacing w:after="0"/>
              <w:rPr>
                <w:sz w:val="20"/>
                <w:szCs w:val="20"/>
                <w:color w:val="auto"/>
              </w:rPr>
            </w:pPr>
            <w:r>
              <w:rPr>
                <w:rFonts w:ascii="Arial" w:cs="Arial" w:eastAsia="Arial" w:hAnsi="Arial"/>
                <w:sz w:val="18"/>
                <w:szCs w:val="18"/>
                <w:color w:val="auto"/>
              </w:rPr>
              <w:t>Balance at the end of the period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57,684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303,684</w:t>
            </w: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8"/>
        <w:spacing w:after="0" w:line="252" w:lineRule="auto"/>
        <w:tabs>
          <w:tab w:leader="none" w:pos="192"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On October 1, 2019, the one-year anniversary of the Eldorado Loan, the mortgage evidenced by a deed of trust on the Lumière Place property terminated and the loan became unsecured and will remain unsecured until its final maturity on the two-year anniversary of the closing.</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20"/>
          </w:cols>
          <w:pgMar w:left="240" w:top="130" w:right="3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Company's management, under the supervision and with the participation of the principal executive officer and principal financial officer, has evaluated the effectiveness of the Company's disclosure controls and procedures, as such term is defined under Rule 13a-15(e) promulgated under the Securities Exchange Act of 1934, as amended (the "Exchange Act"), as of December 31, 2019,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as of December 31, 2019 the Company's disclosure controls and procedures were effective to ensure that information required to be disclosed by the Company in reports it files or submits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jc w:val="both"/>
        <w:ind w:right="480" w:firstLine="648"/>
        <w:spacing w:after="0" w:line="302" w:lineRule="auto"/>
        <w:rPr>
          <w:sz w:val="20"/>
          <w:szCs w:val="20"/>
          <w:color w:val="auto"/>
        </w:rPr>
      </w:pPr>
      <w:r>
        <w:rPr>
          <w:rFonts w:ascii="Arial" w:cs="Arial" w:eastAsia="Arial" w:hAnsi="Arial"/>
          <w:sz w:val="16"/>
          <w:szCs w:val="16"/>
          <w:color w:val="auto"/>
        </w:rPr>
        <w:t xml:space="preserve">The Company's management is responsible for establishing and maintaining an adequate system of internal control over financial reporting, as defined in Exchange Act Rules 13a-15(f) and 15d-15(f). The Company's management conducted an assessment of the Company's internal control over financial reporting and concluded it was effective as of December 31, 2019. In making this assessment, management used the criteria established by the Committee of Sponsoring Organizations of the Treadway Commission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w:t>
      </w:r>
    </w:p>
    <w:p>
      <w:pPr>
        <w:spacing w:after="0" w:line="208"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Deloitte &amp; Touche LLP, the Company's independent registered accounting firm, issued an audit report on the effectiveness of the Company's internal control over financial reporting as of December 31, 2019, which is included on the following page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Exchange Act Rules 13a-15(f) and 15d-15(f)) that occurred during the fiscal quarter ended December 31, 2019, that have materially affected, or are reasonably likely to materially affect, the Company's internal control over financial reporting. During the year ended December 31, 2019, the Company implemented new controls to ensure continued compliance with the new leasing guidance in ASC 842 that was adopted on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Gaming and Leisure Properties,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Gaming and Leisure Properties, Inc. and Subsidiaries (the "Company") as of December 31, 2019,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5"/>
          <w:szCs w:val="15"/>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5"/>
          <w:szCs w:val="15"/>
          <w:i w:val="1"/>
          <w:iCs w:val="1"/>
          <w:color w:val="auto"/>
        </w:rPr>
        <w:t>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2019, of the Company and our report dated February 20, 2020,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219"/>
          </w:cols>
          <w:pgMar w:left="240" w:top="130" w:right="1440"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information required by this item concerning directors is hereby incorporated by reference to the Company's definitive proxy statement for its 2020 Annual Meeting of Shareholders (the "2020 Proxy Statement"), to be filed with the U.S. Securities and Exchange Commission within 120 days after December 31, 2019, pursuant to Regulation 14A under the Securities Exchange Act of 1934, as amended. Information required by this item concerning executive officers is included in Part I of this Annual Report on Form 10-K.</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2020 Proxy Statement.</w:t>
      </w:r>
    </w:p>
    <w:p>
      <w:pPr>
        <w:spacing w:after="0" w:line="200" w:lineRule="exact"/>
        <w:rPr>
          <w:sz w:val="20"/>
          <w:szCs w:val="20"/>
          <w:color w:val="auto"/>
        </w:rPr>
      </w:pPr>
    </w:p>
    <w:p>
      <w:pPr>
        <w:spacing w:after="0" w:line="237" w:lineRule="exact"/>
        <w:rPr>
          <w:sz w:val="20"/>
          <w:szCs w:val="20"/>
          <w:color w:val="auto"/>
        </w:rPr>
      </w:pPr>
    </w:p>
    <w:p>
      <w:pPr>
        <w:ind w:left="940" w:right="260" w:hanging="971"/>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STOCKHOLDERS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2020 Proxy Statement.</w:t>
      </w:r>
    </w:p>
    <w:p>
      <w:pPr>
        <w:spacing w:after="0" w:line="200" w:lineRule="exact"/>
        <w:rPr>
          <w:sz w:val="20"/>
          <w:szCs w:val="20"/>
          <w:color w:val="auto"/>
        </w:rPr>
      </w:pPr>
    </w:p>
    <w:p>
      <w:pPr>
        <w:spacing w:after="0" w:line="23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2020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called for in this item is hereby incorporated by reference to the 2020 Proxy Statement.</w:t>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130" w:right="47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48" w:lineRule="exact"/>
        <w:rPr>
          <w:sz w:val="20"/>
          <w:szCs w:val="20"/>
          <w:color w:val="auto"/>
        </w:rPr>
      </w:pPr>
    </w:p>
    <w:p>
      <w:pPr>
        <w:ind w:firstLine="8"/>
        <w:spacing w:after="0" w:line="277"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 Financial Statements. The following is a list of the Consolidated Financial Statements of the Company and its subsidiaries and supplementary data filed as part of Item 8 hereof:</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years ended December 31, 2019, 2018 and 2017</w:t>
      </w: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Consolidated Statements of Changes in Shareholders' Equity for the years ended December 31, 2019, 2018 and 2017</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III. Real Estate and Accumulated Depreciation as of December 31, 2019</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IV. Mortgage Loans on Real Estate as of December 31, 2019</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 Including Those Incorporated by Reference.</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exhibits to this Report are listed on the accompanying index to exhibits and are incorporated herein by reference or are filed as part of this annual report on Form 10-K.</w:t>
      </w:r>
    </w:p>
    <w:p>
      <w:pPr>
        <w:spacing w:after="0" w:line="3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240" w:top="130" w:right="539"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60"/>
          </w:cols>
          <w:pgMar w:left="240" w:top="130" w:right="299" w:bottom="1440" w:gutter="0" w:footer="0" w:header="0"/>
        </w:sect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91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43" w:lineRule="exact"/>
        <w:rPr>
          <w:sz w:val="20"/>
          <w:szCs w:val="20"/>
          <w:color w:val="auto"/>
        </w:rPr>
      </w:pPr>
    </w:p>
    <w:p>
      <w:pPr>
        <w:ind w:right="480"/>
        <w:spacing w:after="0" w:line="342" w:lineRule="auto"/>
        <w:rPr>
          <w:rFonts w:ascii="Arial" w:cs="Arial" w:eastAsia="Arial" w:hAnsi="Arial"/>
          <w:sz w:val="16"/>
          <w:szCs w:val="16"/>
          <w:u w:val="single" w:color="auto"/>
          <w:color w:val="0000FF"/>
        </w:rPr>
      </w:pPr>
      <w:hyperlink r:id="rId21">
        <w:r>
          <w:rPr>
            <w:rFonts w:ascii="Arial" w:cs="Arial" w:eastAsia="Arial" w:hAnsi="Arial"/>
            <w:sz w:val="16"/>
            <w:szCs w:val="16"/>
            <w:u w:val="single" w:color="auto"/>
            <w:color w:val="0000FF"/>
          </w:rPr>
          <w:t>Separation and Distribution Agreement, dated November 1, 2013, by and between Penn National Gaming, Inc. and Gaming and Leisure</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Properties, Inc. (Incorporated by reference to Exhibit 2.1 to the Company's current report on Form 8-K filed on November 7, 2013).</w:t>
        </w:r>
      </w:hyperlink>
    </w:p>
    <w:p>
      <w:pPr>
        <w:spacing w:after="0" w:line="272" w:lineRule="exact"/>
        <w:rPr>
          <w:sz w:val="20"/>
          <w:szCs w:val="20"/>
          <w:color w:val="auto"/>
        </w:rPr>
      </w:pPr>
    </w:p>
    <w:p>
      <w:pPr>
        <w:spacing w:after="0"/>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Agreement and Plan of Merger, dated as of July 20, 2015, by and among Pinnacle Entertainment, Inc., Gaming and Leisure Properties, Inc.</w:t>
        </w:r>
      </w:hyperlink>
    </w:p>
    <w:p>
      <w:pPr>
        <w:spacing w:after="0" w:line="46" w:lineRule="exact"/>
        <w:rPr>
          <w:sz w:val="20"/>
          <w:szCs w:val="20"/>
          <w:color w:val="auto"/>
        </w:rPr>
      </w:pPr>
    </w:p>
    <w:p>
      <w:pPr>
        <w:spacing w:after="0"/>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and Gold Merger Sub, LLC. (Incorporated by reference to Exhibit 2.1 to the Company's current report on Form 8-K filed on July 22, 2015).</w:t>
        </w:r>
      </w:hyperlink>
    </w:p>
    <w:p>
      <w:pPr>
        <w:spacing w:after="0" w:line="382" w:lineRule="exact"/>
        <w:rPr>
          <w:sz w:val="20"/>
          <w:szCs w:val="20"/>
          <w:color w:val="auto"/>
        </w:rPr>
      </w:pPr>
    </w:p>
    <w:p>
      <w:pPr>
        <w:jc w:val="both"/>
        <w:ind w:right="680"/>
        <w:spacing w:after="0" w:line="264"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Amendment No. 1, dated as of March 25, 2016, to Agreement and Plan of Merger, dated as of July 20, 2015, by and among Pinnacle</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Entertainment, Inc., Gaming and Leisure Properties, Inc. and Gold Merger Sub, LLC. (Incorporated by reference to Exhibit 2.1 to the</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Company's current report on Form 8-K filed on March 28, 2016).</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820" w:space="260"/>
            <w:col w:w="10280"/>
          </w:cols>
          <w:pgMar w:left="240" w:top="130" w:right="299" w:bottom="1440" w:gutter="0" w:footer="0" w:header="0"/>
          <w:type w:val="continuous"/>
        </w:sectPr>
      </w:pPr>
    </w:p>
    <w:p>
      <w:pPr>
        <w:spacing w:after="0" w:line="49" w:lineRule="exact"/>
        <w:rPr>
          <w:rFonts w:ascii="Arial" w:cs="Arial" w:eastAsia="Arial" w:hAnsi="Arial"/>
          <w:sz w:val="18"/>
          <w:szCs w:val="18"/>
          <w:u w:val="single" w:color="auto"/>
          <w:color w:val="0000FF"/>
        </w:rPr>
      </w:pPr>
    </w:p>
    <w:p>
      <w:pPr>
        <w:jc w:val="both"/>
        <w:ind w:left="1080" w:right="30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hyperlink r:id="rId24">
        <w:r>
          <w:rPr>
            <w:rFonts w:ascii="Arial" w:cs="Arial" w:eastAsia="Arial" w:hAnsi="Arial"/>
            <w:sz w:val="18"/>
            <w:szCs w:val="18"/>
            <w:u w:val="single" w:color="auto"/>
            <w:color w:val="0000FF"/>
          </w:rPr>
          <w:t>Separation and Distribution Agreement, dated April 28, 2016, by and between PNK Entertainment, Inc., Pinnacle Entertainment, Inc. and</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solely with respect to Article VIII, Gaming and Leisure Properties, Inc. (Incorporated by reference to Exhibit 2.4 to the Company's current</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report on Form 8-K filed on April 28, 2016).</w:t>
        </w:r>
      </w:hyperlink>
    </w:p>
    <w:p>
      <w:pPr>
        <w:spacing w:after="0" w:line="249" w:lineRule="exact"/>
        <w:rPr>
          <w:rFonts w:ascii="Arial" w:cs="Arial" w:eastAsia="Arial" w:hAnsi="Arial"/>
          <w:sz w:val="18"/>
          <w:szCs w:val="18"/>
          <w:u w:val="single" w:color="auto"/>
          <w:color w:val="0000FF"/>
        </w:rPr>
      </w:pPr>
    </w:p>
    <w:p>
      <w:pPr>
        <w:jc w:val="both"/>
        <w:ind w:left="1080" w:right="2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2.5</w:t>
      </w:r>
      <w:r>
        <w:rPr>
          <w:sz w:val="20"/>
          <w:szCs w:val="20"/>
          <w:color w:val="auto"/>
        </w:rPr>
        <w:tab/>
      </w:r>
      <w:hyperlink r:id="rId25">
        <w:r>
          <w:rPr>
            <w:rFonts w:ascii="Arial" w:cs="Arial" w:eastAsia="Arial" w:hAnsi="Arial"/>
            <w:sz w:val="18"/>
            <w:szCs w:val="18"/>
            <w:u w:val="single" w:color="auto"/>
            <w:color w:val="0000FF"/>
          </w:rPr>
          <w:t>Agreement and Plan of Merger, dated as of April 15, 2018, by and among Eldorado Resorts, Inc., Delta Merger Sub, Inc., GLP Capital, L.P.</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and Tropicana Entertainment Inc. (Incorporated by reference to Exhibit 2.1 to the Company's current report on Form 8-K, filed on April 16,</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2018).</w:t>
        </w:r>
      </w:hyperlink>
    </w:p>
    <w:p>
      <w:pPr>
        <w:spacing w:after="0" w:line="235" w:lineRule="exact"/>
        <w:rPr>
          <w:rFonts w:ascii="Arial" w:cs="Arial" w:eastAsia="Arial" w:hAnsi="Arial"/>
          <w:sz w:val="18"/>
          <w:szCs w:val="18"/>
          <w:u w:val="single" w:color="auto"/>
          <w:color w:val="0000FF"/>
        </w:rPr>
      </w:pPr>
    </w:p>
    <w:p>
      <w:pPr>
        <w:ind w:left="1080" w:right="14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2.6</w:t>
      </w:r>
      <w:r>
        <w:rPr>
          <w:sz w:val="20"/>
          <w:szCs w:val="20"/>
          <w:color w:val="auto"/>
        </w:rPr>
        <w:tab/>
      </w:r>
      <w:hyperlink r:id="rId26">
        <w:r>
          <w:rPr>
            <w:rFonts w:ascii="Arial" w:cs="Arial" w:eastAsia="Arial" w:hAnsi="Arial"/>
            <w:sz w:val="18"/>
            <w:szCs w:val="18"/>
            <w:u w:val="single" w:color="auto"/>
            <w:color w:val="0000FF"/>
          </w:rPr>
          <w:t>Purchase and Sale Agreement, dated as of April 15, 2018, by and between Tropicana Entertainment Inc. and GLP Capital, L.P. (Incorporated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by reference to Exhibit 2.2 to the Company's current report on Form 8-K, filed on April 16, 2018).</w:t>
        </w:r>
      </w:hyperlink>
    </w:p>
    <w:p>
      <w:pPr>
        <w:spacing w:after="0" w:line="238" w:lineRule="exact"/>
        <w:rPr>
          <w:sz w:val="20"/>
          <w:szCs w:val="20"/>
          <w:color w:val="auto"/>
        </w:rPr>
      </w:pPr>
    </w:p>
    <w:p>
      <w:pPr>
        <w:ind w:left="1080" w:right="10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2.7</w:t>
      </w:r>
      <w:r>
        <w:rPr>
          <w:sz w:val="20"/>
          <w:szCs w:val="20"/>
          <w:color w:val="auto"/>
        </w:rPr>
        <w:tab/>
      </w:r>
      <w:hyperlink r:id="rId27">
        <w:r>
          <w:rPr>
            <w:rFonts w:ascii="Arial" w:cs="Arial" w:eastAsia="Arial" w:hAnsi="Arial"/>
            <w:sz w:val="18"/>
            <w:szCs w:val="18"/>
            <w:u w:val="single" w:color="auto"/>
            <w:color w:val="0000FF"/>
          </w:rPr>
          <w:t>Amendment No. 1 and Joinder to Purchase and Sale Agreement, dated as of October 1, 2018, by and among Tropicana Entertainment, Inc.,</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Eldorado Resorts, Inc. and GLP Capital, L.P. (Incorporated by reference to Exhibit 2.3 to the Company's current report on Form 8-K, filed on</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October 1, 2018).</w:t>
        </w:r>
      </w:hyperlink>
    </w:p>
    <w:p>
      <w:pPr>
        <w:spacing w:after="0" w:line="249" w:lineRule="exact"/>
        <w:rPr>
          <w:rFonts w:ascii="Arial" w:cs="Arial" w:eastAsia="Arial" w:hAnsi="Arial"/>
          <w:sz w:val="18"/>
          <w:szCs w:val="18"/>
          <w:u w:val="single" w:color="auto"/>
          <w:color w:val="0000FF"/>
        </w:rPr>
      </w:pPr>
    </w:p>
    <w:p>
      <w:pPr>
        <w:ind w:left="1080" w:right="48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8">
        <w:r>
          <w:rPr>
            <w:rFonts w:ascii="Arial" w:cs="Arial" w:eastAsia="Arial" w:hAnsi="Arial"/>
            <w:sz w:val="18"/>
            <w:szCs w:val="18"/>
            <w:u w:val="single" w:color="auto"/>
            <w:color w:val="0000FF"/>
          </w:rPr>
          <w:t>Amended and Restated Articles of Incorporation of Gaming and Leisure Properties, Inc. (Incorporated by reference to Exhibit 3.1 to the</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Company's current report on Form 8-K filed on June 15, 2018).</w:t>
        </w:r>
      </w:hyperlink>
    </w:p>
    <w:p>
      <w:pPr>
        <w:spacing w:after="0" w:line="238" w:lineRule="exact"/>
        <w:rPr>
          <w:sz w:val="20"/>
          <w:szCs w:val="20"/>
          <w:color w:val="auto"/>
        </w:rPr>
      </w:pPr>
    </w:p>
    <w:p>
      <w:pPr>
        <w:ind w:left="1080" w:right="340" w:hanging="48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9">
        <w:r>
          <w:rPr>
            <w:rFonts w:ascii="Arial" w:cs="Arial" w:eastAsia="Arial" w:hAnsi="Arial"/>
            <w:sz w:val="18"/>
            <w:szCs w:val="18"/>
            <w:u w:val="single" w:color="auto"/>
            <w:color w:val="0000FF"/>
          </w:rPr>
          <w:t>Amended and Restated Bylaws of Gaming and Leisure Properties, Inc. (Incorporated by reference to Exhibit 3.2 to the Company's current</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report on Form 8-K filed on June 15, 2018).</w:t>
        </w:r>
      </w:hyperlink>
    </w:p>
    <w:p>
      <w:pPr>
        <w:spacing w:after="0" w:line="238" w:lineRule="exact"/>
        <w:rPr>
          <w:sz w:val="20"/>
          <w:szCs w:val="20"/>
          <w:color w:val="auto"/>
        </w:rPr>
      </w:pPr>
    </w:p>
    <w:p>
      <w:pPr>
        <w:ind w:left="1080" w:right="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0">
        <w:r>
          <w:rPr>
            <w:rFonts w:ascii="Arial" w:cs="Arial" w:eastAsia="Arial" w:hAnsi="Arial"/>
            <w:sz w:val="18"/>
            <w:szCs w:val="18"/>
            <w:u w:val="single" w:color="auto"/>
            <w:color w:val="0000FF"/>
          </w:rPr>
          <w:t>Indenture, dated as of October 30, 2013, among GLP Capital, L.P. and GLP Financing II, Inc., as Issuers, Gaming and Leisure Properties, Inc.,</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as Parent Guarantor, and Wells Fargo Bank, National Association, as Trustee. (Incorporated by reference to Exhibit 4.1 to the Company's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6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1">
        <w:r>
          <w:rPr>
            <w:rFonts w:ascii="Arial" w:cs="Arial" w:eastAsia="Arial" w:hAnsi="Arial"/>
            <w:sz w:val="18"/>
            <w:szCs w:val="18"/>
            <w:u w:val="single" w:color="auto"/>
            <w:color w:val="0000FF"/>
          </w:rPr>
          <w:t>First Supplemental Indenture, dated as of March 28, 2016, by and among GLP Capital, L.P. and GLP Financing II, Inc., as Issuers and Wells</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Fargo Bank, National Association, as Trustee. (Incorporated by reference to Exhibit 4.1 to the Company's current report on Form 8-K filed on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March 28, 2016).</w:t>
        </w:r>
      </w:hyperlink>
    </w:p>
    <w:p>
      <w:pPr>
        <w:spacing w:after="0" w:line="249" w:lineRule="exact"/>
        <w:rPr>
          <w:rFonts w:ascii="Arial" w:cs="Arial" w:eastAsia="Arial" w:hAnsi="Arial"/>
          <w:sz w:val="18"/>
          <w:szCs w:val="18"/>
          <w:u w:val="single" w:color="auto"/>
          <w:color w:val="0000FF"/>
        </w:rPr>
      </w:pPr>
    </w:p>
    <w:p>
      <w:pPr>
        <w:ind w:left="1080" w:right="12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32">
        <w:r>
          <w:rPr>
            <w:rFonts w:ascii="Arial" w:cs="Arial" w:eastAsia="Arial" w:hAnsi="Arial"/>
            <w:sz w:val="18"/>
            <w:szCs w:val="18"/>
            <w:u w:val="single" w:color="auto"/>
            <w:color w:val="0000FF"/>
          </w:rPr>
          <w:t>Second Supplemental Indenture, dated as of April 28, 2016, by and among GLP Capital, L.P. and GLP Financing II, Inc. as Issuers and</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Gaming and Leisure Properties, Inc, as Parent Guarantor and Wells Fargo Bank, National Association, as Trustee. (Incorporated by reference</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to Exhibit 4.3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jc w:val="both"/>
        <w:ind w:left="1080" w:hanging="48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3">
        <w:r>
          <w:rPr>
            <w:rFonts w:ascii="Arial" w:cs="Arial" w:eastAsia="Arial" w:hAnsi="Arial"/>
            <w:sz w:val="18"/>
            <w:szCs w:val="18"/>
            <w:u w:val="single" w:color="auto"/>
            <w:color w:val="0000FF"/>
          </w:rPr>
          <w:t>Third Supplemental Indenture, dated as of April 28, 2016, by and among GLP Capital, L.P. and GLP Financing II, Inc. as Issuers and Gaming</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and Leisure Properties, Inc. as Parent Guarantor and Wells Fargo Bank, National Association, as Trustee. (Incorporated by reference to Exhibit</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4.4 to the Company's current report on Form 8-K filed on April 28, 2016).</w:t>
        </w:r>
      </w:hyperlink>
    </w:p>
    <w:p>
      <w:pPr>
        <w:spacing w:after="0" w:line="249" w:lineRule="exact"/>
        <w:rPr>
          <w:rFonts w:ascii="Arial" w:cs="Arial" w:eastAsia="Arial" w:hAnsi="Arial"/>
          <w:sz w:val="18"/>
          <w:szCs w:val="18"/>
          <w:u w:val="single" w:color="auto"/>
          <w:color w:val="0000FF"/>
        </w:rPr>
      </w:pPr>
    </w:p>
    <w:p>
      <w:pPr>
        <w:ind w:left="1080" w:right="200" w:hanging="481"/>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34">
        <w:r>
          <w:rPr>
            <w:rFonts w:ascii="Arial" w:cs="Arial" w:eastAsia="Arial" w:hAnsi="Arial"/>
            <w:sz w:val="16"/>
            <w:szCs w:val="16"/>
            <w:u w:val="single" w:color="auto"/>
            <w:color w:val="0000FF"/>
          </w:rPr>
          <w:t>Fourth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Leisure Properties, Inc., as Parent Guarantor, and Wells Fargo Bank, National Association, as Trustee, relating to the Issuers' 4.375% Senior</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Notes due 2018. (Incorporated by reference to Exhibit 4.3 to the Company's current report on Form 8-K, filed on May 22, 2018).</w:t>
        </w:r>
      </w:hyperlink>
    </w:p>
    <w:p>
      <w:pPr>
        <w:sectPr>
          <w:pgSz w:w="11900" w:h="16838" w:orient="portrait"/>
          <w:cols w:equalWidth="0" w:num="1">
            <w:col w:w="11360"/>
          </w:cols>
          <w:pgMar w:left="240" w:top="130" w:right="29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6"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360"/>
          </w:cols>
          <w:pgMar w:left="240" w:top="130" w:right="299" w:bottom="1440" w:gutter="0" w:footer="0" w:header="0"/>
          <w:type w:val="continuous"/>
        </w:sectPr>
      </w:pPr>
    </w:p>
    <w:bookmarkStart w:id="120" w:name="page121"/>
    <w:bookmarkEnd w:id="1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20" w:hanging="481"/>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4.6</w:t>
      </w:r>
      <w:r>
        <w:rPr>
          <w:sz w:val="20"/>
          <w:szCs w:val="20"/>
          <w:color w:val="auto"/>
        </w:rPr>
        <w:tab/>
      </w:r>
      <w:hyperlink r:id="rId36">
        <w:r>
          <w:rPr>
            <w:rFonts w:ascii="Arial" w:cs="Arial" w:eastAsia="Arial" w:hAnsi="Arial"/>
            <w:sz w:val="17"/>
            <w:szCs w:val="17"/>
            <w:u w:val="single" w:color="auto"/>
            <w:color w:val="0000FF"/>
          </w:rPr>
          <w:t>Fifth Supplemental Indenture, dated May 21, 2018, among GLP Capital, L.P. and GLP Financing II, Inc. as Issuers, Gaming and Leisure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Properties, Inc., as Parent Guarantor, and Wells Fargo Bank, National Association, as Trustee, relating to the Issuers' 5.250% Senior Notes due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2025. (Incorporated by reference to Exhibit 4.4 to the Company's current report on Form 8-K, filed on May 22, 2018).</w:t>
        </w:r>
      </w:hyperlink>
    </w:p>
    <w:p>
      <w:pPr>
        <w:spacing w:after="0" w:line="233" w:lineRule="exact"/>
        <w:rPr>
          <w:rFonts w:ascii="Arial" w:cs="Arial" w:eastAsia="Arial" w:hAnsi="Arial"/>
          <w:sz w:val="17"/>
          <w:szCs w:val="17"/>
          <w:u w:val="single" w:color="auto"/>
          <w:color w:val="0000FF"/>
        </w:rPr>
      </w:pPr>
    </w:p>
    <w:p>
      <w:pPr>
        <w:ind w:left="1080" w:right="200" w:hanging="481"/>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4.7</w:t>
      </w:r>
      <w:r>
        <w:rPr>
          <w:sz w:val="20"/>
          <w:szCs w:val="20"/>
          <w:color w:val="auto"/>
        </w:rPr>
        <w:tab/>
      </w:r>
      <w:hyperlink r:id="rId37">
        <w:r>
          <w:rPr>
            <w:rFonts w:ascii="Arial" w:cs="Arial" w:eastAsia="Arial" w:hAnsi="Arial"/>
            <w:sz w:val="16"/>
            <w:szCs w:val="16"/>
            <w:u w:val="single" w:color="auto"/>
            <w:color w:val="0000FF"/>
          </w:rPr>
          <w:t>Sixth Supplemental Indenture, dated May 21, 2018, by and among GLP Capital, L.P. and GLP Financing II, Inc. as Issuers, Gaming and</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Leisure Properties, Inc., as Parent Guarantor, and Wells Fargo Bank, National Association, as Trustee, relating to the Issuers' 5.750% Senior</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Notes due 2028. (Incorporated by reference to Exhibit 4.5 to the Company's current report on Form 8-K, filed on May 22, 2018).</w:t>
        </w:r>
      </w:hyperlink>
    </w:p>
    <w:p>
      <w:pPr>
        <w:spacing w:after="0" w:line="214" w:lineRule="exact"/>
        <w:rPr>
          <w:rFonts w:ascii="Arial" w:cs="Arial" w:eastAsia="Arial" w:hAnsi="Arial"/>
          <w:sz w:val="16"/>
          <w:szCs w:val="16"/>
          <w:u w:val="single" w:color="auto"/>
          <w:color w:val="0000FF"/>
        </w:rPr>
      </w:pPr>
    </w:p>
    <w:p>
      <w:pPr>
        <w:jc w:val="right"/>
        <w:ind w:left="600" w:right="380"/>
        <w:spacing w:after="0" w:line="29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38">
        <w:r>
          <w:rPr>
            <w:rFonts w:ascii="Arial" w:cs="Arial" w:eastAsia="Arial" w:hAnsi="Arial"/>
            <w:sz w:val="16"/>
            <w:szCs w:val="16"/>
            <w:u w:val="single" w:color="auto"/>
            <w:color w:val="0000FF"/>
          </w:rPr>
          <w:t>Seventh Supplemental Indenture, dated as of September 26, 2018, by and among GLP Capital, L.P. and GLP Financing II, Inc. as Issuers,</w:t>
        </w:r>
      </w:hyperlink>
      <w:r>
        <w:rPr>
          <w:rFonts w:ascii="Arial" w:cs="Arial" w:eastAsia="Arial" w:hAnsi="Arial"/>
          <w:sz w:val="16"/>
          <w:szCs w:val="16"/>
          <w:color w:val="auto"/>
        </w:rPr>
        <w:t xml:space="preserve"> </w:t>
      </w:r>
      <w:hyperlink r:id="rId38">
        <w:r>
          <w:rPr>
            <w:rFonts w:ascii="Arial" w:cs="Arial" w:eastAsia="Arial" w:hAnsi="Arial"/>
            <w:sz w:val="16"/>
            <w:szCs w:val="16"/>
            <w:u w:val="single" w:color="auto"/>
            <w:color w:val="0000FF"/>
          </w:rPr>
          <w:t>Gaming and Leisure Properties, Inc., as Parent Guarantor, and Wells Fargo Bank, National Association, as Trustee, relating to the Issuers'</w:t>
        </w:r>
      </w:hyperlink>
    </w:p>
    <w:p>
      <w:pPr>
        <w:ind w:left="1080"/>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5.300% Senior Notes due 2029. (Incorporated by reference to Exhibit 4.4 to the Company's current report on Form 8-K, filed on September</w:t>
        </w:r>
      </w:hyperlink>
    </w:p>
    <w:p>
      <w:pPr>
        <w:spacing w:after="0" w:line="32" w:lineRule="exact"/>
        <w:rPr>
          <w:sz w:val="20"/>
          <w:szCs w:val="20"/>
          <w:color w:val="auto"/>
        </w:rPr>
      </w:pPr>
    </w:p>
    <w:p>
      <w:pPr>
        <w:ind w:left="108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26, 2018).</w:t>
        </w:r>
      </w:hyperlink>
    </w:p>
    <w:p>
      <w:pPr>
        <w:spacing w:after="0" w:line="278" w:lineRule="exact"/>
        <w:rPr>
          <w:sz w:val="20"/>
          <w:szCs w:val="20"/>
          <w:color w:val="auto"/>
        </w:rPr>
      </w:pPr>
    </w:p>
    <w:p>
      <w:pPr>
        <w:jc w:val="both"/>
        <w:ind w:left="1080" w:right="100" w:hanging="481"/>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4.9</w:t>
      </w:r>
      <w:r>
        <w:rPr>
          <w:sz w:val="20"/>
          <w:szCs w:val="20"/>
          <w:color w:val="auto"/>
        </w:rPr>
        <w:tab/>
      </w:r>
      <w:hyperlink r:id="rId39">
        <w:r>
          <w:rPr>
            <w:rFonts w:ascii="Arial" w:cs="Arial" w:eastAsia="Arial" w:hAnsi="Arial"/>
            <w:sz w:val="16"/>
            <w:szCs w:val="16"/>
            <w:u w:val="single" w:color="auto"/>
            <w:color w:val="0000FF"/>
          </w:rPr>
          <w:t>Eighth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Properties, Inc., as parent guarantor, and Wells Fargo Bank, National Association, as trustee, relating to the issuers’ 3.350% Senior Notes due</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2024. (Incorporated by reference to Exhibit 4.3 of the Company's current report on Form 8-K, filed on September 5, 2019).</w:t>
        </w:r>
      </w:hyperlink>
    </w:p>
    <w:p>
      <w:pPr>
        <w:spacing w:after="0" w:line="214" w:lineRule="exact"/>
        <w:rPr>
          <w:rFonts w:ascii="Arial" w:cs="Arial" w:eastAsia="Arial" w:hAnsi="Arial"/>
          <w:sz w:val="16"/>
          <w:szCs w:val="16"/>
          <w:u w:val="single" w:color="auto"/>
          <w:color w:val="0000FF"/>
        </w:rPr>
      </w:pPr>
    </w:p>
    <w:p>
      <w:pPr>
        <w:jc w:val="both"/>
        <w:ind w:left="1080" w:right="10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4.10</w:t>
      </w:r>
      <w:r>
        <w:rPr>
          <w:sz w:val="20"/>
          <w:szCs w:val="20"/>
          <w:color w:val="auto"/>
        </w:rPr>
        <w:tab/>
      </w:r>
      <w:hyperlink r:id="rId40">
        <w:r>
          <w:rPr>
            <w:rFonts w:ascii="Arial" w:cs="Arial" w:eastAsia="Arial" w:hAnsi="Arial"/>
            <w:sz w:val="16"/>
            <w:szCs w:val="16"/>
            <w:u w:val="single" w:color="auto"/>
            <w:color w:val="0000FF"/>
          </w:rPr>
          <w:t>Ninth Supplemental Indenture, dated August 29, 2019, among GLP Capital, L.P. and GLP Financing II, Inc., as issuers, Gaming and Leisure</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Properties, Inc., as parent guarantor, and Wells Fargo Bank, National Association, as trustee, relating to the issuers’ 4.000% Senior Notes due</w:t>
        </w:r>
      </w:hyperlink>
      <w:r>
        <w:rPr>
          <w:rFonts w:ascii="Arial" w:cs="Arial" w:eastAsia="Arial" w:hAnsi="Arial"/>
          <w:sz w:val="16"/>
          <w:szCs w:val="16"/>
          <w:u w:val="single" w:color="auto"/>
          <w:color w:val="0000FF"/>
        </w:rPr>
        <w:t xml:space="preserve"> </w:t>
      </w:r>
      <w:hyperlink r:id="rId40">
        <w:r>
          <w:rPr>
            <w:rFonts w:ascii="Arial" w:cs="Arial" w:eastAsia="Arial" w:hAnsi="Arial"/>
            <w:sz w:val="16"/>
            <w:szCs w:val="16"/>
            <w:u w:val="single" w:color="auto"/>
            <w:color w:val="0000FF"/>
          </w:rPr>
          <w:t>2030. (Incorporated by reference to Exhibit 4.4 of the Company's current report on Form 8-K, filed on September 5, 2019).</w:t>
        </w:r>
      </w:hyperlink>
    </w:p>
    <w:p>
      <w:pPr>
        <w:spacing w:after="0" w:line="214" w:lineRule="exact"/>
        <w:rPr>
          <w:rFonts w:ascii="Arial" w:cs="Arial" w:eastAsia="Arial" w:hAnsi="Arial"/>
          <w:sz w:val="16"/>
          <w:szCs w:val="16"/>
          <w:u w:val="single" w:color="auto"/>
          <w:color w:val="0000FF"/>
        </w:rPr>
      </w:pPr>
    </w:p>
    <w:p>
      <w:pPr>
        <w:ind w:left="1080" w:right="140" w:hanging="564"/>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4.11</w:t>
      </w:r>
      <w:r>
        <w:rPr>
          <w:sz w:val="20"/>
          <w:szCs w:val="20"/>
          <w:color w:val="auto"/>
        </w:rPr>
        <w:tab/>
      </w:r>
      <w:hyperlink r:id="rId41">
        <w:r>
          <w:rPr>
            <w:rFonts w:ascii="Arial" w:cs="Arial" w:eastAsia="Arial" w:hAnsi="Arial"/>
            <w:sz w:val="17"/>
            <w:szCs w:val="17"/>
            <w:u w:val="single" w:color="auto"/>
            <w:color w:val="0000FF"/>
          </w:rPr>
          <w:t>Officer's Certificate of GLP Capital, L.P. and GLP Financing II, Inc., dated as of October 30, 2013, establishing the 2018 Notes and the 2023</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Notes. (Incorporated by reference to Exhibit 4.2 to the Company's current report on Form 8-K filed on November 1, 2013).</w:t>
        </w:r>
      </w:hyperlink>
    </w:p>
    <w:p>
      <w:pPr>
        <w:spacing w:after="0" w:line="214" w:lineRule="exact"/>
        <w:rPr>
          <w:sz w:val="20"/>
          <w:szCs w:val="20"/>
          <w:color w:val="auto"/>
        </w:rPr>
      </w:pPr>
    </w:p>
    <w:p>
      <w:pPr>
        <w:ind w:left="1080" w:right="4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42">
        <w:r>
          <w:rPr>
            <w:rFonts w:ascii="Arial" w:cs="Arial" w:eastAsia="Arial" w:hAnsi="Arial"/>
            <w:sz w:val="18"/>
            <w:szCs w:val="18"/>
            <w:u w:val="single" w:color="auto"/>
            <w:color w:val="0000FF"/>
          </w:rPr>
          <w:t>Officer's Certificate of GLP Capital, L.P. and GLP Financing II, Inc., dated as of October 31, 2013, establishing the 2020 Notes. (Incorporated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by reference to Exhibit 4.3 to the Company's current report on Form 8-K filed on November 1, 2013).</w:t>
        </w:r>
      </w:hyperlink>
    </w:p>
    <w:p>
      <w:pPr>
        <w:spacing w:after="0" w:line="238" w:lineRule="exact"/>
        <w:rPr>
          <w:sz w:val="20"/>
          <w:szCs w:val="20"/>
          <w:color w:val="auto"/>
        </w:rPr>
      </w:pPr>
    </w:p>
    <w:p>
      <w:pPr>
        <w:ind w:left="10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32">
        <w:r>
          <w:rPr>
            <w:rFonts w:ascii="Arial" w:cs="Arial" w:eastAsia="Arial" w:hAnsi="Arial"/>
            <w:sz w:val="18"/>
            <w:szCs w:val="18"/>
            <w:u w:val="single" w:color="auto"/>
            <w:color w:val="0000FF"/>
          </w:rPr>
          <w:t>Form of 2021 Note (Incorporated by reference to Exhibit 4.3 and included in Exhibit 4.3 to the Company's current report on Form 8-K filed on</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33">
        <w:r>
          <w:rPr>
            <w:rFonts w:ascii="Arial" w:cs="Arial" w:eastAsia="Arial" w:hAnsi="Arial"/>
            <w:sz w:val="18"/>
            <w:szCs w:val="18"/>
            <w:u w:val="single" w:color="auto"/>
            <w:color w:val="0000FF"/>
          </w:rPr>
          <w:t>Form of 2026 Note (Incorporated by reference to Exhibit 4.4 and included in Exhibit 4.4 to the Company's current report on Form 8-K filed on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April 28, 2016).</w:t>
        </w:r>
      </w:hyperlink>
    </w:p>
    <w:p>
      <w:pPr>
        <w:spacing w:after="0" w:line="238" w:lineRule="exact"/>
        <w:rPr>
          <w:sz w:val="20"/>
          <w:szCs w:val="20"/>
          <w:color w:val="auto"/>
        </w:rPr>
      </w:pPr>
    </w:p>
    <w:p>
      <w:pPr>
        <w:ind w:left="1080" w:right="1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36">
        <w:r>
          <w:rPr>
            <w:rFonts w:ascii="Arial" w:cs="Arial" w:eastAsia="Arial" w:hAnsi="Arial"/>
            <w:sz w:val="18"/>
            <w:szCs w:val="18"/>
            <w:u w:val="single" w:color="auto"/>
            <w:color w:val="0000FF"/>
          </w:rPr>
          <w:t>Form of 2025 Note (Incorporated by reference to Exhibit 4.6 and included in Exhibit 4.4 to the Company's current report on Form 8-K, filed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on May 22, 2018).</w:t>
        </w:r>
      </w:hyperlink>
    </w:p>
    <w:p>
      <w:pPr>
        <w:spacing w:after="0" w:line="238" w:lineRule="exact"/>
        <w:rPr>
          <w:sz w:val="20"/>
          <w:szCs w:val="20"/>
          <w:color w:val="auto"/>
        </w:rPr>
      </w:pPr>
    </w:p>
    <w:p>
      <w:pPr>
        <w:ind w:left="1080" w:right="1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37">
        <w:r>
          <w:rPr>
            <w:rFonts w:ascii="Arial" w:cs="Arial" w:eastAsia="Arial" w:hAnsi="Arial"/>
            <w:sz w:val="18"/>
            <w:szCs w:val="18"/>
            <w:u w:val="single" w:color="auto"/>
            <w:color w:val="0000FF"/>
          </w:rPr>
          <w:t>Form of 2028 Note (Incorporated by reference to Exhibit 4.7 and included in Exhibit 4.5 to the Company's current report on Form 8-K, filed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on May 22, 2018).</w:t>
        </w:r>
      </w:hyperlink>
    </w:p>
    <w:p>
      <w:pPr>
        <w:spacing w:after="0" w:line="238" w:lineRule="exact"/>
        <w:rPr>
          <w:sz w:val="20"/>
          <w:szCs w:val="20"/>
          <w:color w:val="auto"/>
        </w:rPr>
      </w:pPr>
    </w:p>
    <w:p>
      <w:pPr>
        <w:ind w:left="1080" w:right="1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hyperlink r:id="rId38">
        <w:r>
          <w:rPr>
            <w:rFonts w:ascii="Arial" w:cs="Arial" w:eastAsia="Arial" w:hAnsi="Arial"/>
            <w:sz w:val="18"/>
            <w:szCs w:val="18"/>
            <w:u w:val="single" w:color="auto"/>
            <w:color w:val="0000FF"/>
          </w:rPr>
          <w:t>Form of 2029 Note (Incorporated by reference to Exhibit 4.8 and included in Exhibit 4.4 to the Company's current report on Form 8-K, filed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on September 26, 2018).</w:t>
        </w:r>
      </w:hyperlink>
    </w:p>
    <w:p>
      <w:pPr>
        <w:spacing w:after="0" w:line="238" w:lineRule="exact"/>
        <w:rPr>
          <w:sz w:val="20"/>
          <w:szCs w:val="20"/>
          <w:color w:val="auto"/>
        </w:rPr>
      </w:pPr>
    </w:p>
    <w:p>
      <w:pPr>
        <w:ind w:left="1080" w:right="12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ab/>
      </w:r>
      <w:hyperlink r:id="rId39">
        <w:r>
          <w:rPr>
            <w:rFonts w:ascii="Arial" w:cs="Arial" w:eastAsia="Arial" w:hAnsi="Arial"/>
            <w:sz w:val="18"/>
            <w:szCs w:val="18"/>
            <w:u w:val="single" w:color="auto"/>
            <w:color w:val="0000FF"/>
          </w:rPr>
          <w:t>Form of 2024 Note. (Incorporated by reference to Exhibit 4.9 and included in Exhibit 4.3 of the Company's current report on Form 8-K, filed</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on September 5, 2019).</w:t>
        </w:r>
      </w:hyperlink>
    </w:p>
    <w:p>
      <w:pPr>
        <w:spacing w:after="0" w:line="238" w:lineRule="exact"/>
        <w:rPr>
          <w:sz w:val="20"/>
          <w:szCs w:val="20"/>
          <w:color w:val="auto"/>
        </w:rPr>
      </w:pPr>
    </w:p>
    <w:p>
      <w:pPr>
        <w:ind w:left="1080" w:right="8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40">
        <w:r>
          <w:rPr>
            <w:rFonts w:ascii="Arial" w:cs="Arial" w:eastAsia="Arial" w:hAnsi="Arial"/>
            <w:sz w:val="18"/>
            <w:szCs w:val="18"/>
            <w:u w:val="single" w:color="auto"/>
            <w:color w:val="0000FF"/>
          </w:rPr>
          <w:t>Form of 2030 Note (Incorporated by reference to Exhibit 4.10 and included in Exhibit 4.4 of the Company's current report on Form 8-K, filed</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on September 5, 2019).</w:t>
        </w:r>
      </w:hyperlink>
    </w:p>
    <w:p>
      <w:pPr>
        <w:spacing w:after="0" w:line="292"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4.20*</w:t>
      </w:r>
      <w:r>
        <w:rPr>
          <w:sz w:val="20"/>
          <w:szCs w:val="20"/>
          <w:color w:val="auto"/>
        </w:rPr>
        <w:tab/>
      </w:r>
      <w:hyperlink w:anchor="page126">
        <w:r>
          <w:rPr>
            <w:rFonts w:ascii="Arial" w:cs="Arial" w:eastAsia="Arial" w:hAnsi="Arial"/>
            <w:sz w:val="16"/>
            <w:szCs w:val="16"/>
            <w:u w:val="single" w:color="auto"/>
            <w:color w:val="0000FF"/>
          </w:rPr>
          <w:t>Description of securities registered pursuant to Section 12 of the Securities Exchange Act of 1934.</w:t>
        </w:r>
      </w:hyperlink>
    </w:p>
    <w:p>
      <w:pPr>
        <w:spacing w:after="0" w:line="293" w:lineRule="exact"/>
        <w:rPr>
          <w:sz w:val="20"/>
          <w:szCs w:val="20"/>
          <w:color w:val="auto"/>
        </w:rPr>
      </w:pPr>
    </w:p>
    <w:p>
      <w:pPr>
        <w:ind w:left="1080" w:right="16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43">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2018 Notes. (Incorporated by reference to Exhibit 10.1 to the Company's current report on Form 8-K filed on November 1, 2013).</w:t>
        </w:r>
      </w:hyperlink>
    </w:p>
    <w:p>
      <w:pPr>
        <w:sectPr>
          <w:pgSz w:w="11900" w:h="16838" w:orient="portrait"/>
          <w:cols w:equalWidth="0" w:num="1">
            <w:col w:w="11360"/>
          </w:cols>
          <w:pgMar w:left="240" w:top="130" w:right="299" w:bottom="1440" w:gutter="0" w:footer="0" w:header="0"/>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95"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360"/>
          </w:cols>
          <w:pgMar w:left="240" w:top="130" w:right="299" w:bottom="1440" w:gutter="0" w:footer="0" w:header="0"/>
          <w:type w:val="continuous"/>
        </w:sectPr>
      </w:pPr>
    </w:p>
    <w:bookmarkStart w:id="121" w:name="page122"/>
    <w:bookmarkEnd w:id="1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45">
        <w:r>
          <w:rPr>
            <w:rFonts w:ascii="Arial" w:cs="Arial" w:eastAsia="Arial" w:hAnsi="Arial"/>
            <w:sz w:val="16"/>
            <w:szCs w:val="16"/>
            <w:u w:val="single" w:color="auto"/>
            <w:color w:val="0000FF"/>
          </w:rPr>
          <w:t>Registration Rights Agreement, dated as of October 30, 2013, by and among GLP Capital, L.P., GLP Financing II, Inc., Gaming and Leisure</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2023 Notes. (Incorporated by reference to Exhibit 10.2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1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46">
        <w:r>
          <w:rPr>
            <w:rFonts w:ascii="Arial" w:cs="Arial" w:eastAsia="Arial" w:hAnsi="Arial"/>
            <w:sz w:val="16"/>
            <w:szCs w:val="16"/>
            <w:u w:val="single" w:color="auto"/>
            <w:color w:val="0000FF"/>
          </w:rPr>
          <w:t>Registration Rights Agreement, dated as of October 31, 2013, by and among GLP Capital, L.P., GLP Financing II, Inc., Gaming and Leisure</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Properties, Inc. and Merrill Lynch, Pierce, Fenner &amp; Smith Incorporated and the other initial purchasers named therein, with respect to the</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2020 Notes. (Incorporated by reference to Exhibit 10.3 to the Company's current report on Form 8-K filed on November 1, 2013).</w:t>
        </w:r>
      </w:hyperlink>
    </w:p>
    <w:p>
      <w:pPr>
        <w:spacing w:after="0" w:line="214" w:lineRule="exact"/>
        <w:rPr>
          <w:rFonts w:ascii="Arial" w:cs="Arial" w:eastAsia="Arial" w:hAnsi="Arial"/>
          <w:sz w:val="16"/>
          <w:szCs w:val="16"/>
          <w:u w:val="single" w:color="auto"/>
          <w:color w:val="0000FF"/>
        </w:rPr>
      </w:pPr>
    </w:p>
    <w:p>
      <w:pPr>
        <w:ind w:left="1080" w:right="80" w:hanging="570"/>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7">
        <w:r>
          <w:rPr>
            <w:rFonts w:ascii="Arial" w:cs="Arial" w:eastAsia="Arial" w:hAnsi="Arial"/>
            <w:sz w:val="18"/>
            <w:szCs w:val="18"/>
            <w:u w:val="single" w:color="auto"/>
            <w:color w:val="0000FF"/>
          </w:rPr>
          <w:t>Credit Agreement, dated as of October 28, 2013, among GLP Capital, L.P., as successor-by-merger to GLP Financing, LLC, each lender from</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time to time party thereto and JPMorgan Chase Bank, N.A., as administrative agent. (Incorporated by reference to Exhibit 10.4 to the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Company's current report on Form 8-K filed on November 1, 2013).</w:t>
        </w:r>
      </w:hyperlink>
    </w:p>
    <w:p>
      <w:pPr>
        <w:spacing w:after="0" w:line="249" w:lineRule="exact"/>
        <w:rPr>
          <w:rFonts w:ascii="Arial" w:cs="Arial" w:eastAsia="Arial" w:hAnsi="Arial"/>
          <w:sz w:val="18"/>
          <w:szCs w:val="18"/>
          <w:u w:val="single" w:color="auto"/>
          <w:color w:val="0000FF"/>
        </w:rPr>
      </w:pPr>
    </w:p>
    <w:p>
      <w:pPr>
        <w:ind w:left="1080" w:right="40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48">
        <w:r>
          <w:rPr>
            <w:rFonts w:ascii="Arial" w:cs="Arial" w:eastAsia="Arial" w:hAnsi="Arial"/>
            <w:sz w:val="16"/>
            <w:szCs w:val="16"/>
            <w:u w:val="single" w:color="auto"/>
            <w:color w:val="0000FF"/>
          </w:rPr>
          <w:t>Amendment No. 1, dated as of July 31, 2015,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thereto. (Incorporated by reference to Exhibit 10.2 to the Company's Registration Statement on S-4 filed on August 28, 2015).</w:t>
        </w:r>
      </w:hyperlink>
    </w:p>
    <w:p>
      <w:pPr>
        <w:spacing w:after="0" w:line="214" w:lineRule="exact"/>
        <w:rPr>
          <w:rFonts w:ascii="Arial" w:cs="Arial" w:eastAsia="Arial" w:hAnsi="Arial"/>
          <w:sz w:val="16"/>
          <w:szCs w:val="16"/>
          <w:u w:val="single" w:color="auto"/>
          <w:color w:val="0000FF"/>
        </w:rPr>
      </w:pPr>
    </w:p>
    <w:p>
      <w:pPr>
        <w:ind w:left="1080" w:hanging="570"/>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9">
        <w:r>
          <w:rPr>
            <w:rFonts w:ascii="Arial" w:cs="Arial" w:eastAsia="Arial" w:hAnsi="Arial"/>
            <w:sz w:val="18"/>
            <w:szCs w:val="18"/>
            <w:u w:val="single" w:color="auto"/>
            <w:color w:val="0000FF"/>
          </w:rPr>
          <w:t>First Amendment, dated as of March 25, 2016, to Amendment No. 1, dated as of July 31, 2015, to the Credit Agreement dated as of October</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28, 2013 among GLP Capital, L.P., the several banks and other financial institutions party thereto, JPMorgan Chase Bank, N.A., as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Administrative Agent and the various other parties thereto. (Incorporated by reference to Exhibit 10.1 to the Company's current report on Form</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8-K filed on March 28, 2016).</w:t>
        </w:r>
      </w:hyperlink>
    </w:p>
    <w:p>
      <w:pPr>
        <w:spacing w:after="0" w:line="254" w:lineRule="exact"/>
        <w:rPr>
          <w:rFonts w:ascii="Arial" w:cs="Arial" w:eastAsia="Arial" w:hAnsi="Arial"/>
          <w:sz w:val="18"/>
          <w:szCs w:val="18"/>
          <w:u w:val="single" w:color="auto"/>
          <w:color w:val="0000FF"/>
        </w:rPr>
      </w:pPr>
    </w:p>
    <w:p>
      <w:pPr>
        <w:ind w:left="1080" w:right="380" w:hanging="570"/>
        <w:spacing w:after="0" w:line="31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50">
        <w:r>
          <w:rPr>
            <w:rFonts w:ascii="Arial" w:cs="Arial" w:eastAsia="Arial" w:hAnsi="Arial"/>
            <w:sz w:val="16"/>
            <w:szCs w:val="16"/>
            <w:u w:val="single" w:color="auto"/>
            <w:color w:val="0000FF"/>
          </w:rPr>
          <w:t>Amendment No. 2, dated as of May 21, 2018, to the Credit Agreement dated as of October 28, 2013 among GLP Capital, L.P., the several</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banks and other financial institutions party thereto, JPMorgan Chase Bank, N.A., as Administrative Agent and the various other parties</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thereto. (Incorporated by reference to Exhibit 10.1 to the Company's current report on Form 8-K, filed on May 22, 2018).</w:t>
        </w:r>
      </w:hyperlink>
    </w:p>
    <w:p>
      <w:pPr>
        <w:spacing w:after="0" w:line="214" w:lineRule="exact"/>
        <w:rPr>
          <w:rFonts w:ascii="Arial" w:cs="Arial" w:eastAsia="Arial" w:hAnsi="Arial"/>
          <w:sz w:val="16"/>
          <w:szCs w:val="16"/>
          <w:u w:val="single" w:color="auto"/>
          <w:color w:val="0000FF"/>
        </w:rPr>
      </w:pPr>
    </w:p>
    <w:p>
      <w:pPr>
        <w:ind w:left="1080" w:right="120" w:hanging="570"/>
        <w:spacing w:after="0" w:line="286"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10.8</w:t>
      </w:r>
      <w:r>
        <w:rPr>
          <w:sz w:val="20"/>
          <w:szCs w:val="20"/>
          <w:color w:val="auto"/>
        </w:rPr>
        <w:tab/>
      </w:r>
      <w:hyperlink r:id="rId51">
        <w:r>
          <w:rPr>
            <w:rFonts w:ascii="Arial" w:cs="Arial" w:eastAsia="Arial" w:hAnsi="Arial"/>
            <w:sz w:val="17"/>
            <w:szCs w:val="17"/>
            <w:u w:val="single" w:color="auto"/>
            <w:color w:val="0000FF"/>
          </w:rPr>
          <w:t>Amendment No. 3, dated as of October 10, 2018, to the Credit Agreement dated as of October 28, 2013 among GLP Capital, L.P., the several</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banks and other financial institutions party thereto, JPMorgan Chase Bank, N.A., as Administrative Agent and the various other parties</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thereto. (Incorporated by reference to Exhibit 10.5 to the Company's quarterly report on Form 10-Q filed on November 1, 2018).</w:t>
        </w:r>
      </w:hyperlink>
    </w:p>
    <w:p>
      <w:pPr>
        <w:spacing w:after="0" w:line="233" w:lineRule="exact"/>
        <w:rPr>
          <w:rFonts w:ascii="Arial" w:cs="Arial" w:eastAsia="Arial" w:hAnsi="Arial"/>
          <w:sz w:val="17"/>
          <w:szCs w:val="17"/>
          <w:u w:val="single" w:color="auto"/>
          <w:color w:val="0000FF"/>
        </w:rPr>
      </w:pPr>
    </w:p>
    <w:p>
      <w:pPr>
        <w:ind w:left="1080" w:right="100" w:hanging="57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52">
        <w:r>
          <w:rPr>
            <w:rFonts w:ascii="Arial" w:cs="Arial" w:eastAsia="Arial" w:hAnsi="Arial"/>
            <w:sz w:val="18"/>
            <w:szCs w:val="18"/>
            <w:u w:val="single" w:color="auto"/>
            <w:color w:val="0000FF"/>
          </w:rPr>
          <w:t>Master Lease, dated November 1, 2013, by and among GLP Capital L.P. and Penn Tenant, LLC. (Incorporated by reference to Exhibit 10.1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the Company's current report on Form 8-K filed on November 7, 2013).</w:t>
        </w:r>
      </w:hyperlink>
    </w:p>
    <w:p>
      <w:pPr>
        <w:spacing w:after="0" w:line="23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hyperlink r:id="rId53">
        <w:r>
          <w:rPr>
            <w:rFonts w:ascii="Arial" w:cs="Arial" w:eastAsia="Arial" w:hAnsi="Arial"/>
            <w:sz w:val="16"/>
            <w:szCs w:val="16"/>
            <w:u w:val="single" w:color="auto"/>
            <w:color w:val="0000FF"/>
          </w:rPr>
          <w:t>First Amendment to the Master Lease Agreement, dated as of March 5,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(Incorporated by reference to Exhibit 10.1 to the Company's quarterly report on Form 10-Q filed on May 12, 2014).</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54">
        <w:r>
          <w:rPr>
            <w:rFonts w:ascii="Arial" w:cs="Arial" w:eastAsia="Arial" w:hAnsi="Arial"/>
            <w:sz w:val="16"/>
            <w:szCs w:val="16"/>
            <w:u w:val="single" w:color="auto"/>
            <w:color w:val="0000FF"/>
          </w:rPr>
          <w:t>Second Amendment to the Master Lease Agreement, dated as of April 18, 2014,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(Incorporated by reference to Exhibit 10.1 to the Company's quarterly report on Form 10-Q filed on August 1, 2014).</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55">
        <w:r>
          <w:rPr>
            <w:rFonts w:ascii="Arial" w:cs="Arial" w:eastAsia="Arial" w:hAnsi="Arial"/>
            <w:sz w:val="16"/>
            <w:szCs w:val="16"/>
            <w:u w:val="single" w:color="auto"/>
            <w:color w:val="0000FF"/>
          </w:rPr>
          <w:t>Third Amendment to the Master Lease Agreement, dated as of September 20, 2016,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(Incorporated by reference to Exhibit 10.2 to the Company's quarterly report on Form 10-Q filed on November 9, 2016).</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56">
        <w:r>
          <w:rPr>
            <w:rFonts w:ascii="Arial" w:cs="Arial" w:eastAsia="Arial" w:hAnsi="Arial"/>
            <w:sz w:val="16"/>
            <w:szCs w:val="16"/>
            <w:u w:val="single" w:color="auto"/>
            <w:color w:val="0000FF"/>
          </w:rPr>
          <w:t>Fourth Amendment to the Master Lease Agreement, dated as of May 1, 2017,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(Incorporated by reference to Exhibit 10.2 to the Company's quarterly report on Form 10-Q filed on May 3, 2017).</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57">
        <w:r>
          <w:rPr>
            <w:rFonts w:ascii="Arial" w:cs="Arial" w:eastAsia="Arial" w:hAnsi="Arial"/>
            <w:sz w:val="16"/>
            <w:szCs w:val="16"/>
            <w:u w:val="single" w:color="auto"/>
            <w:color w:val="0000FF"/>
          </w:rPr>
          <w:t>Fifth Amendment to the Master Lease Agreement, dated as of June 19,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(Incorporated by reference to Exhibit 10.3 to the Company's quarterly report on Form 10-Q filed on August 1, 2018).</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58">
        <w:r>
          <w:rPr>
            <w:rFonts w:ascii="Arial" w:cs="Arial" w:eastAsia="Arial" w:hAnsi="Arial"/>
            <w:sz w:val="16"/>
            <w:szCs w:val="16"/>
            <w:u w:val="single" w:color="auto"/>
            <w:color w:val="0000FF"/>
          </w:rPr>
          <w:t>Sixth Amendment to the Master Lease Agreement, dated as of August 8,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(Incorporated by reference to Exhibit 10.1 to the Company's quarterly report on Form 10-Q filed on November 1, 2018).</w:t>
        </w:r>
      </w:hyperlink>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380"/>
          </w:cols>
          <w:pgMar w:left="240" w:top="130" w:right="279" w:bottom="1440" w:gutter="0" w:footer="0" w:header="0"/>
          <w:type w:val="continuous"/>
        </w:sectPr>
      </w:pPr>
    </w:p>
    <w:bookmarkStart w:id="122" w:name="page123"/>
    <w:bookmarkEnd w:id="1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60">
        <w:r>
          <w:rPr>
            <w:rFonts w:ascii="Arial" w:cs="Arial" w:eastAsia="Arial" w:hAnsi="Arial"/>
            <w:sz w:val="16"/>
            <w:szCs w:val="16"/>
            <w:u w:val="single" w:color="auto"/>
            <w:color w:val="0000FF"/>
          </w:rPr>
          <w:t>Seventh Amendment to the Master Lease Agreement, dated as of October 31,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(Incorporated by reference to Exhibit 10.16 to the Company's annual report on Form 10-K filed on February 13, 2019).</w:t>
        </w:r>
      </w:hyperlink>
    </w:p>
    <w:p>
      <w:pPr>
        <w:spacing w:after="0" w:line="278" w:lineRule="exact"/>
        <w:rPr>
          <w:sz w:val="20"/>
          <w:szCs w:val="20"/>
          <w:color w:val="auto"/>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61">
        <w:r>
          <w:rPr>
            <w:rFonts w:ascii="Arial" w:cs="Arial" w:eastAsia="Arial" w:hAnsi="Arial"/>
            <w:sz w:val="16"/>
            <w:szCs w:val="16"/>
            <w:u w:val="single" w:color="auto"/>
            <w:color w:val="0000FF"/>
          </w:rPr>
          <w:t>Eighth Amendment to the Master Lease Agreement, dated as of November 20, 2018, by and among GLP Capital L.P. and Penn Tenant, LLC.</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(Incorporated by reference to Exhibit 10.17 to the Company's annual report on Form 10-K filed on February 13, 2019).</w:t>
        </w:r>
      </w:hyperlink>
    </w:p>
    <w:p>
      <w:pPr>
        <w:spacing w:after="0" w:line="278" w:lineRule="exact"/>
        <w:rPr>
          <w:sz w:val="20"/>
          <w:szCs w:val="20"/>
          <w:color w:val="auto"/>
        </w:rPr>
      </w:pPr>
    </w:p>
    <w:p>
      <w:pPr>
        <w:ind w:left="1080" w:right="140" w:hanging="66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10.18</w:t>
      </w:r>
      <w:r>
        <w:rPr>
          <w:sz w:val="20"/>
          <w:szCs w:val="20"/>
          <w:color w:val="auto"/>
        </w:rPr>
        <w:tab/>
      </w:r>
      <w:hyperlink r:id="rId62">
        <w:r>
          <w:rPr>
            <w:rFonts w:ascii="Arial" w:cs="Arial" w:eastAsia="Arial" w:hAnsi="Arial"/>
            <w:sz w:val="17"/>
            <w:szCs w:val="17"/>
            <w:u w:val="single" w:color="auto"/>
            <w:color w:val="0000FF"/>
          </w:rPr>
          <w:t>Master Lease, dated April 28, 2016, by and among Gold Merger Sub, LLC (as successor to Pinnacle Entertainment, Inc.) and Pinnacle MLS,</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LLC. (Incorporated by reference to Exhibit 2.3 to the Company's current report on Form 8-K filed on April 28, 2016).</w:t>
        </w:r>
      </w:hyperlink>
    </w:p>
    <w:p>
      <w:pPr>
        <w:spacing w:after="0" w:line="214" w:lineRule="exact"/>
        <w:rPr>
          <w:sz w:val="20"/>
          <w:szCs w:val="20"/>
          <w:color w:val="auto"/>
        </w:rPr>
      </w:pPr>
    </w:p>
    <w:p>
      <w:pPr>
        <w:jc w:val="both"/>
        <w:ind w:left="1080" w:right="6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63">
        <w:r>
          <w:rPr>
            <w:rFonts w:ascii="Arial" w:cs="Arial" w:eastAsia="Arial" w:hAnsi="Arial"/>
            <w:sz w:val="18"/>
            <w:szCs w:val="18"/>
            <w:u w:val="single" w:color="auto"/>
            <w:color w:val="0000FF"/>
          </w:rPr>
          <w:t>First Amendment to the Master Lease, dated August 29, 2016, by and among Gold Merger Sub, LLC (as successor to Pinnacle Entertainment,</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 and Pinnacle MLS, LLC. (Incorporated by reference to Exhibit 10.1 to the Company's quarterly report on Form 10-Q filed on November</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9, 2016).</w:t>
        </w:r>
      </w:hyperlink>
    </w:p>
    <w:p>
      <w:pPr>
        <w:spacing w:after="0" w:line="249" w:lineRule="exact"/>
        <w:rPr>
          <w:rFonts w:ascii="Arial" w:cs="Arial" w:eastAsia="Arial" w:hAnsi="Arial"/>
          <w:sz w:val="18"/>
          <w:szCs w:val="18"/>
          <w:u w:val="single" w:color="auto"/>
          <w:color w:val="0000FF"/>
        </w:rPr>
      </w:pPr>
    </w:p>
    <w:p>
      <w:pPr>
        <w:ind w:left="1080" w:right="6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64">
        <w:r>
          <w:rPr>
            <w:rFonts w:ascii="Arial" w:cs="Arial" w:eastAsia="Arial" w:hAnsi="Arial"/>
            <w:sz w:val="18"/>
            <w:szCs w:val="18"/>
            <w:u w:val="single" w:color="auto"/>
            <w:color w:val="0000FF"/>
          </w:rPr>
          <w:t>Second Amendment to the Master Lease, dated October 25, 2016, by and among Gold Merger Sub, LLC (as successor to Pinnacle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Entertainment, Inc.) and Pinnacle MLS, LLC. (Incorporated by reference to Exhibit 10.13 to the Company's annual report on Form 10-K filed</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on February 22, 2017).</w:t>
        </w:r>
      </w:hyperlink>
    </w:p>
    <w:p>
      <w:pPr>
        <w:spacing w:after="0" w:line="249" w:lineRule="exact"/>
        <w:rPr>
          <w:rFonts w:ascii="Arial" w:cs="Arial" w:eastAsia="Arial" w:hAnsi="Arial"/>
          <w:sz w:val="18"/>
          <w:szCs w:val="18"/>
          <w:u w:val="single" w:color="auto"/>
          <w:color w:val="0000FF"/>
        </w:rPr>
      </w:pPr>
    </w:p>
    <w:p>
      <w:pPr>
        <w:ind w:left="1080" w:right="4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65">
        <w:r>
          <w:rPr>
            <w:rFonts w:ascii="Arial" w:cs="Arial" w:eastAsia="Arial" w:hAnsi="Arial"/>
            <w:sz w:val="18"/>
            <w:szCs w:val="18"/>
            <w:u w:val="single" w:color="auto"/>
            <w:color w:val="0000FF"/>
          </w:rPr>
          <w:t>Third Amendment to the Master Lease, dated March 24, 2017, by and among Gold Merger Sub, LLC (as successor to Pinnacle Entertainment,</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 and Pinnacle MLS, LLC. (Incorporated by reference to Exhibit 10.1 to the Company's quarterly report on Form 10-Q filed on May 3,</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2017).</w:t>
        </w:r>
      </w:hyperlink>
    </w:p>
    <w:p>
      <w:pPr>
        <w:spacing w:after="0" w:line="249" w:lineRule="exact"/>
        <w:rPr>
          <w:rFonts w:ascii="Arial" w:cs="Arial" w:eastAsia="Arial" w:hAnsi="Arial"/>
          <w:sz w:val="18"/>
          <w:szCs w:val="18"/>
          <w:u w:val="single" w:color="auto"/>
          <w:color w:val="0000FF"/>
        </w:rPr>
      </w:pPr>
    </w:p>
    <w:p>
      <w:pPr>
        <w:ind w:left="1080" w:right="16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66">
        <w:r>
          <w:rPr>
            <w:rFonts w:ascii="Arial" w:cs="Arial" w:eastAsia="Arial" w:hAnsi="Arial"/>
            <w:sz w:val="18"/>
            <w:szCs w:val="18"/>
            <w:u w:val="single" w:color="auto"/>
            <w:color w:val="0000FF"/>
          </w:rPr>
          <w:t>Fourth Amendment to the Master Lease, dated October 15, 2018, by and between Gold Merger Sub, LLC (as successor to Pinnacle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Entertainment, Inc.) and Pinnacle MLS, LLC.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on October 16, 2018).</w:t>
        </w:r>
      </w:hyperlink>
    </w:p>
    <w:p>
      <w:pPr>
        <w:spacing w:after="0" w:line="289" w:lineRule="exact"/>
        <w:rPr>
          <w:rFonts w:ascii="Arial" w:cs="Arial" w:eastAsia="Arial" w:hAnsi="Arial"/>
          <w:sz w:val="18"/>
          <w:szCs w:val="18"/>
          <w:u w:val="single" w:color="auto"/>
          <w:color w:val="0000FF"/>
        </w:rPr>
      </w:pPr>
    </w:p>
    <w:p>
      <w:pPr>
        <w:ind w:left="108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67">
        <w:r>
          <w:rPr>
            <w:rFonts w:ascii="Arial" w:cs="Arial" w:eastAsia="Arial" w:hAnsi="Arial"/>
            <w:sz w:val="16"/>
            <w:szCs w:val="16"/>
            <w:u w:val="single" w:color="auto"/>
            <w:color w:val="0000FF"/>
          </w:rPr>
          <w:t>Master Lease, dated October 1, 2018, by and among GLP Capital, L.P., Tropicana AC Sub Corp., Tropicana Entertainment, Inc. and Tropicana</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Atlantic City Corp (Incorporated by reference to Exhibit 10.1 to the Company's current report on Form 8-K, filed on October 1, 2018).</w:t>
        </w:r>
      </w:hyperlink>
    </w:p>
    <w:p>
      <w:pPr>
        <w:spacing w:after="0" w:line="191" w:lineRule="exact"/>
        <w:rPr>
          <w:sz w:val="20"/>
          <w:szCs w:val="20"/>
          <w:color w:val="auto"/>
        </w:rPr>
      </w:pPr>
    </w:p>
    <w:p>
      <w:pPr>
        <w:ind w:left="1080" w:right="20" w:hanging="661"/>
        <w:spacing w:after="0" w:line="308" w:lineRule="auto"/>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ab/>
      </w:r>
      <w:hyperlink r:id="rId68">
        <w:r>
          <w:rPr>
            <w:rFonts w:ascii="Arial" w:cs="Arial" w:eastAsia="Arial" w:hAnsi="Arial"/>
            <w:sz w:val="17"/>
            <w:szCs w:val="17"/>
            <w:u w:val="single" w:color="auto"/>
            <w:color w:val="0000FF"/>
          </w:rPr>
          <w:t>First Amendment to Master Lease, dated June 6, 2019, by and among GLP Capital, L.P., Tropicana Entertainment, Inc. and Tropicana Atlantic</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City Corp. (Incorporated by reference to Exhibit 10.1 to the Company's quarterly report on Form 10-Q, filed on August 8, 2019).</w:t>
        </w:r>
      </w:hyperlink>
    </w:p>
    <w:p>
      <w:pPr>
        <w:spacing w:after="0" w:line="214" w:lineRule="exact"/>
        <w:rPr>
          <w:sz w:val="20"/>
          <w:szCs w:val="20"/>
          <w:color w:val="auto"/>
        </w:rPr>
      </w:pPr>
    </w:p>
    <w:p>
      <w:pPr>
        <w:ind w:left="1080" w:right="120" w:hanging="66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9">
        <w:r>
          <w:rPr>
            <w:rFonts w:ascii="Arial" w:cs="Arial" w:eastAsia="Arial" w:hAnsi="Arial"/>
            <w:sz w:val="18"/>
            <w:szCs w:val="18"/>
            <w:u w:val="single" w:color="auto"/>
            <w:color w:val="0000FF"/>
          </w:rPr>
          <w:t>Master Lease Agreement, dated October 15, 2018, by and between Gold Merger Sub, LLC and Boyd TCIV, LLC. (Incorporated by reference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to Exhibit 10.2 to the Company's current report on Form 8-K, filed on October 16, 2018).</w:t>
        </w:r>
      </w:hyperlink>
    </w:p>
    <w:p>
      <w:pPr>
        <w:spacing w:after="0" w:line="238" w:lineRule="exact"/>
        <w:rPr>
          <w:sz w:val="20"/>
          <w:szCs w:val="20"/>
          <w:color w:val="auto"/>
        </w:rPr>
      </w:pPr>
    </w:p>
    <w:p>
      <w:pPr>
        <w:ind w:left="1080" w:right="220" w:hanging="661"/>
        <w:spacing w:after="0" w:line="259"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70">
        <w:r>
          <w:rPr>
            <w:rFonts w:ascii="Arial" w:cs="Arial" w:eastAsia="Arial" w:hAnsi="Arial"/>
            <w:sz w:val="18"/>
            <w:szCs w:val="18"/>
            <w:u w:val="single" w:color="auto"/>
            <w:color w:val="0000FF"/>
          </w:rPr>
          <w:t>Consent Agreement by and among Gaming and Leisure Properties, Inc., Gold Merger Sub, LLC, PA Meadows, LLC, WTA II, Inc., CCR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Pennsylvania Racing, Inc., Penn National Gaming, Inc., Pinnacle Entertainment, Inc., PNK Development 33, LLC and Pinnacle MLS, LLC</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dated December 17, 2017. (Incorporated by reference to Exhibit 10.1 to the Company's current report on Form 8-K filed on December 19,</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2017).</w:t>
        </w:r>
      </w:hyperlink>
    </w:p>
    <w:p>
      <w:pPr>
        <w:spacing w:after="0" w:line="254"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71">
        <w:r>
          <w:rPr>
            <w:rFonts w:ascii="Arial" w:cs="Arial" w:eastAsia="Arial" w:hAnsi="Arial"/>
            <w:sz w:val="16"/>
            <w:szCs w:val="16"/>
            <w:u w:val="single" w:color="auto"/>
            <w:color w:val="0000FF"/>
          </w:rPr>
          <w:t>Tax Matters Agreement, dated as of November 1, 2013, by and among Penn National Gaming, Inc. and Gaming and Leisure Properties, Inc.</w:t>
        </w:r>
      </w:hyperlink>
    </w:p>
    <w:p>
      <w:pPr>
        <w:spacing w:after="0" w:line="23" w:lineRule="exact"/>
        <w:rPr>
          <w:rFonts w:ascii="Arial" w:cs="Arial" w:eastAsia="Arial" w:hAnsi="Arial"/>
          <w:sz w:val="18"/>
          <w:szCs w:val="18"/>
          <w:u w:val="single" w:color="auto"/>
          <w:color w:val="0000FF"/>
        </w:rPr>
      </w:pPr>
    </w:p>
    <w:p>
      <w:pPr>
        <w:ind w:left="108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(Incorporated by reference to Exhibit 10.2 to the Company's current report on Form 8-K filed on November 7, 2013).</w:t>
        </w:r>
      </w:hyperlink>
    </w:p>
    <w:p>
      <w:pPr>
        <w:spacing w:after="0" w:line="278"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ab/>
      </w:r>
      <w:hyperlink r:id="rId72">
        <w:r>
          <w:rPr>
            <w:rFonts w:ascii="Arial" w:cs="Arial" w:eastAsia="Arial" w:hAnsi="Arial"/>
            <w:sz w:val="16"/>
            <w:szCs w:val="16"/>
            <w:u w:val="single" w:color="auto"/>
            <w:color w:val="0000FF"/>
          </w:rPr>
          <w:t>Tax Matters Agreement, dated as of July 20, 2015, by and among Pinnacle Entertainment, Inc. and Gaming and Leisure Properties, Inc.</w:t>
        </w:r>
      </w:hyperlink>
    </w:p>
    <w:p>
      <w:pPr>
        <w:spacing w:after="0" w:line="23" w:lineRule="exact"/>
        <w:rPr>
          <w:rFonts w:ascii="Arial" w:cs="Arial" w:eastAsia="Arial" w:hAnsi="Arial"/>
          <w:sz w:val="18"/>
          <w:szCs w:val="18"/>
          <w:u w:val="single" w:color="auto"/>
          <w:color w:val="0000FF"/>
        </w:rPr>
      </w:pPr>
    </w:p>
    <w:p>
      <w:pPr>
        <w:ind w:left="108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(Incorporated by reference to Exhibit 10.1 to the Company's current report on Form 8-K filed on July 22, 2015).</w:t>
        </w:r>
      </w:hyperlink>
    </w:p>
    <w:p>
      <w:pPr>
        <w:spacing w:after="0" w:line="278" w:lineRule="exact"/>
        <w:rPr>
          <w:rFonts w:ascii="Arial" w:cs="Arial" w:eastAsia="Arial" w:hAnsi="Arial"/>
          <w:sz w:val="18"/>
          <w:szCs w:val="18"/>
          <w:u w:val="single" w:color="auto"/>
          <w:color w:val="0000FF"/>
        </w:rPr>
      </w:pPr>
    </w:p>
    <w:p>
      <w:pPr>
        <w:jc w:val="right"/>
        <w:ind w:left="420" w:right="700"/>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10.29   </w:t>
      </w:r>
      <w:hyperlink r:id="rId73">
        <w:r>
          <w:rPr>
            <w:rFonts w:ascii="Arial" w:cs="Arial" w:eastAsia="Arial" w:hAnsi="Arial"/>
            <w:sz w:val="16"/>
            <w:szCs w:val="16"/>
            <w:u w:val="single" w:color="auto"/>
            <w:color w:val="0000FF"/>
          </w:rPr>
          <w:t>Employee Matters Agreement, dated as of November 1, 2013, by and between Penn National Gaming, Inc. and Gaming and Leisure</w:t>
        </w:r>
      </w:hyperlink>
      <w:r>
        <w:rPr>
          <w:rFonts w:ascii="Arial" w:cs="Arial" w:eastAsia="Arial" w:hAnsi="Arial"/>
          <w:sz w:val="16"/>
          <w:szCs w:val="16"/>
          <w:color w:val="auto"/>
        </w:rPr>
        <w:t xml:space="preserve"> </w:t>
      </w:r>
      <w:hyperlink r:id="rId73">
        <w:r>
          <w:rPr>
            <w:rFonts w:ascii="Arial" w:cs="Arial" w:eastAsia="Arial" w:hAnsi="Arial"/>
            <w:sz w:val="16"/>
            <w:szCs w:val="16"/>
            <w:u w:val="single" w:color="auto"/>
            <w:color w:val="0000FF"/>
          </w:rPr>
          <w:t>Properties, Inc. (Incorporated by reference to Exhibit 10.4 to the Company's current report on Form 8-K filed on November 7, 2013).</w:t>
        </w:r>
      </w:hyperlink>
    </w:p>
    <w:p>
      <w:pPr>
        <w:spacing w:after="0" w:line="191" w:lineRule="exact"/>
        <w:rPr>
          <w:sz w:val="20"/>
          <w:szCs w:val="20"/>
          <w:color w:val="auto"/>
        </w:rPr>
      </w:pPr>
    </w:p>
    <w:p>
      <w:pPr>
        <w:ind w:left="1080" w:right="60" w:hanging="661"/>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10.30</w:t>
      </w:r>
      <w:r>
        <w:rPr>
          <w:sz w:val="20"/>
          <w:szCs w:val="20"/>
          <w:color w:val="auto"/>
        </w:rPr>
        <w:tab/>
      </w:r>
      <w:hyperlink r:id="rId74">
        <w:r>
          <w:rPr>
            <w:rFonts w:ascii="Arial" w:cs="Arial" w:eastAsia="Arial" w:hAnsi="Arial"/>
            <w:sz w:val="16"/>
            <w:szCs w:val="16"/>
            <w:u w:val="single" w:color="auto"/>
            <w:color w:val="0000FF"/>
          </w:rPr>
          <w:t>Employee Matters Agreement, dated April 28, 2016, by and between PNK Entertainment, Inc. and Gold Merger Sub, LLC (as successor to</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Pinnacle Entertainment, Inc.) (Incorporated by reference to Exhibit 2.5 to the Company's current report on Form 8-K filed on April 28, 2016).</w:t>
        </w:r>
      </w:hyperlink>
    </w:p>
    <w:p>
      <w:pPr>
        <w:spacing w:after="0" w:line="191"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10.31 #</w:t>
      </w:r>
      <w:r>
        <w:rPr>
          <w:sz w:val="20"/>
          <w:szCs w:val="20"/>
          <w:color w:val="auto"/>
        </w:rPr>
        <w:tab/>
      </w:r>
      <w:hyperlink r:id="rId75">
        <w:r>
          <w:rPr>
            <w:rFonts w:ascii="Arial" w:cs="Arial" w:eastAsia="Arial" w:hAnsi="Arial"/>
            <w:sz w:val="16"/>
            <w:szCs w:val="16"/>
            <w:u w:val="single" w:color="auto"/>
            <w:color w:val="0000FF"/>
          </w:rPr>
          <w:t>Gaming and Leisure Properties, Inc. Amended and Restated 2013 Long Term Incentive Compensation Plan, as amended on March 28, 2019.</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(Incorporated by reference to Exhibit 10.1 to the Company's current report on Form 8-K, filed on April 2, 2019).</w:t>
        </w:r>
      </w:hyperlink>
    </w:p>
    <w:p>
      <w:pPr>
        <w:sectPr>
          <w:pgSz w:w="11900" w:h="16838" w:orient="portrait"/>
          <w:cols w:equalWidth="0" w:num="1">
            <w:col w:w="11360"/>
          </w:cols>
          <w:pgMar w:left="240" w:top="130" w:right="29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60"/>
          </w:cols>
          <w:pgMar w:left="240" w:top="130" w:right="29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tabs>
          <w:tab w:leader="none" w:pos="55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77">
        <w:r>
          <w:rPr>
            <w:rFonts w:ascii="Arial" w:cs="Arial" w:eastAsia="Arial" w:hAnsi="Arial"/>
            <w:sz w:val="16"/>
            <w:szCs w:val="16"/>
            <w:u w:val="single" w:color="auto"/>
            <w:color w:val="0000FF"/>
          </w:rPr>
          <w:t>Form of Restricted Stock Performance Award 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(Incorporated by reference to Exhibit 4.8 to the Company's annual report on Form 10-K filed on February 22, 2017).</w:t>
        </w:r>
      </w:hyperlink>
    </w:p>
    <w:p>
      <w:pPr>
        <w:spacing w:after="0" w:line="278"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10.33 #</w:t>
      </w:r>
      <w:r>
        <w:rPr>
          <w:sz w:val="20"/>
          <w:szCs w:val="20"/>
          <w:color w:val="auto"/>
        </w:rPr>
        <w:tab/>
      </w:r>
      <w:hyperlink r:id="rId78">
        <w:r>
          <w:rPr>
            <w:rFonts w:ascii="Arial" w:cs="Arial" w:eastAsia="Arial" w:hAnsi="Arial"/>
            <w:sz w:val="16"/>
            <w:szCs w:val="16"/>
            <w:u w:val="single" w:color="auto"/>
            <w:color w:val="0000FF"/>
          </w:rPr>
          <w:t>Form of Restricted Stock Performance Award II under the Gaming and Leisure Properties, Inc. 2013 Long-Term Incentive Compensation Plan.</w:t>
        </w:r>
      </w:hyperlink>
    </w:p>
    <w:p>
      <w:pPr>
        <w:spacing w:after="0" w:line="23" w:lineRule="exact"/>
        <w:rPr>
          <w:sz w:val="20"/>
          <w:szCs w:val="20"/>
          <w:color w:val="auto"/>
        </w:rPr>
      </w:pPr>
    </w:p>
    <w:p>
      <w:pPr>
        <w:ind w:left="1080"/>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(Incorporated by reference to Exhibit 4.9 to the Company's annual report on Form 10-K filed on February 22, 2017).</w:t>
        </w:r>
      </w:hyperlink>
    </w:p>
    <w:p>
      <w:pPr>
        <w:spacing w:after="0" w:line="278" w:lineRule="exact"/>
        <w:rPr>
          <w:sz w:val="20"/>
          <w:szCs w:val="20"/>
          <w:color w:val="auto"/>
        </w:rPr>
      </w:pPr>
    </w:p>
    <w:p>
      <w:pPr>
        <w:ind w:left="1080" w:right="10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10.34 #</w:t>
      </w:r>
      <w:r>
        <w:rPr>
          <w:sz w:val="20"/>
          <w:szCs w:val="20"/>
          <w:color w:val="auto"/>
        </w:rPr>
        <w:tab/>
      </w:r>
      <w:hyperlink r:id="rId79">
        <w:r>
          <w:rPr>
            <w:rFonts w:ascii="Arial" w:cs="Arial" w:eastAsia="Arial" w:hAnsi="Arial"/>
            <w:sz w:val="18"/>
            <w:szCs w:val="18"/>
            <w:u w:val="single" w:color="auto"/>
            <w:color w:val="0000FF"/>
          </w:rPr>
          <w:t>Form of Restricted Stock Award under the Gaming and Leisure Properties, Inc. 2013 Long-Term Incentive Compensation Plan. (Incorporated</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by reference to Exhibit 4.2 to the Company's quarterly report on Form 10-Q filed on May 4, 2015).</w:t>
        </w:r>
      </w:hyperlink>
    </w:p>
    <w:p>
      <w:pPr>
        <w:spacing w:after="0" w:line="238" w:lineRule="exact"/>
        <w:rPr>
          <w:sz w:val="20"/>
          <w:szCs w:val="20"/>
          <w:color w:val="auto"/>
        </w:rPr>
      </w:pPr>
    </w:p>
    <w:p>
      <w:pPr>
        <w:ind w:left="1080" w:right="100" w:hanging="796"/>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10.35 #</w:t>
      </w:r>
      <w:r>
        <w:rPr>
          <w:sz w:val="20"/>
          <w:szCs w:val="20"/>
          <w:color w:val="auto"/>
        </w:rPr>
        <w:tab/>
      </w:r>
      <w:hyperlink r:id="rId80">
        <w:r>
          <w:rPr>
            <w:rFonts w:ascii="Arial" w:cs="Arial" w:eastAsia="Arial" w:hAnsi="Arial"/>
            <w:sz w:val="18"/>
            <w:szCs w:val="18"/>
            <w:u w:val="single" w:color="auto"/>
            <w:color w:val="0000FF"/>
          </w:rPr>
          <w:t>Form of Restricted Stock Performance Award I under the Gaming and Leisure Properties, Inc. 2013 Long-Term Incentive Compensation Plan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for Awards Issued after January 1, 2018. (Incorporated by reference to Exhibit 10.26 to the Company's annual report on Form 10-K filed on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February 16, 2018).</w:t>
        </w:r>
      </w:hyperlink>
    </w:p>
    <w:p>
      <w:pPr>
        <w:spacing w:after="0" w:line="249" w:lineRule="exact"/>
        <w:rPr>
          <w:rFonts w:ascii="Arial" w:cs="Arial" w:eastAsia="Arial" w:hAnsi="Arial"/>
          <w:sz w:val="18"/>
          <w:szCs w:val="18"/>
          <w:u w:val="single" w:color="auto"/>
          <w:color w:val="0000FF"/>
        </w:rPr>
      </w:pPr>
    </w:p>
    <w:p>
      <w:pPr>
        <w:ind w:left="1080" w:right="40" w:hanging="796"/>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10.36 #</w:t>
      </w:r>
      <w:r>
        <w:rPr>
          <w:sz w:val="20"/>
          <w:szCs w:val="20"/>
          <w:color w:val="auto"/>
        </w:rPr>
        <w:tab/>
      </w:r>
      <w:hyperlink r:id="rId81">
        <w:r>
          <w:rPr>
            <w:rFonts w:ascii="Arial" w:cs="Arial" w:eastAsia="Arial" w:hAnsi="Arial"/>
            <w:sz w:val="18"/>
            <w:szCs w:val="18"/>
            <w:u w:val="single" w:color="auto"/>
            <w:color w:val="0000FF"/>
          </w:rPr>
          <w:t>Form of Restricted Stock Performance Award II under the Gaming and Leisure Properties, Inc. 2013 Long-Term Incentive Compensation Plan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for Awards Issued after January 1, 2018. (Incorporated by reference to Exhibit 10.27 to the Company's annual report on Form 10-K filed on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February 16, 2018).</w:t>
        </w:r>
      </w:hyperlink>
    </w:p>
    <w:p>
      <w:pPr>
        <w:spacing w:after="0" w:line="262" w:lineRule="exact"/>
        <w:rPr>
          <w:rFonts w:ascii="Arial" w:cs="Arial" w:eastAsia="Arial" w:hAnsi="Arial"/>
          <w:sz w:val="18"/>
          <w:szCs w:val="18"/>
          <w:u w:val="single" w:color="auto"/>
          <w:color w:val="0000FF"/>
        </w:rPr>
      </w:pPr>
    </w:p>
    <w:p>
      <w:pPr>
        <w:ind w:left="1080" w:right="40" w:hanging="796"/>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10.37 #</w:t>
      </w:r>
      <w:r>
        <w:rPr>
          <w:sz w:val="20"/>
          <w:szCs w:val="20"/>
          <w:color w:val="auto"/>
        </w:rPr>
        <w:tab/>
      </w:r>
      <w:hyperlink r:id="rId82">
        <w:r>
          <w:rPr>
            <w:rFonts w:ascii="Arial" w:cs="Arial" w:eastAsia="Arial" w:hAnsi="Arial"/>
            <w:sz w:val="18"/>
            <w:szCs w:val="18"/>
            <w:u w:val="single" w:color="auto"/>
            <w:color w:val="0000FF"/>
          </w:rPr>
          <w:t>Form of Board of Director Restricted Stock Award under the Gaming and Leisure Properties, Inc. 2013 Amended and Restated Long-Term</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Incentive Compensation Plan. (Incorporated by reference to Exhibit 10.36 to the Company's annual report on Form 10-K filed on February 13,</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2019.</w:t>
        </w:r>
      </w:hyperlink>
    </w:p>
    <w:p>
      <w:pPr>
        <w:spacing w:after="0" w:line="249" w:lineRule="exact"/>
        <w:rPr>
          <w:rFonts w:ascii="Arial" w:cs="Arial" w:eastAsia="Arial" w:hAnsi="Arial"/>
          <w:sz w:val="18"/>
          <w:szCs w:val="18"/>
          <w:u w:val="single" w:color="auto"/>
          <w:color w:val="0000FF"/>
        </w:rPr>
      </w:pPr>
    </w:p>
    <w:p>
      <w:pPr>
        <w:ind w:left="1080" w:right="52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10.38 #</w:t>
      </w:r>
      <w:r>
        <w:rPr>
          <w:sz w:val="20"/>
          <w:szCs w:val="20"/>
          <w:color w:val="auto"/>
        </w:rPr>
        <w:tab/>
      </w:r>
      <w:hyperlink r:id="rId83">
        <w:r>
          <w:rPr>
            <w:rFonts w:ascii="Arial" w:cs="Arial" w:eastAsia="Arial" w:hAnsi="Arial"/>
            <w:sz w:val="18"/>
            <w:szCs w:val="18"/>
            <w:u w:val="single" w:color="auto"/>
            <w:color w:val="0000FF"/>
          </w:rPr>
          <w:t>Gaming and Leisure Properties, Inc. Executive Change in Control and Severance Plan. (Incorporated by reference to Exhibit 10.1 to the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Company's current report on Form 8-K, filed on February 4, 2019).</w:t>
        </w:r>
      </w:hyperlink>
    </w:p>
    <w:p>
      <w:pPr>
        <w:spacing w:after="0" w:line="238" w:lineRule="exact"/>
        <w:rPr>
          <w:sz w:val="20"/>
          <w:szCs w:val="20"/>
          <w:color w:val="auto"/>
        </w:rPr>
      </w:pPr>
    </w:p>
    <w:p>
      <w:pPr>
        <w:ind w:left="1080" w:right="220" w:hanging="796"/>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10.39 #</w:t>
      </w:r>
      <w:r>
        <w:rPr>
          <w:sz w:val="20"/>
          <w:szCs w:val="20"/>
          <w:color w:val="auto"/>
        </w:rPr>
        <w:tab/>
      </w:r>
      <w:hyperlink r:id="rId84">
        <w:r>
          <w:rPr>
            <w:rFonts w:ascii="Arial" w:cs="Arial" w:eastAsia="Arial" w:hAnsi="Arial"/>
            <w:sz w:val="18"/>
            <w:szCs w:val="18"/>
            <w:u w:val="single" w:color="auto"/>
            <w:color w:val="0000FF"/>
          </w:rPr>
          <w:t>Letter Agreement, dated as of April 24, 2018, by and between William J. Clifford and Gaming and Leisure Properties, Inc. (Incorporated by</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reference to Exhibit 10.1 to the Company's current report on Form 8-K, filed on April 30, 2018).</w:t>
        </w:r>
      </w:hyperlink>
    </w:p>
    <w:p>
      <w:pPr>
        <w:spacing w:after="0" w:line="279" w:lineRule="exact"/>
        <w:rPr>
          <w:sz w:val="20"/>
          <w:szCs w:val="20"/>
          <w:color w:val="auto"/>
        </w:rPr>
      </w:pPr>
    </w:p>
    <w:p>
      <w:pPr>
        <w:ind w:left="1080" w:right="400" w:hanging="661"/>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85">
        <w:r>
          <w:rPr>
            <w:rFonts w:ascii="Arial" w:cs="Arial" w:eastAsia="Arial" w:hAnsi="Arial"/>
            <w:sz w:val="18"/>
            <w:szCs w:val="18"/>
            <w:u w:val="single" w:color="auto"/>
            <w:color w:val="0000FF"/>
          </w:rPr>
          <w:t>Amended and Restated Membership Interest Purchase Agreement, dated as of December 15, 2015, by and among Gaming and Leisure</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Properties, Inc., GLP Capital, L.P., PA Meadows LLC, PA Mezzco LLC and Cannery Casino Resorts, LLC. (Incorporated by reference to</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Exhibit 10.14 to the Company's annual report on Form 10-K filed on February 22, 2016).</w:t>
        </w:r>
      </w:hyperlink>
    </w:p>
    <w:p>
      <w:pPr>
        <w:spacing w:after="0" w:line="249" w:lineRule="exact"/>
        <w:rPr>
          <w:rFonts w:ascii="Arial" w:cs="Arial" w:eastAsia="Arial" w:hAnsi="Arial"/>
          <w:sz w:val="18"/>
          <w:szCs w:val="18"/>
          <w:u w:val="single" w:color="auto"/>
          <w:color w:val="0000FF"/>
        </w:rPr>
      </w:pPr>
    </w:p>
    <w:p>
      <w:pPr>
        <w:ind w:left="54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159">
        <w:r>
          <w:rPr>
            <w:rFonts w:ascii="Arial" w:cs="Arial" w:eastAsia="Arial" w:hAnsi="Arial"/>
            <w:sz w:val="18"/>
            <w:szCs w:val="18"/>
            <w:u w:val="single" w:color="auto"/>
            <w:color w:val="0000FF"/>
          </w:rPr>
          <w:t>Subsidiaries of the Registrant.</w:t>
        </w:r>
      </w:hyperlink>
    </w:p>
    <w:p>
      <w:pPr>
        <w:spacing w:after="0" w:line="293" w:lineRule="exact"/>
        <w:rPr>
          <w:rFonts w:ascii="Arial" w:cs="Arial" w:eastAsia="Arial" w:hAnsi="Arial"/>
          <w:sz w:val="18"/>
          <w:szCs w:val="18"/>
          <w:u w:val="single" w:color="auto"/>
          <w:color w:val="0000FF"/>
        </w:rPr>
      </w:pPr>
    </w:p>
    <w:p>
      <w:pPr>
        <w:ind w:left="540"/>
        <w:spacing w:after="0"/>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hyperlink w:anchor="page160">
        <w:r>
          <w:rPr>
            <w:rFonts w:ascii="Arial" w:cs="Arial" w:eastAsia="Arial" w:hAnsi="Arial"/>
            <w:sz w:val="18"/>
            <w:szCs w:val="18"/>
            <w:u w:val="single" w:color="auto"/>
            <w:color w:val="0000FF"/>
          </w:rPr>
          <w:t>Consent of Deloitte &amp; Touche LLP, Independent Registered Public Accounting Firm.</w:t>
        </w:r>
      </w:hyperlink>
    </w:p>
    <w:p>
      <w:pPr>
        <w:spacing w:after="0" w:line="29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61">
        <w:r>
          <w:rPr>
            <w:rFonts w:ascii="Arial" w:cs="Arial" w:eastAsia="Arial" w:hAnsi="Arial"/>
            <w:sz w:val="16"/>
            <w:szCs w:val="16"/>
            <w:u w:val="single" w:color="auto"/>
            <w:color w:val="0000FF"/>
          </w:rPr>
          <w:t>CEO Certification pursuant to rule 13a-14(a) or 15d-14(a) of the Securities Exchange Act of 1934.</w:t>
        </w:r>
      </w:hyperlink>
    </w:p>
    <w:p>
      <w:pPr>
        <w:spacing w:after="0" w:line="347"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62">
        <w:r>
          <w:rPr>
            <w:rFonts w:ascii="Arial" w:cs="Arial" w:eastAsia="Arial" w:hAnsi="Arial"/>
            <w:sz w:val="16"/>
            <w:szCs w:val="16"/>
            <w:u w:val="single" w:color="auto"/>
            <w:color w:val="0000FF"/>
          </w:rPr>
          <w:t>CFO Certification pursuant to rule 13a-14(a) or 15d-14(a) of the Securities Exchange Act of 1934.</w:t>
        </w:r>
      </w:hyperlink>
    </w:p>
    <w:p>
      <w:pPr>
        <w:spacing w:after="0" w:line="29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63">
        <w:r>
          <w:rPr>
            <w:rFonts w:ascii="Arial" w:cs="Arial" w:eastAsia="Arial" w:hAnsi="Arial"/>
            <w:sz w:val="16"/>
            <w:szCs w:val="16"/>
            <w:u w:val="single" w:color="auto"/>
            <w:color w:val="0000FF"/>
          </w:rPr>
          <w:t>CEO Certification pursuant to 18 U.S.C. Section 1350, As Adopted Pursuant to Section 906 of The Sarbanes - Oxley Act of 2002.</w:t>
        </w:r>
      </w:hyperlink>
    </w:p>
    <w:p>
      <w:pPr>
        <w:spacing w:after="0" w:line="333" w:lineRule="exact"/>
        <w:rPr>
          <w:rFonts w:ascii="Arial" w:cs="Arial" w:eastAsia="Arial" w:hAnsi="Arial"/>
          <w:sz w:val="18"/>
          <w:szCs w:val="18"/>
          <w:u w:val="single" w:color="auto"/>
          <w:color w:val="0000FF"/>
        </w:rPr>
      </w:pPr>
    </w:p>
    <w:p>
      <w:pPr>
        <w:ind w:left="4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64">
        <w:r>
          <w:rPr>
            <w:rFonts w:ascii="Arial" w:cs="Arial" w:eastAsia="Arial" w:hAnsi="Arial"/>
            <w:sz w:val="16"/>
            <w:szCs w:val="16"/>
            <w:u w:val="single" w:color="auto"/>
            <w:color w:val="0000FF"/>
          </w:rPr>
          <w:t>CFO Certification pursuant to 18 U.S.C. Section 1350, As Adopted Pursuant to Section 906 of The Sarbanes - Oxley Act of 2002.</w:t>
        </w:r>
      </w:hyperlink>
    </w:p>
    <w:p>
      <w:pPr>
        <w:spacing w:after="0" w:line="293" w:lineRule="exact"/>
        <w:rPr>
          <w:rFonts w:ascii="Arial" w:cs="Arial" w:eastAsia="Arial" w:hAnsi="Arial"/>
          <w:sz w:val="18"/>
          <w:szCs w:val="18"/>
          <w:u w:val="single" w:color="auto"/>
          <w:color w:val="0000FF"/>
        </w:rPr>
      </w:pPr>
    </w:p>
    <w:p>
      <w:pPr>
        <w:ind w:left="1080" w:right="60" w:hanging="532"/>
        <w:spacing w:after="0" w:line="31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following financial information from Gaming and Leisure Properties, Inc.'s Annual Report on Form 10-K for the year ended December 31, 2019, formatted in Inline XBRL: (i) Consolidated Balance Sheets, ii) Consolidated Statements of Income, (iii) Consolidated Statements of Changes in Shareholders’ Equity, (iv) Consolidated Statements of Cash Flows and (v) Notes to the Consolidated Financial Statements.</w:t>
      </w:r>
    </w:p>
    <w:p>
      <w:pPr>
        <w:spacing w:after="0" w:line="214" w:lineRule="exact"/>
        <w:rPr>
          <w:rFonts w:ascii="Arial" w:cs="Arial" w:eastAsia="Arial" w:hAnsi="Arial"/>
          <w:sz w:val="18"/>
          <w:szCs w:val="18"/>
          <w:u w:val="single" w:color="auto"/>
          <w:color w:val="0000FF"/>
        </w:rPr>
      </w:pPr>
    </w:p>
    <w:p>
      <w:pPr>
        <w:ind w:left="1080" w:right="420" w:hanging="532"/>
        <w:spacing w:after="0" w:line="277" w:lineRule="auto"/>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2019, formatted in Inline XBRL and contained in Exhibit 101.</w:t>
      </w:r>
    </w:p>
    <w:p>
      <w:pPr>
        <w:spacing w:after="0" w:line="251" w:lineRule="exact"/>
        <w:rPr>
          <w:rFonts w:ascii="Arial" w:cs="Arial" w:eastAsia="Arial" w:hAnsi="Arial"/>
          <w:sz w:val="18"/>
          <w:szCs w:val="18"/>
          <w:color w:val="auto"/>
        </w:rPr>
      </w:pPr>
    </w:p>
    <w:p>
      <w:pPr>
        <w:ind w:left="280" w:hanging="272"/>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Compensation plans and arrangements for executives and others.</w:t>
      </w:r>
    </w:p>
    <w:p>
      <w:pPr>
        <w:spacing w:after="0" w:line="144" w:lineRule="exact"/>
        <w:rPr>
          <w:rFonts w:ascii="Arial" w:cs="Arial" w:eastAsia="Arial" w:hAnsi="Arial"/>
          <w:sz w:val="18"/>
          <w:szCs w:val="18"/>
          <w:u w:val="single" w:color="auto"/>
          <w:color w:val="0000FF"/>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ectPr>
          <w:pgSz w:w="11900" w:h="16838" w:orient="portrait"/>
          <w:cols w:equalWidth="0" w:num="1">
            <w:col w:w="11380"/>
          </w:cols>
          <w:pgMar w:left="240" w:top="130" w:right="279" w:bottom="1440" w:gutter="0" w:footer="0" w:header="0"/>
        </w:sectPr>
      </w:pPr>
    </w:p>
    <w:p>
      <w:pPr>
        <w:spacing w:after="0" w:line="225"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380"/>
          </w:cols>
          <w:pgMar w:left="240" w:top="130" w:right="279"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GAMING AND LEISURE PROPERTIES, INC.</w:t>
      </w:r>
    </w:p>
    <w:p>
      <w:pPr>
        <w:spacing w:after="0" w:line="63" w:lineRule="exact"/>
        <w:rPr>
          <w:sz w:val="20"/>
          <w:szCs w:val="20"/>
          <w:color w:val="auto"/>
        </w:rPr>
      </w:pPr>
    </w:p>
    <w:p>
      <w:pPr>
        <w:ind w:left="56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M. CARLINO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Peter M. Carlino</w:t>
      </w:r>
    </w:p>
    <w:p>
      <w:pPr>
        <w:spacing w:after="0" w:line="23" w:lineRule="exact"/>
        <w:rPr>
          <w:sz w:val="20"/>
          <w:szCs w:val="20"/>
          <w:color w:val="auto"/>
        </w:rPr>
      </w:pPr>
    </w:p>
    <w:p>
      <w:pPr>
        <w:ind w:left="80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ind w:left="8180"/>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2020</w:t>
      </w:r>
    </w:p>
    <w:p>
      <w:pPr>
        <w:spacing w:after="0" w:line="144"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0"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320" w:type="dxa"/>
            <w:vAlign w:val="bottom"/>
            <w:gridSpan w:val="10"/>
          </w:tcPr>
          <w:p>
            <w:pPr>
              <w:spacing w:after="0"/>
              <w:rPr>
                <w:sz w:val="14"/>
                <w:szCs w:val="14"/>
                <w:color w:val="auto"/>
              </w:rPr>
            </w:pPr>
          </w:p>
        </w:tc>
        <w:tc>
          <w:tcPr>
            <w:tcW w:w="480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96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16"/>
          </w:tcPr>
          <w:p>
            <w:pPr>
              <w:jc w:val="center"/>
              <w:ind w:right="540"/>
              <w:spacing w:after="0" w:line="190" w:lineRule="exact"/>
              <w:rPr>
                <w:sz w:val="20"/>
                <w:szCs w:val="20"/>
                <w:color w:val="auto"/>
              </w:rPr>
            </w:pPr>
            <w:r>
              <w:rPr>
                <w:rFonts w:ascii="Arial" w:cs="Arial" w:eastAsia="Arial" w:hAnsi="Arial"/>
                <w:sz w:val="18"/>
                <w:szCs w:val="18"/>
                <w:color w:val="auto"/>
                <w:w w:val="95"/>
              </w:rPr>
              <w:t>/s/ PETER M. CARLINO</w:t>
            </w: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Executive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9"/>
          </w:tcPr>
          <w:p>
            <w:pPr>
              <w:jc w:val="center"/>
              <w:ind w:right="440"/>
              <w:spacing w:after="0"/>
              <w:rPr>
                <w:sz w:val="20"/>
                <w:szCs w:val="20"/>
                <w:color w:val="auto"/>
              </w:rPr>
            </w:pPr>
            <w:r>
              <w:rPr>
                <w:rFonts w:ascii="Arial" w:cs="Arial" w:eastAsia="Arial" w:hAnsi="Arial"/>
                <w:sz w:val="18"/>
                <w:szCs w:val="18"/>
                <w:color w:val="auto"/>
                <w:w w:val="92"/>
              </w:rPr>
              <w:t>Peter M. Carlino</w:t>
            </w:r>
          </w:p>
        </w:tc>
        <w:tc>
          <w:tcPr>
            <w:tcW w:w="540" w:type="dxa"/>
            <w:vAlign w:val="bottom"/>
            <w:gridSpan w:val="4"/>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17"/>
          </w:tcPr>
          <w:p>
            <w:pPr>
              <w:jc w:val="center"/>
              <w:ind w:right="520"/>
              <w:spacing w:after="0"/>
              <w:rPr>
                <w:sz w:val="20"/>
                <w:szCs w:val="20"/>
                <w:color w:val="auto"/>
              </w:rPr>
            </w:pPr>
            <w:r>
              <w:rPr>
                <w:rFonts w:ascii="Arial" w:cs="Arial" w:eastAsia="Arial" w:hAnsi="Arial"/>
                <w:sz w:val="18"/>
                <w:szCs w:val="18"/>
                <w:color w:val="auto"/>
                <w:w w:val="96"/>
              </w:rPr>
              <w:t>/s/ STEVEN T. SNYDER</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Chief Financial Officer (Principal Financial Officer)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10"/>
          </w:tcPr>
          <w:p>
            <w:pPr>
              <w:jc w:val="center"/>
              <w:ind w:right="460"/>
              <w:spacing w:after="0"/>
              <w:rPr>
                <w:sz w:val="20"/>
                <w:szCs w:val="20"/>
                <w:color w:val="auto"/>
              </w:rPr>
            </w:pPr>
            <w:r>
              <w:rPr>
                <w:rFonts w:ascii="Arial" w:cs="Arial" w:eastAsia="Arial" w:hAnsi="Arial"/>
                <w:sz w:val="18"/>
                <w:szCs w:val="18"/>
                <w:color w:val="auto"/>
                <w:w w:val="89"/>
              </w:rPr>
              <w:t>Steven T. Snyder</w:t>
            </w:r>
          </w:p>
        </w:tc>
        <w:tc>
          <w:tcPr>
            <w:tcW w:w="520" w:type="dxa"/>
            <w:vAlign w:val="bottom"/>
            <w:gridSpan w:val="3"/>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Senior Vice President and Chief Accounting Officer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0"/>
        </w:trPr>
        <w:tc>
          <w:tcPr>
            <w:tcW w:w="1840" w:type="dxa"/>
            <w:vAlign w:val="bottom"/>
            <w:tcBorders>
              <w:bottom w:val="single" w:sz="8" w:color="auto"/>
            </w:tcBorders>
            <w:gridSpan w:val="12"/>
          </w:tcPr>
          <w:p>
            <w:pPr>
              <w:jc w:val="center"/>
              <w:spacing w:after="0" w:line="190" w:lineRule="exact"/>
              <w:rPr>
                <w:sz w:val="20"/>
                <w:szCs w:val="20"/>
                <w:color w:val="auto"/>
              </w:rPr>
            </w:pPr>
            <w:r>
              <w:rPr>
                <w:rFonts w:ascii="Arial" w:cs="Arial" w:eastAsia="Arial" w:hAnsi="Arial"/>
                <w:sz w:val="18"/>
                <w:szCs w:val="18"/>
                <w:color w:val="auto"/>
                <w:w w:val="95"/>
              </w:rPr>
              <w:t>/s/ DESIREE A. BURKE</w:t>
            </w:r>
          </w:p>
        </w:tc>
        <w:tc>
          <w:tcPr>
            <w:tcW w:w="700" w:type="dxa"/>
            <w:vAlign w:val="bottom"/>
            <w:gridSpan w:val="8"/>
          </w:tcPr>
          <w:p>
            <w:pPr>
              <w:spacing w:after="0"/>
              <w:rPr>
                <w:sz w:val="16"/>
                <w:szCs w:val="16"/>
                <w:color w:val="auto"/>
              </w:rPr>
            </w:pPr>
          </w:p>
        </w:tc>
        <w:tc>
          <w:tcPr>
            <w:tcW w:w="4800" w:type="dxa"/>
            <w:vAlign w:val="bottom"/>
            <w:gridSpan w:val="3"/>
          </w:tcPr>
          <w:p>
            <w:pPr>
              <w:ind w:left="560"/>
              <w:spacing w:after="0" w:line="190" w:lineRule="exact"/>
              <w:rPr>
                <w:sz w:val="20"/>
                <w:szCs w:val="20"/>
                <w:color w:val="auto"/>
              </w:rPr>
            </w:pPr>
            <w:r>
              <w:rPr>
                <w:rFonts w:ascii="Arial" w:cs="Arial" w:eastAsia="Arial" w:hAnsi="Arial"/>
                <w:sz w:val="18"/>
                <w:szCs w:val="18"/>
                <w:color w:val="auto"/>
              </w:rPr>
              <w:t>(Principal Accounting Officer)</w:t>
            </w:r>
          </w:p>
        </w:tc>
        <w:tc>
          <w:tcPr>
            <w:tcW w:w="1960" w:type="dxa"/>
            <w:vAlign w:val="bottom"/>
            <w:gridSpan w:val="3"/>
          </w:tcPr>
          <w:p>
            <w:pPr>
              <w:jc w:val="center"/>
              <w:ind w:left="552"/>
              <w:spacing w:after="0" w:line="190" w:lineRule="exact"/>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3"/>
          </w:tcPr>
          <w:p>
            <w:pPr>
              <w:jc w:val="center"/>
              <w:ind w:right="1000"/>
              <w:spacing w:after="0"/>
              <w:rPr>
                <w:sz w:val="20"/>
                <w:szCs w:val="20"/>
                <w:color w:val="auto"/>
              </w:rPr>
            </w:pPr>
            <w:r>
              <w:rPr>
                <w:rFonts w:ascii="Arial" w:cs="Arial" w:eastAsia="Arial" w:hAnsi="Arial"/>
                <w:sz w:val="18"/>
                <w:szCs w:val="18"/>
                <w:color w:val="auto"/>
                <w:w w:val="92"/>
              </w:rPr>
              <w:t>Desiree A. Burke</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7"/>
              </w:rPr>
              <w:t>/s/ CAROL LYNTON</w:t>
            </w:r>
          </w:p>
        </w:tc>
        <w:tc>
          <w:tcPr>
            <w:tcW w:w="660" w:type="dxa"/>
            <w:vAlign w:val="bottom"/>
            <w:gridSpan w:val="7"/>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50"/>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Carol Lynton</w:t>
            </w:r>
          </w:p>
        </w:tc>
        <w:tc>
          <w:tcPr>
            <w:tcW w:w="980" w:type="dxa"/>
            <w:vAlign w:val="bottom"/>
            <w:gridSpan w:val="9"/>
          </w:tcPr>
          <w:p>
            <w:pPr>
              <w:spacing w:after="0"/>
              <w:rPr>
                <w:sz w:val="21"/>
                <w:szCs w:val="21"/>
                <w:color w:val="auto"/>
              </w:rPr>
            </w:pPr>
          </w:p>
        </w:tc>
        <w:tc>
          <w:tcPr>
            <w:tcW w:w="2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574"/>
        </w:trPr>
        <w:tc>
          <w:tcPr>
            <w:tcW w:w="2540" w:type="dxa"/>
            <w:vAlign w:val="bottom"/>
            <w:gridSpan w:val="20"/>
          </w:tcPr>
          <w:p>
            <w:pPr>
              <w:jc w:val="center"/>
              <w:ind w:right="380"/>
              <w:spacing w:after="0"/>
              <w:rPr>
                <w:sz w:val="20"/>
                <w:szCs w:val="20"/>
                <w:color w:val="auto"/>
              </w:rPr>
            </w:pPr>
            <w:r>
              <w:rPr>
                <w:rFonts w:ascii="Arial" w:cs="Arial" w:eastAsia="Arial" w:hAnsi="Arial"/>
                <w:sz w:val="18"/>
                <w:szCs w:val="18"/>
                <w:color w:val="auto"/>
                <w:w w:val="94"/>
              </w:rPr>
              <w:t>/s/ JOSEPH W. MARSHALL</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12"/>
          </w:tcPr>
          <w:p>
            <w:pPr>
              <w:jc w:val="center"/>
              <w:ind w:right="260"/>
              <w:spacing w:after="0"/>
              <w:rPr>
                <w:sz w:val="20"/>
                <w:szCs w:val="20"/>
                <w:color w:val="auto"/>
              </w:rPr>
            </w:pPr>
            <w:r>
              <w:rPr>
                <w:rFonts w:ascii="Arial" w:cs="Arial" w:eastAsia="Arial" w:hAnsi="Arial"/>
                <w:sz w:val="18"/>
                <w:szCs w:val="18"/>
                <w:color w:val="auto"/>
                <w:w w:val="88"/>
              </w:rPr>
              <w:t>Joseph W. Marshall</w:t>
            </w: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3"/>
          </w:tcPr>
          <w:p>
            <w:pPr>
              <w:jc w:val="center"/>
              <w:ind w:right="660"/>
              <w:spacing w:after="0"/>
              <w:rPr>
                <w:sz w:val="20"/>
                <w:szCs w:val="20"/>
                <w:color w:val="auto"/>
              </w:rPr>
            </w:pPr>
            <w:r>
              <w:rPr>
                <w:rFonts w:ascii="Arial" w:cs="Arial" w:eastAsia="Arial" w:hAnsi="Arial"/>
                <w:sz w:val="18"/>
                <w:szCs w:val="18"/>
                <w:color w:val="auto"/>
                <w:w w:val="92"/>
              </w:rPr>
              <w:t>/s/ JAMES B. PERRY</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87"/>
              </w:rPr>
              <w:t>James B. Perry</w:t>
            </w:r>
          </w:p>
        </w:tc>
        <w:tc>
          <w:tcPr>
            <w:tcW w:w="660" w:type="dxa"/>
            <w:vAlign w:val="bottom"/>
            <w:gridSpan w:val="7"/>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2520" w:type="dxa"/>
            <w:vAlign w:val="bottom"/>
            <w:gridSpan w:val="19"/>
          </w:tcPr>
          <w:p>
            <w:pPr>
              <w:jc w:val="center"/>
              <w:ind w:right="400"/>
              <w:spacing w:after="0"/>
              <w:rPr>
                <w:sz w:val="20"/>
                <w:szCs w:val="20"/>
                <w:color w:val="auto"/>
              </w:rPr>
            </w:pPr>
            <w:r>
              <w:rPr>
                <w:rFonts w:ascii="Arial" w:cs="Arial" w:eastAsia="Arial" w:hAnsi="Arial"/>
                <w:sz w:val="18"/>
                <w:szCs w:val="18"/>
                <w:color w:val="auto"/>
                <w:w w:val="93"/>
              </w:rPr>
              <w:t>/s/ BARRY F. SCHWARTZ</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11"/>
          </w:tcPr>
          <w:p>
            <w:pPr>
              <w:jc w:val="center"/>
              <w:ind w:right="220"/>
              <w:spacing w:after="0"/>
              <w:rPr>
                <w:sz w:val="20"/>
                <w:szCs w:val="20"/>
                <w:color w:val="auto"/>
              </w:rPr>
            </w:pPr>
            <w:r>
              <w:rPr>
                <w:rFonts w:ascii="Arial" w:cs="Arial" w:eastAsia="Arial" w:hAnsi="Arial"/>
                <w:sz w:val="18"/>
                <w:szCs w:val="18"/>
                <w:color w:val="auto"/>
                <w:w w:val="90"/>
              </w:rPr>
              <w:t>Barry F. Schwartz</w:t>
            </w:r>
          </w:p>
        </w:tc>
        <w:tc>
          <w:tcPr>
            <w:tcW w:w="46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14"/>
          </w:tcPr>
          <w:p>
            <w:pPr>
              <w:jc w:val="center"/>
              <w:ind w:right="640"/>
              <w:spacing w:after="0"/>
              <w:rPr>
                <w:sz w:val="20"/>
                <w:szCs w:val="20"/>
                <w:color w:val="auto"/>
              </w:rPr>
            </w:pPr>
            <w:r>
              <w:rPr>
                <w:rFonts w:ascii="Arial" w:cs="Arial" w:eastAsia="Arial" w:hAnsi="Arial"/>
                <w:sz w:val="18"/>
                <w:szCs w:val="18"/>
                <w:color w:val="auto"/>
                <w:w w:val="95"/>
              </w:rPr>
              <w:t>/s/ EARL C. SHANKS</w:t>
            </w: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7"/>
          </w:tcPr>
          <w:p>
            <w:pPr>
              <w:jc w:val="center"/>
              <w:ind w:right="20"/>
              <w:spacing w:after="0"/>
              <w:rPr>
                <w:sz w:val="20"/>
                <w:szCs w:val="20"/>
                <w:color w:val="auto"/>
              </w:rPr>
            </w:pPr>
            <w:r>
              <w:rPr>
                <w:rFonts w:ascii="Arial" w:cs="Arial" w:eastAsia="Arial" w:hAnsi="Arial"/>
                <w:sz w:val="18"/>
                <w:szCs w:val="18"/>
                <w:color w:val="auto"/>
                <w:w w:val="89"/>
              </w:rPr>
              <w:t>Earl C. Shanks</w:t>
            </w:r>
          </w:p>
        </w:tc>
        <w:tc>
          <w:tcPr>
            <w:tcW w:w="640" w:type="dxa"/>
            <w:vAlign w:val="bottom"/>
            <w:gridSpan w:val="6"/>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54"/>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E. SCOTT URDANG</w:t>
            </w:r>
          </w:p>
        </w:tc>
        <w:tc>
          <w:tcPr>
            <w:tcW w:w="560" w:type="dxa"/>
            <w:vAlign w:val="bottom"/>
            <w:gridSpan w:val="5"/>
          </w:tcPr>
          <w:p>
            <w:pPr>
              <w:spacing w:after="0"/>
              <w:rPr>
                <w:sz w:val="24"/>
                <w:szCs w:val="24"/>
                <w:color w:val="auto"/>
              </w:rPr>
            </w:pPr>
          </w:p>
        </w:tc>
        <w:tc>
          <w:tcPr>
            <w:tcW w:w="48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21, 2020</w:t>
            </w:r>
          </w:p>
        </w:tc>
      </w:tr>
      <w:tr>
        <w:trPr>
          <w:trHeight w:val="291"/>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13"/>
          </w:tcPr>
          <w:p>
            <w:pPr>
              <w:jc w:val="center"/>
              <w:ind w:right="980"/>
              <w:spacing w:after="0"/>
              <w:rPr>
                <w:sz w:val="20"/>
                <w:szCs w:val="20"/>
                <w:color w:val="auto"/>
              </w:rPr>
            </w:pPr>
            <w:r>
              <w:rPr>
                <w:rFonts w:ascii="Arial" w:cs="Arial" w:eastAsia="Arial" w:hAnsi="Arial"/>
                <w:sz w:val="18"/>
                <w:szCs w:val="18"/>
                <w:color w:val="auto"/>
                <w:w w:val="91"/>
              </w:rPr>
              <w:t>E. Scott Urdang</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360"/>
          </w:cols>
          <w:pgMar w:left="240" w:top="130" w:right="29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4.20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GAMING AND LEISURE PROPERTIES, INC.’S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AND EXCHANGE ACT OF 1934</w:t>
      </w:r>
    </w:p>
    <w:p>
      <w:pPr>
        <w:spacing w:after="0" w:line="21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The following is a summary of certain information concerning Gaming and Leisure Properties, Inc.’s (“GLPI,” “we,” “us,” or “our”) securities registered pursuant to Section 12 of the Securities and Exchange Act of 1934, as amended (the “Exchange Act”). The summaries and descriptions below do not purport to be complete statements of the relevant provisions of GLPI’s amended and restated articles of incorporation (the “Articles of Incorporation”) and amended and restated bylaws (the “Bylaws”). The summaries are qualified in their entirety by reference to the full text of GLPI’s Articles of Incorporation and Bylaws, which are included as exhibits to GLPI’s Annual Report on Form 10-K for the year ended December 31, 2019, of which this exhibit is a part.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Articles of Incorporation provide that GLPI may issue up to 500,000,000 shares of common stock, par value $0.01 per share, and 50,000,000 shares of preferred stock, par value $0.01 per share. No shares of our preferred stock are issued and outstanding.</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issued and outstanding shares of GLPI common stock are fully paid and nonassessable. This means the full purchase price for the outstanding shares of common stock has been paid and the holders of such shares will not be assessed any additional amounts for such shares. Any additional shares of common stock that GLPI may issue in the future will also be fully paid and nonassessable.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Subject to prior dividend rights of the holders of any preferred stock, applicable law and the restrictions of the Articles of Incorporation on ownership and transfer of GLPI’s stock, holders of GLPI common stock will be entitled to receive dividends when and if declared by its board of directors out of funds legally available for that purpose.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event of any liquidation, dissolution or winding up of GLPI after the satisfaction in full of the liquidation preferences of holders of any preferred stock, holders of shares of our common stock will be entitled to ratable distribution of the remaining assets available for distribution to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Subject to the rights of the holders of preferred stock, applicable law and restrictions of the Articles of Incorporation on ownership and transfer of GLPI’s stock, each share of common stock will be entitled to one vote on all matters submitted to a vote of shareholders, including the election of directors, and the holders of common stock possess the exclusive voting power. Holders of shares of common stock will not have cumulative voting rights in the election of directors of GLPI. Generally, all matters to be voted on by shareholders must be approved by a majority of the votes cast by the holders of shares entitled to vote at a meeting at which a quorum is present, subject to any voting rights granted to holders of any then outstanding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Holders of GLPI’s common stock do not have any preemptive, subscription, redemption, conversion or sinking fund rights with respect to the common stock, or any instruments convertible (directly or indirectly) into GLPI stock.</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Subject to the restrictions of the Articles of Incorporation on ownership and transfer of GLPI’s stock, holders of shares of GLPI common stock generally will have no preference or appraisal rights. Subject to the restrictions in the Articles of Incorporation on ownership and transfer of GLPI’s stock, holders of shares of GLPI’s common stock initially will have equal dividend, liquidation and other rights.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Trading Symbol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“GLPI.”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Articles of Incorporation, GLPI’s board of directors may from time to time establish and cause GLPI to issue one or more series of preferred stock and set the terms, preferences, conversion or other rights, voting powers, restrictions, limitations as to dividends or other distributions, qualifications, or terms or conditions of redemption of such class or series. The authority of GLPI’s board of directors with respect to each series of preferred stock includes, but is not limited to, the determination of the following:</w:t>
      </w: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constituting such series, including the authority to increase or decrease such number (but not below the number of shares thereof then outstanding);</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dividend rate of the shares of such series, whether the dividends shall be cumulative and, if so, the date from which they shall be cumulative, and the relative rights of priority, if any, of payment of dividends on shares of such series;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dates at which dividends, if any, shall be payable;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 if any, of GLPI to redeem shares of such series and the terms and conditions of such redemption;</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rights of the shares in case of a voluntary or involuntary liquidation, dissolution or winding up of GLPI, and the relative rights of priority, if any, of payment of shares of such series;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voting power, if any, of such series and the terms and conditions under which such voting power may be exercised;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obligation, if any, of GLPI to retire shares of such series pursuant to a retirement or sinking fund or funds of a similar nature or otherwise and the terms and conditions of such obligations;</w:t>
      </w:r>
    </w:p>
    <w:p>
      <w:pPr>
        <w:spacing w:after="0" w:line="62"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terms and conditions, if any, upon which shares of such series shall be convertible into or exchangeable for shares of stock of any other class or classes, including the price or prices or the rate or rates of conversion or exchange and the terms of adjustment, if any;</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rights, preferences or limitations of the shares of such series.</w:t>
      </w:r>
    </w:p>
    <w:p>
      <w:pPr>
        <w:spacing w:after="0" w:line="252" w:lineRule="exact"/>
        <w:rPr>
          <w:sz w:val="20"/>
          <w:szCs w:val="20"/>
          <w:color w:val="auto"/>
        </w:rPr>
      </w:pPr>
    </w:p>
    <w:p>
      <w:pPr>
        <w:ind w:firstLine="27"/>
        <w:spacing w:after="0" w:line="265" w:lineRule="auto"/>
        <w:rPr>
          <w:sz w:val="20"/>
          <w:szCs w:val="20"/>
          <w:color w:val="auto"/>
        </w:rPr>
      </w:pPr>
      <w:r>
        <w:rPr>
          <w:rFonts w:ascii="Arial" w:cs="Arial" w:eastAsia="Arial" w:hAnsi="Arial"/>
          <w:sz w:val="18"/>
          <w:szCs w:val="18"/>
          <w:color w:val="auto"/>
        </w:rPr>
        <w:t>Accordingly, GLPI’s board of directors, without shareholder approval, may issue preferred stock with voting, conversion, or other rights that could adversely affect the voting power and other rights of the holders of GLPI’s common stock. Preferred stock could be issued quickly with terms calculated to delay, defer, or prevent a change of control or other corporate action, or make removal of management more difficult. Additionally, the issuance of preferred stock may have the effect of decreasing the market price of GLPI’s common stock and may adversely affect the voting and other rights of the holders of GLPI’s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order for GLPI to qualify to be taxed as a real estate investment trust (“REIT”) under the Internal Revenue Code of 1986, as amended (the “Code”), shares of its stock must be beneficially owned by 100 or more persons during at least 335 days of a taxable year of twelve months (other than the first year for which an election to qualify to be taxed as a REIT has been made) or during a proportionate part of a shorter taxable year. Also, not more than 50% of the value of the outstanding shares of GLPI stock (after taking into account options to acquire shares of stock) may be owned, directly or indirectly,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actually or constructively, 10% or more by the REIT, or a 10% owner of the REIT) is not qualifying income for purposes of the gross income tests under the Code. To qualify to be taxed as a REIT, GLPI must satisfy other requirements as well.</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Articles of Incorporation contain restrictions on the ownership and transfer of GLPI’s stock that are intended to assist GLPI in complying with these requirements. The relevant sections of the Articles of Incorporation provide that, subject to the exceptions described below, no person or entity may own, or be deemed to own, beneficially or by virtue of the applicable constructive ownership provisions of the Code, more than 7% of the outstanding shares of GLPI common stock (the “common stock ownership limit”) or more than 7% in value or in number, whichever is more restrictive, of the outstanding shares of 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61" w:right="259" w:bottom="1440" w:gutter="0" w:footer="0" w:header="0"/>
        </w:sectPr>
      </w:pPr>
    </w:p>
    <w:bookmarkStart w:id="127" w:name="page128"/>
    <w:bookmarkEnd w:id="127"/>
    <w:p>
      <w:pPr>
        <w:ind w:right="100"/>
        <w:spacing w:after="0" w:line="302" w:lineRule="auto"/>
        <w:rPr>
          <w:sz w:val="20"/>
          <w:szCs w:val="20"/>
          <w:color w:val="auto"/>
        </w:rPr>
      </w:pPr>
      <w:r>
        <w:rPr>
          <w:rFonts w:ascii="Arial" w:cs="Arial" w:eastAsia="Arial" w:hAnsi="Arial"/>
          <w:sz w:val="16"/>
          <w:szCs w:val="16"/>
          <w:color w:val="auto"/>
        </w:rPr>
        <w:t>classes or series of GLPI stock (the “aggregate stock ownership limit”). The common stock ownership limit and the aggregate stock ownership limit are collectively referred to as the “ownership limits.” The person or entity that, but for operation of the ownership limits or another restriction on ownership and transfer of GLPI stock as described below, would beneficially own or constructively own shares of GLPI stock in violation of such limits or restrictions or, if appropriate in the context, a person or entity that would have been the record owner of such shares of GLPI stock is referred to as a “prohibited owner.”</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constructive ownership rules under the Code are complex and may cause stock owned beneficially or constructively by a group of related individuals and/or entities to be owned beneficially or constructively by one individual or entity. As a result, the acquisition of less than 7% of the outstanding shares of GLPI common stock or less than 7% in value or in number, whichever is more restrictive, of the outstanding shares of all classes and series of GLPI stock (or the acquisition by an individual or entity of an interest in an entity that owns, beneficially or constructively, shares of GLPI stock) could, nevertheless, cause that individual or entity, or another individual or entity, to own beneficially or constructively shares of GLPI stock in excess of the ownership limits. In addition, a person that did not acquire more than 7% of our outstanding stock may become subject to these restrictions if repurchases by us cause such person’s holdings to exceed 7% of our outstanding stock.</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Articles of Incorporation, GLPI’s board of directors may exempt, prospectively or retroactively, a particular shareholder (the “excepted holder”) from the ownership limits or establish a different limit on ownership (the “excepted holder limit”) if:</w:t>
      </w:r>
    </w:p>
    <w:p>
      <w:pPr>
        <w:spacing w:after="0" w:line="170" w:lineRule="exact"/>
        <w:rPr>
          <w:sz w:val="20"/>
          <w:szCs w:val="20"/>
          <w:color w:val="auto"/>
        </w:rPr>
      </w:pPr>
    </w:p>
    <w:p>
      <w:pPr>
        <w:ind w:left="660" w:right="200" w:hanging="328"/>
        <w:spacing w:after="0" w:line="28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 individual’s beneficial or constructive ownership of GLPI stock will result in GLPI being “closely held” under Section 856(h) of the Code (without regard to whether the ownership interest is held during the last half of a taxable year) or otherwise failing to qualify to be taxed as a REIT or would cause any income of GLPI that would otherwise qualify as rents from real property to fail to qualify as such; and</w:t>
      </w:r>
    </w:p>
    <w:p>
      <w:pPr>
        <w:spacing w:after="0" w:line="165" w:lineRule="exact"/>
        <w:rPr>
          <w:rFonts w:ascii="Arial" w:cs="Arial" w:eastAsia="Arial" w:hAnsi="Arial"/>
          <w:sz w:val="17"/>
          <w:szCs w:val="17"/>
          <w:color w:val="auto"/>
        </w:rPr>
      </w:pPr>
    </w:p>
    <w:p>
      <w:pPr>
        <w:ind w:left="660" w:right="100" w:hanging="328"/>
        <w:spacing w:after="0" w:line="29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such shareholder does not and represents that it will not own, actually or constructively, an interest in a tenant of GLPI (or a tenant of any entity owned or controlled by GLPI) that would cause GLPI to own, actually or constructively, more than a 9.9% interest (as set forth in Section 856(d)(2)</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(B) of the Code) in such tenant (or GLPI’s board of directors determines that rent derived from such tenant will not affect GLPI’s ability to qualify to be taxed as a REIT).</w:t>
      </w:r>
    </w:p>
    <w:p>
      <w:pPr>
        <w:spacing w:after="0" w:line="89" w:lineRule="exact"/>
        <w:rPr>
          <w:sz w:val="20"/>
          <w:szCs w:val="20"/>
          <w:color w:val="auto"/>
        </w:rPr>
      </w:pPr>
    </w:p>
    <w:p>
      <w:pPr>
        <w:ind w:right="160" w:firstLine="27"/>
        <w:spacing w:after="0" w:line="309" w:lineRule="auto"/>
        <w:rPr>
          <w:sz w:val="20"/>
          <w:szCs w:val="20"/>
          <w:color w:val="auto"/>
        </w:rPr>
      </w:pPr>
      <w:r>
        <w:rPr>
          <w:rFonts w:ascii="Arial" w:cs="Arial" w:eastAsia="Arial" w:hAnsi="Arial"/>
          <w:sz w:val="18"/>
          <w:szCs w:val="18"/>
          <w:color w:val="auto"/>
        </w:rPr>
        <w:t>Peter M. Carlino, GLPI’s Chairman and Chief Executive Officer, the Carlino Family Trust, The Vanguard Group Inc., BlackRock, Inc. and Cohen &amp; Steers, Inc. have each been deemed excepted holders by GLPI’s board of directors.</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condition of granting the waiver or establishing the excepted holder limit, GLPI’s board of directors may require an opinion of counsel or a ruling from the IRS, in either case in form and in substance satisfactory to GLPI’s board of directors (in its sole discretion) in order to determine or ensure GLPI’s status as a REIT and such representations and undertakings from the person requesting the exception as GLPI’s board of directors may require (in its sole discretion) to make the determinations above. GLPI’s board of directors may impose such conditions or restrictions as it deems appropriate in connection with granting such a waiver or establishing an excepted holder limit.</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GLPI’s board of directors may from time to time increase or decrease the common stock ownership limit, the aggregate stock ownership limit or both, for all other persons, unless, after giving effect to such increase, five or fewer individuals could beneficially own, in the aggregate, more than 49.9% in value of GLPI’s outstanding stock. A reduced ownership limit will not apply to any person or entity whose percentage ownership of GLPI common stock or GLPI stock of all classes and series, as applicable, is, at the effective time of such reduction, in excess of such decreased ownership limit until such time as such person’s or entity’s percentage ownership of GLPI common stock or GLPI stock of all classes and series, as applicable, equals or falls below the decreased ownership limit, but any further acquisition of shares of GLPI common stock or stock of all other classes or series, as applicable, will violate the decreased ownership limit.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further prohibit:</w:t>
      </w:r>
    </w:p>
    <w:p>
      <w:pPr>
        <w:spacing w:after="0" w:line="225" w:lineRule="exact"/>
        <w:rPr>
          <w:sz w:val="20"/>
          <w:szCs w:val="20"/>
          <w:color w:val="auto"/>
        </w:rPr>
      </w:pPr>
    </w:p>
    <w:p>
      <w:pPr>
        <w:jc w:val="both"/>
        <w:ind w:left="660" w:right="80" w:hanging="328"/>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GLPI stock that would result in GLPI being “closely held” under Section 856(h) of the Code (without regard to whether the ownership interest is held during the last half of a taxable year) or otherwise cause GLPI to fail to qualify to be taxed as a REIT;</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person from transferring shares of GLPI stock if the transfer would result in shares of GLPI stock being beneficially owned by fewer than 100 persons (determined without reference to the rules of attribution under Section 544 of the Code);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7" w:right="239" w:bottom="1440" w:gutter="0" w:footer="0" w:header="0"/>
        </w:sectPr>
      </w:pPr>
    </w:p>
    <w:bookmarkStart w:id="128" w:name="page129"/>
    <w:bookmarkEnd w:id="128"/>
    <w:p>
      <w:pPr>
        <w:ind w:left="660" w:right="14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person from constructively owning shares of GLPI stock to the extent that such constructive ownership would cause any of GLPI’s income that would otherwise qualify as “rents from real property” for purposes of Section 856(d) of the Code to fail to qualify as such.</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person who acquires or attempts or intends to acquire beneficial or constructive ownership of shares of GLPI stock that will or may violate the ownership limits or any of the other restrictions on ownership and transfer of GLPI stock described above, or who would have owned shares of GLPI stock transferred to the charitable trust described below, must immediately give notice to GLPI of such event or, in the case of an attempted or proposed transaction, give GLPI at least fifteen days’ prior written notice and provide GLPI with such other information as it may request in order to determine the effect of such transfer on its status as a REIT. The foregoing restrictions on ownership and transfer of GLPI stock will not apply if GLPI’s board of directors determines that it is no longer in GLPI’s best interests to attempt to qualify, or to continue to qualify, to be taxed as a REIT or that compliance with the restrictions and limits on ownership and transfer of GLPI stock described above is no longer required in order for GLPI to qualify to be taxed as a REIT.</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any transfer of shares of GLPI stock or any other event would result in any person violating the ownership limits or any other restriction on ownership and transfer of GLPI shares described above then that number of shares (rounded up to the nearest whole share) that would cause the violation will be automatically transferred to, and held by, a trust for the benefit of one or more charitable organizations selected by GLPI, and the intended transferee or other prohibited owner will acquire no rights in the shares. The automatic transfer will be effective as of the close of business on the business day prior to the date of the violative transfer or other event that results in a transfer to the trust. If the transfer to the trust as described above would not be effective, for any reason, to prevent violation of the applicable ownership limits or any other restriction on ownership and transfer of GLPI shares described above, then the Articles of Incorporation provide that the transfer of the shares will be null and void and the intended transferee will acquire no rights in such shares.</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Shares of GLPI stock held in the trust will continue to be issued and outstanding shares. The prohibited owner will not benefit economically from ownership of any shares of GLPI stock held in the trust and will have no rights to distributions and no rights to vote or other rights attributable to the shares of GLPI stock held in the trust. The trustee of the trust shall have all voting rights and rights to dividends and other distributions with respect to shares held in the trust for the exclusive benefit of the charitable beneficiary of the trust. Any distribution made before GLPI’s discovery that the shares have been transferred to a trust as described above must be repaid by the recipient to the trustee upon demand and any dividend or other distribution authorized but unpaid shall be paid when due to the trustee. Subject to Pennsylvania law, effective as of the date that the shares have been transferred to the trust, the trustee will have the authority (at the trustee’s sole discretion) (i) to rescind as void any vote cast by a prohibited owner or unsuitable person, as applicable, before GLPI’s discovery that the shares have been transferred to the trust and (ii) to recast the vote in accordance with the desires of the trustee acting for the benefit of the charitable beneficiary of the trust. However, if GLPI has already taken irreversible corporate action, then the trustee may not rescind and recast the vote.</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Shares of GLPI stock transferred to the trustee will be deemed offered for sale to GLPI, or its designee, at a price per share equal to the lesser of (i) the market price of the shares on the day of the event causing the shares to be held in the trust, or (ii) the market price on the date GLPI, or its designee, accepts such offer. GLPI may reduce the amount so payable to the prohibited owner by the amount of any distribution that GLPI made to the prohibited owner before it discovered that the shares had been automatically transferred to the trust and that are then owed by the prohibited owner to the trustee as described above, and GLPI may pay the amount of any such reduction to the trustee for the benefit of the charitable beneficiary. GLPI will have the right to accept such offer until the trustee has sold the shares of GLPI stock held in the trust as discussed below. Upon a sale to GLPI, the interest of the charitable beneficiary in the shares sold will terminate, and the trustee must distribute the net proceeds of the sale to the prohibited owner and must distribute any distributions held by the trustee with respect to such shares to the charitable beneficiary.</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GLPI does not buy the shares, the trustee must, within 20 days of receiving notice from GLPI of the transfer of shares to the trust, sell the shares to a person or entity designated by the trustee who could own the shares without violating the ownership limits or the other restrictions on ownership and transfer of GLPI stock. After the sale of the shares, the interest of the charitable beneficiary in the shares sold will terminate and the trustee must distribute to the prohibited owner an amount equal to the lesser of (i) the market price of the shares on the day of the event causing the shares to be held in the trust and (ii) the sales proceeds (net of any commissions and other expenses of sale) received by the trust for the shares. The trustee may reduce the amount payable to the prohibited owner by the amount of any distribution that GLPI paid to the prohibited owner before GLPI discovered that the shares had been automatically transferred to the trust and that are then owed by the prohibited owner to the trustee as described above. Any net sales proceeds in excess of the amount payable to the prohibited owner must be paid immediately to the charitable beneficiary, together with any distributions thereon. In addition, if prior to the discovery by GLPI that shares of stock have been transferred to a trust, such shares of stock are sold by a prohibited owner, then such shares will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73" w:right="239" w:bottom="1440" w:gutter="0" w:footer="0" w:header="0"/>
        </w:sectPr>
      </w:pPr>
    </w:p>
    <w:bookmarkStart w:id="129" w:name="page130"/>
    <w:bookmarkEnd w:id="129"/>
    <w:p>
      <w:pPr>
        <w:ind w:right="200"/>
        <w:spacing w:after="0" w:line="264" w:lineRule="auto"/>
        <w:rPr>
          <w:sz w:val="20"/>
          <w:szCs w:val="20"/>
          <w:color w:val="auto"/>
        </w:rPr>
      </w:pPr>
      <w:r>
        <w:rPr>
          <w:rFonts w:ascii="Arial" w:cs="Arial" w:eastAsia="Arial" w:hAnsi="Arial"/>
          <w:sz w:val="18"/>
          <w:szCs w:val="18"/>
          <w:color w:val="auto"/>
        </w:rPr>
        <w:t>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will have no rights in the shares held by the trustee.</w:t>
      </w:r>
    </w:p>
    <w:p>
      <w:pPr>
        <w:spacing w:after="0" w:line="181"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In addition, if GLPI’s board of directors determines in good faith that a transfer or other event has occurred that would violate the restrictions on ownership and transfer of GLPI stock described above or that a person or entity intends to acquire or has attempted to acquire beneficial or constructive ownership of any shares of GLPI stock in violation of the restrictions on ownership and transfer of GLPI stock described above, GLPI’s board of directors may take such action as it deems advisable to refuse to give effect to or to prevent such transfer or other event, including, but not limited to, causing GLPI to redeem shares of GLPI stock, refusing to give effect to the transfer of GLPI’s books or instituting proceedings to enjoin the transfer or other event.</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Every person or entity who is a beneficial owner or constructive owner of more than 5% (or such lower percentage as required by the Code or the regulations promulgated thereunder) in number of value (whichever is more restrictive) of GLPI stock, within 30 days after initially reaching such ownership threshold and within 30 days after the end of each taxable year, must give GLPI written notice stating the shareholder’s name and address, the number of shares of each class and series of GLPI stock that the shareholder beneficially or constructively owns and a description of the manner in which the shares are held. Each such owner must provide to GLPI such additional information as GLPI may request in order to determine the effect, if any, of the shareholder’s beneficial ownership on GLPI’s qualification as a REIT and to ensure compliance with the applicable ownership limits. In addition, any person or entity that will be a beneficial owner or constructive owner of shares of GLPI stock and any person or entity (including the shareholder of record) who is holding shares of GLPI stock for a beneficial owner or constructive owner must provide to GLPI such information as GLPI may request in order to determine GLPI’s qualification as a REIT and to comply with the requirements of any governmental or taxing authority or to determine such compliance and to ensure compliance with the ownership limits.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Any certificates representing shares of GLPI stock will bear a legend referring to the restrictions on ownership and transfer of GLPI stock described above.</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restrictions on ownership and transfer of GLPI stock described above could delay, defer or prevent a transaction or a change in control that might involve a premium price for GLPI common stock or otherwise be in the best interests of GLPI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the restrictions set forth above, all of GLPI’s outstanding capital stock shall be held subject to applicable gaming laws. Any person owning or controlling at least five percent of any class of GLPI’s outstanding capital stock will be required by the Articles of Incorporation to promptly notify GLPI of such person’s identity. The Articles of Incorporation provide that capital stock of GLPI that is owned or controlled by an unsuitable person or an affiliate of an unsuitable person is redeemable by GLPI, out of funds legally available for that redemption, to the extent required by the gaming authorities making the determination of unsuitability or to the extent determined to be necessary or advisable by GLPI’s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GLPI’s board of directors alone), the lesser of (i) the market price on the date of the redemption notice, (ii) the market price on the redemption date or (iii) the actual amount paid by the owner thereof, in each case less a discount in a percentage (up to 100%) to be determined by GLPI’s board of directors in its sole and absolute discretion. The redemption price may be paid in cash, by promissory note, or both, as required by the applicable gaming authority and, if not, as determined by GLPI.</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Articles of Incorporation also provide that capital stock of GLPI that is owned or controlled by an unsuitable person or an affiliate of an unsuitable person will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the GLPI board of directors in its sole and absolute discretion.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3" w:right="239" w:bottom="1440" w:gutter="0" w:footer="0" w:header="0"/>
        </w:sectPr>
      </w:pPr>
    </w:p>
    <w:bookmarkStart w:id="130" w:name="page131"/>
    <w:bookmarkEnd w:id="130"/>
    <w:p>
      <w:pPr>
        <w:ind w:right="80"/>
        <w:spacing w:after="0" w:line="257" w:lineRule="auto"/>
        <w:rPr>
          <w:sz w:val="20"/>
          <w:szCs w:val="20"/>
          <w:color w:val="auto"/>
        </w:rPr>
      </w:pPr>
      <w:r>
        <w:rPr>
          <w:rFonts w:ascii="Arial" w:cs="Arial" w:eastAsia="Arial" w:hAnsi="Arial"/>
          <w:sz w:val="18"/>
          <w:szCs w:val="18"/>
          <w:color w:val="auto"/>
        </w:rPr>
        <w:t>The Articles of Incorporation require any unsuitable person and any affiliate of an unsuitable person to indemnify and hold harmless GLPI and its affiliated companies for any and all losses, costs, and expenses, including attorneys’ costs, fees and expenses, incurred by GLPI and its affiliated companies as a result of, or arising out of, the unsuitable person’s ownership or control of any securities of GLPI, failure or refusal to comply with the provisions of the Articles of Incorporation, or failure to divest himself, herself or itself of any securities when and in the specific manner required by a gaming authority or the Articles of Incorporation.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GLPI common stock is Continental Stock Transfer &amp; Trust.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issue debt securities in one or more series under an indenture dated October 30, 2013 among GLP Capital, L.P. and GLP Financing II, Inc., two wholly-owned Subsidiaries of GLPI, as issuers, GLPI as parent guarantor and Wells Fargo Bank, National Association, as trustee. The terms of the debt securities include those stated in the base indenture as supplemented by the supplemental indenture or officer’s certificate related to such debt securities (the base indenture, as supplemented, is referred to as the “indenture”) and those made part of the indenture by reference to the Trust Indenture Act of 1939, as amended (the “TIA”).</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this description, (1) the “Operating Partnership” refers only to GLP Capital, L.P., and not to any of its Subsidiaries, (2) “Capital Corp.” refers only to GLP Financing II, Inc., and not to any of its Subsidiaries, (3) “Issuers,” “we,” “us” and “our” refer only to the Operating Partnership and Capital Corp., and (4) “Guarantor” refers only to GLPI and not to any of its Subsidiaries. Other defined terms used in this description but not defined below under the caption “-Certain Definitions” have the meanings assigned to them in the indenture.</w:t>
      </w:r>
    </w:p>
    <w:p>
      <w:pPr>
        <w:spacing w:after="0" w:line="18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following description is a summary of the material provisions of our existing senior unsecured notes (as defined below) and the indenture. It does not restate the indenture in its entirety. The summary is qualified in its entirety by reference to the full text of the base indenture and supplemental indentures, which are included as exhibits to GLPI’s Annual Report on Form 10-K for the year ended December 31, 2019, of which this exhibit is a part.</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registered holder of an existing senior unsecured note is treated as the owner of it for all purposes. Only registered holders have rights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4.875% Senior Unsecured Notes Due 2020</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31, 2013, the Issuers issued $1,000 million of 4.875% senior unsecured notes maturing on November 1, 2020 (the “2020 Notes”), $215,174 of which were outstanding as of December 31, 2019. Interest on the 2020 Notes accrues at the rate of 4.875% per annum and is payable semi-annually on May 1 and November 1 of each year. The Issuers will make each interest payment on the 2020 Notes to the holders of record on the immediately preceding April 15 and October 15. Interest on the 2020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2023</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30, 2013, the Issuers issued $500 million of 5.375% senior unsecured notes maturing on November 1, 2023 (the “2023 Notes”), all of which were outstanding as of December 31, 2019. Interest on the 2023 Notes accrues at the rate of 5.375% per annum and is payable semi-annually on May 1 and November 1 of each year. The Issuers will make each interest payment on the 2023 Notes to the holders of record on the immediately preceding April 15 and October 15. Interest on the 2023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73" w:right="259" w:bottom="1440" w:gutter="0" w:footer="0" w:header="0"/>
        </w:sectPr>
      </w:pPr>
    </w:p>
    <w:bookmarkStart w:id="131" w:name="page132"/>
    <w:bookmarkEnd w:id="131"/>
    <w:p>
      <w:pPr>
        <w:jc w:val="both"/>
        <w:ind w:right="100"/>
        <w:spacing w:after="0" w:line="264" w:lineRule="auto"/>
        <w:rPr>
          <w:sz w:val="20"/>
          <w:szCs w:val="20"/>
          <w:color w:val="auto"/>
        </w:rPr>
      </w:pPr>
      <w:r>
        <w:rPr>
          <w:rFonts w:ascii="Arial" w:cs="Arial" w:eastAsia="Arial" w:hAnsi="Arial"/>
          <w:sz w:val="18"/>
          <w:szCs w:val="18"/>
          <w:color w:val="auto"/>
        </w:rPr>
        <w:t>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4.375% Senior Unsecured Notes Due 2021</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April 28, 2016, the Issuers issued $400 million of 4.375% senior unsecured notes maturing on April 15, 2021 (the “2021 Notes”), all of which were outstanding as of December 31, 2019. Interest on the 2021 Notes accrues at the rate of 4.375% per annum and is payable semi-annually on April 15 and October 15 of each year. The Issuers will make each interest payment on the 2021 Notes to the holders of record on the immediately preceding April 1 and October 1. Interest on the 2021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Senior Unsecured Notes Due 2026</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April 28, 2016, the Issuers issued $975 million of 5.375% senior unsecured notes maturing on April 15, 2026 (the “2026 Notes”), all of which were outstanding as of December 31, 2019. Interest on the 2026 Notes accrues at the rate of 5.375% per annum and is payable semi-annually on April 15 and October 15 of each year. The Issuers will make each interest payment on the 2026 Notes to the holders of record on the immediately preceding April 1 and October 1. Interest on the 2026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5.75% Senior Unsecured Notes Due 2028</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21, 2018, the Issuers issued $500 million of 5.75% senior unsecured notes maturing on June 1, 2028 (the “2028 Notes”), all of which were outstanding as of December 31, 2019. Interest on the 2028 Notes accrues at the rate of 5.75% per annum and is payable semi-annually on June 1 and December 1 of each year. The Issuers will make each interest payment on the 2028 Notes to the holders of record on the immediately preceding May 15 and November 15. Interest on the 2028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 Senior Unsecured Notes Due 2025</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1, 2018, the Issuers issued $500 million of 5.25% senior unsecured notes maturing on June 1, 2025 (the “Initial 2025 Notes”). On September 26, 2018, the Issuers issued an additional $350 million of 5.25% senior unsecured notes maturing on June 1, 2025 (the “New 2025 Notes,” and together with the Initial 2025 Notes, the “2025 Notes,” which such notes became part of the same series as the Initial 2025 Notes. All of the 2025 Notes were outstanding as of December 31, 2019. Interest on the 2025 Notes accrues at the rate of 5.25% per annum and is payable semi-annually on June 1 and December 1 of each year. The Issuers will make each interest payment on the 2025 Notes to the holders of record on the immediately preceding May 15 and November 15. Interest on the 2025 Notes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57" w:right="2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5.30% Senior Unsecured Notes Due 2029</w:t>
      </w:r>
    </w:p>
    <w:p>
      <w:pPr>
        <w:spacing w:after="0" w:line="22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On September 26, 2018, the Issuers issued $750 million of 5.30% senior unsecured notes maturing on January 15, 2029 (the “2029 Notes”), all of which were outstanding as of December 31, 2019. Interest on the 2029 Notes accrues at the rate of 5.30% per annum and is payable semi-annually on January 15 and July 15 of each year. The Issuers will make each interest payment on the 2029 Notes to the holders of record on the immediately preceding January 1 and July 1.</w:t>
      </w:r>
    </w:p>
    <w:p>
      <w:pPr>
        <w:ind w:right="60"/>
        <w:spacing w:after="0" w:line="292" w:lineRule="auto"/>
        <w:rPr>
          <w:sz w:val="20"/>
          <w:szCs w:val="20"/>
          <w:color w:val="auto"/>
        </w:rPr>
      </w:pPr>
      <w:r>
        <w:rPr>
          <w:rFonts w:ascii="Arial" w:cs="Arial" w:eastAsia="Arial" w:hAnsi="Arial"/>
          <w:sz w:val="16"/>
          <w:szCs w:val="16"/>
          <w:color w:val="auto"/>
        </w:rPr>
        <w:t>Interest on the 2029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3.350% Senior Unsecured Notes Due 2024</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August 29, 2019, the Issuers issued $400 million of 3.350% senior unsecured notes maturing on September 1, 2024 (the “2024 Notes”), all of which were outstanding as of December 31, 2019. Interest on the 2024 Notes accrues at the rate of 3.350% per annum and is payable semi-annually on March 1 and September 1 of each year. The Issuers will make each interest payment on the 2024 Notes to the holders of record on the immediately preceding February 15 and August 15. Interest on the 2024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4.000% Senior Unsecured Notes Due 2030</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29, 2019, the Issuers issued $700 million of 4.000% senior unsecured notes maturing on January 15, 2030 (the “2030 Notes,” and together with the 2020 Notes, the 2023 Notes, the 2021 Notes, the 2026 Notes, the 2028 Notes, the 2025 Notes, the 2029 Notes and the 2024 Notes, the “existing senior unsecured notes” or the “notes”), all of which were outstanding as of December 31, 2019. Interest on the 2030 Notes accrues at the rate of 4.000% per annum and is payable semi-annually on January 15 and July 15 of each year. The Issuers will make each interest payment on the 2030 Notes to the holders of record on the immediately preceding January 1 and July 1. Interest on the 2030 Notes will accrue from the date of original issuance or, if interest has already been paid, from the date it was most recently paid. Interest will be computed on the basis of a 360-day year comprised of twelve 30-day months. If any interest payment date, redemption date, repurchase date or maturity date falls on a day that is not a business day, the required payment of principal, premium, if any, and/or interest may be made on the next succeeding business day as if made on the date such payment was due, and no interest will accrue on such payment for the period from and after such interest payment date, redemption date, repurchase date or maturity date, as the case may be, to the date of such payment on the next succeeding business day.</w:t>
      </w:r>
    </w:p>
    <w:p>
      <w:pPr>
        <w:spacing w:after="0" w:line="282" w:lineRule="exact"/>
        <w:rPr>
          <w:sz w:val="20"/>
          <w:szCs w:val="20"/>
          <w:color w:val="auto"/>
        </w:rPr>
      </w:pPr>
    </w:p>
    <w:p>
      <w:pPr>
        <w:ind w:right="3000"/>
        <w:spacing w:after="0" w:line="378" w:lineRule="auto"/>
        <w:rPr>
          <w:sz w:val="20"/>
          <w:szCs w:val="20"/>
          <w:color w:val="auto"/>
        </w:rPr>
      </w:pPr>
      <w:r>
        <w:rPr>
          <w:rFonts w:ascii="Arial" w:cs="Arial" w:eastAsia="Arial" w:hAnsi="Arial"/>
          <w:sz w:val="18"/>
          <w:szCs w:val="18"/>
          <w:b w:val="1"/>
          <w:bCs w:val="1"/>
          <w:color w:val="auto"/>
        </w:rPr>
        <w:t xml:space="preserve">Brief Description of the Existing Senior Unsecured Notes and the Existing Senior Unsecured Notes Guarantee </w:t>
      </w:r>
      <w:r>
        <w:rPr>
          <w:rFonts w:ascii="Arial" w:cs="Arial" w:eastAsia="Arial" w:hAnsi="Arial"/>
          <w:sz w:val="18"/>
          <w:szCs w:val="18"/>
          <w:color w:val="auto"/>
        </w:rPr>
        <w:t>Each of the series of existing senior unsecured notes:</w:t>
      </w: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general senior unsecured obligations of the Issuers;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Issuers’ senior indebtedness, including all of the other series of existing senior unsecured notes and borrowings under the Credit Facility, without giving effect to collateral arrangements;</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Issuers' secured indebtedness to the extent of the value of the assets securing such indebtedness;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senior in right of payment to all of the Issuers’ senior subordinated or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85" w:right="239" w:bottom="1440" w:gutter="0" w:footer="0" w:header="0"/>
        </w:sectPr>
      </w:pPr>
    </w:p>
    <w:bookmarkStart w:id="133" w:name="page134"/>
    <w:bookmarkEnd w:id="133"/>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structurally subordinated to all liabilities of the Issuers’ Subsidiaries (other than Capital Corp., which is a co-Issuer of the notes);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fully and unconditionally guaranteed by the Guarantor.</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existing senior unsecured notes are guaranteed by the Guarantor; however, the Guarantor is not subject to most of the covenants in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guarantee of each series of the existing senior unsecured notes:</w:t>
      </w:r>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general unsecured obligation of the Guarantor;</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of the Guarantor’s senior indebtedness, including its guarantee of all of the other series of existing senior unsecured notes and borrowings under the Credit Facility, without giving effect to collateral arrangements;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effectively subordinated in right of payment to all of the Guarantor’s secured indebtedness to the extent of the value of the assets securing such indebtedness;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senior in right of payment to all of the Guarantor’s senior subordinated or subordinated indebtedness;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 structurally subordinated to all liabilities of the Guarantor’s Subsidiaries (other than the Issuers).</w:t>
      </w:r>
    </w:p>
    <w:p>
      <w:pPr>
        <w:spacing w:after="0" w:line="200" w:lineRule="exact"/>
        <w:rPr>
          <w:sz w:val="20"/>
          <w:szCs w:val="20"/>
          <w:color w:val="auto"/>
        </w:rPr>
      </w:pPr>
    </w:p>
    <w:p>
      <w:pPr>
        <w:spacing w:after="0" w:line="26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obligation of the Guarantor under its guarantee is limited as necessary to prevent that guarantee from constituting a fraudulent conveyance under applicable law.</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2019, the Issuers, the Guarantor and the Issuers’ Subsidiaries had $495.0 million of indebtedness outstanding under the Credit Facility, consisting of $449 million outstanding under the Term Loan A-1 and $46 million of borrowings under the Company’s $1,175.0 million revolving credit facility under the Credit Facility. The indenture permits the Issuers and the Issuers’ Subsidiaries to incur substantial additional indebtedness and does not limit the amount of indebtedness that the Guarantor may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Corp.</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Capital Corp. is a Delaware corporation and a wholly owned Subsidiary of the Operating Partnership. Capital Corp. is nominally capitalized and does not have any material assets or significant operations, other than with respect to acting as co-Issuer or guarantor for certain debt obligations the Operating Partnership may incur or guarantee from time to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jc w:val="both"/>
        <w:ind w:right="400"/>
        <w:spacing w:after="0" w:line="297" w:lineRule="auto"/>
        <w:rPr>
          <w:sz w:val="20"/>
          <w:szCs w:val="20"/>
          <w:color w:val="auto"/>
        </w:rPr>
      </w:pPr>
      <w:r>
        <w:rPr>
          <w:rFonts w:ascii="Arial" w:cs="Arial" w:eastAsia="Arial" w:hAnsi="Arial"/>
          <w:sz w:val="16"/>
          <w:szCs w:val="16"/>
          <w:color w:val="auto"/>
        </w:rPr>
        <w:t>The Issuers may issue additional notes of a series the same as or different from any of the series of the existing senior unsecured notes from time to time under the indenture. Any issuance of additional notes is subject to the covenants set forth below under “-Certain Covenants-Limitations on Incurrence of Indebtedness.” Any additional notes of the same series as any of the series of the existing senior unsecured notes subsequently issued will be treated as a single series with the applicable series of the existing senior unsecured notes for all purposes under the indenture, including, without limitation, waivers, amendments, redemptions and offers to purchase. The Issuers issue notes in denominations of $2,000 and integral multiples of $1,000.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entitled to the benefit of any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65"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redeem all or part of any series of the notes at any time at our option at a redemption price equal to the greater of:</w:t>
      </w:r>
    </w:p>
    <w:p>
      <w:pPr>
        <w:spacing w:after="0" w:line="117"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right="240" w:firstLine="8"/>
        <w:spacing w:after="0" w:line="284" w:lineRule="auto"/>
        <w:tabs>
          <w:tab w:leader="none" w:pos="3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that would be due if such notes matured 90 days prior to their maturity date (or 30 days in the case of the 2024 Notes) (the “</w:t>
      </w:r>
      <w:r>
        <w:rPr>
          <w:rFonts w:ascii="Arial" w:cs="Arial" w:eastAsia="Arial" w:hAnsi="Arial"/>
          <w:sz w:val="16"/>
          <w:szCs w:val="16"/>
          <w:i w:val="1"/>
          <w:iCs w:val="1"/>
          <w:color w:val="auto"/>
        </w:rPr>
        <w:t>Par Call Date</w:t>
      </w:r>
      <w:r>
        <w:rPr>
          <w:rFonts w:ascii="Arial" w:cs="Arial" w:eastAsia="Arial" w:hAnsi="Arial"/>
          <w:sz w:val="16"/>
          <w:szCs w:val="16"/>
          <w:color w:val="auto"/>
        </w:rPr>
        <w:t xml:space="preserve">”) but for the redemption thereof (exclusive of interest accrued to, but not including, the date of redemption) discounted to the date of redemption on a semi-annual basis (assuming a 360-day year consisting of twelve 30-day months) at the Treasury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basis points (or 40 basis points in the case of the 2030 Notes, 30 basis points in the case of the 2024 Notes and 35 basis points in the case of the 2029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we redeem the notes on or after the applicable Par Call Date, the redemption price will equal 100% of the principal amount of the notes to be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on the amount being redeemed to, but not including, the date of</w:t>
      </w:r>
    </w:p>
    <w:p>
      <w:pPr>
        <w:spacing w:after="0" w:line="2"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installments of interest that are due and payable on any interest payment dates falling on or prior to a redemption date shall be payable on such interest payment dates to the persons who were registered holders of the notes to be redeemed at the close of business on the applicable record dates.</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we default in our payment of the redemption price, on and after the redemption date, interest will cease to accrue on the notes or portions of such notes called for redemption.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of the applicable series of notes being redeemed calculated as if the maturity date of such notes was the applicable Par Call Date (as applicable,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Remaining Life</w:t>
      </w:r>
      <w:r>
        <w:rPr>
          <w:rFonts w:ascii="Arial" w:cs="Arial" w:eastAsia="Arial" w:hAnsi="Arial"/>
          <w:sz w:val="16"/>
          <w:szCs w:val="16"/>
          <w:color w:val="auto"/>
        </w:rPr>
        <w:t>”), that would be utilized, at the time of selection and in accordance with customary financial practice, in pricing new issues of corporate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 of comparable maturity to the Remaining Life of such series of notes.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four Reference Treasury Dealer Quotations for such redemption date, after excluding the highest and lowest of such Reference Treasury Dealer Quotations, or (2) if the Issuers are provided fewer than four such Reference Treasury Dealer Quotations, the average of all such quotations.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Issuers to act as the Quotation Agent from time to time.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with respect to the 2030 Notes and 2024 Notes, Wells Fargo Securities, LLC and its successors, BofA Securities, Inc. and its successors, Fifth Third Securities, Inc. and its successors and J.P. Morgan Securities LLC and its successors; (2) with respect to the 2029 Notes, Merrill Lynch, Pierce, Fenner &amp; Smith Incorporated, J.P. Morgan Securities LLC and Wells Fargo Securities, LLC and their respective successors; (3) with respect to the 2025 Notes and 2028 Notes, Wells Fargo Securities, LLC and its successors and (4) with respect to the 2026 Notes, 2021 Notes, 2023 Notes and 2020 Notes, J.P. Morgan Securities LLC or Merrill Lynch, Pierce, Fenner &amp; Smith Incorporated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of the foregoing shall cease to be a primary U.S. Government securities dealer in New York City (a “</w:t>
      </w:r>
      <w:r>
        <w:rPr>
          <w:rFonts w:ascii="Arial" w:cs="Arial" w:eastAsia="Arial" w:hAnsi="Arial"/>
          <w:sz w:val="17"/>
          <w:szCs w:val="17"/>
          <w:i w:val="1"/>
          <w:iCs w:val="1"/>
          <w:color w:val="auto"/>
        </w:rPr>
        <w:t>Primary Treasury Dealer</w:t>
      </w:r>
      <w:r>
        <w:rPr>
          <w:rFonts w:ascii="Arial" w:cs="Arial" w:eastAsia="Arial" w:hAnsi="Arial"/>
          <w:sz w:val="17"/>
          <w:szCs w:val="17"/>
          <w:color w:val="auto"/>
        </w:rPr>
        <w:t>”), we will substitute therefor another Primary Treasury Dealer, and (5) any other Primary Treasury Dealers selected by the Issuers.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an Issuer, of the bid and asked prices for the Comparable Treasury Issue (expressed in each case as a percentage of its principal amount) quoted in writing to the Issuers by such Reference Treasury Dealer at 5:00 p.m., New York City time, on the third business day preceding such redemption date (or in the case of the notes other than the 2026 Notes and 2021 Notes, the third business day preceding the relevant Deposit Date in connection with the satisfaction and discharge of notes in accordance with the terms of the indenture).</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on such redemption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Redemption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 foregoing, if any Gaming Authority requires that a holder or Beneficial Owner of notes must be licensed, qualified or found suitable under any applicable Gaming Laws and such holder or Beneficial Owner: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77" w:right="239" w:bottom="1440" w:gutter="0" w:footer="0" w:header="0"/>
        </w:sectPr>
      </w:pPr>
    </w:p>
    <w:bookmarkStart w:id="135" w:name="page136"/>
    <w:bookmarkEnd w:id="135"/>
    <w:p>
      <w:pPr>
        <w:ind w:right="220" w:firstLine="8"/>
        <w:spacing w:after="0" w:line="277" w:lineRule="auto"/>
        <w:tabs>
          <w:tab w:leader="none" w:pos="3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apply for a license, qualification or a finding of suitability within 30 days (or such shorter period as may be required by the applicable Gaming Authority) after being requested to do so by the Gaming Authority, or</w:t>
      </w:r>
    </w:p>
    <w:p>
      <w:pPr>
        <w:spacing w:after="0" w:line="116" w:lineRule="exact"/>
        <w:rPr>
          <w:rFonts w:ascii="Arial" w:cs="Arial" w:eastAsia="Arial" w:hAnsi="Arial"/>
          <w:sz w:val="18"/>
          <w:szCs w:val="18"/>
          <w:color w:val="auto"/>
        </w:rPr>
      </w:pPr>
    </w:p>
    <w:p>
      <w:pPr>
        <w:ind w:right="400" w:firstLine="8"/>
        <w:spacing w:after="0" w:line="277" w:lineRule="auto"/>
        <w:tabs>
          <w:tab w:leader="none" w:pos="3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denied such license or qualification or not found suitable, or if any Gaming Authority otherwise requires that notes from any holder or Beneficial Owner be redeemed, subject to applicable Gaming Laws the Issuers shall have the right, at their option:</w:t>
      </w:r>
    </w:p>
    <w:p>
      <w:pPr>
        <w:spacing w:after="0" w:line="62" w:lineRule="exact"/>
        <w:rPr>
          <w:rFonts w:ascii="Arial" w:cs="Arial" w:eastAsia="Arial" w:hAnsi="Arial"/>
          <w:sz w:val="18"/>
          <w:szCs w:val="18"/>
          <w:color w:val="auto"/>
        </w:rPr>
      </w:pPr>
    </w:p>
    <w:p>
      <w:pPr>
        <w:ind w:left="660" w:right="140" w:hanging="4"/>
        <w:spacing w:after="0" w:line="277" w:lineRule="auto"/>
        <w:tabs>
          <w:tab w:leader="none" w:pos="101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require any such holder or Beneficial Owner to dispose of its notes within 30 days (or such earlier date as may be required by the applicable Gaming Authority) of receipt of such notice or finding by such Gaming Authority, or</w:t>
      </w:r>
    </w:p>
    <w:p>
      <w:pPr>
        <w:spacing w:after="0" w:line="62" w:lineRule="exact"/>
        <w:rPr>
          <w:rFonts w:ascii="Arial" w:cs="Arial" w:eastAsia="Arial" w:hAnsi="Arial"/>
          <w:sz w:val="18"/>
          <w:szCs w:val="18"/>
          <w:color w:val="auto"/>
        </w:rPr>
      </w:pPr>
    </w:p>
    <w:p>
      <w:pPr>
        <w:ind w:left="1060" w:hanging="404"/>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call for the redemption of the notes of such holder or Beneficial Owner at a redemption price equal to the least of:</w:t>
      </w:r>
    </w:p>
    <w:p>
      <w:pPr>
        <w:spacing w:after="0" w:line="117" w:lineRule="exact"/>
        <w:rPr>
          <w:rFonts w:ascii="Arial" w:cs="Arial" w:eastAsia="Arial" w:hAnsi="Arial"/>
          <w:sz w:val="18"/>
          <w:szCs w:val="18"/>
          <w:color w:val="auto"/>
        </w:rPr>
      </w:pPr>
    </w:p>
    <w:p>
      <w:pPr>
        <w:ind w:left="1300" w:right="100" w:firstLine="5"/>
        <w:spacing w:after="0" w:line="277" w:lineRule="auto"/>
        <w:tabs>
          <w:tab w:leader="none" w:pos="173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principal amount thereof, together with accrued interest to the earlier of the date of redemption or the date of the denial of license or qualification or of the finding of unsuitability by such Gaming Authority,</w:t>
      </w:r>
    </w:p>
    <w:p>
      <w:pPr>
        <w:spacing w:after="0" w:line="62" w:lineRule="exact"/>
        <w:rPr>
          <w:rFonts w:ascii="Arial" w:cs="Arial" w:eastAsia="Arial" w:hAnsi="Arial"/>
          <w:sz w:val="18"/>
          <w:szCs w:val="18"/>
          <w:color w:val="auto"/>
        </w:rPr>
      </w:pPr>
    </w:p>
    <w:p>
      <w:pPr>
        <w:ind w:left="1300" w:right="480" w:firstLine="5"/>
        <w:spacing w:after="0" w:line="342" w:lineRule="auto"/>
        <w:tabs>
          <w:tab w:leader="none" w:pos="1720" w:val="left"/>
        </w:tabs>
        <w:numPr>
          <w:ilvl w:val="2"/>
          <w:numId w:val="73"/>
        </w:numPr>
        <w:rPr>
          <w:rFonts w:ascii="Arial" w:cs="Arial" w:eastAsia="Arial" w:hAnsi="Arial"/>
          <w:sz w:val="16"/>
          <w:szCs w:val="16"/>
          <w:color w:val="auto"/>
        </w:rPr>
      </w:pPr>
      <w:r>
        <w:rPr>
          <w:rFonts w:ascii="Arial" w:cs="Arial" w:eastAsia="Arial" w:hAnsi="Arial"/>
          <w:sz w:val="16"/>
          <w:szCs w:val="16"/>
          <w:color w:val="auto"/>
        </w:rPr>
        <w:t>the price at which such holder or Beneficial Owner acquired the notes, together with accrued interest to the earlier of the date of redemption or the date of the denial of license or qualification or of the finding of unsuitability by such Gaming Authority, or</w:t>
      </w:r>
    </w:p>
    <w:p>
      <w:pPr>
        <w:spacing w:after="0" w:line="15" w:lineRule="exact"/>
        <w:rPr>
          <w:rFonts w:ascii="Arial" w:cs="Arial" w:eastAsia="Arial" w:hAnsi="Arial"/>
          <w:sz w:val="16"/>
          <w:szCs w:val="16"/>
          <w:color w:val="auto"/>
        </w:rPr>
      </w:pPr>
    </w:p>
    <w:p>
      <w:pPr>
        <w:ind w:left="1720" w:hanging="415"/>
        <w:spacing w:after="0"/>
        <w:tabs>
          <w:tab w:leader="none" w:pos="17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such other lesser amount as may be required by any Gaming Authority.</w:t>
      </w:r>
    </w:p>
    <w:p>
      <w:pPr>
        <w:spacing w:after="0" w:line="225"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The Issuers shall notify the trustee in writing of any such redemption as soon as practicable. The holder or Beneficial Owner applying for license, qualification or a finding of suitability must pay all costs of the licensure or investigation for such qualification or finding of suitability.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Mandatory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Issuers are not required to make mandatory redemption or sinking fund payments with respect to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Selection and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less than all of the notes of any series are to be redeemed at any time, the trustee will select notes of such series for redemption as follows:</w:t>
      </w:r>
    </w:p>
    <w:p>
      <w:pPr>
        <w:spacing w:after="0" w:line="117" w:lineRule="exact"/>
        <w:rPr>
          <w:sz w:val="20"/>
          <w:szCs w:val="20"/>
          <w:color w:val="auto"/>
        </w:rPr>
      </w:pPr>
    </w:p>
    <w:p>
      <w:pPr>
        <w:ind w:firstLine="8"/>
        <w:spacing w:after="0" w:line="277" w:lineRule="auto"/>
        <w:tabs>
          <w:tab w:leader="none" w:pos="3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right="60" w:firstLine="8"/>
        <w:spacing w:after="0" w:line="277" w:lineRule="auto"/>
        <w:tabs>
          <w:tab w:leader="none" w:pos="3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if the notes are not listed on any national securities exchange,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method as the trustee deems fair and appropriate and in accordance with DTC procedures.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 notes of $2,000 or less can be redeemed in part. Notices of redemption will be mailed by first class mail (or in the case of global notes, given pursuant to applicable DTC procedures) at least 30 but not more than 60 days before the redemption date to each holder of notes to be redeemed at its registered address, except that (a) redemption notices may be mailed or given more than 60 days prior to a redemption date if the notice is issued in connection with a defeasance of the notes or a satisfaction and discharge of the indenture, and (b) redemption notices may be mailed or given less than 30 days or more than 60 days prior to a redemption date if so required by any applicable Gaming Authority in connection with a redemption described above under the caption “-Redemption-Gaming Redemption.”</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(subject to satisfaction of any applicable conditions precedent). Unless we default in the payment of the redemption price, on and after the redemption date, interest ceases to accrue on notes or portions of them called for redemption. For the avoidance of doubt, the trustee shall not have any responsibility for calculating the redemption price.</w:t>
      </w:r>
    </w:p>
    <w:p>
      <w:pPr>
        <w:spacing w:after="0" w:line="10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Subject to applicable securities laws, the Issuers or their affiliates may at any time and from time to time purchase notes or other indebtedness. Any such purchases may be made through open market or privately negotiated transactions with third parties or pursuant to one or more tender or exchange offers or otherwise, upon such terms and at such prices as well as with such consideration as the Issuers or any such affiliates may determine.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6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and Rating Decline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If a Change of Control Triggering Event occurs with respect to a series of notes, each holder of such notes will have the right to require the Issuers to repurchase all or any part (equal to $2,000 or an integral multiple of $1,000) of that holder’s notes of the applicable series pursuant to an offer by the Issuers (a “Change of Control Offer”) on the terms set forth in the indenture, except to the extent the Issuers have previously redeemed such notes as described under “-Redemption-Optional Redemption.” In the Change of Control Offer, the Issuers will offer a payment in cash equal to 101% of the aggregate principal amount of notes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on the notes repurchased, to the date of purchase (the “Change of Control Payment”). Within 30 days following the occurrence of a Change of Control Triggering Event, the Issuers will mail a notice to each holder describing the transaction or transactions that constitute, or are expected to constitute, the Change of Control Triggering Event, and offering to repurchase notes on the date (the “Change of Control Payment Date”) specified in the notice, which date will be no earlier than 30 days and no later than 60 days after the date such notice is mailed (or in the case of global notes, given pursuant to applicable DTC procedures), pursuant to the procedures required by the indenture and described in such notice. The Issuers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indenture, the Issuers will comply with the applicable securities laws and regulations and will not be deemed to have breached its obligations under the Change of Control provisions of the indenture by virtue of such conflict.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40" w:lineRule="exact"/>
        <w:rPr>
          <w:rFonts w:ascii="Arial" w:cs="Arial" w:eastAsia="Arial" w:hAnsi="Arial"/>
          <w:sz w:val="16"/>
          <w:szCs w:val="16"/>
          <w:color w:val="auto"/>
        </w:rPr>
      </w:pPr>
    </w:p>
    <w:p>
      <w:pPr>
        <w:ind w:right="120" w:firstLine="8"/>
        <w:spacing w:after="0" w:line="277" w:lineRule="auto"/>
        <w:tabs>
          <w:tab w:leader="none" w:pos="3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7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new note will be in a principal amount of $2,000 or an integral multiple of $1,000.</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provisions described above that require the Issuers to make a Change of Control Offer following the occurrence of a Change of Control Triggering Event will be applicable whether or not any other provisions of the indenture are applicable. Except as described above with respect to a Change of Control Triggering Event, the indenture does not contain provisions that permit the holders of the notes to require that the Issuers repurchase or redeem the notes in the event of a takeover, recapitalization or similar transaction.</w:t>
      </w:r>
    </w:p>
    <w:p>
      <w:pPr>
        <w:spacing w:after="0" w:line="18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Issuers will not be required to make a Change of Control Offer upon the occurrence of a Change of Control Triggering Event if a third party makes the Change of Control Offer in the manner, at the times and otherwise in</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compliance with the requirements set forth in the indenture applicable to a Change of Control Offer made by the Issuers and purchases all notes properly tendered and not withdrawn under the Change of Control Offer. Notwithstanding anything to the contrary herein, a Change of Control Offer may be made in advance of an anticipated Change of Control Triggering Event, conditional upon such Change of Control Triggering Event.</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If holders of not less than 90% in aggregate principal amount of the outstanding applicable series of notes validly tender and do not withdraw such notes in a Change of Control Offer and the Issuers, or any third party making a Change of Control Offer in lieu of the Issuers as described above,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of the applicable series that remain outstanding following such purchase at a price in cash equal to 101% of the principal amount thereof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to, but not including the date of redemption.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8" w:right="259" w:bottom="1440" w:gutter="0" w:footer="0" w:header="0"/>
        </w:sectPr>
      </w:pPr>
    </w:p>
    <w:bookmarkStart w:id="137" w:name="page138"/>
    <w:bookmarkEnd w:id="137"/>
    <w:p>
      <w:pPr>
        <w:ind w:right="20"/>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the properties or assets of the Guarantor, the Issuers and their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the Guarantor, the Issuers and their Subsidiaries taken as a whole to another Person or group may be uncertain.</w:t>
      </w:r>
    </w:p>
    <w:p>
      <w:pPr>
        <w:spacing w:after="0" w:line="17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Credit Facility provides that certain change of control events with respect to the Issuers would constitute a default under the Credit Facility. Any future credit agreements or other agreements to which any of the Issuers becomes a party may contain similar provisions. In the event a Change of Control Triggering Event occurs at a time when the Issuers are prohibited from purchasing notes, the Issuers could seek the consent of their senior lenders to the purchase of notes or could attempt to refinance the borrowings that contain such prohibition. If the Issuers do not obtain such a consent or repay such borrowings, the Issuers will remain prohibited from purchasing notes. In such case, the Issuers’ failure to purchase tendered notes would constitute a default under the indenture which could, in turn, constitute a default under such other indebtedness.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Incurrence of Indebtedness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color w:val="auto"/>
        </w:rPr>
        <w:t xml:space="preserve">Limitation on Total Debt. </w:t>
      </w:r>
      <w:r>
        <w:rPr>
          <w:rFonts w:ascii="Arial" w:cs="Arial" w:eastAsia="Arial" w:hAnsi="Arial"/>
          <w:sz w:val="16"/>
          <w:szCs w:val="16"/>
          <w:color w:val="auto"/>
        </w:rPr>
        <w:t>The Issuers shall not, and shall not permit any of their Subsidiaries to, incur any Indebtedness (other than Permitted Debt) if,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immediately after giving effect to the incurrence of such additional Indebtedness, the Total Debt of the Issuers and their Subsidiaries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application of the net proceeds from such Indebtedness) would exceed 60% of the sum of (i) Total Asset Value as of the end of the Latest Completed Quarter and (ii) any increase in Total Asset Value since the end of the Latest Completed Quarter (such sum of (i) and (ii), “</w:t>
      </w:r>
      <w:r>
        <w:rPr>
          <w:rFonts w:ascii="Arial" w:cs="Arial" w:eastAsia="Arial" w:hAnsi="Arial"/>
          <w:sz w:val="16"/>
          <w:szCs w:val="16"/>
          <w:i w:val="1"/>
          <w:iCs w:val="1"/>
          <w:color w:val="auto"/>
        </w:rPr>
        <w:t>Adjusted Total</w:t>
      </w:r>
      <w:r>
        <w:rPr>
          <w:rFonts w:ascii="Arial" w:cs="Arial" w:eastAsia="Arial" w:hAnsi="Arial"/>
          <w:sz w:val="16"/>
          <w:szCs w:val="16"/>
          <w:color w:val="auto"/>
        </w:rPr>
        <w:t xml:space="preserve"> </w:t>
      </w:r>
      <w:r>
        <w:rPr>
          <w:rFonts w:ascii="Arial" w:cs="Arial" w:eastAsia="Arial" w:hAnsi="Arial"/>
          <w:sz w:val="16"/>
          <w:szCs w:val="16"/>
          <w:i w:val="1"/>
          <w:iCs w:val="1"/>
          <w:color w:val="auto"/>
        </w:rPr>
        <w:t>Asset Value</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from and after the consummation of a Significant Acquisition, such percentage shall be 65% for the fiscal quarter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Significant Acquisition is consummated and the three consecutive fiscal quarters immediately succeeding such fiscal quarter.</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Limitation on Secured Debt. </w:t>
      </w:r>
      <w:r>
        <w:rPr>
          <w:rFonts w:ascii="Arial" w:cs="Arial" w:eastAsia="Arial" w:hAnsi="Arial"/>
          <w:sz w:val="18"/>
          <w:szCs w:val="18"/>
          <w:color w:val="auto"/>
        </w:rPr>
        <w:t>The Issuers shall not, and shall not permit any of their Subsidiaries to, incur any Secured Debt if, immediately after giving effect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incurrence of such additional Secured Debt, the Secured Debt of the Issuers and their Subsidiaries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application of the net proceeds from such Indebtedness) would exceed 40% of Adjusted Total Asset Value.</w:t>
      </w:r>
    </w:p>
    <w:p>
      <w:pPr>
        <w:spacing w:after="0" w:line="181"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Issuers shall not, and shall not permit any of their Subsidiaries to, incur any Indebtedness (other than Permitted Debt) if,</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after giving effect to the incurrence of such additional</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Indebtedness, the ratio of Consolidated EBITDA to Interest Expense for the Issuers and their Subsidiaries (the “</w:t>
      </w:r>
      <w:r>
        <w:rPr>
          <w:rFonts w:ascii="Arial" w:cs="Arial" w:eastAsia="Arial" w:hAnsi="Arial"/>
          <w:sz w:val="18"/>
          <w:szCs w:val="18"/>
          <w:i w:val="1"/>
          <w:iCs w:val="1"/>
          <w:color w:val="auto"/>
        </w:rPr>
        <w:t>Coverage Ratio</w:t>
      </w:r>
      <w:r>
        <w:rPr>
          <w:rFonts w:ascii="Arial" w:cs="Arial" w:eastAsia="Arial" w:hAnsi="Arial"/>
          <w:sz w:val="18"/>
          <w:szCs w:val="18"/>
          <w:color w:val="auto"/>
        </w:rPr>
        <w:t xml:space="preserve">”) for the four consecutive fiscal quarter period ending on and including the Latest Completed Quarter would be less than 1.50 to 1.00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(including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application of the net proceeds from such Indebtedness).</w:t>
      </w:r>
    </w:p>
    <w:p>
      <w:pPr>
        <w:spacing w:after="0" w:line="19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Limitation on Subordinated Debt and Subsidiary Guarantees. </w:t>
      </w:r>
      <w:r>
        <w:rPr>
          <w:rFonts w:ascii="Arial" w:cs="Arial" w:eastAsia="Arial" w:hAnsi="Arial"/>
          <w:sz w:val="16"/>
          <w:szCs w:val="16"/>
          <w:color w:val="auto"/>
        </w:rPr>
        <w:t>The Issuers shall not incur, create, issue, assume, guarantee or otherwise become liable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that is subordinate or junior in right of payment to any other Indebtedness of the Issuers, unless such Indebtedness is expressly subordinated in right of payment to the notes. The foregoing does not apply to distinctions between categories of Indebtedness that exist by reason of any Liens securing some but not all of such Indebtedness or securing such Indebtedness with greater or lesser priority or with different collateral or as a result of provisions that apply proceeds or amounts received by the borrower, obligor or Issuer following a default or exercise of remedies in a certain order of priority.</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addition, following the date of the indenture, no Subsidiary of the Operating Partnership (excluding Capital Corp.) will directly or indirectly guarantee, or become jointly and severally liable with respect to any Debt Securities of the Operating Partnership (excluding, in any event, (x) Acquired Debt and</w:t>
      </w:r>
    </w:p>
    <w:p>
      <w:pPr>
        <w:ind w:right="20" w:firstLine="8"/>
        <w:spacing w:after="0" w:line="254"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guarantees of such Acquired Debt or any other Indebtedness of the Operating Partnership to the extent a guarantee is required as a result of the assumption by the Operating Partnership of such Acquired Debt described in clause (x) pursuant to the terms thereof as they existed at the time of and after giving effect to (and are not modified in contemplation of, other than to give effect to) the assumption of or acquisition of such Acquired Debt) issued after the date of the indenture, unless a guarantee is provided in respect of the notes by such Subsidiary.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of Total Unencumbered Assets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Issuers and their Subsidiaries shall maintain Total Unencumbered Asset Value of not less than 150% of Unsecured Debt, in each case calculated as of the end of the Latest Completed Quarter.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73"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Whether or not required by the Securities and Exchange Commission (the “SEC”), so long as any notes are outstanding, the Issuers will furnish to the trustee with written instructions for mailing (or in the case of global notes, delivery pursuant to applicable DTC procedures) to the holders of notes, within 30 days after the time periods specified in the SEC’s rules and regulations:</w:t>
      </w:r>
    </w:p>
    <w:p>
      <w:pPr>
        <w:spacing w:after="0" w:line="73" w:lineRule="exact"/>
        <w:rPr>
          <w:sz w:val="20"/>
          <w:szCs w:val="20"/>
          <w:color w:val="auto"/>
        </w:rPr>
      </w:pPr>
    </w:p>
    <w:p>
      <w:pPr>
        <w:ind w:right="120" w:firstLine="8"/>
        <w:spacing w:after="0" w:line="312" w:lineRule="auto"/>
        <w:tabs>
          <w:tab w:leader="none" w:pos="3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is filed or that would be required to be contained in a filing with the SEC on Forms 10-Q and 10-K if or as if the Issuers were required to file such forms, including a “Management’s Discussion and Analysis of Financial Condition and Results of Operations” and, with respect to the annual information only, a report on the annual financial statements by the Issuers’ certified independent accountants; and</w:t>
      </w:r>
    </w:p>
    <w:p>
      <w:pPr>
        <w:spacing w:after="0" w:line="38" w:lineRule="exact"/>
        <w:rPr>
          <w:rFonts w:ascii="Arial" w:cs="Arial" w:eastAsia="Arial" w:hAnsi="Arial"/>
          <w:sz w:val="16"/>
          <w:szCs w:val="16"/>
          <w:color w:val="auto"/>
        </w:rPr>
      </w:pPr>
    </w:p>
    <w:p>
      <w:pPr>
        <w:ind w:left="400" w:hanging="392"/>
        <w:spacing w:after="0"/>
        <w:tabs>
          <w:tab w:leader="none" w:pos="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The availability of the foregoing materials on the SEC’s EDGAR service (or any successor thereto) shall be deemed to satisfy the Issuers’ obligations to furnish such materials to the trustee with written instructions for mailing (or in the case of global notes, delivery pursuant to applicable DTC procedures) to the holders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shall have no obligation whatsoever to determine whether or not such information, documents or reports have been filed pursuant to the “EDGAR” system (or its successor).</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under the indenture (as to which the trustee is entitled to rely exclusively on officer’s certificates).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the Issuers have agreed that, for so long as any 2026 Notes and 2021 Notes remain outstanding, if the Issuers are not required to file with the SEC the reports required by the first paragraph of this covenant, it will furnish to the holders of the 2026 Notes and 2021 Notes and to securities analysts and prospective investors, upon their request, the information required to be delivered pursuant to Rule 144A(d)(4) under the Securities Act of 1933, as amended.</w:t>
      </w:r>
    </w:p>
    <w:p>
      <w:pPr>
        <w:spacing w:after="0" w:line="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Notwithstanding the foregoing, for so long as the Guarantor guarantees the notes (or in the event that another parent entity of the Issuers becomes a guarantor of the notes), the Issuers may satisfy their obligations to furnish the reports and other information described above by furnishing such reports filed by, or such information of, the Guarantor (or such other parent guarantor, respectively) and the availability of the Guarantor’s (or such other parent guarantor’s, as applicable) information on the SEC’s EDGAR service (or any successor thereto) shall be deemed to satisfy such obligation.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Master Lease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Issuers will not enter into any amendment to the Penn Master Lease if such amendment would materially impair the ability of the Issuers to satisfy their obligations to make payments on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amendments of the Penn Master Lease (and corresponding rent reduction) pursuant to the terms of the Penn Master Lease in connection with an asset sale made in accordance with the Penn Master Lease shall not be deemed to materially impair the ability of the Issuers to satisfy their obligations to make payments on the notes or to materially impair the rights and remedies of the holders of the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Issuer may not, directly or indirectly: (x) consolidate or merge with or into another Person (whether or not such Issuer is the surviving entity); or (y) sell, assign, transfer, convey or otherwise dispose of all or substantially all of the properties or assets of such Issuer and its Subsidiaries taken as a whole to another Person unless:</w:t>
      </w:r>
    </w:p>
    <w:p>
      <w:pPr>
        <w:spacing w:after="0" w:line="73" w:lineRule="exact"/>
        <w:rPr>
          <w:sz w:val="20"/>
          <w:szCs w:val="20"/>
          <w:color w:val="auto"/>
        </w:rPr>
      </w:pPr>
    </w:p>
    <w:p>
      <w:pPr>
        <w:ind w:right="100" w:firstLine="8"/>
        <w:spacing w:after="0" w:line="259" w:lineRule="auto"/>
        <w:tabs>
          <w:tab w:leader="none" w:pos="3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either (a) such Issuer is the surviving Person; or (b) the Person formed by or surviving any such consolidation or merger (if other than such Issuer) or to which such sale, assignment, transfer, conveyance or other disposition has been made is a Person organized or existing under the laws of the 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Person is not a corporation, a co-obligor of the notes is a corporation organized or existing under such laws);</w:t>
      </w:r>
    </w:p>
    <w:p>
      <w:pPr>
        <w:spacing w:after="0" w:line="78" w:lineRule="exact"/>
        <w:rPr>
          <w:rFonts w:ascii="Arial" w:cs="Arial" w:eastAsia="Arial" w:hAnsi="Arial"/>
          <w:sz w:val="18"/>
          <w:szCs w:val="18"/>
          <w:color w:val="auto"/>
        </w:rPr>
      </w:pPr>
    </w:p>
    <w:p>
      <w:pPr>
        <w:ind w:left="400" w:hanging="392"/>
        <w:spacing w:after="0"/>
        <w:tabs>
          <w:tab w:leader="none" w:pos="4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an Issuer) or the Person to which such sale, assignment, transfer,</w:t>
      </w:r>
    </w:p>
    <w:p>
      <w:pPr>
        <w:spacing w:after="0" w:line="46"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conveyance or other disposition has been made assumes all the obligations of such Issuer under the notes and the indenture and, in the case of the 2023 Notes and 2020 Notes, the Registration Rights Agreement, pursuant to agreements reasonably satisfactory to the trustee;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81" w:right="239" w:bottom="1440" w:gutter="0" w:footer="0" w:header="0"/>
        </w:sectPr>
      </w:pPr>
    </w:p>
    <w:bookmarkStart w:id="139" w:name="page140"/>
    <w:bookmarkEnd w:id="139"/>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immediately after such transaction no default or event of default exists with respect to the notes.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Guarantor may not, directly or indirectly: (x) consolidate or merge with or into another Person (whether or not the Guarantor is the surviving corporation); or (y) sell, assign, transfer, convey or otherwise dispose of all or substantially all of the properties or assets of the Guarantor and its Subsidiaries taken as a whole to another Person unless:</w:t>
      </w:r>
    </w:p>
    <w:p>
      <w:pPr>
        <w:spacing w:after="0" w:line="73" w:lineRule="exact"/>
        <w:rPr>
          <w:sz w:val="20"/>
          <w:szCs w:val="20"/>
          <w:color w:val="auto"/>
        </w:rPr>
      </w:pPr>
    </w:p>
    <w:p>
      <w:pPr>
        <w:ind w:right="80" w:firstLine="8"/>
        <w:spacing w:after="0" w:line="264" w:lineRule="auto"/>
        <w:tabs>
          <w:tab w:leader="none" w:pos="3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either (a) the Guarantor is the surviving corporation; or (b) the Person formed by or surviving any such consolidation or merger (if other than the Guarantor) or to which such sale, assignment, transfer, conveyance or other disposition has been made is a Person organized or existing under the laws of the United States, any state of the United States or the District of Columbia;</w:t>
      </w:r>
    </w:p>
    <w:p>
      <w:pPr>
        <w:spacing w:after="0" w:line="73" w:lineRule="exact"/>
        <w:rPr>
          <w:rFonts w:ascii="Arial" w:cs="Arial" w:eastAsia="Arial" w:hAnsi="Arial"/>
          <w:sz w:val="18"/>
          <w:szCs w:val="18"/>
          <w:color w:val="auto"/>
        </w:rPr>
      </w:pPr>
    </w:p>
    <w:p>
      <w:pPr>
        <w:ind w:right="80" w:firstLine="8"/>
        <w:spacing w:after="0" w:line="286" w:lineRule="auto"/>
        <w:tabs>
          <w:tab w:leader="none" w:pos="39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Guarantor) or the Person to which such sale, assignment, transfer, conveyance or other disposition has been made assumes all the obligations of the Guarantor under the notes and the indenture and, in the case of the 2023 Notes and 2020 Notes, the Registration Rights Agreement, pursuant to agreements reasonably satisfactory to the trustee; and</w:t>
      </w:r>
    </w:p>
    <w:p>
      <w:pPr>
        <w:spacing w:after="0" w:line="57" w:lineRule="exact"/>
        <w:rPr>
          <w:rFonts w:ascii="Arial" w:cs="Arial" w:eastAsia="Arial" w:hAnsi="Arial"/>
          <w:sz w:val="17"/>
          <w:szCs w:val="17"/>
          <w:color w:val="auto"/>
        </w:rPr>
      </w:pPr>
    </w:p>
    <w:p>
      <w:pPr>
        <w:ind w:left="400" w:hanging="39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with respect to the notes.</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Upon any sale, assignment, transfer, conveyance or other disposition of all or substantially all of an Issuer’s or the Guarantor’s, as applicable, and its Subsidiaries’ assets, taken as a whole, in compliance with the provisions of this “Consolidation, Merger and Sale of Assets” covenant, such Issuer or the Guarantor, as applicable, will be released from the obligations under the notes or its guarantee, respectively, and the indenture and, in the case of the 2023 Notes and 2020 Notes, the Registration Rights Agreement, except with respect to any obligations that arise from, or are related to, such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This “Consolidation, Merger and Sale of Assets” covenant will not apply to:</w:t>
      </w:r>
    </w:p>
    <w:p>
      <w:pPr>
        <w:spacing w:after="0" w:line="117" w:lineRule="exact"/>
        <w:rPr>
          <w:sz w:val="20"/>
          <w:szCs w:val="20"/>
          <w:color w:val="auto"/>
        </w:rPr>
      </w:pPr>
    </w:p>
    <w:p>
      <w:pPr>
        <w:ind w:right="100" w:firstLine="8"/>
        <w:spacing w:after="0" w:line="277"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merger, consolidation, sale, assignment, transfer, conveyance or other disposition of assets between or among the Guarantor, the Issuers (or an Issuer) or any of the Issuers’ Subsidiaries;</w:t>
      </w:r>
    </w:p>
    <w:p>
      <w:pPr>
        <w:spacing w:after="0" w:line="62" w:lineRule="exact"/>
        <w:rPr>
          <w:rFonts w:ascii="Arial" w:cs="Arial" w:eastAsia="Arial" w:hAnsi="Arial"/>
          <w:sz w:val="18"/>
          <w:szCs w:val="18"/>
          <w:color w:val="auto"/>
        </w:rPr>
      </w:pPr>
    </w:p>
    <w:p>
      <w:pPr>
        <w:ind w:right="40" w:firstLine="8"/>
        <w:spacing w:after="0" w:line="259" w:lineRule="auto"/>
        <w:tabs>
          <w:tab w:leader="none" w:pos="3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merger between the Issuers (or an Issuer), the Guarantor or any Subsidiary respectively, and an Affiliate of an Issuer, the Guarantor or such Subsidiary incorporated or formed solely for the purpose of reincorporating or reorganizing an Issuer, the Guarantor or such Subsidiary in another state of the United States or changing the legal domicile or form of an Issuer, the Guarantor or such Subsidiary or for the sole purpose of forming or collapsing a holding company structure;</w:t>
      </w:r>
    </w:p>
    <w:p>
      <w:pPr>
        <w:spacing w:after="0" w:line="78" w:lineRule="exact"/>
        <w:rPr>
          <w:rFonts w:ascii="Arial" w:cs="Arial" w:eastAsia="Arial" w:hAnsi="Arial"/>
          <w:sz w:val="18"/>
          <w:szCs w:val="18"/>
          <w:color w:val="auto"/>
        </w:rPr>
      </w:pPr>
    </w:p>
    <w:p>
      <w:pPr>
        <w:ind w:right="820" w:firstLine="8"/>
        <w:spacing w:after="0" w:line="342" w:lineRule="auto"/>
        <w:tabs>
          <w:tab w:leader="none" w:pos="39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lease of all or substantially all of the real estate assets of the Guarantor or any Issuer, or any of their respective Subsidiaries, to Penn or its Subsidiaries or another operator pursuant to the Penn Master Lease, Pinnacle Master Lease or another real estate lease or leases; or</w:t>
      </w:r>
    </w:p>
    <w:p>
      <w:pPr>
        <w:spacing w:after="0" w:line="15" w:lineRule="exact"/>
        <w:rPr>
          <w:rFonts w:ascii="Arial" w:cs="Arial" w:eastAsia="Arial" w:hAnsi="Arial"/>
          <w:sz w:val="16"/>
          <w:szCs w:val="16"/>
          <w:color w:val="auto"/>
        </w:rPr>
      </w:pPr>
    </w:p>
    <w:p>
      <w:pPr>
        <w:ind w:left="400" w:hanging="39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Penn Transactions and any transactions related thereto.</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description above includes a phrase relating to the sale or disposition of “all or substantially all” of the properties or assets of the Issuers or the Guarantor, and their respective Subsidiaries. Although there is a limited body of case law interpreting the phrase “substantially all,” there is no precise established definition of the phrase under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Activities of Capital Corp.</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Capital Corp. will not hold any material assets, become liable for any material obligations or engage in any significant business activities; </w:t>
      </w:r>
      <w:r>
        <w:rPr>
          <w:rFonts w:ascii="Arial" w:cs="Arial" w:eastAsia="Arial" w:hAnsi="Arial"/>
          <w:sz w:val="16"/>
          <w:szCs w:val="16"/>
          <w:i w:val="1"/>
          <w:iCs w:val="1"/>
          <w:color w:val="auto"/>
        </w:rPr>
        <w:t>provided</w:t>
      </w:r>
      <w:r>
        <w:rPr>
          <w:rFonts w:ascii="Arial" w:cs="Arial" w:eastAsia="Arial" w:hAnsi="Arial"/>
          <w:sz w:val="16"/>
          <w:szCs w:val="16"/>
          <w:color w:val="auto"/>
        </w:rPr>
        <w:t>, that Capital Corp. may be a co-obligor or guarantor with respect to indebtedness if the Operating Partnership is an obligor on or guarantor of such indebtedness and the net proceeds of such indebtedness are funded to, or at the direction of, the Operating Partnership or a Subsidiary thereof other than Capital Corp.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2013 Offering Memorandum</w:t>
      </w:r>
      <w:r>
        <w:rPr>
          <w:rFonts w:ascii="Arial" w:cs="Arial" w:eastAsia="Arial" w:hAnsi="Arial"/>
          <w:sz w:val="18"/>
          <w:szCs w:val="18"/>
          <w:color w:val="auto"/>
        </w:rPr>
        <w:t>” means the offering memorandum of the Issuers, dated October 23,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right="20" w:firstLine="8"/>
        <w:spacing w:after="0" w:line="264" w:lineRule="auto"/>
        <w:tabs>
          <w:tab w:leader="none" w:pos="3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becomes a Subsidiary of such specified Person, whether or not such Indebtedness is incurred in connection with, or in contemplation of, such other Person merging with or into, or becoming a Subsidiary of, such specified Person; and</w:t>
      </w:r>
    </w:p>
    <w:p>
      <w:pPr>
        <w:spacing w:after="0" w:line="181" w:lineRule="exact"/>
        <w:rPr>
          <w:rFonts w:ascii="Arial" w:cs="Arial" w:eastAsia="Arial" w:hAnsi="Arial"/>
          <w:sz w:val="18"/>
          <w:szCs w:val="18"/>
          <w:color w:val="auto"/>
        </w:rPr>
      </w:pPr>
    </w:p>
    <w:p>
      <w:pPr>
        <w:ind w:left="400" w:hanging="39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65" w:right="2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Value</w:t>
      </w:r>
      <w:r>
        <w:rPr>
          <w:rFonts w:ascii="Arial" w:cs="Arial" w:eastAsia="Arial" w:hAnsi="Arial"/>
          <w:sz w:val="18"/>
          <w:szCs w:val="18"/>
          <w:color w:val="auto"/>
        </w:rPr>
        <w:t>” means, at any date of determination, the sum of:</w:t>
      </w:r>
    </w:p>
    <w:p>
      <w:pPr>
        <w:spacing w:after="0" w:line="117" w:lineRule="exact"/>
        <w:rPr>
          <w:sz w:val="20"/>
          <w:szCs w:val="20"/>
          <w:color w:val="auto"/>
        </w:rPr>
      </w:pPr>
    </w:p>
    <w:p>
      <w:pPr>
        <w:ind w:firstLine="8"/>
        <w:spacing w:after="0" w:line="288" w:lineRule="auto"/>
        <w:tabs>
          <w:tab w:leader="none" w:pos="39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 the case of any Income Property (or group of Income Properties, including, without limitation, the Penn Master Lease Properties), the Capitalized Value of such Income Property (or group of Income Properties)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the 2023 Notes and 2020 Notes, with respect to the Original Master Lease Properties, the Ohio Development Facilities, the Hollywood Casino Baton Rouge and the Hollywood Casino Perryville) the Asset Value of each Income Property (other than a former Development Property or Redevelopment Property) during the first four complete fiscal quarters following the date of acquisition thereof shall be the greater of (i) the acquisition price thereof and (ii) the Capitalized Value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Asset Value shall be the acquisition price thereof if results of one full fiscal quarter after the acquisition thereof are not available with respect to such Income Property (or group of Income Properties) (and after results of one full fiscal quarter after the acquisition thereof are available, the Capitalized Value thereof may be determined by annualizing such results) including for purposes of determining any increase in Total Asset Value since the end of the Latest Completed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 adjustment shall be made to the Asset Value of any Income Property (in an amount reasonably determined by an Issuer) as new tenancy leases are entered into, or existing tenancy leases terminate or expire, in respect of such Income Property;</w:t>
      </w:r>
    </w:p>
    <w:p>
      <w:pPr>
        <w:spacing w:after="0" w:line="61" w:lineRule="exact"/>
        <w:rPr>
          <w:rFonts w:ascii="Arial" w:cs="Arial" w:eastAsia="Arial" w:hAnsi="Arial"/>
          <w:sz w:val="16"/>
          <w:szCs w:val="16"/>
          <w:color w:val="auto"/>
        </w:rPr>
      </w:pPr>
    </w:p>
    <w:p>
      <w:pPr>
        <w:ind w:right="160" w:firstLine="8"/>
        <w:spacing w:after="0" w:line="259" w:lineRule="auto"/>
        <w:tabs>
          <w:tab w:leader="none" w:pos="3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any Development Property or Redevelopment Property (or former Development Property or Redevelopment Property) prior to the date when financial results are available for at least one complete fiscal quarter following completion or opening of the applicable development project, 100% of the book value (determined in accordance with GAAP but determined without giving effect to any depreciation) of any such Development Property or Redevelopment Property (or former Development Property or Redevelopment Property); and</w:t>
      </w:r>
    </w:p>
    <w:p>
      <w:pPr>
        <w:spacing w:after="0" w:line="78" w:lineRule="exact"/>
        <w:rPr>
          <w:rFonts w:ascii="Arial" w:cs="Arial" w:eastAsia="Arial" w:hAnsi="Arial"/>
          <w:sz w:val="18"/>
          <w:szCs w:val="18"/>
          <w:color w:val="auto"/>
        </w:rPr>
      </w:pPr>
    </w:p>
    <w:p>
      <w:pPr>
        <w:ind w:left="400" w:hanging="392"/>
        <w:spacing w:after="0"/>
        <w:tabs>
          <w:tab w:leader="none" w:pos="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100% of the book value (determined in accordance with GAAP) of any undeveloped land owned or leased as of such date of determination.</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w:t>
      </w:r>
      <w:r>
        <w:rPr>
          <w:rFonts w:ascii="Arial" w:cs="Arial" w:eastAsia="Arial" w:hAnsi="Arial"/>
          <w:sz w:val="18"/>
          <w:szCs w:val="18"/>
          <w:i w:val="1"/>
          <w:iCs w:val="1"/>
          <w:color w:val="auto"/>
        </w:rPr>
        <w:t>Beneficially Owns</w:t>
      </w:r>
      <w:r>
        <w:rPr>
          <w:rFonts w:ascii="Arial" w:cs="Arial" w:eastAsia="Arial" w:hAnsi="Arial"/>
          <w:sz w:val="18"/>
          <w:szCs w:val="18"/>
          <w:color w:val="auto"/>
        </w:rPr>
        <w:t>” and “</w:t>
      </w:r>
      <w:r>
        <w:rPr>
          <w:rFonts w:ascii="Arial" w:cs="Arial" w:eastAsia="Arial" w:hAnsi="Arial"/>
          <w:sz w:val="18"/>
          <w:szCs w:val="18"/>
          <w:i w:val="1"/>
          <w:iCs w:val="1"/>
          <w:color w:val="auto"/>
        </w:rPr>
        <w:t>Beneficially Owned</w:t>
      </w:r>
      <w:r>
        <w:rPr>
          <w:rFonts w:ascii="Arial" w:cs="Arial" w:eastAsia="Arial" w:hAnsi="Arial"/>
          <w:sz w:val="18"/>
          <w:szCs w:val="18"/>
          <w:color w:val="auto"/>
        </w:rPr>
        <w:t>” have a corresponding meaning.</w:t>
      </w:r>
    </w:p>
    <w:p>
      <w:pPr>
        <w:spacing w:after="0" w:line="17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Value</w:t>
      </w:r>
      <w:r>
        <w:rPr>
          <w:rFonts w:ascii="Arial" w:cs="Arial" w:eastAsia="Arial" w:hAnsi="Arial"/>
          <w:sz w:val="17"/>
          <w:szCs w:val="17"/>
          <w:color w:val="auto"/>
        </w:rPr>
        <w:t>” means, with respect to the Penn Master Lease Properties or any other group of related properties or any other property, the Property EBITDA of the Penn Master Lease Properties or such other group of related properties or such property, as the case may be, for the most recent four completed fiscal quarters divided by 8.25% (or 9.0% in the case of the 2023 Notes and 2020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40" w:firstLine="8"/>
        <w:spacing w:after="0" w:line="276" w:lineRule="auto"/>
        <w:tabs>
          <w:tab w:leader="none" w:pos="3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direct or indirect sale, transfer, conveyance or other disposition (other than by way of merger or consolidation), in one or a series of related transactions, of all or substantially all of the properties or assets of the Guarantor, the Operating Partnership and their Subsidiaries taken as a whole to any “person” (as that term is used in Section 13(d)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lease of all or substantially all of the real estate assets of the Guarantor or any Issuer or any of their respective subsidiaries, to Penn or its Subsidiaries or to another operator pursuant to the Penn Master Lease or another real estate lease or leases shall not constitute a Change of Control;</w:t>
      </w:r>
    </w:p>
    <w:p>
      <w:pPr>
        <w:spacing w:after="0" w:line="64" w:lineRule="exact"/>
        <w:rPr>
          <w:rFonts w:ascii="Arial" w:cs="Arial" w:eastAsia="Arial" w:hAnsi="Arial"/>
          <w:sz w:val="17"/>
          <w:szCs w:val="17"/>
          <w:color w:val="auto"/>
        </w:rPr>
      </w:pPr>
    </w:p>
    <w:p>
      <w:pPr>
        <w:ind w:left="400" w:hanging="392"/>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adoption by shareholders or partners of a plan relating to the liquidation or dissolution of the Guarantor or the Operating Partnership;</w:t>
      </w:r>
    </w:p>
    <w:p>
      <w:pPr>
        <w:spacing w:after="0" w:line="117" w:lineRule="exact"/>
        <w:rPr>
          <w:rFonts w:ascii="Arial" w:cs="Arial" w:eastAsia="Arial" w:hAnsi="Arial"/>
          <w:sz w:val="18"/>
          <w:szCs w:val="18"/>
          <w:color w:val="auto"/>
        </w:rPr>
      </w:pPr>
    </w:p>
    <w:p>
      <w:pPr>
        <w:ind w:right="80" w:firstLine="8"/>
        <w:spacing w:after="0" w:line="259" w:lineRule="auto"/>
        <w:tabs>
          <w:tab w:leader="none" w:pos="3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(as defined above), other than any holding company which owns 100% of the Voting Stock of the Guarantor (so long as no Change of Control would otherwise have occurred in respect of the Voting Stock of such holding company), becomes the Beneficial Owner, directly or indirectly, of more than 50% of the Voting Stock of the Guarantor, measured by voting power rather than number of shares;</w:t>
      </w:r>
    </w:p>
    <w:p>
      <w:pPr>
        <w:spacing w:after="0" w:line="78" w:lineRule="exact"/>
        <w:rPr>
          <w:rFonts w:ascii="Arial" w:cs="Arial" w:eastAsia="Arial" w:hAnsi="Arial"/>
          <w:sz w:val="18"/>
          <w:szCs w:val="18"/>
          <w:color w:val="auto"/>
        </w:rPr>
      </w:pPr>
    </w:p>
    <w:p>
      <w:pPr>
        <w:ind w:right="100" w:firstLine="8"/>
        <w:spacing w:after="0" w:line="277" w:lineRule="auto"/>
        <w:tabs>
          <w:tab w:leader="none" w:pos="39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the Guarantor ceases to own, directly or indirectly, more than 50% of the Voting Stock of the Operating Partnership or (ii) the sole general partner of the Operating Partnership ceases to be the Guarantor or one or more of the Guarantor’s wholly owned subsidiaries; or</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the Guarantor are not Continuing Directors.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purposes of this definition, (1) no Change of Control shall be deemed to have occurred solely as a result of a transfer of assets among the Guarantor, any Issuer and any of their respective Subsidiaries and (2) a Person shall not be deemed to have beneficial ownership of securities subject to a stock purchase agreement, merger agreement or similar agreement until the consummation of the transactions contemplated by such agreement.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73"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(i) a Change of Control and (ii) a Rating Decline.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means, for the applicable test period, the net income (or net loss) of the Issuers and their Subsidiaries for such period, determined on a consolidated basis in accordance with GAAP, except to the extent that GAAP is not applicable, including, without limitation, with respect to the determination of all extraordinary, non-cash and non-recurring items ((x) excluding, without duplication, gains (or losses) from dispositions of depreciable real estate investments, property valuation losses and impairment charges and (y) before giving effect to cash dividends on preferred units of the Issuers or charges resulting from the redemption of preferred units of the Issuers attributable to the Issuers and their Subsidiaries for such period determined on a consolidated basis in conformity with GAAP);</w:t>
      </w:r>
    </w:p>
    <w:p>
      <w:pPr>
        <w:spacing w:after="0" w:line="85" w:lineRule="exact"/>
        <w:rPr>
          <w:sz w:val="20"/>
          <w:szCs w:val="20"/>
          <w:color w:val="auto"/>
        </w:rPr>
      </w:pPr>
    </w:p>
    <w:p>
      <w:pPr>
        <w:ind w:right="480" w:firstLine="8"/>
        <w:spacing w:after="0" w:line="277"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7" w:lineRule="exact"/>
        <w:rPr>
          <w:rFonts w:ascii="Arial" w:cs="Arial" w:eastAsia="Arial" w:hAnsi="Arial"/>
          <w:sz w:val="18"/>
          <w:szCs w:val="18"/>
          <w:color w:val="auto"/>
        </w:rPr>
      </w:pPr>
    </w:p>
    <w:p>
      <w:pPr>
        <w:jc w:val="both"/>
        <w:ind w:left="660" w:right="500" w:hanging="4"/>
        <w:spacing w:after="0" w:line="279" w:lineRule="auto"/>
        <w:tabs>
          <w:tab w:leader="none" w:pos="10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extraordinary, non-recurring and unusual items, charges or expenses (including, without limitation,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63" w:lineRule="exact"/>
        <w:rPr>
          <w:rFonts w:ascii="Arial" w:cs="Arial" w:eastAsia="Arial" w:hAnsi="Arial"/>
          <w:sz w:val="17"/>
          <w:szCs w:val="17"/>
          <w:color w:val="auto"/>
        </w:rPr>
      </w:pPr>
    </w:p>
    <w:p>
      <w:pPr>
        <w:ind w:left="1020" w:hanging="364"/>
        <w:spacing w:after="0"/>
        <w:tabs>
          <w:tab w:leader="none" w:pos="10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7" w:lineRule="exact"/>
        <w:rPr>
          <w:rFonts w:ascii="Arial" w:cs="Arial" w:eastAsia="Arial" w:hAnsi="Arial"/>
          <w:sz w:val="18"/>
          <w:szCs w:val="18"/>
          <w:color w:val="auto"/>
        </w:rPr>
      </w:pPr>
    </w:p>
    <w:p>
      <w:pPr>
        <w:ind w:left="660" w:right="20" w:hanging="4"/>
        <w:spacing w:after="0" w:line="312" w:lineRule="auto"/>
        <w:tabs>
          <w:tab w:leader="none" w:pos="10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38" w:lineRule="exact"/>
        <w:rPr>
          <w:rFonts w:ascii="Arial" w:cs="Arial" w:eastAsia="Arial" w:hAnsi="Arial"/>
          <w:sz w:val="16"/>
          <w:szCs w:val="16"/>
          <w:color w:val="auto"/>
        </w:rPr>
      </w:pPr>
    </w:p>
    <w:p>
      <w:pPr>
        <w:ind w:left="1000" w:hanging="344"/>
        <w:spacing w:after="0"/>
        <w:tabs>
          <w:tab w:leader="none" w:pos="10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7" w:lineRule="exact"/>
        <w:rPr>
          <w:rFonts w:ascii="Arial" w:cs="Arial" w:eastAsia="Arial" w:hAnsi="Arial"/>
          <w:sz w:val="18"/>
          <w:szCs w:val="18"/>
          <w:color w:val="auto"/>
        </w:rPr>
      </w:pPr>
    </w:p>
    <w:p>
      <w:pPr>
        <w:ind w:left="660" w:right="180" w:hanging="4"/>
        <w:spacing w:after="0" w:line="277" w:lineRule="auto"/>
        <w:tabs>
          <w:tab w:leader="none" w:pos="101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 and</w:t>
      </w:r>
    </w:p>
    <w:p>
      <w:pPr>
        <w:spacing w:after="0" w:line="62" w:lineRule="exact"/>
        <w:rPr>
          <w:rFonts w:ascii="Arial" w:cs="Arial" w:eastAsia="Arial" w:hAnsi="Arial"/>
          <w:sz w:val="18"/>
          <w:szCs w:val="18"/>
          <w:color w:val="auto"/>
        </w:rPr>
      </w:pPr>
    </w:p>
    <w:p>
      <w:pPr>
        <w:ind w:left="660" w:hanging="4"/>
        <w:spacing w:after="0" w:line="290" w:lineRule="auto"/>
        <w:tabs>
          <w:tab w:leader="none" w:pos="10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to the extent not included in net income or, if otherwise excluded from Consolidated EBITDA due to the operation of clause (2)(a) below, the amount of insurance proceeds received during such period, or after such period and on or prior to the date the calculation is made with respect to such period, attributable to any property which has been closed or had operations curtailed for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of insurance proceeds shall only be included pursuant to this clause (k) to the extent of the amount of insurance proceeds </w:t>
      </w:r>
      <w:r>
        <w:rPr>
          <w:rFonts w:ascii="Arial" w:cs="Arial" w:eastAsia="Arial" w:hAnsi="Arial"/>
          <w:sz w:val="16"/>
          <w:szCs w:val="16"/>
          <w:i w:val="1"/>
          <w:iCs w:val="1"/>
          <w:color w:val="auto"/>
        </w:rPr>
        <w:t>plus</w:t>
      </w:r>
      <w:r>
        <w:rPr>
          <w:rFonts w:ascii="Arial" w:cs="Arial" w:eastAsia="Arial" w:hAnsi="Arial"/>
          <w:sz w:val="16"/>
          <w:szCs w:val="16"/>
          <w:color w:val="auto"/>
        </w:rPr>
        <w:t xml:space="preserve"> Consolidated EBITDA attributable to such property for such period (without giving effect to this clause (k)) does not exceed Consolidated EBITDA attributable to such property during the most recent four consecutive fiscal quarter period that such property was fully operational (or if such property has not been fully operational for the most recent such period prior to such closure or curtailment, the Consolidated EBITDA attributable to such property during the consecutive fiscal quarter period prior to such closure or curtailment (for which financial results are available) annualized over four fiscal quarters);</w:t>
      </w:r>
    </w:p>
    <w:p>
      <w:pPr>
        <w:spacing w:after="0" w:line="112" w:lineRule="exact"/>
        <w:rPr>
          <w:rFonts w:ascii="Arial" w:cs="Arial" w:eastAsia="Arial" w:hAnsi="Arial"/>
          <w:sz w:val="16"/>
          <w:szCs w:val="16"/>
          <w:color w:val="auto"/>
        </w:rPr>
      </w:pPr>
    </w:p>
    <w:p>
      <w:pPr>
        <w:ind w:right="480" w:firstLine="8"/>
        <w:spacing w:after="0" w:line="277" w:lineRule="auto"/>
        <w:tabs>
          <w:tab w:leader="none" w:pos="39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73" w:right="239" w:bottom="1440" w:gutter="0" w:footer="0" w:header="0"/>
        </w:sectPr>
      </w:pPr>
    </w:p>
    <w:bookmarkStart w:id="142" w:name="page143"/>
    <w:bookmarkEnd w:id="142"/>
    <w:p>
      <w:pPr>
        <w:ind w:right="320"/>
        <w:spacing w:after="0" w:line="264" w:lineRule="auto"/>
        <w:rPr>
          <w:sz w:val="20"/>
          <w:szCs w:val="20"/>
          <w:color w:val="auto"/>
        </w:rPr>
      </w:pPr>
      <w:r>
        <w:rPr>
          <w:rFonts w:ascii="Arial" w:cs="Arial" w:eastAsia="Arial" w:hAnsi="Arial"/>
          <w:sz w:val="18"/>
          <w:szCs w:val="18"/>
          <w:color w:val="auto"/>
        </w:rPr>
        <w:t>For purposes of this definition, net income (net loss) shall only include the Issuers’ Ownership Share of net income (net loss) of their non-wholly owned Subsidiaries and Unconsolidated Affiliates and, accordingly, there shall be no deduction from net income or Consolidated EBITDA for non-controlling or minority interests in such Persons.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Consolidated EBITDA will be adjusted, without duplication, to give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(x) in the case of any assets having been placed-in-service or removed from service since the beginning of the period and on or prior to the date of determination, to 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For purposes of calculating Consolidated EBITDA, all amounts shall be as reasonably determined by an Issuer, and in accordance with GAAP except to the extent that GAAP is not applicable, including, without limitation, with respect to the determination of extraordinary, non-cash or non-recurring items.</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means, with respect to any Person, collectively, the consolidated financial statements and notes to those financial statements, of that Person and its Subsidiaries prepared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Guarantor who:</w:t>
      </w:r>
    </w:p>
    <w:p>
      <w:pPr>
        <w:spacing w:after="0" w:line="117"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117" w:lineRule="exact"/>
        <w:rPr>
          <w:rFonts w:ascii="Arial" w:cs="Arial" w:eastAsia="Arial" w:hAnsi="Arial"/>
          <w:sz w:val="18"/>
          <w:szCs w:val="18"/>
          <w:color w:val="auto"/>
        </w:rPr>
      </w:pPr>
    </w:p>
    <w:p>
      <w:pPr>
        <w:ind w:right="440" w:firstLine="8"/>
        <w:spacing w:after="0" w:line="277" w:lineRule="auto"/>
        <w:tabs>
          <w:tab w:leader="none" w:pos="3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under clause (1) or this clause (2) who were members of such Board at the time of such nomination or election.</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Facility</w:t>
      </w:r>
      <w:r>
        <w:rPr>
          <w:rFonts w:ascii="Arial" w:cs="Arial" w:eastAsia="Arial" w:hAnsi="Arial"/>
          <w:sz w:val="16"/>
          <w:szCs w:val="16"/>
          <w:color w:val="auto"/>
        </w:rPr>
        <w:t>” means the Credit Agreement, dated October 28, 2013, among the Operating Partnership, as the Borrower, JPMorgan Chase Bank, N.A., as Administrative Agent, L/C Issuer and Swingline Lender and the parties named therein as Co-Syndication Agents, Documentation Agents, Joint Physical Bookrunners and Joint Lead Arrangers, and the lenders from time to time party thereto, including any related notes, guarantees, instruments and agreements executed in connection therewith, and as amended, modified, renewed, refunded, restructured, replaced or refinanced from time to time including increases in principal amount (whether the same are provided by the original agents and lenders under such Credit Facility or other agents or other lenders).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or commercial paper facilities (providing for revolving credit loans, term loans, other loans, receivables financing (including through the sale of receivables to such lenders or to special purpose entities formed to borrow from such lenders against such receivables) or letters of credit) or debt securities, including any related notes, guarantees, collateral documents, agreements relating to swap or other hedging obligations, and other instruments, agreements and documents executed in connection therewith, in each case as amended, restated, modified, renewed, refunded, replaced, restructured or otherwise refinanced in whole or in part from time to time by one or more agreements, facilities (whether or not in the form of a debt facility or commercial paper facility) or instruments.</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Securities</w:t>
      </w:r>
      <w:r>
        <w:rPr>
          <w:rFonts w:ascii="Arial" w:cs="Arial" w:eastAsia="Arial" w:hAnsi="Arial"/>
          <w:sz w:val="18"/>
          <w:szCs w:val="18"/>
          <w:color w:val="auto"/>
        </w:rPr>
        <w:t>” means any debt securities, as such term is commonly understood, issued in any public offering or private placement in an aggregate principal amount of $100.0 million or more.</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Development Property</w:t>
      </w:r>
      <w:r>
        <w:rPr>
          <w:rFonts w:ascii="Arial" w:cs="Arial" w:eastAsia="Arial" w:hAnsi="Arial"/>
          <w:sz w:val="17"/>
          <w:szCs w:val="17"/>
          <w:color w:val="auto"/>
        </w:rPr>
        <w:t>” means real property (a) acquired for, or currently under, development into an Income Property that, in accordance with GAAP, would be classified as an asset on the consolidated balance sheet of the Issuers and their Subsidiaries and (b) of the type described in clause (a) of this definition to be (but not yet) acquired by the Issuers or any of their Subsidiaries upon completion of construction pursuant to a contract in which the seller of such real property is required to build, develop or renovate prior to, and as a condition precedent to, such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doing business as Fitch Ratings, or any successor thereto.</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GAAP</w:t>
      </w:r>
      <w:r>
        <w:rPr>
          <w:rFonts w:ascii="Arial" w:cs="Arial" w:eastAsia="Arial" w:hAnsi="Arial"/>
          <w:sz w:val="17"/>
          <w:szCs w:val="17"/>
          <w:color w:val="auto"/>
        </w:rPr>
        <w:t>” means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 provided that with respect to the notes other than the 2023 Notes and 2020 Notes, (1) any lease that is accounted for by any Person as an operating lease, (2) the Pinnacle Master Lease and (3) any similar lease to either lease referred to in clauses (1) and (2) and entered into after the issue date for the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73" w:right="239" w:bottom="1440" w:gutter="0" w:footer="0" w:header="0"/>
        </w:sectPr>
      </w:pPr>
    </w:p>
    <w:bookmarkStart w:id="143" w:name="page144"/>
    <w:bookmarkEnd w:id="143"/>
    <w:p>
      <w:pPr>
        <w:ind w:right="340"/>
        <w:spacing w:after="0" w:line="277" w:lineRule="auto"/>
        <w:rPr>
          <w:sz w:val="20"/>
          <w:szCs w:val="20"/>
          <w:color w:val="auto"/>
        </w:rPr>
      </w:pPr>
      <w:r>
        <w:rPr>
          <w:rFonts w:ascii="Arial" w:cs="Arial" w:eastAsia="Arial" w:hAnsi="Arial"/>
          <w:sz w:val="18"/>
          <w:szCs w:val="18"/>
          <w:color w:val="auto"/>
        </w:rPr>
        <w:t>series of existing senior unsecured notes by any Person may, in the sole discretion of the Operating Partnership, be accounted for as an operating lease for purposes of such notes and the indenture with respect to such notes (and shall not constitute a capitalized lease).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Approval</w:t>
      </w:r>
      <w:r>
        <w:rPr>
          <w:rFonts w:ascii="Arial" w:cs="Arial" w:eastAsia="Arial" w:hAnsi="Arial"/>
          <w:sz w:val="18"/>
          <w:szCs w:val="18"/>
          <w:color w:val="auto"/>
        </w:rPr>
        <w:t>” means any and all approvals, licenses, authorizations, permits, consents, rulings, orders or directives (a) relating to any gaming business (including pari-mutuel betting) or enterprise, including to enable the Issuers or any of their Subsidiaries or affiliates to engage in or manage the casino, gambling, horse racing or gaming business or otherwise continue to conduct or manage such business substantially as is presently conducted or managed or contemplated to be conducted or managed or (b) required by any Gaming Law.</w:t>
      </w:r>
    </w:p>
    <w:p>
      <w:pPr>
        <w:spacing w:after="0" w:line="18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governmental agency, authority, board, bureau, commission, department, office or instrumentality with regulatory, licensing or permitting authority or jurisdiction over any gaming business or enterprise or any Gaming Facility, or with regulatory, licensing or permitting authority or jurisdiction over any gaming operation (or proposed gaming operation) owned, managed or operated by the Issuers or any of their Subsidiaries.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gaming or pari-mutuel wagering establishment, including any casino or “racino,” and other property or assets ancillary thereto or used in connection therewith, including any casinos, hotels, resorts, racetracks, off-track wagering sites, theaters, parking facilities, recreational vehicle parks, timeshare operations, retail shops, restaurants, other buildings, restaurants, theatres, related or ancillary businesses, land, golf courses and other recreation and entertainment facilities, marinas, vessels, barges, ships and equipment.</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provisions of all: (a) constitutions, treaties, statutes or laws governing Gaming Facilities (including card club casinos and pari-mutuel racetracks) and rules, regulations, codes and ordinances of, and all administrative or judicial orders or decrees or other laws pursuant to which, any Gaming Authority possesses regulatory, licensing or permit authority over gambling, gaming, racing or Gaming Facility activities conducted or managed by the Issuers or any of their Subsidiaries or affiliates within its jurisdiction; (b) Gaming Approvals; and (c) orders, decisions, determinations, judgments, awards and decrees of any Gaming Authority.</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Income Property</w:t>
      </w:r>
      <w:r>
        <w:rPr>
          <w:rFonts w:ascii="Arial" w:cs="Arial" w:eastAsia="Arial" w:hAnsi="Arial"/>
          <w:sz w:val="18"/>
          <w:szCs w:val="18"/>
          <w:color w:val="auto"/>
        </w:rPr>
        <w:t>” means any real or personal property or assets or vessels (including any personal property ancillary thereto or used in connection therewith or in support thereof) owned, operated or leased or otherwise controlled by the Issuers or their Subsidiaries and earning, or intended to earn, current income whether from rent, lease payments, operations or otherwise. “Income Property” shall not include any Development Property, Redevelopment Property or undeveloped land during the period such property or assets or vessels are Development Properties, Redevelopment Properties or undeveloped land as reasonably determined by an Issuer.</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means, as of any date of determination, all indebtedness for borrowed money of the Issuers and their Subsidiaries that is included as a liability on the Consolidated Financial Statements of the Issuers in accordance with GAAP, excluding: (i) any indebtedness to the extent Discharged or, in the case of the notes other than the 2023 Notes and 2020 Notes, to the extent secured by cash, cash equivalents or marketable securities (it being understood that cash collateral shall be deemed to include cash deposited with a trustee or other agent with respect to third party indebtedness), (ii) Intercompany Debt, (iii) all liabilities associated with customary exceptions to non-recourse indebtedness, such as for fraud, misapplication of funds, environmental indemnities, voluntary bankruptcy, collusive involuntary bankruptcy and other similar exceptions and (iv) any redeemable equity interest in the Issuers;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notes other than the 2023 Notes and 2020 Notes, Indebtedness of a Subsidiary of any of the Issuers that is not a wholly owned Subsidiary of the Issuers shall be reduced to reflect the Issuers’ proportionate interest therein.</w:t>
      </w:r>
    </w:p>
    <w:p>
      <w:pPr>
        <w:spacing w:after="0" w:line="1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Debt</w:t>
      </w:r>
      <w:r>
        <w:rPr>
          <w:rFonts w:ascii="Arial" w:cs="Arial" w:eastAsia="Arial" w:hAnsi="Arial"/>
          <w:sz w:val="18"/>
          <w:szCs w:val="18"/>
          <w:color w:val="auto"/>
        </w:rPr>
        <w:t xml:space="preserve">” means, as of any date, Indebtedness to which the only parties are the Guarantor, the Issuers and any of their respective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such Indebtedness of which any of the Issuers is the borrower, such Indebtedness is subordinate in right of payment to the notes.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Expense</w:t>
      </w:r>
      <w:r>
        <w:rPr>
          <w:rFonts w:ascii="Arial" w:cs="Arial" w:eastAsia="Arial" w:hAnsi="Arial"/>
          <w:sz w:val="16"/>
          <w:szCs w:val="16"/>
          <w:color w:val="auto"/>
        </w:rPr>
        <w:t>” means, for any period of time, the aggregate amount of interest payable in cash on Indebtedness of the Issuers and their Subsidiaries, net of interest income and payments received under swap and other hedging agreements or arrangements relating to interest rates, and excluding (i) any commitment, upfront, arrangement or structuring fees or premiums (including redemption and prepayment premiums) or original issue discount, (ii) interest reserves funded from the proceeds of any Indebtedness, (iii) any cash costs associated with breakage in respect of hedging agreements for interest rates,</w:t>
      </w:r>
    </w:p>
    <w:p>
      <w:pPr>
        <w:spacing w:after="0" w:line="2"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cash interest expense consisting of liquidated damages for failure to timely comply with registration rights obligations and financing fees, and</w:t>
      </w:r>
    </w:p>
    <w:p>
      <w:pPr>
        <w:spacing w:after="0" w:line="20" w:lineRule="exact"/>
        <w:rPr>
          <w:rFonts w:ascii="Arial" w:cs="Arial" w:eastAsia="Arial" w:hAnsi="Arial"/>
          <w:sz w:val="17"/>
          <w:szCs w:val="17"/>
          <w:color w:val="auto"/>
        </w:rPr>
      </w:pPr>
    </w:p>
    <w:p>
      <w:pPr>
        <w:ind w:right="520" w:firstLine="8"/>
        <w:spacing w:after="0" w:line="261"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amortization of deferred financing costs;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components of Interest Expense relating to a Subsidiary of any of the Issuers that is not a wholly owned Subsidiary of the Issuers shall be reduced to reflect the Issuers’ proportionate interest therein.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74" w:right="239" w:bottom="1440" w:gutter="0" w:footer="0" w:header="0"/>
        </w:sectPr>
      </w:pPr>
    </w:p>
    <w:bookmarkStart w:id="144" w:name="page145"/>
    <w:bookmarkEnd w:id="144"/>
    <w:p>
      <w:pPr>
        <w:ind w:right="1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Latest Completed Quarter</w:t>
      </w:r>
      <w:r>
        <w:rPr>
          <w:rFonts w:ascii="Arial" w:cs="Arial" w:eastAsia="Arial" w:hAnsi="Arial"/>
          <w:sz w:val="16"/>
          <w:szCs w:val="16"/>
          <w:color w:val="auto"/>
        </w:rPr>
        <w:t>” means, as of any date, the most recently ended fiscal quarter of the Issuers for which Consolidated Financial Statements of the Issuers (or the Guarantor or another parent guarantor, as applicable) have been completed, it being understood that at any time when the Issuers (or the Guarantor or another parent guarantor, as applicable) are subject to the informational requirements of the Exchange Act, and in accordance therewith file annual and quarterly reports with the SEC, the term “Latest Completed Quarter” shall be deemed to refer to the fiscal quarter covered by the Issuers’ (or the Guarantor’s or another parent guarantor’s, as applicable) most recently filed Quarterly Report on Form 10-Q, or, in the case of the last fiscal quarter of the year, the Issuers’ (or the Guarantor’s or another parent guarantor’s, as applicable) Annual Report on Form 10-K.</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(without duplication), any lien, security interest or other type of preferential arrangement for security, including, without limitation, the lien or retained security title of a conditional vendor;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hereof, “Lien” shall not include any Lien related to Indebtedness that has been Discharged or otherwise satisfied by the Issuers or any of their Subsidiaries in accordance with the provisions thereof, including through the deposit of cash, cash equivalents or marketable securities (it being understood that cash collateral shall be deemed to include cash deposited with a trustee with respect to third party indebtedness).</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Ohio Development Facilities</w:t>
      </w:r>
      <w:r>
        <w:rPr>
          <w:rFonts w:ascii="Arial" w:cs="Arial" w:eastAsia="Arial" w:hAnsi="Arial"/>
          <w:sz w:val="18"/>
          <w:szCs w:val="18"/>
          <w:color w:val="auto"/>
        </w:rPr>
        <w:t>” means the properties under development as of the issue date of the 2023 Notes and 2020 Notes in Dayton, Ohio and Mahoning Valley, Ohio.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Master Lease Properties</w:t>
      </w:r>
      <w:r>
        <w:rPr>
          <w:rFonts w:ascii="Arial" w:cs="Arial" w:eastAsia="Arial" w:hAnsi="Arial"/>
          <w:sz w:val="18"/>
          <w:szCs w:val="18"/>
          <w:color w:val="auto"/>
        </w:rPr>
        <w:t>” means the Penn Master Lease Properties as of the date of the Penn Master Lease.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Ownership Share</w:t>
      </w:r>
      <w:r>
        <w:rPr>
          <w:rFonts w:ascii="Arial" w:cs="Arial" w:eastAsia="Arial" w:hAnsi="Arial"/>
          <w:sz w:val="17"/>
          <w:szCs w:val="17"/>
          <w:color w:val="auto"/>
        </w:rPr>
        <w:t>” means, with respect to any Subsidiary (other than a wholly owned Subsidiary of any of the Issuers) or any Unconsolidated Affiliate of the Issuers, the Issuers’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w:t>
      </w:r>
      <w:r>
        <w:rPr>
          <w:rFonts w:ascii="Arial" w:cs="Arial" w:eastAsia="Arial" w:hAnsi="Arial"/>
          <w:sz w:val="18"/>
          <w:szCs w:val="18"/>
          <w:color w:val="auto"/>
        </w:rPr>
        <w:t>” means Penn National Gaming, Inc., a Pennsylvania corporation.</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Master Lease</w:t>
      </w:r>
      <w:r>
        <w:rPr>
          <w:rFonts w:ascii="Arial" w:cs="Arial" w:eastAsia="Arial" w:hAnsi="Arial"/>
          <w:sz w:val="16"/>
          <w:szCs w:val="16"/>
          <w:color w:val="auto"/>
        </w:rPr>
        <w:t>” means that certain Master Lease, dated as of November 1, 2013, between the Operating Partnership (and any Subsidiaries of the Operating Partnership acting as landlord or co-landlord) and the Penn Tenant, as it may be amended, supplemented or modified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Penn Master Lease Guaranty</w:t>
      </w:r>
      <w:r>
        <w:rPr>
          <w:rFonts w:ascii="Arial" w:cs="Arial" w:eastAsia="Arial" w:hAnsi="Arial"/>
          <w:sz w:val="17"/>
          <w:szCs w:val="17"/>
          <w:color w:val="auto"/>
        </w:rPr>
        <w:t>” means the Guaranty of the Penn Master Lease by Penn in favor of the Operating Partnership or a Subsidiary thereof.</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Penn Master Lease Properties</w:t>
      </w:r>
      <w:r>
        <w:rPr>
          <w:rFonts w:ascii="Arial" w:cs="Arial" w:eastAsia="Arial" w:hAnsi="Arial"/>
          <w:sz w:val="16"/>
          <w:szCs w:val="16"/>
          <w:color w:val="auto"/>
        </w:rPr>
        <w:t>” means, as of any date of determination, the real properties that are leased to Penn Tenant pursuant to the Penn Master 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w:t>
      </w:r>
      <w:r>
        <w:rPr>
          <w:rFonts w:ascii="Arial" w:cs="Arial" w:eastAsia="Arial" w:hAnsi="Arial"/>
          <w:sz w:val="18"/>
          <w:szCs w:val="18"/>
          <w:color w:val="auto"/>
        </w:rPr>
        <w:t>” means the 2020 Notes and the 2023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Notes Issue Date</w:t>
      </w:r>
      <w:r>
        <w:rPr>
          <w:rFonts w:ascii="Arial" w:cs="Arial" w:eastAsia="Arial" w:hAnsi="Arial"/>
          <w:sz w:val="18"/>
          <w:szCs w:val="18"/>
          <w:color w:val="auto"/>
        </w:rPr>
        <w:t>” means October 30, 2013, with respect to the 2023 Notes, and October 31, 2013, with respect to the 2020 Notes.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Penn Spin-Off</w:t>
      </w:r>
      <w:r>
        <w:rPr>
          <w:rFonts w:ascii="Arial" w:cs="Arial" w:eastAsia="Arial" w:hAnsi="Arial"/>
          <w:sz w:val="17"/>
          <w:szCs w:val="17"/>
          <w:color w:val="auto"/>
        </w:rPr>
        <w:t>” means the spin-off of the Guarantor from Penn to the shareholders of Penn in November 2013, which resulted in the Operating Partnership having title to substantially all of the real estate assets held by Penn prior to the spin-off, and including the entering into by the Penn Tenant and the Operating Partnership (or one or more Subsidiaries of the Operating Partnership acting as landlord or co-landlord) of the Penn Master Lease.</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Tenant</w:t>
      </w:r>
      <w:r>
        <w:rPr>
          <w:rFonts w:ascii="Arial" w:cs="Arial" w:eastAsia="Arial" w:hAnsi="Arial"/>
          <w:sz w:val="18"/>
          <w:szCs w:val="18"/>
          <w:color w:val="auto"/>
        </w:rPr>
        <w:t>” means Penn Tenant, LLC, a Pennsylvania limited liability company, in its capacity as tenant under the Penn Master Lease, and its successors in such capacity.</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Penn Transactions</w:t>
      </w:r>
      <w:r>
        <w:rPr>
          <w:rFonts w:ascii="Arial" w:cs="Arial" w:eastAsia="Arial" w:hAnsi="Arial"/>
          <w:sz w:val="18"/>
          <w:szCs w:val="18"/>
          <w:color w:val="auto"/>
        </w:rPr>
        <w:t>” means, collectively, (a) the Penn Spin-Off and the series of corporate restructurings and other transactions entered into in connection with the foregoing, the acquisition by the Guarantor of the GLPI Assets (as defined in the 2013 Offering Memorandum) and the entering into of the Penn Master Lease, (b) the issuance of the Penn Notes (and the Issuers’ 4.375% Senior Notes due 2018, which have been redeemed in full as of the date hereof) and the entering into of the Credit Agreement on October 28, 2013, (c) the payment of the earnings and profits purge described in the 2013 Offering Memorandum, (d) any other transactions defined as “Transactions” in the 2013 Offering Memorandum and (e) the payment of fees and expenses in connection with the foregoing.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73" w:right="2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 means:</w:t>
      </w:r>
    </w:p>
    <w:p>
      <w:pPr>
        <w:spacing w:after="0" w:line="117"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incurred under the Credit Facilities on or prior to the date of the indenture;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represented by the existing senior unsecured notes.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Replacement Lease</w:t>
      </w:r>
      <w:r>
        <w:rPr>
          <w:rFonts w:ascii="Arial" w:cs="Arial" w:eastAsia="Arial" w:hAnsi="Arial"/>
          <w:sz w:val="18"/>
          <w:szCs w:val="18"/>
          <w:color w:val="auto"/>
        </w:rPr>
        <w:t>” means (a) any new lease entered into pursuant to Section 17.1(f) of the Penn Master Lease, (b) any new lease entered into with a Qualified Successor Tenant or (c) any assignment of the Penn Master Lease to a Qualified Successor Tenant, in each case, whether in respect of all or a portion of the gaming facilities subject to the Penn Master Lease.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Pinnacle</w:t>
      </w:r>
      <w:r>
        <w:rPr>
          <w:rFonts w:ascii="Arial" w:cs="Arial" w:eastAsia="Arial" w:hAnsi="Arial"/>
          <w:sz w:val="18"/>
          <w:szCs w:val="18"/>
          <w:color w:val="auto"/>
        </w:rPr>
        <w:t>” means Pinnacle Entertainment, Inc., a Delaware corporation.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Pinnacle Master Lease</w:t>
      </w:r>
      <w:r>
        <w:rPr>
          <w:rFonts w:ascii="Arial" w:cs="Arial" w:eastAsia="Arial" w:hAnsi="Arial"/>
          <w:sz w:val="17"/>
          <w:szCs w:val="17"/>
          <w:color w:val="auto"/>
        </w:rPr>
        <w:t>” means that certain master lease, dated as of April 28, 2016, between, Pinnacle MLS, LLC, as tenant, and Gold Merger Sub, LLC (as successor to Pinnacle), as landlord, as such Master Lease may be amended, supplemented or modified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means:</w:t>
      </w:r>
    </w:p>
    <w:p>
      <w:pPr>
        <w:spacing w:after="0" w:line="117" w:lineRule="exact"/>
        <w:rPr>
          <w:sz w:val="20"/>
          <w:szCs w:val="20"/>
          <w:color w:val="auto"/>
        </w:rPr>
      </w:pPr>
    </w:p>
    <w:p>
      <w:pPr>
        <w:ind w:right="100" w:firstLine="8"/>
        <w:spacing w:after="0" w:line="254"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calculating the amount of Total Debt or Secured Debt or Unsecured Debt under “-Certain Covenants-Limitations on Incurrence of Indebtedness-Limitation on Total Debt” and “-Limitation on Secured Debt,” there shall be excluded Indebtedness to the extent secured by cash, cash equivalents or marketable securities (it being understood that cash collateral shall be deemed to include cash deposited with a trustee or other agent with respect to third party indebtedness) or which has been repaid, discharged, defeased (whether by covenant or legal defeasance), retired, repurchased or redeemed or otherwise satisfied on or prior to the date such calculation is being made or for which the Guarantor, the Issuers or any of their Subsidiaries has irrevocably made a deposit to repay, defease (whether by covenant or legal defeasance), discharge, repurchase, retire or redeem or otherwise satisfy or called for redemption, defeasance (whether by covenant or legal defeasance), discharge, repurchase or retirement, on or prior to the date such calculation is being made (collectively, “</w:t>
      </w:r>
      <w:r>
        <w:rPr>
          <w:rFonts w:ascii="Arial" w:cs="Arial" w:eastAsia="Arial" w:hAnsi="Arial"/>
          <w:sz w:val="18"/>
          <w:szCs w:val="18"/>
          <w:i w:val="1"/>
          <w:iCs w:val="1"/>
          <w:color w:val="auto"/>
        </w:rPr>
        <w:t>Discharged</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00" w:hanging="392"/>
        <w:spacing w:after="0"/>
        <w:tabs>
          <w:tab w:leader="none" w:pos="4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calculating the Coverage Ratio:</w:t>
      </w:r>
    </w:p>
    <w:p>
      <w:pPr>
        <w:spacing w:after="0" w:line="117" w:lineRule="exact"/>
        <w:rPr>
          <w:rFonts w:ascii="Arial" w:cs="Arial" w:eastAsia="Arial" w:hAnsi="Arial"/>
          <w:sz w:val="18"/>
          <w:szCs w:val="18"/>
          <w:color w:val="auto"/>
        </w:rPr>
      </w:pPr>
    </w:p>
    <w:p>
      <w:pPr>
        <w:ind w:left="660" w:right="40" w:hanging="4"/>
        <w:spacing w:after="0" w:line="291" w:lineRule="auto"/>
        <w:tabs>
          <w:tab w:leader="none" w:pos="10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in the event that the Issuers or any of their Subsidiaries incurs, assumes, guarantees or Discharges any Indebtedness (other than ordinary working capital borrowings) subsequent to the commencement of the period for which the Coverage Ratio is being calculated and on or prior to the date such calculation is being made, then the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the use of the proceeds therefrom (including any such transaction giving rise to the need to calculate the Coverage Ratio), in each case, as if the same had occurred at the beginning of the applicable four-quarter period and Interest Expense relating to any such Indebtedness that has been Discharged or, in the case of the notes other than the 2023 Notes and 2020 Notes, to the extent secured by cash, cash equivalents or marketable securities (it being understood that cash collateral shall be deemed to include cash deposited with a trustee or other agent with respect to third party indebtedness) shall be excluded;</w:t>
      </w:r>
    </w:p>
    <w:p>
      <w:pPr>
        <w:spacing w:after="0" w:line="59" w:lineRule="exact"/>
        <w:rPr>
          <w:rFonts w:ascii="Arial" w:cs="Arial" w:eastAsia="Arial" w:hAnsi="Arial"/>
          <w:sz w:val="16"/>
          <w:szCs w:val="16"/>
          <w:color w:val="auto"/>
        </w:rPr>
      </w:pPr>
    </w:p>
    <w:p>
      <w:pPr>
        <w:ind w:left="660" w:hanging="4"/>
        <w:spacing w:after="0" w:line="276" w:lineRule="auto"/>
        <w:tabs>
          <w:tab w:leader="none" w:pos="1050"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acquisitions or investments that have been made by the Issuers or any of their Subsidiaries, including through mergers or consolidations and including any related financing transactions, during the four-quarter period or subsequent to such period and on or prior to the date such calculation is being made, and the change in Consolidated EBITDA resulting therefrom, will be given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as if they had occurred on the first day of the four-quarter period, and Consolidated EBITDA for such period shall include the Consolidated EBITDA of the acquired entities or applicable to such investments, and related transactions, and shall otherwise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w:t>
      </w:r>
    </w:p>
    <w:p>
      <w:pPr>
        <w:spacing w:after="0" w:line="64" w:lineRule="exact"/>
        <w:rPr>
          <w:rFonts w:ascii="Arial" w:cs="Arial" w:eastAsia="Arial" w:hAnsi="Arial"/>
          <w:sz w:val="17"/>
          <w:szCs w:val="17"/>
          <w:color w:val="auto"/>
        </w:rPr>
      </w:pPr>
    </w:p>
    <w:p>
      <w:pPr>
        <w:ind w:left="660" w:right="200" w:hanging="4"/>
        <w:spacing w:after="0" w:line="264" w:lineRule="auto"/>
        <w:tabs>
          <w:tab w:leader="none" w:pos="1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 any Person that is a Subsidiary on the date such calculation is being made will be deemed to have been a Subsidiary at all times during the applicable four-quarter period, and (ii) any Person that is not a Subsidiary on the date such calculation is being made will be deemed not to have been a Subsidiary at any time during the applicable four-quarter reference period;</w:t>
      </w:r>
    </w:p>
    <w:p>
      <w:pPr>
        <w:spacing w:after="0" w:line="127" w:lineRule="exact"/>
        <w:rPr>
          <w:rFonts w:ascii="Arial" w:cs="Arial" w:eastAsia="Arial" w:hAnsi="Arial"/>
          <w:sz w:val="18"/>
          <w:szCs w:val="18"/>
          <w:color w:val="auto"/>
        </w:rPr>
      </w:pPr>
    </w:p>
    <w:p>
      <w:pPr>
        <w:ind w:left="660" w:right="460" w:hanging="4"/>
        <w:spacing w:after="0" w:line="277" w:lineRule="auto"/>
        <w:tabs>
          <w:tab w:leader="none" w:pos="105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in accordance with GAAP, and operations or businesses disposed of prior to the date such calculation is being made, will be excluded;</w:t>
      </w:r>
    </w:p>
    <w:p>
      <w:pPr>
        <w:spacing w:after="0" w:line="62" w:lineRule="exact"/>
        <w:rPr>
          <w:rFonts w:ascii="Arial" w:cs="Arial" w:eastAsia="Arial" w:hAnsi="Arial"/>
          <w:sz w:val="18"/>
          <w:szCs w:val="18"/>
          <w:color w:val="auto"/>
        </w:rPr>
      </w:pPr>
    </w:p>
    <w:p>
      <w:pPr>
        <w:jc w:val="both"/>
        <w:ind w:left="660" w:right="60" w:hanging="4"/>
        <w:spacing w:after="0" w:line="286" w:lineRule="auto"/>
        <w:tabs>
          <w:tab w:leader="none" w:pos="104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Interest Expense attributable to discontinued operations, as determined in accordance with GAAP, and operations or businesses disposed of prior to the date such calculation is being made, will be excluded, but only to the extent that the obligations giving rise to such Interest Expense will not be obligations of the Issuers or any of their Subsidiaries following the date such calculation is being made;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73" w:right="259" w:bottom="1440" w:gutter="0" w:footer="0" w:header="0"/>
        </w:sectPr>
      </w:pPr>
    </w:p>
    <w:bookmarkStart w:id="146" w:name="page147"/>
    <w:bookmarkEnd w:id="146"/>
    <w:p>
      <w:pPr>
        <w:ind w:left="660" w:hanging="4"/>
        <w:spacing w:after="0" w:line="264"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as the Issuers may designate; and</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for any period that includes any period of time occurring prior to the Penn Notes Issue Date, the Penn Transactions shall be given </w:t>
      </w:r>
      <w:r>
        <w:rPr>
          <w:rFonts w:ascii="Arial" w:cs="Arial" w:eastAsia="Arial" w:hAnsi="Arial"/>
          <w:sz w:val="17"/>
          <w:szCs w:val="17"/>
          <w:i w:val="1"/>
          <w:iCs w:val="1"/>
          <w:color w:val="auto"/>
        </w:rPr>
        <w:t>pro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forma </w:t>
      </w:r>
      <w:r>
        <w:rPr>
          <w:rFonts w:ascii="Arial" w:cs="Arial" w:eastAsia="Arial" w:hAnsi="Arial"/>
          <w:sz w:val="18"/>
          <w:szCs w:val="18"/>
          <w:color w:val="auto"/>
        </w:rPr>
        <w:t>effect as if the Penn Transactions had occurred at the beginning of such period.</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 EBITDA</w:t>
      </w:r>
      <w:r>
        <w:rPr>
          <w:rFonts w:ascii="Arial" w:cs="Arial" w:eastAsia="Arial" w:hAnsi="Arial"/>
          <w:sz w:val="18"/>
          <w:szCs w:val="18"/>
          <w:color w:val="auto"/>
        </w:rPr>
        <w:t>” means, for any period of time with respect to the Penn Master Lease Properties or any other group of related properties or any property (excluding any properties that are not Income Properties), the sum, with respect to the Penn Master Lease Properties or other group of related properties or property, of the net income (or net loss) derived from such property for such period (excluding, without duplication, gains (or losses) from dispositions of depreciable real estate investments, property valuation losses and impairment charges);</w:t>
      </w:r>
    </w:p>
    <w:p>
      <w:pPr>
        <w:spacing w:after="0" w:line="79" w:lineRule="exact"/>
        <w:rPr>
          <w:sz w:val="20"/>
          <w:szCs w:val="20"/>
          <w:color w:val="auto"/>
        </w:rPr>
      </w:pPr>
    </w:p>
    <w:p>
      <w:pPr>
        <w:ind w:right="460" w:firstLine="8"/>
        <w:spacing w:after="0" w:line="277"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without duplication and solely to the extent already deducted (and not added back) in arriving at such net income (or net loss),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amounts for such 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interest expense (whether paid or accrued and whether or not capitalized);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income tax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117" w:lineRule="exact"/>
        <w:rPr>
          <w:rFonts w:ascii="Arial" w:cs="Arial" w:eastAsia="Arial" w:hAnsi="Arial"/>
          <w:sz w:val="18"/>
          <w:szCs w:val="18"/>
          <w:color w:val="auto"/>
        </w:rPr>
      </w:pPr>
    </w:p>
    <w:p>
      <w:pPr>
        <w:ind w:left="660" w:right="20" w:hanging="4"/>
        <w:spacing w:after="0" w:line="302" w:lineRule="auto"/>
        <w:tabs>
          <w:tab w:leader="none" w:pos="10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extraordinary, non-recurring and unusual items, charges or expenses (including, without limitation, property valuation losses, impairment charges, fees, costs and expenses relating to the Penn Transactions, prepayment penalties and costs, fees or expenses incurred in connection with any capital markets offering, debt financing, or amendment thereto, redemption or exchange of indebtedness, lease termination, business combination, acquisition, disposition, recapitalization or similar transaction (regardless of whether such transaction is completed));</w:t>
      </w:r>
    </w:p>
    <w:p>
      <w:pPr>
        <w:spacing w:after="0" w:line="46" w:lineRule="exact"/>
        <w:rPr>
          <w:rFonts w:ascii="Arial" w:cs="Arial" w:eastAsia="Arial" w:hAnsi="Arial"/>
          <w:sz w:val="16"/>
          <w:szCs w:val="16"/>
          <w:color w:val="auto"/>
        </w:rPr>
      </w:pPr>
    </w:p>
    <w:p>
      <w:pPr>
        <w:ind w:left="1020" w:hanging="364"/>
        <w:spacing w:after="0"/>
        <w:tabs>
          <w:tab w:leader="none" w:pos="10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expenses and losses associated with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expenses and losses resulting from fluctuations in foreign exchange rates;</w:t>
      </w:r>
    </w:p>
    <w:p>
      <w:pPr>
        <w:spacing w:after="0" w:line="117" w:lineRule="exact"/>
        <w:rPr>
          <w:rFonts w:ascii="Arial" w:cs="Arial" w:eastAsia="Arial" w:hAnsi="Arial"/>
          <w:sz w:val="18"/>
          <w:szCs w:val="18"/>
          <w:color w:val="auto"/>
        </w:rPr>
      </w:pPr>
    </w:p>
    <w:p>
      <w:pPr>
        <w:ind w:left="660" w:hanging="4"/>
        <w:spacing w:after="0" w:line="312" w:lineRule="auto"/>
        <w:tabs>
          <w:tab w:leader="none" w:pos="1050" w:val="left"/>
        </w:tabs>
        <w:numPr>
          <w:ilvl w:val="1"/>
          <w:numId w:val="90"/>
        </w:numPr>
        <w:rPr>
          <w:rFonts w:ascii="Arial" w:cs="Arial" w:eastAsia="Arial" w:hAnsi="Arial"/>
          <w:sz w:val="16"/>
          <w:szCs w:val="16"/>
          <w:color w:val="auto"/>
        </w:rPr>
      </w:pPr>
      <w:r>
        <w:rPr>
          <w:rFonts w:ascii="Arial" w:cs="Arial" w:eastAsia="Arial" w:hAnsi="Arial"/>
          <w:sz w:val="16"/>
          <w:szCs w:val="16"/>
          <w:color w:val="auto"/>
        </w:rPr>
        <w:t>other non-cash items, charges or expenses reducing net income (or increasing net loss) (other than items that will require cash payments and for which an accrual or reserve is, or is required by GAAP to be, made in which case, at the election of the Issuers such items may be added back when accrued and deducted from net income when paid in cash, or given effect (and not added back to net income) when accrued or reserved);</w:t>
      </w:r>
    </w:p>
    <w:p>
      <w:pPr>
        <w:spacing w:after="0" w:line="38" w:lineRule="exact"/>
        <w:rPr>
          <w:rFonts w:ascii="Arial" w:cs="Arial" w:eastAsia="Arial" w:hAnsi="Arial"/>
          <w:sz w:val="16"/>
          <w:szCs w:val="16"/>
          <w:color w:val="auto"/>
        </w:rPr>
      </w:pPr>
    </w:p>
    <w:p>
      <w:pPr>
        <w:ind w:left="1000" w:hanging="344"/>
        <w:spacing w:after="0"/>
        <w:tabs>
          <w:tab w:leader="none" w:pos="10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amount of integration costs deducted (and not added back) in such period in computing the net income (or net loss);</w:t>
      </w:r>
    </w:p>
    <w:p>
      <w:pPr>
        <w:spacing w:after="0" w:line="117" w:lineRule="exact"/>
        <w:rPr>
          <w:rFonts w:ascii="Arial" w:cs="Arial" w:eastAsia="Arial" w:hAnsi="Arial"/>
          <w:sz w:val="18"/>
          <w:szCs w:val="18"/>
          <w:color w:val="auto"/>
        </w:rPr>
      </w:pPr>
    </w:p>
    <w:p>
      <w:pPr>
        <w:ind w:left="660" w:right="160" w:hanging="4"/>
        <w:spacing w:after="0" w:line="277" w:lineRule="auto"/>
        <w:tabs>
          <w:tab w:leader="none" w:pos="1010" w:val="left"/>
        </w:tabs>
        <w:numPr>
          <w:ilvl w:val="1"/>
          <w:numId w:val="90"/>
        </w:numPr>
        <w:rPr>
          <w:rFonts w:ascii="Arial" w:cs="Arial" w:eastAsia="Arial" w:hAnsi="Arial"/>
          <w:sz w:val="18"/>
          <w:szCs w:val="18"/>
          <w:color w:val="auto"/>
        </w:rPr>
      </w:pPr>
      <w:r>
        <w:rPr>
          <w:rFonts w:ascii="Arial" w:cs="Arial" w:eastAsia="Arial" w:hAnsi="Arial"/>
          <w:sz w:val="18"/>
          <w:szCs w:val="18"/>
          <w:color w:val="auto"/>
        </w:rPr>
        <w:t>severance, relocation costs, signing costs, retention or completion bonuses, transition costs, curtailments or modifications to pension and post-retirement employee benefit plans (including any settlement of pension liabilities); and</w:t>
      </w:r>
    </w:p>
    <w:p>
      <w:pPr>
        <w:spacing w:after="0" w:line="116" w:lineRule="exact"/>
        <w:rPr>
          <w:rFonts w:ascii="Arial" w:cs="Arial" w:eastAsia="Arial" w:hAnsi="Arial"/>
          <w:sz w:val="18"/>
          <w:szCs w:val="18"/>
          <w:color w:val="auto"/>
        </w:rPr>
      </w:pPr>
    </w:p>
    <w:p>
      <w:pPr>
        <w:ind w:left="660" w:right="320" w:hanging="4"/>
        <w:spacing w:after="0" w:line="264" w:lineRule="auto"/>
        <w:tabs>
          <w:tab w:leader="none" w:pos="105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the extent not included in net income or, if otherwise excluded from Property EBITDA due to the operation of clause (2)(a) below, the amount of insurance proceeds received during such period, or after such period and on or prior to the date the calculation is made with respect to such period, attributable to such property;</w:t>
      </w:r>
    </w:p>
    <w:p>
      <w:pPr>
        <w:spacing w:after="0" w:line="73" w:lineRule="exact"/>
        <w:rPr>
          <w:rFonts w:ascii="Arial" w:cs="Arial" w:eastAsia="Arial" w:hAnsi="Arial"/>
          <w:sz w:val="18"/>
          <w:szCs w:val="18"/>
          <w:color w:val="auto"/>
        </w:rPr>
      </w:pPr>
    </w:p>
    <w:p>
      <w:pPr>
        <w:ind w:right="460" w:firstLine="8"/>
        <w:spacing w:after="0" w:line="277" w:lineRule="auto"/>
        <w:tabs>
          <w:tab w:leader="none" w:pos="39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solely to the extent included in arriving at such net income (or net loss), the sum of the following amounts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extraordinary, non-recurring and unusual gains (other than insurance proceeds);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gains attributable to hedging agreements;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non-cash gains resulting from fluctuations in foreign exchange rates;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other non-cash gains increasing net income (or decreasing net loss) other than accruals in the ordinary course;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any amounts referred to in this definition or deducted in calculating net income (or net loss) (including any costs or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calculating net income (or net loss)) are required to be paid by the Penn Tenant under the Penn Master Lease or any other Person that is a lessee or operator of any such property, such amounts will not be subtracted, and will be added back to Property EBITDA for the applicable property or group of properties.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65" w:right="259" w:bottom="1440" w:gutter="0" w:footer="0" w:header="0"/>
        </w:sectPr>
      </w:pPr>
    </w:p>
    <w:bookmarkStart w:id="147" w:name="page148"/>
    <w:bookmarkEnd w:id="147"/>
    <w:p>
      <w:pPr>
        <w:spacing w:after="0" w:line="271" w:lineRule="auto"/>
        <w:rPr>
          <w:sz w:val="20"/>
          <w:szCs w:val="20"/>
          <w:color w:val="auto"/>
        </w:rPr>
      </w:pPr>
      <w:r>
        <w:rPr>
          <w:rFonts w:ascii="Arial" w:cs="Arial" w:eastAsia="Arial" w:hAnsi="Arial"/>
          <w:sz w:val="17"/>
          <w:szCs w:val="17"/>
          <w:color w:val="auto"/>
        </w:rPr>
        <w:t xml:space="preserve">Property EBITDA will be adjusted, without duplication, to give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calculating Property EBITDA, all amounts shall be as determined reasonably by an Issuer, and in accordance with GAAP except to the extent that GAAP is not applicable.</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Successor Tenant</w:t>
      </w:r>
      <w:r>
        <w:rPr>
          <w:rFonts w:ascii="Arial" w:cs="Arial" w:eastAsia="Arial" w:hAnsi="Arial"/>
          <w:sz w:val="17"/>
          <w:szCs w:val="17"/>
          <w:color w:val="auto"/>
        </w:rPr>
        <w:t>” means a Person that: (a) in the reasonable judgment of an Issuer, has sufficient experience (directly or through one or more of its Subsidiaries) operating or managing casinos or is owned, controlled or managed by a Person with such experience, to operate properties subject to a Permitted Replacement Lease and (b) is licensed or certified by each gaming authority with jurisdiction over any gaming facility subject to the applicable Permitted Replacement Lease as of the initial date of the effectiveness of the applicable Permitted Replacement Lease.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(a) Fitch, Moody’s or S&amp;P in the case of the 2030 Notes and 2024 Notes and Moody’s or S&amp;P’s in the case of all of the other notes or</w:t>
      </w:r>
    </w:p>
    <w:p>
      <w:pPr>
        <w:spacing w:after="0" w:line="46" w:lineRule="exact"/>
        <w:rPr>
          <w:sz w:val="20"/>
          <w:szCs w:val="20"/>
          <w:color w:val="auto"/>
        </w:rPr>
      </w:pPr>
    </w:p>
    <w:p>
      <w:pPr>
        <w:jc w:val="both"/>
        <w:ind w:right="80" w:firstLine="8"/>
        <w:spacing w:after="0" w:line="277"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any of Fitch, Moody’s or S&amp;P in the case of the 2030 Notes and 2024 Notes and Moody’s or S&amp;P’s in the case of all of the other notes shall not make a rating on the notes publicly available, a nationally recognized statistical rating agency or agencies, as the case may be, selected by the Issuers (as certified by a resolution of the Issuers’ Board of Directors) which shall be substituted for Fitch, Moody’s or S&amp;P, as the case may be.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Category</w:t>
      </w:r>
      <w:r>
        <w:rPr>
          <w:rFonts w:ascii="Arial" w:cs="Arial" w:eastAsia="Arial" w:hAnsi="Arial"/>
          <w:sz w:val="16"/>
          <w:szCs w:val="16"/>
          <w:color w:val="auto"/>
        </w:rPr>
        <w:t>” means (a) with respect to Fitch or S&amp;P, any of the following categories: BB, B, CCC, CC, C and D (or equivalent successor categories);</w:t>
      </w:r>
    </w:p>
    <w:p>
      <w:pPr>
        <w:spacing w:after="0" w:line="46" w:lineRule="exact"/>
        <w:rPr>
          <w:sz w:val="20"/>
          <w:szCs w:val="20"/>
          <w:color w:val="auto"/>
        </w:rPr>
      </w:pPr>
    </w:p>
    <w:p>
      <w:pPr>
        <w:ind w:right="80" w:firstLine="8"/>
        <w:spacing w:after="0" w:line="253"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Moody’s, any of the following categories: Ba, B, Caa, Ca, C and D (or equivalent successor categories); and (c) the equivalent of any such category of Fitch, S&amp;P or Moody’s used by another Rating Agency selected by the Issuers. In determining whether the rating of the notes has decreased by one or more gradations, gradations within Rating Categories ((i) + and - for S&amp;P and Fitch; (ii) 1, 2 and 3 for Moody’s; and (iii) the equivalent gradations for another Rating Agency selected by the Issuers) shall be taken into account (</w:t>
      </w:r>
      <w:r>
        <w:rPr>
          <w:rFonts w:ascii="Arial" w:cs="Arial" w:eastAsia="Arial" w:hAnsi="Arial"/>
          <w:sz w:val="18"/>
          <w:szCs w:val="18"/>
          <w:i w:val="1"/>
          <w:iCs w:val="1"/>
          <w:color w:val="auto"/>
        </w:rPr>
        <w:t>e.g</w:t>
      </w:r>
      <w:r>
        <w:rPr>
          <w:rFonts w:ascii="Arial" w:cs="Arial" w:eastAsia="Arial" w:hAnsi="Arial"/>
          <w:sz w:val="18"/>
          <w:szCs w:val="18"/>
          <w:color w:val="auto"/>
        </w:rPr>
        <w:t>., with respect to S&amp;P, a decline in a rating from BB+ to BB, or from BB- to B+, will constitute a decrease of one gradation).</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which is 90 days prior to the earlier of (a) a Change of Control or (b) public notice of the occurrence of a Change of Control or of the intention by the Issuers to effect a Change of Control.</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Decline</w:t>
      </w:r>
      <w:r>
        <w:rPr>
          <w:rFonts w:ascii="Arial" w:cs="Arial" w:eastAsia="Arial" w:hAnsi="Arial"/>
          <w:sz w:val="18"/>
          <w:szCs w:val="18"/>
          <w:color w:val="auto"/>
        </w:rPr>
        <w:t>” with respect to a particular series of notes shall be deemed to occur if, within 90 days after public notice of the occurrence of a Change of Control (which period shall be extended in respect of a Rating Agency so long as the rating of the notes is under publicly announced consideration for possible downgrade by any such Rating Agency with respect to a Rating Category), the rating of such series of notes by at least two of the three Rating Agencies in the case of the 2030 Notes and 2024 Notes and each of the Rating Agencies in the case of all other notes shall be decreased by one or more gradations to or within a Rating Category (including gradations within Rating Categories as well as between Rating Categories) as compared to the rating of the notes on the Rating Date.</w:t>
      </w:r>
    </w:p>
    <w:p>
      <w:pPr>
        <w:spacing w:after="0" w:line="1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Redevelopment Property</w:t>
      </w:r>
      <w:r>
        <w:rPr>
          <w:rFonts w:ascii="Arial" w:cs="Arial" w:eastAsia="Arial" w:hAnsi="Arial"/>
          <w:sz w:val="16"/>
          <w:szCs w:val="16"/>
          <w:color w:val="auto"/>
        </w:rPr>
        <w:t>” means any real property owned by an Issuer or its Subsidiaries that operates or is intended to operate as an Income Property (a)(i) that has been acquired by an Issuer or any of its Subsidiaries with a view toward renovating or rehabilitating such real property at an aggregate anticipated cost of at least 10% of the acquisition cost thereof and such renovation or rehabilitation is expected to disrupt the occupancy of at least 30% of the square footage of such property or (x) that an Issuer or any of its Subsidiaries intends to renovate or rehabilitate at an aggregate anticipated cost in excess of (y) 10% of the Capitalized Value of such real property immediately prior to such renovation or rehabilitation and such renovation or rehabilitation is expected to temporarily reduce the Property EBITDA attributable to such property by at least 30% as compared to the immediately preceding comparable prior period and or (ii) with respect to which an Issuer or a Subsidiary thereof has entered into a binding construction contract or construction has commenced, (b) that does not qualify as a “Development Property” and (c) that an Issuer so desires to classify as a “Redevelopment Property” for purposes of the notes.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(i) as applicable, the Registration Rights Agreement related to the 2020 notes, dated as of October 31, 2013, and the Registration Rights Agreement related to the 2023 notes, dated as of October 30, 2013, each of which was between the Issuers and Merrill Lynch, Pierce, Fenner &amp; Smith Incorporated, and J.P. Morgan Securities LLC, as representative of the initial purchasers, as amended or supplemented, and (ii) any other registration rights agreement entered into in connection with the issuance after the applicable date of issuance of the 2023 Notes and 2020 Notes of additional 2023 Notes or 2020 Notes or additional debt securities under the indenture in a private offering by the Issuers.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73" w:right="239" w:bottom="1440" w:gutter="0" w:footer="0" w:header="0"/>
        </w:sectPr>
      </w:pPr>
    </w:p>
    <w:bookmarkStart w:id="148" w:name="page149"/>
    <w:bookmarkEnd w:id="148"/>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Debt</w:t>
      </w:r>
      <w:r>
        <w:rPr>
          <w:rFonts w:ascii="Arial" w:cs="Arial" w:eastAsia="Arial" w:hAnsi="Arial"/>
          <w:sz w:val="18"/>
          <w:szCs w:val="18"/>
          <w:color w:val="auto"/>
        </w:rPr>
        <w:t>” means, as of any date of determination, the portion of Total Debt as of such date that is secured by a Lien on property or assets of the Issuers or any of their Subsidiaries.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Acquisition</w:t>
      </w:r>
      <w:r>
        <w:rPr>
          <w:rFonts w:ascii="Arial" w:cs="Arial" w:eastAsia="Arial" w:hAnsi="Arial"/>
          <w:sz w:val="18"/>
          <w:szCs w:val="18"/>
          <w:color w:val="auto"/>
        </w:rPr>
        <w:t>” means an acquisition in which the aggregate consideration (whether in the form of cash, securities, goodwill, or otherwise) with respect to such acquisition is not less than five percent (5%) of Total Asset Value immediately prior to such acquisition.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of an Issuer having (together with its Subsidiaries) assets that constitute five percent (5%) or more of Total Asset Value as of the end any of the most recently completed fiscal year of the Issuers for which Consolidated Financial Statements have been prepared prior to the date of determination.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shall refer to a Subsidiary or Subsidiaries of an Issuer, and in the case of each of clauses (i) and (ii) which is required to be consolidated with such Person in accordance with GAAP.</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 Value</w:t>
      </w:r>
      <w:r>
        <w:rPr>
          <w:rFonts w:ascii="Arial" w:cs="Arial" w:eastAsia="Arial" w:hAnsi="Arial"/>
          <w:sz w:val="16"/>
          <w:szCs w:val="16"/>
          <w:color w:val="auto"/>
        </w:rPr>
        <w:t xml:space="preserve">” means, as of any date, the sum of the following without duplication: (a) the sum of the Asset Values for all assets constituting Income Properties, Development Properties, Redevelopment Properties or undeveloped land owned by the Issuers or any of their Subsidiaries at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 amount (but not less than zero) equal to all unrestricted cash and cash equivalents on hand of the Issuers and their Subsidiaries (including the proceeds of the Indebtedness to be incurred), </w:t>
      </w:r>
      <w:r>
        <w:rPr>
          <w:rFonts w:ascii="Arial" w:cs="Arial" w:eastAsia="Arial" w:hAnsi="Arial"/>
          <w:sz w:val="16"/>
          <w:szCs w:val="16"/>
          <w:i w:val="1"/>
          <w:iCs w:val="1"/>
          <w:color w:val="auto"/>
        </w:rPr>
        <w:t>plus</w:t>
      </w:r>
      <w:r>
        <w:rPr>
          <w:rFonts w:ascii="Arial" w:cs="Arial" w:eastAsia="Arial" w:hAnsi="Arial"/>
          <w:sz w:val="16"/>
          <w:szCs w:val="16"/>
          <w:color w:val="auto"/>
        </w:rPr>
        <w:t xml:space="preserve"> (c) earnest money deposits associated with potential acquisitions as of such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(d) the book value (determined in accordance with GAAP) (but determined without giving effect to any depreciation or amortization) of all other investments held by the Issuers and their Subsidiaries at such date (exclusive of accounts receivable and goodwill and other intangible assets in the case of the 2030 Notes and 2024 Notes and goodwill and other intangible assets in the case of all other notes). Total Asset Value shall be adjusted in the case of assets owned by Subsidiaries of the Issuers which are not wholly owned Subsidiaries of the Issuers to reflect the Issuers’ Ownership Share therein.</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Debt</w:t>
      </w:r>
      <w:r>
        <w:rPr>
          <w:rFonts w:ascii="Arial" w:cs="Arial" w:eastAsia="Arial" w:hAnsi="Arial"/>
          <w:sz w:val="18"/>
          <w:szCs w:val="18"/>
          <w:color w:val="auto"/>
        </w:rPr>
        <w:t xml:space="preserve">” means, as of any date of determination, the aggregate principal amount of outstanding Indebtedness of the Issuers and their Subsidiaries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Total Debt shall not include Indebtedness in respect of letters of credit, except to the extent of unreimbursed amounts thereunder, and (b) the amount of Total Debt, in the case of Indebtedness of a Subsidiary of the Issuers that is not a wholly owned Subsidiary of the Issuers, shall be reduced to reflect the Issuers’ proportionate interest therein.</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Unencumbered Asset Value</w:t>
      </w:r>
      <w:r>
        <w:rPr>
          <w:rFonts w:ascii="Arial" w:cs="Arial" w:eastAsia="Arial" w:hAnsi="Arial"/>
          <w:sz w:val="18"/>
          <w:szCs w:val="18"/>
          <w:color w:val="auto"/>
        </w:rPr>
        <w:t>” means, as of any date of determination, the Total Asset Value for all assets owned by the Issuers or one of their Subsidiaries at such date that are not subject to any Lien which secures Indebtedness of the Issuers and their Subsidiaries; provided, however, that in the case of the 2030 Notes and 2024 Notes all investments by the Issuers and their Subsidiaries in unconsolidated joint ventures, unconsolidated limited partnerships, unconsolidated limited liability companies and other unconsolidated entities shall be excluded from Total Unencumbered Asset Value to the extent such investments would have otherwise been included.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Unconsolidated Affiliate</w:t>
      </w:r>
      <w:r>
        <w:rPr>
          <w:rFonts w:ascii="Arial" w:cs="Arial" w:eastAsia="Arial" w:hAnsi="Arial"/>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Debt</w:t>
      </w:r>
      <w:r>
        <w:rPr>
          <w:rFonts w:ascii="Arial" w:cs="Arial" w:eastAsia="Arial" w:hAnsi="Arial"/>
          <w:sz w:val="18"/>
          <w:szCs w:val="18"/>
          <w:color w:val="auto"/>
        </w:rPr>
        <w:t>” means, as of any date of determination, that portion of Total Debt as of that date that is not Secured Debt.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w:t>
      </w:r>
      <w:r>
        <w:rPr>
          <w:rFonts w:ascii="Arial" w:cs="Arial" w:eastAsia="Arial" w:hAnsi="Arial"/>
          <w:sz w:val="16"/>
          <w:szCs w:val="16"/>
          <w:i w:val="1"/>
          <w:iCs w:val="1"/>
          <w:color w:val="auto"/>
        </w:rPr>
        <w:t>events of default</w:t>
      </w:r>
      <w:r>
        <w:rPr>
          <w:rFonts w:ascii="Arial" w:cs="Arial" w:eastAsia="Arial" w:hAnsi="Arial"/>
          <w:sz w:val="16"/>
          <w:szCs w:val="16"/>
          <w:color w:val="auto"/>
        </w:rPr>
        <w:t>” under the indenture with respect to debt securities of a particular series issued under the indenture, including the notes: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74" w:right="239" w:bottom="1440" w:gutter="0" w:footer="0" w:header="0"/>
        </w:sectPr>
      </w:pPr>
    </w:p>
    <w:bookmarkStart w:id="149" w:name="page150"/>
    <w:bookmarkEnd w:id="149"/>
    <w:p>
      <w:pPr>
        <w:ind w:left="400" w:hanging="392"/>
        <w:spacing w:after="0"/>
        <w:tabs>
          <w:tab w:leader="none" w:pos="4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default for 30 days in the payment when due of interest on the debt securities of a particular series issued under the indenture, including the notes;</w:t>
      </w:r>
    </w:p>
    <w:p>
      <w:pPr>
        <w:spacing w:after="0" w:line="128" w:lineRule="exact"/>
        <w:rPr>
          <w:rFonts w:ascii="Arial" w:cs="Arial" w:eastAsia="Arial" w:hAnsi="Arial"/>
          <w:sz w:val="17"/>
          <w:szCs w:val="17"/>
          <w:color w:val="auto"/>
        </w:rPr>
      </w:pPr>
    </w:p>
    <w:p>
      <w:pPr>
        <w:ind w:right="100" w:firstLine="8"/>
        <w:spacing w:after="0" w:line="277"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debt securities of a particular series issued under the indenture, including the notes;</w:t>
      </w:r>
    </w:p>
    <w:p>
      <w:pPr>
        <w:spacing w:after="0" w:line="62" w:lineRule="exact"/>
        <w:rPr>
          <w:rFonts w:ascii="Arial" w:cs="Arial" w:eastAsia="Arial" w:hAnsi="Arial"/>
          <w:sz w:val="18"/>
          <w:szCs w:val="18"/>
          <w:color w:val="auto"/>
        </w:rPr>
      </w:pPr>
    </w:p>
    <w:p>
      <w:pPr>
        <w:ind w:right="80" w:firstLine="8"/>
        <w:spacing w:after="0" w:line="264" w:lineRule="auto"/>
        <w:tabs>
          <w:tab w:leader="none" w:pos="3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by the Issuers or any of their Subsidiaries for 60 days after receipt of notice from the trustee or holders of at least 25% in principal amount of the notes then outstanding to comply with any of the covenants or agreements in the indenture (other than a covenant or agreement included in the indenture for the benefit of one or more series of debt securities other than the notes) or the notes;</w:t>
      </w:r>
    </w:p>
    <w:p>
      <w:pPr>
        <w:spacing w:after="0" w:line="73" w:lineRule="exact"/>
        <w:rPr>
          <w:rFonts w:ascii="Arial" w:cs="Arial" w:eastAsia="Arial" w:hAnsi="Arial"/>
          <w:sz w:val="18"/>
          <w:szCs w:val="18"/>
          <w:color w:val="auto"/>
        </w:rPr>
      </w:pPr>
    </w:p>
    <w:p>
      <w:pPr>
        <w:ind w:left="400" w:hanging="392"/>
        <w:spacing w:after="0"/>
        <w:tabs>
          <w:tab w:leader="none" w:pos="4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certain specified events under bankruptcy, insolvency or other similar laws with respect to the Issuers or any of their Significant Subsidiaries;</w:t>
      </w:r>
    </w:p>
    <w:p>
      <w:pPr>
        <w:spacing w:after="0" w:line="128" w:lineRule="exact"/>
        <w:rPr>
          <w:rFonts w:ascii="Arial" w:cs="Arial" w:eastAsia="Arial" w:hAnsi="Arial"/>
          <w:sz w:val="17"/>
          <w:szCs w:val="17"/>
          <w:color w:val="auto"/>
        </w:rPr>
      </w:pPr>
    </w:p>
    <w:p>
      <w:pPr>
        <w:ind w:right="20" w:firstLine="8"/>
        <w:spacing w:after="0" w:line="272" w:lineRule="auto"/>
        <w:tabs>
          <w:tab w:leader="none" w:pos="39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default under any mortgage, indenture or instrument under which there may be issued or by which there may be secured or evidenced any of our recourse Indebtedness (or the payment of which we guarantee), whether such Indebtedness or guarantee now exists or is created after the date of the indenture, if that default: (i) is caused by a failure to pay principal of such Indebtedness at final maturity (a “</w:t>
      </w:r>
      <w:r>
        <w:rPr>
          <w:rFonts w:ascii="Arial" w:cs="Arial" w:eastAsia="Arial" w:hAnsi="Arial"/>
          <w:sz w:val="17"/>
          <w:szCs w:val="17"/>
          <w:i w:val="1"/>
          <w:iCs w:val="1"/>
          <w:color w:val="auto"/>
        </w:rPr>
        <w:t>payment default</w:t>
      </w:r>
      <w:r>
        <w:rPr>
          <w:rFonts w:ascii="Arial" w:cs="Arial" w:eastAsia="Arial" w:hAnsi="Arial"/>
          <w:sz w:val="17"/>
          <w:szCs w:val="17"/>
          <w:color w:val="auto"/>
        </w:rPr>
        <w:t>”); or (ii) results in the acceleration of such Indebtedness prior to its express maturity (which acceleration has not been rescinded, annulled or cured within 20 business days after receipt by us of notice from the trustee or holders of at least 25% in principal amount of the notes then outstanding specifying such default), and, in each case, the due and payable principal amount of any such Indebtedness, together with the due and payable principal amount of any other such Indebtedness under which there has been a payment default or the maturity of which has been so accelerated, aggregates $100.0 million or more; and</w:t>
      </w:r>
    </w:p>
    <w:p>
      <w:pPr>
        <w:spacing w:after="0" w:line="69" w:lineRule="exact"/>
        <w:rPr>
          <w:rFonts w:ascii="Arial" w:cs="Arial" w:eastAsia="Arial" w:hAnsi="Arial"/>
          <w:sz w:val="17"/>
          <w:szCs w:val="17"/>
          <w:color w:val="auto"/>
        </w:rPr>
      </w:pPr>
    </w:p>
    <w:p>
      <w:pPr>
        <w:jc w:val="both"/>
        <w:ind w:right="40" w:firstLine="8"/>
        <w:spacing w:after="0" w:line="302" w:lineRule="auto"/>
        <w:tabs>
          <w:tab w:leader="none" w:pos="39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other than in connection with any transaction not prohibited by “-Certain Covenants-Penn Master Lease,” the Penn Master Lease shall have terminated or the Penn Master Lease Guaranty shall have terminated (other than in accordance with the terms of the Penn Master 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termination shall not constitute an event of default if within 90 days after such termination the Operating Partnership has entered into one or more Permitted Replacement Leases (or in the case of the Penn Master Lease Guaranty, a replacement guaranty is entered into in accordance with the Penn Master Lease).</w:t>
      </w:r>
    </w:p>
    <w:p>
      <w:pPr>
        <w:spacing w:after="0" w:line="15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case of an event of default arising under clause (4) of the immediately preceding paragraph with respect to the Issuers, all notes then outstanding will become due and payable immediately without further action or notice. If any other event of default occurs and is continuing, the trustee or the holders of at least 25% in principal amount of then outstanding notes (or then outstanding debt securities of a particular series in case of an event of default specific to such series) may declare all the debt securities outstanding under the indenture (or all of the notes of such series, as applicable) to be due and payable immediately.</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Holders of the notes may not enforce the indenture or the notes except as provided in the indenture. Subject to certain limitations, holders of a majority in principal amount of then outstanding notes may direct the trustee, in writing,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holders of a majority in aggregate principal amount of the notes then outstanding by written notice to the trustee may on behalf of the holders of all of the notes waive any existing default or event of default with respect to the notes and its consequences under the indenture (or in the case of an event of default specific to a series of debt securities outstanding under the indenture, including the notes, holders of a majority in aggregate principal amount of the debt securities of such series then outstanding by written notice to the trustee may on behalf of the holders of all of such series waive any existing default or event of default with respect to the debt securities of such series and its consequences under the indenture), in each case, except a continuing default or event of default in the payment of interest on, or the principal of, such debt securities, including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holders of a majority in aggregate principal amount of such debt securities (or of the debt securities of such series, respectively) then outstanding may rescind an acceleration of the debt securities (or the debt securities of such series) and waive the payment default that resulted from such acceleration.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Notwithstanding clause (3) of the first paragraph above or any other provision of the indenture, except as provided in the final sentence of this paragraph, the sole remedy for any failure to comply by the Issuers with the covenant described under the caption “-Certain Covenants-Reports” shall be the payment of liquidated damages as described in the following sentence, such failure to comply shall not constitute an event of default, and holders of the notes shall not have any right under the indenture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65" w:right="259" w:bottom="1440" w:gutter="0" w:footer="0" w:header="0"/>
        </w:sectPr>
      </w:pPr>
    </w:p>
    <w:bookmarkStart w:id="150" w:name="page151"/>
    <w:bookmarkEnd w:id="150"/>
    <w:p>
      <w:pPr>
        <w:ind w:right="180"/>
        <w:spacing w:after="0" w:line="291" w:lineRule="auto"/>
        <w:rPr>
          <w:sz w:val="20"/>
          <w:szCs w:val="20"/>
          <w:color w:val="auto"/>
        </w:rPr>
      </w:pPr>
      <w:r>
        <w:rPr>
          <w:rFonts w:ascii="Arial" w:cs="Arial" w:eastAsia="Arial" w:hAnsi="Arial"/>
          <w:sz w:val="16"/>
          <w:szCs w:val="16"/>
          <w:color w:val="auto"/>
        </w:rPr>
        <w:t>or the notes to accelerate the maturity of the notes as a result of any such failure to comply. If a failure to comply by the Issuers with the covenant described under the caption “-Certain Covenants-Reports” continues for 60 days after the Issuers receives notice of such failure to comply in accordance with clause</w:t>
      </w:r>
    </w:p>
    <w:p>
      <w:pPr>
        <w:ind w:firstLine="8"/>
        <w:spacing w:after="0" w:line="285" w:lineRule="auto"/>
        <w:tabs>
          <w:tab w:leader="none" w:pos="255" w:val="left"/>
        </w:tabs>
        <w:numPr>
          <w:ilvl w:val="0"/>
          <w:numId w:val="94"/>
        </w:numPr>
        <w:rPr>
          <w:rFonts w:ascii="Arial" w:cs="Arial" w:eastAsia="Arial" w:hAnsi="Arial"/>
          <w:sz w:val="16"/>
          <w:szCs w:val="16"/>
          <w:color w:val="auto"/>
        </w:rPr>
      </w:pPr>
      <w:r>
        <w:rPr>
          <w:rFonts w:ascii="Arial" w:cs="Arial" w:eastAsia="Arial" w:hAnsi="Arial"/>
          <w:sz w:val="16"/>
          <w:szCs w:val="16"/>
          <w:color w:val="auto"/>
        </w:rPr>
        <w:t>of the first paragraph above (such notice, the “</w:t>
      </w:r>
      <w:r>
        <w:rPr>
          <w:rFonts w:ascii="Arial" w:cs="Arial" w:eastAsia="Arial" w:hAnsi="Arial"/>
          <w:sz w:val="16"/>
          <w:szCs w:val="16"/>
          <w:i w:val="1"/>
          <w:iCs w:val="1"/>
          <w:color w:val="auto"/>
        </w:rPr>
        <w:t>Reports Default Notice</w:t>
      </w:r>
      <w:r>
        <w:rPr>
          <w:rFonts w:ascii="Arial" w:cs="Arial" w:eastAsia="Arial" w:hAnsi="Arial"/>
          <w:sz w:val="16"/>
          <w:szCs w:val="16"/>
          <w:color w:val="auto"/>
        </w:rPr>
        <w:t xml:space="preserve">”), and is continuing on the 60th day following the Issuers’ receipt of the Reports Default Notice, the Issuers will pay liquidated damages to all holders of notes at a rate per annum equal to 0.25% of the principal amount of the notes from the 60th day following the Issuers’ receipt of the Reports Default Notice to but not including the earlier of (x) the 121st day following the Issuers’ receipt of the Reports Default Notice and (y) the date on which the failure to comply by the Issuers with the covenant described under the caption “-Certain Covenants-Reports” shall have been cured or waived. On the earlier of the date specified in the immediately preceding clauses (x) and (y), such liquidated damages will cease to accrue. If the failure to comply by the Issuers with the covenant described under the caption “-Certain Covenants-Reports” shall not have been cured or waived on or before the 121st day following the Issuers’ receipt of the Reports Default Notice, then the failure to comply by the Issuers with the covenant described under the caption “-Certain Covenants-Reports” shall on such 121st day constitute an event of default. A failure to comply with the covenant described under the caption “-Certain Covenants-Reports” automatically shall cease to be continuing and shall be deemed cured at such time as the Issuers (or the Guarantor or other parent guarantor of the Issuers, as applicable) furnishes to the trustee the applicable information or report (it being understood that the availability of such information or report on the SEC’s EDGAR service (or any successor thereto) shall be deemed to satisfy the Issuers’ obligation to furnish such information or report to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trustee shall have no obligation whatsoever to determine whether or not such information, documents or reports have been filed pursuant to the “EDGAR” system (or its successor).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provided in the next three succeeding paragraphs, the notes and the indenture may be amended or supplemented with the consent of the holders of a majority in principal amount of the notes of a series then outstanding (including consents obtained in connection with a purchase of, or tender offer or exchange offer for, notes), and any existing default or compliance with the notes of a series or any provision of the indenture as it relates to the notes of a series may be waived with the consent of the holders of a majority in principal amount of the notes of such series then outstanding (including consents obtained in connection with a purchase of, or tender offer or exchange offer for, notes).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Without the consent of each holder of notes affected, an amendment or waiver may not (with respect to any notes held by a non-consenting holder):</w:t>
      </w:r>
    </w:p>
    <w:p>
      <w:pPr>
        <w:spacing w:after="0" w:line="129"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ind w:right="100" w:firstLine="8"/>
        <w:spacing w:after="0" w:line="342" w:lineRule="auto"/>
        <w:tabs>
          <w:tab w:leader="none" w:pos="39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spacing w:after="0" w:line="15" w:lineRule="exact"/>
        <w:rPr>
          <w:rFonts w:ascii="Arial" w:cs="Arial" w:eastAsia="Arial" w:hAnsi="Arial"/>
          <w:sz w:val="16"/>
          <w:szCs w:val="16"/>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right="120" w:firstLine="8"/>
        <w:spacing w:after="0" w:line="277" w:lineRule="auto"/>
        <w:tabs>
          <w:tab w:leader="none" w:pos="3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preceding, without the consent of any holder of notes, the Issuers and the trustee may amend or supplement the indenture or the notes:</w:t>
      </w:r>
    </w:p>
    <w:p>
      <w:pPr>
        <w:spacing w:after="0" w:line="140"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cure any ambiguity, defect, mistake or inconsistency;</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71" w:lineRule="exact"/>
        <w:rPr>
          <w:rFonts w:ascii="Arial" w:cs="Arial" w:eastAsia="Arial" w:hAnsi="Arial"/>
          <w:sz w:val="18"/>
          <w:szCs w:val="18"/>
          <w:color w:val="auto"/>
        </w:rPr>
      </w:pPr>
    </w:p>
    <w:p>
      <w:pPr>
        <w:ind w:right="200" w:firstLine="8"/>
        <w:spacing w:after="0" w:line="277" w:lineRule="auto"/>
        <w:tabs>
          <w:tab w:leader="none" w:pos="3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provide for the assumption of the Issuers’ obligations to holders of notes in the case of a merger or consolidation or sale of all or substantially all of the Issuers’ assets;</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73" w:right="259" w:bottom="1440" w:gutter="0" w:footer="0" w:header="0"/>
        </w:sectPr>
      </w:pPr>
    </w:p>
    <w:bookmarkStart w:id="151" w:name="page152"/>
    <w:bookmarkEnd w:id="151"/>
    <w:p>
      <w:pPr>
        <w:ind w:left="400" w:hanging="392"/>
        <w:spacing w:after="0"/>
        <w:tabs>
          <w:tab w:leader="none" w:pos="4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comply with applicable Gaming Laws, to the extent that such amendment or supplement is not materially adverse to the holders of notes;</w:t>
      </w:r>
    </w:p>
    <w:p>
      <w:pPr>
        <w:spacing w:after="0" w:line="128" w:lineRule="exact"/>
        <w:rPr>
          <w:rFonts w:ascii="Arial" w:cs="Arial" w:eastAsia="Arial" w:hAnsi="Arial"/>
          <w:sz w:val="17"/>
          <w:szCs w:val="17"/>
          <w:color w:val="auto"/>
        </w:rPr>
      </w:pPr>
    </w:p>
    <w:p>
      <w:pPr>
        <w:ind w:left="400" w:hanging="392"/>
        <w:spacing w:after="0"/>
        <w:tabs>
          <w:tab w:leader="none" w:pos="4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provide for the issuance of additional notes or additional debt securities of any series in accordance with the limitations set forth in the indenture;</w:t>
      </w:r>
    </w:p>
    <w:p>
      <w:pPr>
        <w:spacing w:after="0" w:line="140" w:lineRule="exact"/>
        <w:rPr>
          <w:rFonts w:ascii="Arial" w:cs="Arial" w:eastAsia="Arial" w:hAnsi="Arial"/>
          <w:sz w:val="16"/>
          <w:szCs w:val="16"/>
          <w:color w:val="auto"/>
        </w:rPr>
      </w:pPr>
    </w:p>
    <w:p>
      <w:pPr>
        <w:ind w:right="160" w:firstLine="8"/>
        <w:spacing w:after="0" w:line="264"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(including to provide for any guarantees of the notes or any collateral securing the notes or any guarantees of the notes) or that does not materially adversely affect the legal rights under the indenture of any such holder;</w:t>
      </w:r>
    </w:p>
    <w:p>
      <w:pPr>
        <w:spacing w:after="0" w:line="73" w:lineRule="exact"/>
        <w:rPr>
          <w:rFonts w:ascii="Arial" w:cs="Arial" w:eastAsia="Arial" w:hAnsi="Arial"/>
          <w:sz w:val="18"/>
          <w:szCs w:val="18"/>
          <w:color w:val="auto"/>
        </w:rPr>
      </w:pPr>
    </w:p>
    <w:p>
      <w:pPr>
        <w:ind w:left="400" w:hanging="392"/>
        <w:spacing w:after="0"/>
        <w:tabs>
          <w:tab w:leader="none" w:pos="4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TIA; or</w:t>
      </w:r>
    </w:p>
    <w:p>
      <w:pPr>
        <w:spacing w:after="0" w:line="117" w:lineRule="exact"/>
        <w:rPr>
          <w:rFonts w:ascii="Arial" w:cs="Arial" w:eastAsia="Arial" w:hAnsi="Arial"/>
          <w:sz w:val="18"/>
          <w:szCs w:val="18"/>
          <w:color w:val="auto"/>
        </w:rPr>
      </w:pPr>
    </w:p>
    <w:p>
      <w:pPr>
        <w:ind w:right="520" w:firstLine="8"/>
        <w:spacing w:after="0" w:line="277" w:lineRule="auto"/>
        <w:tabs>
          <w:tab w:leader="none" w:pos="3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the Description of Notes contained in the 2013 Offering Memorandum or this prospectus supplement as set forth in an officer’s certificate.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any series of the outstanding notes (“Legal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Defeasance”) except for:</w:t>
      </w:r>
    </w:p>
    <w:p>
      <w:pPr>
        <w:spacing w:after="0" w:line="103" w:lineRule="exact"/>
        <w:rPr>
          <w:sz w:val="20"/>
          <w:szCs w:val="20"/>
          <w:color w:val="auto"/>
        </w:rPr>
      </w:pPr>
    </w:p>
    <w:p>
      <w:pPr>
        <w:ind w:firstLine="8"/>
        <w:spacing w:after="0" w:line="277" w:lineRule="auto"/>
        <w:tabs>
          <w:tab w:leader="none" w:pos="3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on such notes when such payments are due from the trust referred to below;</w:t>
      </w:r>
    </w:p>
    <w:p>
      <w:pPr>
        <w:spacing w:after="0" w:line="62" w:lineRule="exact"/>
        <w:rPr>
          <w:rFonts w:ascii="Arial" w:cs="Arial" w:eastAsia="Arial" w:hAnsi="Arial"/>
          <w:sz w:val="18"/>
          <w:szCs w:val="18"/>
          <w:color w:val="auto"/>
        </w:rPr>
      </w:pPr>
    </w:p>
    <w:p>
      <w:pPr>
        <w:ind w:right="240" w:firstLine="8"/>
        <w:spacing w:after="0" w:line="277" w:lineRule="auto"/>
        <w:tabs>
          <w:tab w:leader="none" w:pos="3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the replacement of mutilated, destroyed, lost or stolen notes and the maintenance of an office or agency for payment and money for security payments held in trust;</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the events described in clauses (1), (2), or (4) under the caption “Events of Default” above pertaining to the Issuers) described under the caption “Events of Default” above will no longer constitute an event of default with respect to the notes. The Issuers may exercise Legal Defeasance regardless of whether they previously have exercised Covenant Defeasance.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firstLine="8"/>
        <w:spacing w:after="0" w:line="254" w:lineRule="auto"/>
        <w:tabs>
          <w:tab w:leader="none" w:pos="3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Issuers must irrevocably deposit with the trustee, in trust, for the benefit of the holders of the series of notes to be defeased, cash in U.S. dollars, non-callable government securities, or a combination of cash in U.S. dollars and non-callable government securities, in amounts as will be sufficient, in the opinion or based on the report of a nationally recognized firm of independent public accountants, investment bank or appraisal firm, to pay the principal of, premium, if any, on and accrued and unpaid interest on the outstanding notes to be defeased on the stated maturity or on a redemption date, as the case may be, and the Issuers must specify whether the notes are being defeased to maturity or to a particular redemption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as of the third business date preceding the date of such deposit with the trustee;</w:t>
      </w:r>
    </w:p>
    <w:p>
      <w:pPr>
        <w:spacing w:after="0" w:line="84" w:lineRule="exact"/>
        <w:rPr>
          <w:rFonts w:ascii="Arial" w:cs="Arial" w:eastAsia="Arial" w:hAnsi="Arial"/>
          <w:sz w:val="18"/>
          <w:szCs w:val="18"/>
          <w:color w:val="auto"/>
        </w:rPr>
      </w:pPr>
    </w:p>
    <w:p>
      <w:pPr>
        <w:ind w:left="400" w:hanging="392"/>
        <w:spacing w:after="0"/>
        <w:tabs>
          <w:tab w:leader="none" w:pos="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case of Legal Defeasance, the Issuers must have delivered to the trustee an opinion of counsel reasonably acceptable to the trustee confirming that</w:t>
      </w:r>
    </w:p>
    <w:p>
      <w:pPr>
        <w:spacing w:after="0" w:line="46"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(a) 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53" w:lineRule="exact"/>
        <w:rPr>
          <w:rFonts w:ascii="Arial" w:cs="Arial" w:eastAsia="Arial" w:hAnsi="Arial"/>
          <w:sz w:val="16"/>
          <w:szCs w:val="16"/>
          <w:color w:val="auto"/>
        </w:rPr>
      </w:pPr>
    </w:p>
    <w:p>
      <w:pPr>
        <w:ind w:right="60" w:firstLine="8"/>
        <w:spacing w:after="0" w:line="264" w:lineRule="auto"/>
        <w:tabs>
          <w:tab w:leader="none" w:pos="3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have delivered to the trustee an opinion of counsel reasonably acceptable to the trustee confirming that the holders of the outstanding notes will not recognize income, gain or loss for United States federal income tax purposes as a result of such Covenant Defeasance and will be subject to federal income tax on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5"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same amounts, in the same manner and at the same times as would have been the case if such Covenant Defeasance had not occurred;</w:t>
      </w:r>
    </w:p>
    <w:p>
      <w:pPr>
        <w:spacing w:after="0" w:line="117" w:lineRule="exact"/>
        <w:rPr>
          <w:sz w:val="20"/>
          <w:szCs w:val="20"/>
          <w:color w:val="auto"/>
        </w:rPr>
      </w:pPr>
    </w:p>
    <w:p>
      <w:pPr>
        <w:ind w:right="120" w:firstLine="8"/>
        <w:spacing w:after="0" w:line="264" w:lineRule="auto"/>
        <w:tabs>
          <w:tab w:leader="none" w:pos="3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transactions occurring contemporaneously with the borrowing of funds, or the borrowing of funds, to be applied to such deposit or other Indebtedness which is being Discharged and, in each case, the granting of Liens in connection therewith);</w:t>
      </w:r>
    </w:p>
    <w:p>
      <w:pPr>
        <w:spacing w:after="0" w:line="73" w:lineRule="exact"/>
        <w:rPr>
          <w:rFonts w:ascii="Arial" w:cs="Arial" w:eastAsia="Arial" w:hAnsi="Arial"/>
          <w:sz w:val="18"/>
          <w:szCs w:val="18"/>
          <w:color w:val="auto"/>
        </w:rPr>
      </w:pPr>
    </w:p>
    <w:p>
      <w:pPr>
        <w:ind w:right="140" w:firstLine="8"/>
        <w:spacing w:after="0" w:line="264" w:lineRule="auto"/>
        <w:tabs>
          <w:tab w:leader="none" w:pos="3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or any agreement or instrument governing any other Indebtedness which is being Discharged) to which the Issuers are a party or by which the Issuers are bound;</w:t>
      </w:r>
    </w:p>
    <w:p>
      <w:pPr>
        <w:spacing w:after="0" w:line="73" w:lineRule="exact"/>
        <w:rPr>
          <w:rFonts w:ascii="Arial" w:cs="Arial" w:eastAsia="Arial" w:hAnsi="Arial"/>
          <w:sz w:val="18"/>
          <w:szCs w:val="18"/>
          <w:color w:val="auto"/>
        </w:rPr>
      </w:pPr>
    </w:p>
    <w:p>
      <w:pPr>
        <w:ind w:right="80" w:firstLine="8"/>
        <w:spacing w:after="0" w:line="342" w:lineRule="auto"/>
        <w:tabs>
          <w:tab w:leader="none" w:pos="39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or with the intent of defeating, hindering, delaying or defrauding creditors of the Issuers or others; and</w:t>
      </w:r>
    </w:p>
    <w:p>
      <w:pPr>
        <w:spacing w:after="0" w:line="15" w:lineRule="exact"/>
        <w:rPr>
          <w:rFonts w:ascii="Arial" w:cs="Arial" w:eastAsia="Arial" w:hAnsi="Arial"/>
          <w:sz w:val="16"/>
          <w:szCs w:val="16"/>
          <w:color w:val="auto"/>
        </w:rPr>
      </w:pPr>
    </w:p>
    <w:p>
      <w:pPr>
        <w:ind w:right="260" w:firstLine="8"/>
        <w:spacing w:after="0" w:line="277" w:lineRule="auto"/>
        <w:tabs>
          <w:tab w:leader="none" w:pos="3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7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Legal Defeasance or Covenant Defeasance will be effective on the day on which all the applicable conditions above have been satisfied. Upon compliance with the foregoing, the trustee shall execute proper instrument(s) acknowledging such Legal Defeasance or Covenant Defeasance.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117"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660" w:right="480" w:hanging="4"/>
        <w:spacing w:after="0" w:line="264" w:lineRule="auto"/>
        <w:tabs>
          <w:tab w:leader="none" w:pos="1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been deposited in trust and, if provided for in the indenture, thereafter repaid to the Issuers, have been delivered to the trustee for cancellation; or</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mailing of a notice of</w:t>
      </w:r>
    </w:p>
    <w:p>
      <w:pPr>
        <w:spacing w:after="0" w:line="34" w:lineRule="exact"/>
        <w:rPr>
          <w:rFonts w:ascii="Arial" w:cs="Arial" w:eastAsia="Arial" w:hAnsi="Arial"/>
          <w:sz w:val="17"/>
          <w:szCs w:val="17"/>
          <w:color w:val="auto"/>
        </w:rPr>
      </w:pPr>
    </w:p>
    <w:p>
      <w:pPr>
        <w:ind w:left="660"/>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redemption or otherwise or will become due and payable within one year and the Issuers have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and unpaid interest to, but not including, the date of maturity 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2030 Notes and 2024 Notes, in the event that any portion of the trust funds so deposited consist of non-callable government securities, the sufficiency of such trust funds shall be determined based upon the opinion or the report of a nationally recognized firm of independent public accountants, investment bank or appraisal</w:t>
      </w:r>
    </w:p>
    <w:p>
      <w:pPr>
        <w:spacing w:after="0" w:line="4" w:lineRule="exact"/>
        <w:rPr>
          <w:rFonts w:ascii="Arial" w:cs="Arial" w:eastAsia="Arial" w:hAnsi="Arial"/>
          <w:sz w:val="17"/>
          <w:szCs w:val="17"/>
          <w:color w:val="auto"/>
        </w:rPr>
      </w:pPr>
    </w:p>
    <w:p>
      <w:pPr>
        <w:ind w:left="660" w:right="100"/>
        <w:spacing w:after="0" w:line="302" w:lineRule="auto"/>
        <w:rPr>
          <w:rFonts w:ascii="Arial" w:cs="Arial" w:eastAsia="Arial" w:hAnsi="Arial"/>
          <w:sz w:val="17"/>
          <w:szCs w:val="17"/>
          <w:color w:val="auto"/>
        </w:rPr>
      </w:pPr>
      <w:r>
        <w:rPr>
          <w:rFonts w:ascii="Arial" w:cs="Arial" w:eastAsia="Arial" w:hAnsi="Arial"/>
          <w:sz w:val="16"/>
          <w:szCs w:val="16"/>
          <w:color w:val="auto"/>
        </w:rPr>
        <w:t xml:space="preserve">firm;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with respect to any redemption pursuant to “-Redemption-Optional Redemption,” the amount deposited shall be sufficient for purposes of the indenture to the extent that an amount is so deposited with the trustee equal to the redemption amount computed using the Treasury Rate as of the third business date preceding the date of such deposit with the trustee (the date of any such deposit, a “Deposit Date”);</w:t>
      </w:r>
    </w:p>
    <w:p>
      <w:pPr>
        <w:spacing w:after="0" w:line="47" w:lineRule="exact"/>
        <w:rPr>
          <w:rFonts w:ascii="Arial" w:cs="Arial" w:eastAsia="Arial" w:hAnsi="Arial"/>
          <w:sz w:val="17"/>
          <w:szCs w:val="17"/>
          <w:color w:val="auto"/>
        </w:rPr>
      </w:pPr>
    </w:p>
    <w:p>
      <w:pPr>
        <w:ind w:left="400" w:hanging="392"/>
        <w:spacing w:after="0"/>
        <w:tabs>
          <w:tab w:leader="none" w:pos="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Issuers have paid or caused to be paid all other sums then payable by it under the indenture; and</w:t>
      </w:r>
    </w:p>
    <w:p>
      <w:pPr>
        <w:spacing w:after="0" w:line="117" w:lineRule="exact"/>
        <w:rPr>
          <w:rFonts w:ascii="Arial" w:cs="Arial" w:eastAsia="Arial" w:hAnsi="Arial"/>
          <w:sz w:val="18"/>
          <w:szCs w:val="18"/>
          <w:color w:val="auto"/>
        </w:rPr>
      </w:pPr>
    </w:p>
    <w:p>
      <w:pPr>
        <w:ind w:right="320" w:firstLine="8"/>
        <w:spacing w:after="0" w:line="277" w:lineRule="auto"/>
        <w:tabs>
          <w:tab w:leader="none" w:pos="39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Issuers have delivered irrevocable written instructions to the trustee under the indenture to apply the deposited money toward the payment of the notes at maturity or the redemption date, as the case may be.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Upon compliance with the foregoing, the trustee shall execute proper instrument(s) acknowledging the satisfaction and discharge of all of the Issuers’ obligations under the notes and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director, officer, employee, incorporator or direct or indirect partner, member or stockholder, past, present or future, of the Issuers, the Guarantor or any successor entity, as such, will have any liability for any obligations of the Issuers or the Guarantor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65" w:right="259" w:bottom="1440" w:gutter="0" w:footer="0" w:header="0"/>
        </w:sectPr>
      </w:pPr>
    </w:p>
    <w:bookmarkStart w:id="153" w:name="page154"/>
    <w:bookmarkEnd w:id="153"/>
    <w:p>
      <w:pPr>
        <w:ind w:right="40"/>
        <w:spacing w:after="0" w:line="312" w:lineRule="auto"/>
        <w:rPr>
          <w:sz w:val="20"/>
          <w:szCs w:val="20"/>
          <w:color w:val="auto"/>
        </w:rPr>
      </w:pPr>
      <w:r>
        <w:rPr>
          <w:rFonts w:ascii="Arial" w:cs="Arial" w:eastAsia="Arial" w:hAnsi="Arial"/>
          <w:sz w:val="16"/>
          <w:szCs w:val="16"/>
          <w:color w:val="auto"/>
        </w:rPr>
        <w:t>under the notes or the indenture or in the case of the 2023 Notes and 2020 Notes, the Registration Rights Agreement,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Forms and Denomination</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notes are issued as permanent global securities in the name of a nominee of DTC and in the case of the 2023 Notes and 2020 Notes, are available only in book-entry form except in certain limited circumstances. The notes are issued in fully registered form without coupons and are available for purchase only in denominations of $2,000 and in integral multiples of $1,000 in excess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If the trustee becomes a creditor of the Issuers or the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or resign.</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holders of a majority in principal amount of then outstanding applicable series of notes will have the right to direct the time, method and place of conducting any proceeding for exercising any remedy available to the trustee with respect to such series of notes, subject to certain exceptions. The indenture provides that in case an event of default occurs and is continuing, the trustee will be required, in the exercise of its power, to use the degree of care of a prudent person in the conduct of such person’s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case the of 2030 Notes and 2024 Notes, the trustee shall be entitled to make a deduction or withholding from any payment which it makes under the indenture for or on account of any present or future taxes, duties or charges if and to the extent so required by any applicable law and any current or future regulations or agreements thereunder or official interpretations thereof or any law implementing an intergovernmental approach thereto or by virtue of the relevant holder failing to satisfy any certification or other requirements in respect of the notes, in which event the trustee shall make such payment after such withholding or deduction has been made and shall account to the relevant authorities for the amount so withheld or deducted and shall have no obligation to gross up any payment hereunder or pay any additional amount as a result of such withholding tax. In connection with any proposed exchange of a certificated note for a global note interest, the Issuers or DTC shall be required to use commercially reasonable efforts to provide or cause to be provided to the trustee all information reasonably requested by the trustee that is necessary to allow the trustee to comply with any applicable tax reporting obligations, including, in the case of the 2030 Notes and 2024 Notes, without limitation, any cost basis reporting obligations under Section 6045 of the Code. The trustee shall be entitled to rely on the information provided to it and shall have no responsibility to verify or ensure the accuracy of such information.</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Wells Fargo Bank, National Association, in addition to serving as trustee under the indenture, is one of the lenders under the Credit Facility, and such credit facility includes outstanding debt which is to be retired at least in part with proceeds from this transaction. Wells Fargo Securities, LLC, an affiliate of the trustee, is one of the underwriters. We currently have a business relationship, and may from time to time conduct other banking transactions including lending transactions or maintaining deposit accounts, with Wells Fargo Bank, National Association in the ordinary course of business.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Provisions of Pennsylvania Law and GLPI’s Articles of Incorporation and Bylaws and Other Governance Documents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and Vacancies; Removal of Directors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GLPI’s Articles of Incorporation, each member of GLPI’s board of directors is elected until the next annual meeting of shareholders and until his or her successor is elected or until his or her earlier death, resignation or removal, with the current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666" w:right="279" w:bottom="1440" w:gutter="0" w:footer="0" w:header="0"/>
        </w:sectPr>
      </w:pPr>
    </w:p>
    <w:bookmarkStart w:id="154" w:name="page155"/>
    <w:bookmarkEnd w:id="154"/>
    <w:p>
      <w:pPr>
        <w:ind w:right="80"/>
        <w:spacing w:after="0" w:line="342" w:lineRule="auto"/>
        <w:rPr>
          <w:sz w:val="20"/>
          <w:szCs w:val="20"/>
          <w:color w:val="auto"/>
        </w:rPr>
      </w:pPr>
      <w:r>
        <w:rPr>
          <w:rFonts w:ascii="Arial" w:cs="Arial" w:eastAsia="Arial" w:hAnsi="Arial"/>
          <w:sz w:val="16"/>
          <w:szCs w:val="16"/>
          <w:color w:val="auto"/>
        </w:rPr>
        <w:t>members’ terms expiring at the annual meeting of shareholders to be held in 2020. At any meeting of shareholders for the uncontested election of directors at which a quorum is present, the election will be determined by a majority of the votes cast by the shareholders entitled to vote in the election.</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GLPI’s board of directors has seven directors. The Bylaws provide that the number of directors on GLPI’s board of directors will be fixed exclusively by the board of directors. Subject to the rights of holders of any stock having preference over the common stock to elect additional directors, newly created directorships resulting from any increase in the number of directors and any vacancies in the board of directors resulting from death, resignation, retirement, disqualification, removal from office or other cause will be filled by the majority vote of the remaining directors in office, even if less than a quorum is present.</w:t>
      </w:r>
    </w:p>
    <w:p>
      <w:pPr>
        <w:spacing w:after="0" w:line="18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Subject to the rights of any stock having preference over the common stock to elect directors, the Bylaws provide that a director may be removed only for cause (as defined in the Bylaws) by the affirmative vote of: (i) a majority of the entire GLPI board of directors (not including the director whose removal is being considered); or (ii) 75% of the votes cast by the holders of shares entitled to vote generally in the election of directors. In addition, under</w:t>
      </w:r>
    </w:p>
    <w:p>
      <w:pPr>
        <w:ind w:right="60"/>
        <w:spacing w:after="0" w:line="302" w:lineRule="auto"/>
        <w:rPr>
          <w:sz w:val="20"/>
          <w:szCs w:val="20"/>
          <w:color w:val="auto"/>
        </w:rPr>
      </w:pPr>
      <w:r>
        <w:rPr>
          <w:rFonts w:ascii="Arial" w:cs="Arial" w:eastAsia="Arial" w:hAnsi="Arial"/>
          <w:sz w:val="16"/>
          <w:szCs w:val="16"/>
          <w:color w:val="auto"/>
        </w:rPr>
        <w:t>Section 1726(c) of the Pennsylvania Business Corporation Law, or the PBCL, a court may remove a director upon application in a derivative suit in cases of fraudulent or dishonest acts, gross abuse of authority or discretion, or for any other proper cause. Section 1726(a)(4) of the PBCL also provides that the board of directors may be removed at any time with or without cause by the unanimous vote or written consents of the shareholders entitled to vote thereon.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Pennsylvania State Takeover Statutes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shares acquired directly from the corporation in a transaction exempt from the registration requirements of the Securities Act of 1933, are not counted towards the determination of whether the 20% share ownership threshold has been met for purposes of Subchapter 25E.</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a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9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w:t>
      </w:r>
    </w:p>
    <w:p>
      <w:pPr>
        <w:ind w:right="60" w:firstLine="8"/>
        <w:spacing w:after="0" w:line="271" w:lineRule="auto"/>
        <w:tabs>
          <w:tab w:leader="none" w:pos="26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Subchapter 25H of the PBCL provides that if any person or group publicly discloses that the person or group may acquire control of the corporation, or a person or group acquires, or publicly discloses an offer or intent to acquire, 20% or more of the voting power of the corporation and, in either case, sells shares in the following 18 months, then the profits from such sale must be disgorged to the corporation if the securities that were sold were acquired during the 18-month period or within the preceding 24 months.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shareholders approve a control share acquisition under Subchapter 25G, the corporation is also subject to Subchapters 25I and 25J of the PBCL. Subchapter 25I provides for a minimum severance payment to certain employees terminated within two years of the approval. Subchapter 25J prohibits the abrogation of certain labor contracts prior to their stated date of expiration.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66"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Amendments to GLPI’s Articles of Incorporation and Bylaws and Approval of Extraordinary Actions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Pennsylvania law and the Articles of Incorporation generally provide that GLPI can amend its Articles of Incorporation, merge, consolidate, sell all or substantially all of our assets, engage in a statutory share exchange or dissolve if the action has first been approved by the board of directors and then by the affirmative vote of a majority of the votes cast by all shareholders entitled to vote on the matter. The Articles of Incorporation also provide that the amendment or repeal of any Articles of Incorporation provision concerning the indemnification or limitation of liability of GLPI’s directors will require the affirmative vote of at least 75% of the voting power of all of its outstanding capital stock entitled to vote generally in the election of directors, voting together as a single class. Pennsylvania law provides that GLPI’s shareholders are not entitled by statute to propose amendments to the Articles of Incorporation or to call special meetings of shareholders.</w:t>
      </w:r>
    </w:p>
    <w:p>
      <w:pPr>
        <w:spacing w:after="0" w:line="1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GLPI’s board of directors is authorized to adopt, amend or repeal any provision of the bylaws without shareholder approval. Except as otherwise required by law, any provision of the Bylaws may only be adopted, amended or repealed by the shareholders (i) upon receiving at least 75% of the votes cast by the holders of shares entitled to vote thereon or (ii) in the event that the amendment has been proposed by a majority of the board of directors, upon receiving a majority of the votes cast by the holders of shares entitled to vote thereon.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the PBCL, shareholders will be not entitled to call special meetings of shareholders. Only the chairman of the board of directors or a majority of the directors then in office may call such meetings pursuant to the Bylaws.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by Written Consent</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Under the PBCL, any action required to be taken or which may be taken at any annual or special meeting of the shareholders may be taken without a meeting if, and only if, prior to the taking of such action, all shareholders entitled to vote thereon consent in writing to such action being taken.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Advance Notification of Shareholder Nominations and Proposals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Bylaws contain advance notice procedures with respect to shareholder proposals and recommendations of candidates for election as directors other than nominations made by or at the direction of the board of directors or a committee of the board of directors. In particular, shareholders must notify the corporate secretary in writing prior to the meeting at which the matters are to be acted upon or directors are to be elected. The notice must contain the information specified in the Bylaws. To be timely, the notice must be received at GLPI’s principal executive office not less than 120 nor more than 150 days prior to the anniversary date of the immediately preceding annual meeting of shareholders. In order to be eligible to present a shareholder proposal or recommend a candidate for nomination for election as a director at a shareholders meeting, a shareholder must have owned beneficially at least 1% of the outstanding GLPI common stock for a continuous period of not less than 12 months. In addition, shareholders will not be permitted to nominate directly candidates for election to the board of directors, but will instead be permitted to recommend potential nominees to the compensation and governance committee.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Pennsylvania Law and of the Articles of Incorporation and Bylaws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restrictions on ownership and transfer of GLPI stock will prohibit any person from acquiring more than 7% of its outstanding common stock (without prior approval of GLPI’s board of directors). The power of GLPI’s board of directors to issue authorized but unissued shares of our common stock and preferred stock without shareholder approval also could have the effect of delaying, deferring or preventing a change in control or other transaction. These additional shares may be used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us by means of a proxy contest, tender offer, merger or otherwise.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provisions, along with other provisions of the PBCL and the Articles of Incorporation and Bylaws discussed above, including provisions relating to the removal of directors and the filling of vacancies, the advance notice and special meeting provisions, alone or in combination, are designed to protect GLPI’s shareholders from coercive or otherwise unfair takeover tactics by requiring potential acquirors to negotiate with GLPI’s board of directors and by providing GLPI’s board of directors with more time to assess any acquisition proposal.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77"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Shareholders Rights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While the PBCL authorizes a corporation to adopt a shareholder rights plan, GLPI does not have a shareholder rights plan currently in effect.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PBCL permits a corporation to indemnify any person who was or is a party or is threatened to be made a party to any threatened, pending or completed action or proceeding, whether civil, criminal, administrative or investigative (other than an action by or in the right of the corporation), by reason of the fact that he is or was a representative of the corporation, against expenses (including attorneys’ fees), judgments, fines and amounts paid in settlement actually and reasonably incurred by him in connection with the action or proceeding if he acted in good faith and in a manner he reasonably believed to be in, or not opposed to, the best interests of the corporation, and with respect to any criminal proceeding, had no reasonable cause to believe his conduct was unlawful. In an action by or in the right of the corporation, indemnification will not be made in respect of any claim, issue, or matter as to which the person has been adjudged to be liable to the corporation.</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Unless ordered by a court, the determination of whether indemnification is proper in a specific case will be determined by (1) the board of directors by a majority vote of a quorum consisting of directors who were not parties to the action or proceeding; (2) if such a quorum is not obtainable or if obtainable and a majority vote of a quorum of disinterested directors so directs, by independent legal counsel in a written opinion; or (3) by the shareholders.</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the extent that a representative of a business corporation has been successful on the merits or otherwise in defense of a third-party action, derivative action, or corporate action, he must be indemnified against expenses (including attorneys’ fees) actually and reasonably incurred by him in connection therewith.</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Pennsylvania law permits a corporation to purchase and maintain insurance for a director or officer against any liability asserted against him, and incurred in his capacity as a director or officer or arising out of his position, whether or not the corporation would have the power to indemnify him against such liability under Pennsylvania law.</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Articles of Incorporation and Bylaws provide that a director shall, to the maximum extent permitted by Pennsylvania law, have no personal liability or monetary damages for any action taken, or any failure to take any action as a director. The Articles of Incorporation and Bylaws also provide for indemnification for current and former directors, officers, employees, or agents serving at the request of the corporation to the fullest extent permitted by Pennsylvania law. The Articles of Incorporation and Bylaws also permit the advancement of expenses.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Partnership Agreement of the Operating Partnership</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Operating Partnership was organized as a Pennsylvania limited partnership on March 12, 2013. The partnership agreement was entered into on March 13, 2013 by and between GLP Capital Partners, LLC, as a limited partner, and GLPI, as the general partner. Pursuant to the partnership agreement, as the general partner of the Operating Partnership, GLPI has full, exclusive and complete responsibility and discretion in the management and control of the Operating Partnership and has the power to bind the Operating Partnership in the act of carrying on the business of the Operating Partnership.</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GLPI may not, without the consent of the limited partner, sell, assign, transfer, give, donate, pledge, deposit, alienate, bequeath, devise or otherwise dispose of or encumber to any person other than the Operating Partnership, all or any portion of its interest in the Operating Partnership except (i) by operation of law, (ii) to a receiver or trustee in bankruptcy for GLPI or (iii) to any wholly owned affiliate of GLPI.</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partnership agreement provides that the Operating Partnership will make distributions out of funds legally available therefor, at such time and in such amounts as determined by GLPI in its sole discretion, to GLPI and the limited partner in accordance with their respective percentage interests in the Operating Partnership.</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Upon liquidation of the Operating Partnership, after payment of, or adequate provision for, debts and liabilities of the Operating Partnership, any remaining assets of the Operating Partnership will be distributed to GLPI and the limited partner in accordance with their respective percentage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Operating Partnership will have perpetual existence, or until sooner dissolved upon:</w:t>
      </w:r>
    </w:p>
    <w:p>
      <w:pPr>
        <w:spacing w:after="0" w:line="225" w:lineRule="exact"/>
        <w:rPr>
          <w:sz w:val="20"/>
          <w:szCs w:val="20"/>
          <w:color w:val="auto"/>
        </w:rPr>
      </w:pPr>
    </w:p>
    <w:p>
      <w:pPr>
        <w:ind w:left="5620" w:right="4580" w:hanging="5288"/>
        <w:spacing w:after="0" w:line="528"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sale of all or substantially all of the Operating Partnership’s assets and properties; 32</w:t>
      </w:r>
    </w:p>
    <w:p>
      <w:pPr>
        <w:sectPr>
          <w:pgSz w:w="11900" w:h="16838" w:orient="portrait"/>
          <w:cols w:equalWidth="0" w:num="1">
            <w:col w:w="11420"/>
          </w:cols>
          <w:pgMar w:left="240" w:top="878" w:right="239" w:bottom="1440" w:gutter="0" w:footer="0" w:header="0"/>
        </w:sectPr>
      </w:pPr>
    </w:p>
    <w:bookmarkStart w:id="157" w:name="page158"/>
    <w:bookmarkEnd w:id="157"/>
    <w:p>
      <w:pPr>
        <w:ind w:left="328" w:hanging="328"/>
        <w:spacing w:after="0"/>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unanimous agreement of the partners to effect such dissolution; or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entry of any order of judicial dissolution under Section 8681(a)(6) of the Pennsylvania Uniform Limited Partnership Act of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88"/>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968"/>
          </w:cols>
          <w:pgMar w:left="572" w:top="773" w:right="135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Subsidiaries of Gaming and Leisure Properties, Inc. (a Pennsylvania corporation)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auto"/>
              </w:rPr>
              <w:t>State or Other</w:t>
            </w:r>
          </w:p>
        </w:tc>
        <w:tc>
          <w:tcPr>
            <w:tcW w:w="0" w:type="dxa"/>
            <w:vAlign w:val="bottom"/>
          </w:tcPr>
          <w:p>
            <w:pPr>
              <w:spacing w:after="0"/>
              <w:rPr>
                <w:sz w:val="1"/>
                <w:szCs w:val="1"/>
                <w:color w:val="auto"/>
              </w:rPr>
            </w:pPr>
          </w:p>
        </w:tc>
      </w:tr>
      <w:tr>
        <w:trPr>
          <w:trHeight w:val="149"/>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00" w:type="dxa"/>
            <w:vAlign w:val="bottom"/>
            <w:vMerge w:val="restart"/>
          </w:tcPr>
          <w:p>
            <w:pPr>
              <w:spacing w:after="0"/>
              <w:rPr>
                <w:sz w:val="12"/>
                <w:szCs w:val="12"/>
                <w:color w:val="auto"/>
              </w:rPr>
            </w:pPr>
          </w:p>
        </w:tc>
        <w:tc>
          <w:tcPr>
            <w:tcW w:w="16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Incorporation</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CCR PA Racing,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Capital Partners, LLC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Capital, L.P.</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Holdings, Inc.</w:t>
            </w:r>
          </w:p>
        </w:tc>
        <w:tc>
          <w:tcPr>
            <w:tcW w:w="166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Financing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GLP Financing II, Inc.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GLP Midwest Properties I, LLC</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Gold Merger Sub,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Louisiana Casino Cruises, Inc. (d/b/a Hollywood Casino Baton Rouge)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PA Meadows,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Penn Cecil Maryland, Inc. (d/b/a Hollywood Casino Perryville)</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SE Inlet Properties, LLC</w:t>
            </w:r>
          </w:p>
        </w:tc>
        <w:tc>
          <w:tcPr>
            <w:tcW w:w="1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WTA II, LLC</w:t>
            </w: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
        </w:trPr>
        <w:tc>
          <w:tcPr>
            <w:tcW w:w="8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00"/>
          </w:cols>
          <w:pgMar w:left="1060" w:top="55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following Registration Statements of our reports dated February 21, 2020, relating to the consolidated financial statements and financial statement schedules of Gaming and Leisure Properties, Inc. and Subsidiaries, and the effectiveness of Gaming and Leisure Properties, Inc. and Subsidiaries’ internal control over financial reporting, appearing in this Annual Report on Form 10-K of Gaming and Leisure Properties, Inc. and Subsidiaries for the year ended December 31,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333-233213 on Form S-3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4 to Registration Statement No. 333-206649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1 to Registration Statement No. 333-196662 on Form S-4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Registration Statement No. 333-192017 on Form S-8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55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February 21, 2020</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5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February 21, 2020</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30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88"/>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Arial" w:cs="Arial" w:eastAsia="Arial" w:hAnsi="Arial"/>
                <w:sz w:val="18"/>
                <w:szCs w:val="18"/>
                <w:i w:val="1"/>
                <w:iCs w:val="1"/>
                <w:color w:val="auto"/>
                <w:w w:val="98"/>
              </w:rPr>
              <w:t>Chief Financial Officer</w:t>
            </w:r>
          </w:p>
        </w:tc>
      </w:tr>
    </w:tbl>
    <w:p>
      <w:pPr>
        <w:sectPr>
          <w:pgSz w:w="11900" w:h="16838" w:orient="portrait"/>
          <w:cols w:equalWidth="0" w:num="1">
            <w:col w:w="11420"/>
          </w:cols>
          <w:pgMar w:left="240" w:top="553"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2019,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February 21, 2020</w:t>
      </w:r>
    </w:p>
    <w:p>
      <w:pPr>
        <w:sectPr>
          <w:pgSz w:w="11900" w:h="16838" w:orient="portrait"/>
          <w:cols w:equalWidth="0" w:num="1">
            <w:col w:w="11420"/>
          </w:cols>
          <w:pgMar w:left="240" w:top="553"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annual report of Gaming and Leisure Properties, Inc. (the “Company”) on Form 10-K for the year ended December 31, 2019, as filed with the Securities and Exchange Commission on the date hereof (the “Report”), I, Steven T. Snyder,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February 21, 2020</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2"/>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lowerRoman"/>
      <w:start w:val="2"/>
    </w:lvl>
  </w:abstractNum>
  <w:abstractNum w:abstractNumId="12">
    <w:nsid w:val="579BE4F1"/>
    <w:multiLevelType w:val="hybridMultilevel"/>
    <w:lvl w:ilvl="0">
      <w:lvlJc w:val="left"/>
      <w:lvlText w:val="(%1)"/>
      <w:numFmt w:val="lowerRoman"/>
      <w:start w:val="1"/>
    </w:lvl>
  </w:abstractNum>
  <w:abstractNum w:abstractNumId="13">
    <w:nsid w:val="310C50B3"/>
    <w:multiLevelType w:val="hybridMultilevel"/>
    <w:lvl w:ilvl="0">
      <w:lvlJc w:val="left"/>
      <w:lvlText w:val="(%1)"/>
      <w:numFmt w:val="lowerLetter"/>
      <w:start w:val="9"/>
    </w:lvl>
    <w:lvl w:ilvl="1">
      <w:lvlJc w:val="left"/>
      <w:lvlText w:val="(%2)"/>
      <w:numFmt w:val="lowerLetter"/>
      <w:start w:val="1"/>
    </w:lvl>
  </w:abstractNum>
  <w:abstractNum w:abstractNumId="14">
    <w:nsid w:val="5FF87E05"/>
    <w:multiLevelType w:val="hybridMultilevel"/>
    <w:lvl w:ilvl="0">
      <w:lvlJc w:val="left"/>
      <w:lvlText w:val="(%1)"/>
      <w:numFmt w:val="lowerRoman"/>
      <w:start w:val="2"/>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lowerRoman"/>
      <w:start w:val="1"/>
    </w:lvl>
  </w:abstractNum>
  <w:abstractNum w:abstractNumId="17">
    <w:nsid w:val="1DBABF00"/>
    <w:multiLevelType w:val="hybridMultilevel"/>
    <w:lvl w:ilvl="0">
      <w:lvlJc w:val="left"/>
      <w:lvlText w:val="(%1)"/>
      <w:numFmt w:val="lowerRoman"/>
      <w:start w:val="3"/>
    </w:lvl>
  </w:abstractNum>
  <w:abstractNum w:abstractNumId="18">
    <w:nsid w:val="4AD084E9"/>
    <w:multiLevelType w:val="hybridMultilevel"/>
    <w:lvl w:ilvl="0">
      <w:lvlJc w:val="left"/>
      <w:lvlText w:val="(%1)"/>
      <w:numFmt w:val="lowerRoman"/>
      <w:start w:val="6"/>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decimal"/>
      <w:start w:val="2"/>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decimal"/>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2"/>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decimal"/>
      <w:start w:val="6"/>
    </w:lvl>
  </w:abstractNum>
  <w:abstractNum w:abstractNumId="42">
    <w:nsid w:val="8F2B15E"/>
    <w:multiLevelType w:val="hybridMultilevel"/>
    <w:lvl w:ilvl="0">
      <w:lvlJc w:val="left"/>
      <w:lvlText w:val="%1."/>
      <w:numFmt w:val="decimal"/>
      <w:start w:val="7"/>
    </w:lvl>
  </w:abstractNum>
  <w:abstractNum w:abstractNumId="43">
    <w:nsid w:val="1A32234B"/>
    <w:multiLevelType w:val="hybridMultilevel"/>
    <w:lvl w:ilvl="0">
      <w:lvlJc w:val="left"/>
      <w:lvlText w:val="%1"/>
      <w:numFmt w:val="decimal"/>
      <w:start w:val="1"/>
    </w:lvl>
    <w:lvl w:ilvl="1">
      <w:lvlJc w:val="left"/>
      <w:lvlText w:val="(%2)"/>
      <w:numFmt w:val="decimal"/>
      <w:start w:val="1"/>
    </w:lvl>
  </w:abstractNum>
  <w:abstractNum w:abstractNumId="44">
    <w:nsid w:val="3B0FD379"/>
    <w:multiLevelType w:val="hybridMultilevel"/>
    <w:lvl w:ilvl="0">
      <w:lvlJc w:val="left"/>
      <w:lvlText w:val="%1."/>
      <w:numFmt w:val="decimal"/>
      <w:start w:val="8"/>
    </w:lvl>
    <w:lvl w:ilvl="1">
      <w:lvlJc w:val="left"/>
      <w:lvlText w:val="%2"/>
      <w:numFmt w:val="decimal"/>
      <w:start w:val="1"/>
    </w:lvl>
  </w:abstractNum>
  <w:abstractNum w:abstractNumId="45">
    <w:nsid w:val="68EB2F63"/>
    <w:multiLevelType w:val="hybridMultilevel"/>
    <w:lvl w:ilvl="0">
      <w:lvlJc w:val="left"/>
      <w:lvlText w:val="%1."/>
      <w:numFmt w:val="decimal"/>
      <w:start w:val="12"/>
    </w:lvl>
  </w:abstractNum>
  <w:abstractNum w:abstractNumId="46">
    <w:nsid w:val="4962813B"/>
    <w:multiLevelType w:val="hybridMultilevel"/>
    <w:lvl w:ilvl="0">
      <w:lvlJc w:val="left"/>
      <w:lvlText w:val="(%1)"/>
      <w:numFmt w:val="decimal"/>
      <w:start w:val="2"/>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840"/>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2"/>
    </w:lvl>
  </w:abstractNum>
  <w:abstractNum w:abstractNumId="52">
    <w:nsid w:val="71EA1109"/>
    <w:multiLevelType w:val="hybridMultilevel"/>
    <w:lvl w:ilvl="0">
      <w:lvlJc w:val="left"/>
      <w:lvlText w:val="(%1)"/>
      <w:numFmt w:val="decimal"/>
      <w:start w:val="3"/>
    </w:lvl>
  </w:abstractNum>
  <w:abstractNum w:abstractNumId="53">
    <w:nsid w:val="100F59DC"/>
    <w:multiLevelType w:val="hybridMultilevel"/>
    <w:lvl w:ilvl="0">
      <w:lvlJc w:val="left"/>
      <w:lvlText w:val="(%1)"/>
      <w:numFmt w:val="decimal"/>
      <w:start w:val="4"/>
    </w:lvl>
  </w:abstractNum>
  <w:abstractNum w:abstractNumId="54">
    <w:nsid w:val="7FB7E0AA"/>
    <w:multiLevelType w:val="hybridMultilevel"/>
    <w:lvl w:ilvl="0">
      <w:lvlJc w:val="left"/>
      <w:lvlText w:val="%1."/>
      <w:numFmt w:val="decimal"/>
      <w:start w:val="20"/>
    </w:lvl>
  </w:abstractNum>
  <w:abstractNum w:abstractNumId="55">
    <w:nsid w:val="6EB5BD4"/>
    <w:multiLevelType w:val="hybridMultilevel"/>
    <w:lvl w:ilvl="0">
      <w:lvlJc w:val="left"/>
      <w:lvlText w:val="(%1)"/>
      <w:numFmt w:val="decimal"/>
      <w:start w:val="1"/>
    </w:lvl>
  </w:abstractNum>
  <w:abstractNum w:abstractNumId="56">
    <w:nsid w:val="6F6DD9AC"/>
    <w:multiLevelType w:val="hybridMultilevel"/>
    <w:lvl w:ilvl="0">
      <w:lvlJc w:val="left"/>
      <w:lvlText w:val="(%1)"/>
      <w:numFmt w:val="decimal"/>
      <w:start w:val="3"/>
    </w:lvl>
  </w:abstractNum>
  <w:abstractNum w:abstractNumId="57">
    <w:nsid w:val="94211F2"/>
    <w:multiLevelType w:val="hybridMultilevel"/>
    <w:lvl w:ilvl="0">
      <w:lvlJc w:val="left"/>
      <w:lvlText w:val="(%1)"/>
      <w:numFmt w:val="decimal"/>
      <w:start w:val="4"/>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3"/>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decimal"/>
      <w:start w:val="101"/>
    </w:lvl>
  </w:abstractNum>
  <w:abstractNum w:abstractNumId="63">
    <w:nsid w:val="3222E7CD"/>
    <w:multiLevelType w:val="hybridMultilevel"/>
    <w:lvl w:ilvl="0">
      <w:lvlJc w:val="left"/>
      <w:lvlText w:val="#"/>
      <w:numFmt w:val="bullet"/>
      <w:start w:val="1"/>
    </w:lvl>
    <w:lvl w:ilvl="1">
      <w:lvlJc w:val="left"/>
      <w:lvlText w:val="%2"/>
      <w:numFmt w:val="decimal"/>
      <w:start w:val="104"/>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lowerLetter"/>
      <w:start w:val="25"/>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decimal"/>
      <w:start w:val="1"/>
    </w:lvl>
    <w:lvl w:ilvl="1">
      <w:lvlJc w:val="left"/>
      <w:lvlText w:val="(%2)"/>
      <w:numFmt w:val="lowerLetter"/>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lowerRoman"/>
      <w:start w:val="4"/>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
    </w:lvl>
    <w:lvl w:ilvl="1">
      <w:lvlJc w:val="left"/>
      <w:lvlText w:val="(%2)"/>
      <w:numFmt w:val="lowerLetter"/>
      <w:start w:val="1"/>
    </w:lvl>
  </w:abstractNum>
  <w:abstractNum w:abstractNumId="88">
    <w:nsid w:val="73A1821B"/>
    <w:multiLevelType w:val="hybridMultilevel"/>
    <w:lvl w:ilvl="0">
      <w:lvlJc w:val="left"/>
      <w:lvlText w:val="(%1)"/>
      <w:numFmt w:val="lowerLetter"/>
      <w:start w:val="6"/>
    </w:lvl>
  </w:abstractNum>
  <w:abstractNum w:abstractNumId="89">
    <w:nsid w:val="7DE67713"/>
    <w:multiLevelType w:val="hybridMultilevel"/>
    <w:lvl w:ilvl="0">
      <w:lvlJc w:val="left"/>
      <w:lvlText w:val="(%1)"/>
      <w:numFmt w:val="decimal"/>
      <w:start w:val="1"/>
    </w:lvl>
    <w:lvl w:ilvl="1">
      <w:lvlJc w:val="left"/>
      <w:lvlText w:val="(%2)"/>
      <w:numFmt w:val="lowerLetter"/>
      <w:start w:val="1"/>
    </w:lvl>
  </w:abstractNum>
  <w:abstractNum w:abstractNumId="90">
    <w:nsid w:val="555C55B5"/>
    <w:multiLevelType w:val="hybridMultilevel"/>
    <w:lvl w:ilvl="0">
      <w:lvlJc w:val="left"/>
      <w:lvlText w:val="(%1)"/>
      <w:numFmt w:val="lowerLetter"/>
      <w:start w:val="2"/>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1)"/>
      <w:numFmt w:val="decimal"/>
      <w:start w:val="3"/>
    </w:lvl>
  </w:abstractNum>
  <w:abstractNum w:abstractNumId="94">
    <w:nsid w:val="71C91298"/>
    <w:multiLevelType w:val="hybridMultilevel"/>
    <w:lvl w:ilvl="0">
      <w:lvlJc w:val="left"/>
      <w:lvlText w:val="(%1)"/>
      <w:numFmt w:val="decimal"/>
      <w:start w:val="1"/>
    </w:lvl>
  </w:abstractNum>
  <w:abstractNum w:abstractNumId="95">
    <w:nsid w:val="9DAF632"/>
    <w:multiLevelType w:val="hybridMultilevel"/>
    <w:lvl w:ilvl="0">
      <w:lvlJc w:val="left"/>
      <w:lvlText w:val="(%1)"/>
      <w:numFmt w:val="decimal"/>
      <w:start w:val="1"/>
    </w:lvl>
  </w:abstractNum>
  <w:abstractNum w:abstractNumId="96">
    <w:nsid w:val="53299938"/>
    <w:multiLevelType w:val="hybridMultilevel"/>
    <w:lvl w:ilvl="0">
      <w:lvlJc w:val="left"/>
      <w:lvlText w:val="(%1)"/>
      <w:numFmt w:val="decimal"/>
      <w:start w:val="5"/>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
    </w:lvl>
  </w:abstractNum>
  <w:abstractNum w:abstractNumId="99">
    <w:nsid w:val="1D545C4D"/>
    <w:multiLevelType w:val="hybridMultilevel"/>
    <w:lvl w:ilvl="0">
      <w:lvlJc w:val="left"/>
      <w:lvlText w:val="(%1)"/>
      <w:numFmt w:val="decimal"/>
      <w:start w:val="4"/>
    </w:lvl>
  </w:abstractNum>
  <w:abstractNum w:abstractNumId="100">
    <w:nsid w:val="59ADEA3D"/>
    <w:multiLevelType w:val="hybridMultilevel"/>
    <w:lvl w:ilvl="0">
      <w:lvlJc w:val="left"/>
      <w:lvlText w:val="(%1)"/>
      <w:numFmt w:val="decimal"/>
      <w:start w:val="1"/>
    </w:lvl>
    <w:lvl w:ilvl="1">
      <w:lvlJc w:val="left"/>
      <w:lvlText w:val="(%2)"/>
      <w:numFmt w:val="lowerLetter"/>
      <w:start w:val="1"/>
    </w:lvl>
  </w:abstractNum>
  <w:abstractNum w:abstractNumId="101">
    <w:nsid w:val="288F1A34"/>
    <w:multiLevelType w:val="hybridMultilevel"/>
    <w:lvl w:ilvl="0">
      <w:lvlJc w:val="left"/>
      <w:lvlText w:val="(%1)"/>
      <w:numFmt w:val="lowerRoman"/>
      <w:start w:val="2"/>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decimal"/>
      <w:start w:val="5"/>
    </w:lvl>
    <w:lvl w:ilvl="1">
      <w:lvlJc w:val="left"/>
      <w:lvlText w:val="(%2)"/>
      <w:numFmt w:val="lowerLetter"/>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Letter"/>
      <w:start w:val="2"/>
    </w:lvl>
  </w:abstractNum>
  <w:abstractNum w:abstractNumId="111">
    <w:nsid w:val="45E6D486"/>
    <w:multiLevelType w:val="hybridMultilevel"/>
    <w:lvl w:ilvl="0">
      <w:lvlJc w:val="left"/>
      <w:lvlText w:val="%1."/>
      <w:numFmt w:val="decimal"/>
      <w:start w:val="5"/>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5" Type="http://schemas.openxmlformats.org/officeDocument/2006/relationships/image" Target="media/image14.png"/><Relationship Id="rId44" Type="http://schemas.openxmlformats.org/officeDocument/2006/relationships/image" Target="media/image15.png"/><Relationship Id="rId59" Type="http://schemas.openxmlformats.org/officeDocument/2006/relationships/image" Target="media/image16.png"/><Relationship Id="rId76" Type="http://schemas.openxmlformats.org/officeDocument/2006/relationships/image" Target="media/image17.png"/><Relationship Id="rId86" Type="http://schemas.openxmlformats.org/officeDocument/2006/relationships/image" Target="media/image18.png"/><Relationship Id="rId21" Type="http://schemas.openxmlformats.org/officeDocument/2006/relationships/hyperlink" Target="http://www.sec.gov/Archives/edgar/data/1575965/000110465913082396/a13-23794_2ex2d1.htm" TargetMode="External"/><Relationship Id="rId22" Type="http://schemas.openxmlformats.org/officeDocument/2006/relationships/hyperlink" Target="http://www.sec.gov/Archives/edgar/data/1575965/000157596515000036/glpi72215exhibit21.htm" TargetMode="External"/><Relationship Id="rId23" Type="http://schemas.openxmlformats.org/officeDocument/2006/relationships/hyperlink" Target="http://www.sec.gov/Archives/edgar/data/1575965/000157596516000098/exhibit21-amendmenttomerge.htm" TargetMode="External"/><Relationship Id="rId24" Type="http://schemas.openxmlformats.org/officeDocument/2006/relationships/hyperlink" Target="http://www.sec.gov/Archives/edgar/data/1575965/000119312516564256/d169218dex24.htm" TargetMode="External"/><Relationship Id="rId25" Type="http://schemas.openxmlformats.org/officeDocument/2006/relationships/hyperlink" Target="http://www.sec.gov/Archives/edgar/data/1575965/000119312518117881/d545112dex21.htm" TargetMode="External"/><Relationship Id="rId26" Type="http://schemas.openxmlformats.org/officeDocument/2006/relationships/hyperlink" Target="http://www.sec.gov/Archives/edgar/data/1575965/000119312518117881/d545112dex22.htm" TargetMode="External"/><Relationship Id="rId27" Type="http://schemas.openxmlformats.org/officeDocument/2006/relationships/hyperlink" Target="http://www.sec.gov/Archives/edgar/data/1575965/000119312518289765/d612515dex23.htm" TargetMode="External"/><Relationship Id="rId28" Type="http://schemas.openxmlformats.org/officeDocument/2006/relationships/hyperlink" Target="http://www.sec.gov/Archives/edgar/data/1575965/000157596518000016/glpiexhibit31amendedandres.htm" TargetMode="External"/><Relationship Id="rId29" Type="http://schemas.openxmlformats.org/officeDocument/2006/relationships/hyperlink" Target="http://www.sec.gov/Archives/edgar/data/1575965/000157596518000016/glpiexhibit32amendedandres.htm" TargetMode="External"/><Relationship Id="rId30" Type="http://schemas.openxmlformats.org/officeDocument/2006/relationships/hyperlink" Target="http://www.sec.gov/Archives/edgar/data/1575965/000110465913080098/a13-22016_6ex4d1.htm" TargetMode="External"/><Relationship Id="rId31" Type="http://schemas.openxmlformats.org/officeDocument/2006/relationships/hyperlink" Target="http://www.sec.gov/Archives/edgar/data/1575965/000119312516519802/d155565dex41.htm" TargetMode="External"/><Relationship Id="rId32" Type="http://schemas.openxmlformats.org/officeDocument/2006/relationships/hyperlink" Target="http://www.sec.gov/Archives/edgar/data/1575965/000119312516564256/d169218dex43.htm" TargetMode="External"/><Relationship Id="rId33" Type="http://schemas.openxmlformats.org/officeDocument/2006/relationships/hyperlink" Target="http://www.sec.gov/Archives/edgar/data/1575965/000119312516564256/d169218dex44.htm" TargetMode="External"/><Relationship Id="rId34" Type="http://schemas.openxmlformats.org/officeDocument/2006/relationships/hyperlink" Target="http://www.sec.gov/Archives/edgar/data/1575965/000119312518170967/d584186dex43.htm" TargetMode="External"/><Relationship Id="rId36" Type="http://schemas.openxmlformats.org/officeDocument/2006/relationships/hyperlink" Target="http://www.sec.gov/Archives/edgar/data/1575965/000119312518170967/d584186dex44.htm" TargetMode="External"/><Relationship Id="rId37" Type="http://schemas.openxmlformats.org/officeDocument/2006/relationships/hyperlink" Target="http://www.sec.gov/Archives/edgar/data/1575965/000119312518170967/d584186dex45.htm" TargetMode="External"/><Relationship Id="rId38" Type="http://schemas.openxmlformats.org/officeDocument/2006/relationships/hyperlink" Target="http://www.sec.gov/Archives/edgar/data/1575965/000119312518284105/d596721dex44.htm" TargetMode="External"/><Relationship Id="rId39" Type="http://schemas.openxmlformats.org/officeDocument/2006/relationships/hyperlink" Target="http://www.sec.gov/Archives/edgar/data/1575965/000119312519238989/d796187dex43.htm" TargetMode="External"/><Relationship Id="rId40" Type="http://schemas.openxmlformats.org/officeDocument/2006/relationships/hyperlink" Target="http://www.sec.gov/Archives/edgar/data/1575965/000119312519238989/d796187dex44.htm" TargetMode="External"/><Relationship Id="rId41" Type="http://schemas.openxmlformats.org/officeDocument/2006/relationships/hyperlink" Target="http://www.sec.gov/Archives/edgar/data/1575965/000110465913080098/a13-22016_6ex4d2.htm" TargetMode="External"/><Relationship Id="rId42" Type="http://schemas.openxmlformats.org/officeDocument/2006/relationships/hyperlink" Target="http://www.sec.gov/Archives/edgar/data/1575965/000110465913080098/a13-22016_6ex4d3.htm" TargetMode="External"/><Relationship Id="rId43" Type="http://schemas.openxmlformats.org/officeDocument/2006/relationships/hyperlink" Target="http://www.sec.gov/Archives/edgar/data/1575965/000110465913080098/a13-22016_6ex10d1.htm" TargetMode="External"/><Relationship Id="rId45" Type="http://schemas.openxmlformats.org/officeDocument/2006/relationships/hyperlink" Target="http://www.sec.gov/Archives/edgar/data/1575965/000110465913080098/a13-22016_6ex10d2.htm" TargetMode="External"/><Relationship Id="rId46" Type="http://schemas.openxmlformats.org/officeDocument/2006/relationships/hyperlink" Target="http://www.sec.gov/Archives/edgar/data/1575965/000110465913080098/a13-22016_6ex10d3.htm" TargetMode="External"/><Relationship Id="rId47" Type="http://schemas.openxmlformats.org/officeDocument/2006/relationships/hyperlink" Target="http://www.sec.gov/Archives/edgar/data/1575965/000110465913080098/a13-22016_6ex10d4.htm" TargetMode="External"/><Relationship Id="rId48" Type="http://schemas.openxmlformats.org/officeDocument/2006/relationships/hyperlink" Target="http://www.sec.gov/Archives/edgar/data/1575965/000119312515306851/d18100dex102.htm" TargetMode="External"/><Relationship Id="rId49" Type="http://schemas.openxmlformats.org/officeDocument/2006/relationships/hyperlink" Target="http://www.sec.gov/Archives/edgar/data/1575965/000157596516000098/exhibit101amendmenttocredi.htm" TargetMode="External"/><Relationship Id="rId50" Type="http://schemas.openxmlformats.org/officeDocument/2006/relationships/hyperlink" Target="http://www.sec.gov/Archives/edgar/data/1575965/000119312518170967/d584186dex101.htm" TargetMode="External"/><Relationship Id="rId51" Type="http://schemas.openxmlformats.org/officeDocument/2006/relationships/hyperlink" Target="http://www.sec.gov/Archives/edgar/data/1575965/000157596518000024/glpi-2018930exhibit105.htm" TargetMode="External"/><Relationship Id="rId52" Type="http://schemas.openxmlformats.org/officeDocument/2006/relationships/hyperlink" Target="http://www.sec.gov/Archives/edgar/data/1575965/000110465913082396/a13-23794_2ex10d1.htm" TargetMode="External"/><Relationship Id="rId53" Type="http://schemas.openxmlformats.org/officeDocument/2006/relationships/hyperlink" Target="http://www.sec.gov/Archives/edgar/data/1575965/000110465914037525/a14-12326_1ex10d1.htm" TargetMode="External"/><Relationship Id="rId54" Type="http://schemas.openxmlformats.org/officeDocument/2006/relationships/hyperlink" Target="http://www.sec.gov/Archives/edgar/data/1575965/000110465914055690/a14-14237_1ex10d1.htm" TargetMode="External"/><Relationship Id="rId55" Type="http://schemas.openxmlformats.org/officeDocument/2006/relationships/hyperlink" Target="http://www.sec.gov/Archives/edgar/data/1575965/000157596516000134/glpi-2016930exhibit102.htm" TargetMode="External"/><Relationship Id="rId56" Type="http://schemas.openxmlformats.org/officeDocument/2006/relationships/hyperlink" Target="http://www.sec.gov/Archives/edgar/data/1575965/000157596517000022/glpi-2017331exhibit102.htm" TargetMode="External"/><Relationship Id="rId57" Type="http://schemas.openxmlformats.org/officeDocument/2006/relationships/hyperlink" Target="http://www.sec.gov/Archives/edgar/data/1575965/000157596518000019/glpi-2018630exhibit103.htm" TargetMode="External"/><Relationship Id="rId58" Type="http://schemas.openxmlformats.org/officeDocument/2006/relationships/hyperlink" Target="http://www.sec.gov/Archives/edgar/data/1575965/000157596518000024/glpi-2018930exhibit101.htm" TargetMode="External"/><Relationship Id="rId60" Type="http://schemas.openxmlformats.org/officeDocument/2006/relationships/hyperlink" Target="http://www.sec.gov/Archives/edgar/data/1575965/000157596519000005/glpi-20181231exhibit1016.htm" TargetMode="External"/><Relationship Id="rId61" Type="http://schemas.openxmlformats.org/officeDocument/2006/relationships/hyperlink" Target="http://www.sec.gov/Archives/edgar/data/1575965/000157596519000005/glpi-20181231exhibit1017.htm" TargetMode="External"/><Relationship Id="rId62" Type="http://schemas.openxmlformats.org/officeDocument/2006/relationships/hyperlink" Target="http://www.sec.gov/Archives/edgar/data/1575965/000119312516564256/d169218dex23.htm" TargetMode="External"/><Relationship Id="rId63" Type="http://schemas.openxmlformats.org/officeDocument/2006/relationships/hyperlink" Target="http://www.sec.gov/Archives/edgar/data/1575965/000157596516000134/glpi-2016930exhibit101.htm" TargetMode="External"/><Relationship Id="rId64" Type="http://schemas.openxmlformats.org/officeDocument/2006/relationships/hyperlink" Target="http://www.sec.gov/Archives/edgar/data/1575965/000157596517000006/glpi-20161231exhibit1013.htm" TargetMode="External"/><Relationship Id="rId65" Type="http://schemas.openxmlformats.org/officeDocument/2006/relationships/hyperlink" Target="http://www.sec.gov/Archives/edgar/data/1575965/000157596517000022/glpi-2017331exhibit101.htm" TargetMode="External"/><Relationship Id="rId66" Type="http://schemas.openxmlformats.org/officeDocument/2006/relationships/hyperlink" Target="http://www.sec.gov/Archives/edgar/data/1575965/000119312518299507/d621785dex101.htm" TargetMode="External"/><Relationship Id="rId67" Type="http://schemas.openxmlformats.org/officeDocument/2006/relationships/hyperlink" Target="http://www.sec.gov/Archives/edgar/data/1575965/000119312518289765/d612515dex101.htm" TargetMode="External"/><Relationship Id="rId68" Type="http://schemas.openxmlformats.org/officeDocument/2006/relationships/hyperlink" Target="http://www.sec.gov/Archives/edgar/data/1575965/000157596519000023/glpi-2019630exhibit101.htm" TargetMode="External"/><Relationship Id="rId69" Type="http://schemas.openxmlformats.org/officeDocument/2006/relationships/hyperlink" Target="http://www.sec.gov/Archives/edgar/data/1575965/000119312518299507/d621785dex102.htm" TargetMode="External"/><Relationship Id="rId70" Type="http://schemas.openxmlformats.org/officeDocument/2006/relationships/hyperlink" Target="http://www.sec.gov/Archives/edgar/data/1575965/000157596517000039/exhibit101consentagreement.htm" TargetMode="External"/><Relationship Id="rId71" Type="http://schemas.openxmlformats.org/officeDocument/2006/relationships/hyperlink" Target="http://www.sec.gov/Archives/edgar/data/1575965/000110465913082396/a13-23794_2ex10d2.htm" TargetMode="External"/><Relationship Id="rId72" Type="http://schemas.openxmlformats.org/officeDocument/2006/relationships/hyperlink" Target="http://www.sec.gov/Archives/edgar/data/1575965/000157596515000036/glpi72215exhibit101.htm" TargetMode="External"/><Relationship Id="rId73" Type="http://schemas.openxmlformats.org/officeDocument/2006/relationships/hyperlink" Target="http://www.sec.gov/Archives/edgar/data/1575965/000110465913082396/a13-23794_2ex10d4.htm" TargetMode="External"/><Relationship Id="rId74" Type="http://schemas.openxmlformats.org/officeDocument/2006/relationships/hyperlink" Target="http://www.sec.gov/Archives/edgar/data/1575965/000119312516564256/d169218dex25.htm" TargetMode="External"/><Relationship Id="rId75" Type="http://schemas.openxmlformats.org/officeDocument/2006/relationships/hyperlink" Target="http://www.sec.gov/Archives/edgar/data/1575965/000157596519000009/exhibit101amendedltip.htm" TargetMode="External"/><Relationship Id="rId77" Type="http://schemas.openxmlformats.org/officeDocument/2006/relationships/hyperlink" Target="http://www.sec.gov/Archives/edgar/data/1575965/000157596517000006/glpi-20161231exhibit48.htm" TargetMode="External"/><Relationship Id="rId78" Type="http://schemas.openxmlformats.org/officeDocument/2006/relationships/hyperlink" Target="http://www.sec.gov/Archives/edgar/data/1575965/000157596517000006/glpi-20161231exhibiit49.htm" TargetMode="External"/><Relationship Id="rId79" Type="http://schemas.openxmlformats.org/officeDocument/2006/relationships/hyperlink" Target="http://www.sec.gov/Archives/edgar/data/1575965/000157596515000014/glpi-2015331exhibit42.htm" TargetMode="External"/><Relationship Id="rId80" Type="http://schemas.openxmlformats.org/officeDocument/2006/relationships/hyperlink" Target="http://www.sec.gov/Archives/edgar/data/1575965/000157596518000004/glpi-20171231exhibit1026.htm" TargetMode="External"/><Relationship Id="rId81" Type="http://schemas.openxmlformats.org/officeDocument/2006/relationships/hyperlink" Target="http://www.sec.gov/Archives/edgar/data/1575965/000157596518000004/glpi-20171231exhibit1027.htm" TargetMode="External"/><Relationship Id="rId82" Type="http://schemas.openxmlformats.org/officeDocument/2006/relationships/hyperlink" Target="http://www.sec.gov/Archives/edgar/data/1575965/000157596519000005/glpi20181231exhibit1036.htm" TargetMode="External"/><Relationship Id="rId83" Type="http://schemas.openxmlformats.org/officeDocument/2006/relationships/hyperlink" Target="http://www.sec.gov/Archives/edgar/data/1575965/000157596519000002/glpiexhibit101executivecha.htm" TargetMode="External"/><Relationship Id="rId84" Type="http://schemas.openxmlformats.org/officeDocument/2006/relationships/hyperlink" Target="http://www.sec.gov/Archives/edgar/data/1575965/000157596518000008/exhibit101letteragreementd.htm" TargetMode="External"/><Relationship Id="rId85" Type="http://schemas.openxmlformats.org/officeDocument/2006/relationships/hyperlink" Target="http://www.sec.gov/Archives/edgar/data/1575965/000157596516000091/glpi-20151231exhibit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2020-02-21T05:20:52Z</dcterms:created>
  <dcterms:modified xsi:type="dcterms:W3CDTF">2020-02-21T05:20:52Z</dcterms:modified>
</cp:coreProperties>
</file>