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10-K </w:t>
      </w:r>
    </w:p>
    <w:p>
      <w:pPr>
        <w:pStyle w:val="TextBody"/>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386" w:type="dxa"/>
        <w:jc w:val="left"/>
        <w:tblInd w:w="0" w:type="dxa"/>
        <w:tblLayout w:type="fixed"/>
        <w:tblCellMar>
          <w:top w:w="28" w:type="dxa"/>
          <w:left w:w="28" w:type="dxa"/>
          <w:bottom w:w="28" w:type="dxa"/>
          <w:right w:w="28" w:type="dxa"/>
        </w:tblCellMar>
      </w:tblPr>
      <w:tblGrid>
        <w:gridCol w:w="124"/>
        <w:gridCol w:w="109"/>
        <w:gridCol w:w="109"/>
        <w:gridCol w:w="2648"/>
        <w:gridCol w:w="2648"/>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001-36124 </w:t>
      </w:r>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 xml:space="preserve">Gaming and Leisure Properties, Inc. </w:t>
      </w:r>
    </w:p>
    <w:p>
      <w:pPr>
        <w:pStyle w:val="TextBody"/>
        <w:bidi w:val="0"/>
        <w:spacing w:lineRule="auto" w:line="288" w:before="6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017"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4"/>
        <w:gridCol w:w="424"/>
        <w:gridCol w:w="60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46-2116489</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845 Berkshire Blvd., Suite 200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Wyomissing, PA 19610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 (Zip Code)</w:t>
      </w:r>
    </w:p>
    <w:p>
      <w:pPr>
        <w:pStyle w:val="TextBody"/>
        <w:bidi w:val="0"/>
        <w:spacing w:lineRule="auto" w:line="288" w:before="60" w:after="60"/>
        <w:jc w:val="center"/>
        <w:rPr/>
      </w:pPr>
      <w:r>
        <w:rPr>
          <w:rFonts w:ascii="Times New Roman;sans-serif" w:hAnsi="Times New Roman;sans-serif"/>
          <w:b w:val="false"/>
          <w:color w:val="000000"/>
          <w:sz w:val="18"/>
        </w:rPr>
        <w:t xml:space="preserve">Registrant's telephone number, including area code: </w:t>
      </w:r>
      <w:r>
        <w:rPr>
          <w:rFonts w:ascii="Times New Roman;sans-serif" w:hAnsi="Times New Roman;sans-serif"/>
          <w:b/>
          <w:color w:val="000000"/>
          <w:sz w:val="18"/>
        </w:rPr>
        <w:t xml:space="preserve">610 401-2900 </w:t>
      </w:r>
    </w:p>
    <w:p>
      <w:pPr>
        <w:pStyle w:val="TextBody"/>
        <w:bidi w:val="0"/>
        <w:spacing w:lineRule="auto" w:line="288" w:before="60" w:after="60"/>
        <w:ind w:left="0" w:right="0" w:firstLine="585"/>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92" w:type="dxa"/>
        <w:jc w:val="center"/>
        <w:tblInd w:w="0" w:type="dxa"/>
        <w:tblLayout w:type="fixed"/>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GLPI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NASDAQ </w:t>
            </w:r>
          </w:p>
        </w:tc>
      </w:tr>
    </w:tbl>
    <w:p>
      <w:pPr>
        <w:pStyle w:val="TextBody"/>
        <w:bidi w:val="0"/>
        <w:spacing w:lineRule="auto" w:line="288" w:before="6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w:t>
      </w:r>
    </w:p>
    <w:p>
      <w:pPr>
        <w:pStyle w:val="TextBody"/>
        <w:bidi w:val="0"/>
        <w:spacing w:lineRule="auto" w:line="288" w:before="60" w:after="60"/>
        <w:jc w:val="center"/>
        <w:rPr>
          <w:rFonts w:ascii="Times New Roman;sans-serif" w:hAnsi="Times New Roman;sans-serif"/>
          <w:b/>
          <w:color w:val="000000"/>
          <w:sz w:val="16"/>
        </w:rPr>
      </w:pPr>
      <w:r>
        <w:rPr>
          <w:rFonts w:ascii="Times New Roman;sans-serif" w:hAnsi="Times New Roman;sans-serif"/>
          <w:b/>
          <w:color w:val="000000"/>
          <w:sz w:val="16"/>
        </w:rPr>
        <w:t>None</w:t>
      </w:r>
    </w:p>
    <w:p>
      <w:pPr>
        <w:pStyle w:val="TextBody"/>
        <w:bidi w:val="0"/>
        <w:spacing w:lineRule="auto" w:line="288" w:before="60" w:after="60"/>
        <w:ind w:left="0" w:right="0" w:firstLine="585"/>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No </w:t>
      </w:r>
      <w:r>
        <w:rPr>
          <w:color w:val="000000"/>
        </w:rPr>
        <w:t>☐</w:t>
      </w:r>
    </w:p>
    <w:p>
      <w:pPr>
        <w:pStyle w:val="TextBody"/>
        <w:bidi w:val="0"/>
        <w:spacing w:lineRule="auto" w:line="288" w:before="60" w:after="60"/>
        <w:ind w:left="0" w:right="0" w:firstLine="585"/>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60" w:after="60"/>
        <w:ind w:left="0" w:right="0" w:firstLine="585"/>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ind w:left="0" w:right="0" w:firstLine="585"/>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ind w:left="0" w:right="0" w:firstLine="585"/>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70" w:type="dxa"/>
        <w:jc w:val="center"/>
        <w:tblInd w:w="0" w:type="dxa"/>
        <w:tblLayout w:type="fixed"/>
        <w:tblCellMar>
          <w:top w:w="28" w:type="dxa"/>
          <w:left w:w="28" w:type="dxa"/>
          <w:bottom w:w="28" w:type="dxa"/>
          <w:right w:w="28" w:type="dxa"/>
        </w:tblCellMar>
      </w:tblPr>
      <w:tblGrid>
        <w:gridCol w:w="619"/>
        <w:gridCol w:w="544"/>
        <w:gridCol w:w="546"/>
        <w:gridCol w:w="109"/>
        <w:gridCol w:w="109"/>
        <w:gridCol w:w="109"/>
        <w:gridCol w:w="669"/>
        <w:gridCol w:w="669"/>
        <w:gridCol w:w="672"/>
        <w:gridCol w:w="109"/>
        <w:gridCol w:w="109"/>
        <w:gridCol w:w="109"/>
        <w:gridCol w:w="674"/>
        <w:gridCol w:w="674"/>
        <w:gridCol w:w="677"/>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63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ind w:left="0" w:right="0" w:firstLine="63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63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63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60"/>
        <w:ind w:left="0" w:right="0" w:firstLine="63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ind w:left="0" w:right="0" w:firstLine="585"/>
        <w:jc w:val="left"/>
        <w:rPr>
          <w:rFonts w:ascii="Times New Roman;sans-serif" w:hAnsi="Times New Roman;sans-serif"/>
          <w:b w:val="false"/>
          <w:color w:val="000000"/>
          <w:sz w:val="16"/>
        </w:rPr>
      </w:pPr>
      <w:r>
        <w:rPr>
          <w:rFonts w:ascii="Times New Roman;sans-serif" w:hAnsi="Times New Roman;sans-serif"/>
          <w:b w:val="false"/>
          <w:color w:val="000000"/>
          <w:sz w:val="16"/>
        </w:rPr>
        <w:t>As of June 30, 2023 (the last business day of the registrant's most recently completed second fiscal quarter), the aggregate market value of the voting common stock held by non-affiliates of the registrant was approximately $12.2 billion. Such aggregate market value was computed by reference to the closing price of the common stock as reported on the NASDAQ Global Select Market on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60" w:after="60"/>
        <w:ind w:left="0" w:right="0" w:firstLine="585"/>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outstanding as of February 14, 2024 was 271,500,090.</w:t>
      </w:r>
    </w:p>
    <w:p>
      <w:pPr>
        <w:pStyle w:val="TextBody"/>
        <w:bidi w:val="0"/>
        <w:spacing w:lineRule="auto" w:line="288" w:before="60" w:after="6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60"/>
        <w:ind w:left="0" w:right="0" w:firstLine="63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for its 2024 annual meeting of shareholders (when it is filed) will be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7"/>
        <w:gridCol w:w="261"/>
        <w:gridCol w:w="263"/>
        <w:gridCol w:w="3041"/>
        <w:gridCol w:w="2919"/>
        <w:gridCol w:w="2910"/>
        <w:gridCol w:w="149"/>
        <w:gridCol w:w="149"/>
        <w:gridCol w:w="21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3">
              <w:r>
                <w:rPr>
                  <w:rStyle w:val="InternetLink"/>
                  <w:rFonts w:ascii="Times New Roman;sans-serif" w:hAnsi="Times New Roman;sans-serif"/>
                  <w:b/>
                  <w:color w:val="0000FF"/>
                  <w:sz w:val="20"/>
                  <w:u w:val="single"/>
                </w:rPr>
                <w:t>PART I</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
              <w:r>
                <w:rPr>
                  <w:rStyle w:val="InternetLink"/>
                  <w:rFonts w:ascii="Times New Roman;sans-serif" w:hAnsi="Times New Roman;sans-serif"/>
                  <w:b w:val="false"/>
                  <w:color w:val="0000FF"/>
                  <w:sz w:val="20"/>
                  <w:u w:val="single"/>
                </w:rPr>
                <w:t>ITEM 1.</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
              <w:r>
                <w:rPr>
                  <w:rStyle w:val="InternetLink"/>
                  <w:rFonts w:ascii="Times New Roman;sans-serif" w:hAnsi="Times New Roman;sans-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6">
              <w:r>
                <w:rPr>
                  <w:rStyle w:val="InternetLink"/>
                  <w:rFonts w:ascii="Times New Roman;sans-serif" w:hAnsi="Times New Roman;sans-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9">
              <w:r>
                <w:rPr>
                  <w:rStyle w:val="InternetLink"/>
                  <w:rFonts w:ascii="Times New Roman;sans-serif" w:hAnsi="Times New Roman;sans-serif"/>
                  <w:b w:val="false"/>
                  <w:color w:val="0000FF"/>
                  <w:sz w:val="20"/>
                  <w:u w:val="single"/>
                </w:rPr>
                <w:t>ITEM 1A.</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9">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9">
              <w:r>
                <w:rPr>
                  <w:rStyle w:val="InternetLink"/>
                  <w:rFonts w:ascii="Times New Roman;sans-serif" w:hAnsi="Times New Roman;sans-serif"/>
                  <w:b w:val="false"/>
                  <w:color w:val="0000FF"/>
                  <w:sz w:val="20"/>
                  <w:u w:val="single"/>
                </w:rPr>
                <w:t>28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22">
              <w:r>
                <w:rPr>
                  <w:rStyle w:val="InternetLink"/>
                  <w:rFonts w:ascii="Times New Roman;sans-serif" w:hAnsi="Times New Roman;sans-serif"/>
                  <w:b w:val="false"/>
                  <w:color w:val="0000FF"/>
                  <w:sz w:val="20"/>
                  <w:u w:val="single"/>
                </w:rPr>
                <w:t>ITEM 1B.</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22">
              <w:r>
                <w:rPr>
                  <w:rStyle w:val="InternetLink"/>
                  <w:rFonts w:ascii="Times New Roman;sans-serif" w:hAnsi="Times New Roman;sans-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22">
              <w:r>
                <w:rPr>
                  <w:rStyle w:val="InternetLink"/>
                  <w:rFonts w:ascii="Times New Roman;sans-serif" w:hAnsi="Times New Roman;sans-serif"/>
                  <w:b w:val="false"/>
                  <w:color w:val="0000FF"/>
                  <w:sz w:val="20"/>
                  <w:u w:val="single"/>
                </w:rPr>
                <w:t>39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93">
              <w:r>
                <w:rPr>
                  <w:rStyle w:val="InternetLink"/>
                  <w:rFonts w:ascii="Times New Roman;sans-serif" w:hAnsi="Times New Roman;sans-serif"/>
                  <w:b w:val="false"/>
                  <w:color w:val="0000FF"/>
                  <w:sz w:val="20"/>
                  <w:u w:val="single"/>
                </w:rPr>
                <w:t>ITEM 1C.</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93">
              <w:r>
                <w:rPr>
                  <w:rStyle w:val="InternetLink"/>
                  <w:rFonts w:ascii="Times New Roman;sans-serif" w:hAnsi="Times New Roman;sans-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22">
              <w:r>
                <w:rPr>
                  <w:rStyle w:val="InternetLink"/>
                  <w:rFonts w:ascii="Times New Roman;sans-serif" w:hAnsi="Times New Roman;sans-serif"/>
                  <w:b w:val="false"/>
                  <w:color w:val="0000FF"/>
                  <w:sz w:val="20"/>
                  <w:u w:val="single"/>
                </w:rPr>
                <w:t>39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25">
              <w:r>
                <w:rPr>
                  <w:rStyle w:val="InternetLink"/>
                  <w:rFonts w:ascii="Times New Roman;sans-serif" w:hAnsi="Times New Roman;sans-serif"/>
                  <w:b w:val="false"/>
                  <w:color w:val="0000FF"/>
                  <w:sz w:val="20"/>
                  <w:u w:val="single"/>
                </w:rPr>
                <w:t>ITEM 2.</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25">
              <w:r>
                <w:rPr>
                  <w:rStyle w:val="InternetLink"/>
                  <w:rFonts w:ascii="Times New Roman;sans-serif" w:hAnsi="Times New Roman;sans-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25">
              <w:r>
                <w:rPr>
                  <w:rStyle w:val="InternetLink"/>
                  <w:rFonts w:ascii="Times New Roman;sans-serif" w:hAnsi="Times New Roman;sans-serif"/>
                  <w:b w:val="false"/>
                  <w:color w:val="0000FF"/>
                  <w:sz w:val="20"/>
                  <w:u w:val="single"/>
                </w:rPr>
                <w:t>41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28">
              <w:r>
                <w:rPr>
                  <w:rStyle w:val="InternetLink"/>
                  <w:rFonts w:ascii="Times New Roman;sans-serif" w:hAnsi="Times New Roman;sans-serif"/>
                  <w:b w:val="false"/>
                  <w:color w:val="0000FF"/>
                  <w:sz w:val="20"/>
                  <w:u w:val="single"/>
                </w:rPr>
                <w:t>ITEM 3.</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28">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28">
              <w:r>
                <w:rPr>
                  <w:rStyle w:val="InternetLink"/>
                  <w:rFonts w:ascii="Times New Roman;sans-serif" w:hAnsi="Times New Roman;sans-serif"/>
                  <w:b w:val="false"/>
                  <w:color w:val="0000FF"/>
                  <w:sz w:val="20"/>
                  <w:u w:val="single"/>
                </w:rPr>
                <w:t>41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31">
              <w:r>
                <w:rPr>
                  <w:rStyle w:val="InternetLink"/>
                  <w:rFonts w:ascii="Times New Roman;sans-serif" w:hAnsi="Times New Roman;sans-serif"/>
                  <w:b w:val="false"/>
                  <w:color w:val="0000FF"/>
                  <w:sz w:val="20"/>
                  <w:u w:val="single"/>
                </w:rPr>
                <w:t>ITEM 4.</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31">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31">
              <w:r>
                <w:rPr>
                  <w:rStyle w:val="InternetLink"/>
                  <w:rFonts w:ascii="Times New Roman;sans-serif" w:hAnsi="Times New Roman;sans-serif"/>
                  <w:b w:val="false"/>
                  <w:color w:val="0000FF"/>
                  <w:sz w:val="20"/>
                  <w:u w:val="single"/>
                </w:rPr>
                <w:t>41</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34">
              <w:r>
                <w:rPr>
                  <w:rStyle w:val="InternetLink"/>
                  <w:rFonts w:ascii="Times New Roman;sans-serif" w:hAnsi="Times New Roman;sans-serif"/>
                  <w:b/>
                  <w:color w:val="0000FF"/>
                  <w:sz w:val="20"/>
                  <w:u w:val="single"/>
                </w:rPr>
                <w:t>PART 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37">
              <w:r>
                <w:rPr>
                  <w:rStyle w:val="InternetLink"/>
                  <w:rFonts w:ascii="Times New Roman;sans-serif" w:hAnsi="Times New Roman;sans-serif"/>
                  <w:b w:val="false"/>
                  <w:color w:val="0000FF"/>
                  <w:sz w:val="20"/>
                  <w:u w:val="single"/>
                </w:rPr>
                <w:t>ITEM 5.</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37">
              <w:r>
                <w:rPr>
                  <w:rStyle w:val="InternetLink"/>
                  <w:rFonts w:ascii="Times New Roman;sans-serif" w:hAnsi="Times New Roman;sans-serif"/>
                  <w:b w:val="false"/>
                  <w:color w:val="0000FF"/>
                  <w:sz w:val="20"/>
                  <w:u w:val="single"/>
                </w:rPr>
                <w:t>MARKET FOR REGISTRANT'S COMMON EQUITY, RELATED SHAREHOLDER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37">
              <w:r>
                <w:rPr>
                  <w:rStyle w:val="InternetLink"/>
                  <w:rFonts w:ascii="Times New Roman;sans-serif" w:hAnsi="Times New Roman;sans-serif"/>
                  <w:b w:val="false"/>
                  <w:color w:val="0000FF"/>
                  <w:sz w:val="20"/>
                  <w:u w:val="single"/>
                </w:rPr>
                <w:t>42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w:t>
            </w:r>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40">
              <w:r>
                <w:rPr>
                  <w:rStyle w:val="InternetLink"/>
                  <w:rFonts w:ascii="Times New Roman;sans-serif" w:hAnsi="Times New Roman;sans-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40">
              <w:r>
                <w:rPr>
                  <w:rStyle w:val="InternetLink"/>
                  <w:rFonts w:ascii="Times New Roman;sans-serif" w:hAnsi="Times New Roman;sans-serif"/>
                  <w:b w:val="false"/>
                  <w:color w:val="0000FF"/>
                  <w:sz w:val="20"/>
                  <w:u w:val="single"/>
                </w:rPr>
                <w:t>42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43">
              <w:r>
                <w:rPr>
                  <w:rStyle w:val="InternetLink"/>
                  <w:rFonts w:ascii="Times New Roman;sans-serif" w:hAnsi="Times New Roman;sans-serif"/>
                  <w:b w:val="false"/>
                  <w:color w:val="0000FF"/>
                  <w:sz w:val="20"/>
                  <w:u w:val="single"/>
                </w:rPr>
                <w:t>ITEM 7.</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43">
              <w:r>
                <w:rPr>
                  <w:rStyle w:val="InternetLink"/>
                  <w:rFonts w:ascii="Times New Roman;sans-serif" w:hAnsi="Times New Roman;sans-serif"/>
                  <w:b w:val="false"/>
                  <w:color w:val="0000FF"/>
                  <w:sz w:val="20"/>
                  <w:u w:val="single"/>
                </w:rPr>
                <w:t>42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58">
              <w:r>
                <w:rPr>
                  <w:rStyle w:val="InternetLink"/>
                  <w:rFonts w:ascii="Times New Roman;sans-serif" w:hAnsi="Times New Roman;sans-serif"/>
                  <w:b w:val="false"/>
                  <w:color w:val="0000FF"/>
                  <w:sz w:val="20"/>
                  <w:u w:val="single"/>
                </w:rPr>
                <w:t>ITEM 7A.</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58">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58">
              <w:r>
                <w:rPr>
                  <w:rStyle w:val="InternetLink"/>
                  <w:rFonts w:ascii="Times New Roman;sans-serif" w:hAnsi="Times New Roman;sans-serif"/>
                  <w:b w:val="false"/>
                  <w:color w:val="0000FF"/>
                  <w:sz w:val="20"/>
                  <w:u w:val="single"/>
                </w:rPr>
                <w:t>63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61">
              <w:r>
                <w:rPr>
                  <w:rStyle w:val="InternetLink"/>
                  <w:rFonts w:ascii="Times New Roman;sans-serif" w:hAnsi="Times New Roman;sans-serif"/>
                  <w:b w:val="false"/>
                  <w:color w:val="0000FF"/>
                  <w:sz w:val="20"/>
                  <w:u w:val="single"/>
                </w:rPr>
                <w:t>ITEM 8.</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61">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61">
              <w:r>
                <w:rPr>
                  <w:rStyle w:val="InternetLink"/>
                  <w:rFonts w:ascii="Times New Roman;sans-serif" w:hAnsi="Times New Roman;sans-serif"/>
                  <w:b w:val="false"/>
                  <w:color w:val="0000FF"/>
                  <w:sz w:val="20"/>
                  <w:u w:val="single"/>
                </w:rPr>
                <w:t>65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2">
              <w:r>
                <w:rPr>
                  <w:rStyle w:val="InternetLink"/>
                  <w:rFonts w:ascii="Times New Roman;sans-serif" w:hAnsi="Times New Roman;sans-serif"/>
                  <w:b w:val="false"/>
                  <w:color w:val="0000FF"/>
                  <w:sz w:val="20"/>
                  <w:u w:val="single"/>
                </w:rPr>
                <w:t>ITEM 9.</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42">
              <w:r>
                <w:rPr>
                  <w:rStyle w:val="InternetLink"/>
                  <w:rFonts w:ascii="Times New Roman;sans-serif" w:hAnsi="Times New Roman;sans-serif"/>
                  <w:b w:val="false"/>
                  <w:color w:val="0000FF"/>
                  <w:sz w:val="20"/>
                  <w:u w:val="single"/>
                </w:rPr>
                <w:t>112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5">
              <w:r>
                <w:rPr>
                  <w:rStyle w:val="InternetLink"/>
                  <w:rFonts w:ascii="Times New Roman;sans-serif" w:hAnsi="Times New Roman;sans-serif"/>
                  <w:b w:val="false"/>
                  <w:color w:val="0000FF"/>
                  <w:sz w:val="20"/>
                  <w:u w:val="single"/>
                </w:rPr>
                <w:t>ITEM 9A.</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5">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45">
              <w:r>
                <w:rPr>
                  <w:rStyle w:val="InternetLink"/>
                  <w:rFonts w:ascii="Times New Roman;sans-serif" w:hAnsi="Times New Roman;sans-serif"/>
                  <w:b w:val="false"/>
                  <w:color w:val="0000FF"/>
                  <w:sz w:val="20"/>
                  <w:u w:val="single"/>
                </w:rPr>
                <w:t>112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8">
              <w:r>
                <w:rPr>
                  <w:rStyle w:val="InternetLink"/>
                  <w:rFonts w:ascii="Times New Roman;sans-serif" w:hAnsi="Times New Roman;sans-serif"/>
                  <w:b w:val="false"/>
                  <w:color w:val="0000FF"/>
                  <w:sz w:val="20"/>
                  <w:u w:val="single"/>
                </w:rPr>
                <w:t>ITEM 9B.</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48">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48">
              <w:r>
                <w:rPr>
                  <w:rStyle w:val="InternetLink"/>
                  <w:rFonts w:ascii="Times New Roman;sans-serif" w:hAnsi="Times New Roman;sans-serif"/>
                  <w:b w:val="false"/>
                  <w:color w:val="0000FF"/>
                  <w:sz w:val="20"/>
                  <w:u w:val="single"/>
                </w:rPr>
                <w:t>114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51">
              <w:r>
                <w:rPr>
                  <w:rStyle w:val="InternetLink"/>
                  <w:rFonts w:ascii="Times New Roman;sans-serif" w:hAnsi="Times New Roman;sans-serif"/>
                  <w:b w:val="false"/>
                  <w:color w:val="0000FF"/>
                  <w:sz w:val="20"/>
                  <w:u w:val="single"/>
                </w:rPr>
                <w:t>ITEM 9C.</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51">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51">
              <w:r>
                <w:rPr>
                  <w:rStyle w:val="InternetLink"/>
                  <w:rFonts w:ascii="Times New Roman;sans-serif" w:hAnsi="Times New Roman;sans-serif"/>
                  <w:b w:val="false"/>
                  <w:color w:val="0000FF"/>
                  <w:sz w:val="20"/>
                  <w:u w:val="single"/>
                </w:rPr>
                <w:t>114</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54">
              <w:r>
                <w:rPr>
                  <w:rStyle w:val="InternetLink"/>
                  <w:rFonts w:ascii="Times New Roman;sans-serif" w:hAnsi="Times New Roman;sans-serif"/>
                  <w:b/>
                  <w:color w:val="0000FF"/>
                  <w:sz w:val="20"/>
                  <w:u w:val="single"/>
                </w:rPr>
                <w:t>PART III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57">
              <w:r>
                <w:rPr>
                  <w:rStyle w:val="InternetLink"/>
                  <w:rFonts w:ascii="Times New Roman;sans-serif" w:hAnsi="Times New Roman;sans-serif"/>
                  <w:b w:val="false"/>
                  <w:color w:val="0000FF"/>
                  <w:sz w:val="20"/>
                  <w:u w:val="single"/>
                </w:rPr>
                <w:t>ITEM 10.</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57">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57">
              <w:r>
                <w:rPr>
                  <w:rStyle w:val="InternetLink"/>
                  <w:rFonts w:ascii="Times New Roman;sans-serif" w:hAnsi="Times New Roman;sans-serif"/>
                  <w:b w:val="false"/>
                  <w:color w:val="0000FF"/>
                  <w:sz w:val="20"/>
                  <w:u w:val="single"/>
                </w:rPr>
                <w:t>115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0">
              <w:r>
                <w:rPr>
                  <w:rStyle w:val="InternetLink"/>
                  <w:rFonts w:ascii="Times New Roman;sans-serif" w:hAnsi="Times New Roman;sans-serif"/>
                  <w:b w:val="false"/>
                  <w:color w:val="0000FF"/>
                  <w:sz w:val="20"/>
                  <w:u w:val="single"/>
                </w:rPr>
                <w:t>ITEM 11.</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0">
              <w:r>
                <w:rPr>
                  <w:rStyle w:val="InternetLink"/>
                  <w:rFonts w:ascii="Times New Roman;sans-serif" w:hAnsi="Times New Roman;sans-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60">
              <w:r>
                <w:rPr>
                  <w:rStyle w:val="InternetLink"/>
                  <w:rFonts w:ascii="Times New Roman;sans-serif" w:hAnsi="Times New Roman;sans-serif"/>
                  <w:b w:val="false"/>
                  <w:color w:val="0000FF"/>
                  <w:sz w:val="20"/>
                  <w:u w:val="single"/>
                </w:rPr>
                <w:t>115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3">
              <w:r>
                <w:rPr>
                  <w:rStyle w:val="InternetLink"/>
                  <w:rFonts w:ascii="Times New Roman;sans-serif" w:hAnsi="Times New Roman;sans-serif"/>
                  <w:b w:val="false"/>
                  <w:color w:val="0000FF"/>
                  <w:sz w:val="20"/>
                  <w:u w:val="single"/>
                </w:rPr>
                <w:t>ITEM 12.</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3">
              <w:r>
                <w:rPr>
                  <w:rStyle w:val="InternetLink"/>
                  <w:rFonts w:ascii="Times New Roman;sans-serif" w:hAnsi="Times New Roman;sans-serif"/>
                  <w:b w:val="false"/>
                  <w:color w:val="0000FF"/>
                  <w:sz w:val="20"/>
                  <w:u w:val="single"/>
                </w:rPr>
                <w:t>SECURITY OWNERSHIP OF CERTAIN BENEFICIAL OWNERS AND MANAGEMENT AND RELATED STOCKHOLDERS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63">
              <w:r>
                <w:rPr>
                  <w:rStyle w:val="InternetLink"/>
                  <w:rFonts w:ascii="Times New Roman;sans-serif" w:hAnsi="Times New Roman;sans-serif"/>
                  <w:b w:val="false"/>
                  <w:color w:val="0000FF"/>
                  <w:sz w:val="20"/>
                  <w:u w:val="single"/>
                </w:rPr>
                <w:t>115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6">
              <w:r>
                <w:rPr>
                  <w:rStyle w:val="InternetLink"/>
                  <w:rFonts w:ascii="Times New Roman;sans-serif" w:hAnsi="Times New Roman;sans-serif"/>
                  <w:b w:val="false"/>
                  <w:color w:val="0000FF"/>
                  <w:sz w:val="20"/>
                  <w:u w:val="single"/>
                </w:rPr>
                <w:t>ITEM 13.</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66">
              <w:r>
                <w:rPr>
                  <w:rStyle w:val="InternetLink"/>
                  <w:rFonts w:ascii="Times New Roman;sans-serif" w:hAnsi="Times New Roman;sans-serif"/>
                  <w:b w:val="false"/>
                  <w:color w:val="0000FF"/>
                  <w:sz w:val="20"/>
                  <w:u w:val="single"/>
                </w:rPr>
                <w:t>115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9">
              <w:r>
                <w:rPr>
                  <w:rStyle w:val="InternetLink"/>
                  <w:rFonts w:ascii="Times New Roman;sans-serif" w:hAnsi="Times New Roman;sans-serif"/>
                  <w:b w:val="false"/>
                  <w:color w:val="0000FF"/>
                  <w:sz w:val="20"/>
                  <w:u w:val="single"/>
                </w:rPr>
                <w:t>ITEM 14.</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69">
              <w:r>
                <w:rPr>
                  <w:rStyle w:val="InternetLink"/>
                  <w:rFonts w:ascii="Times New Roman;sans-serif" w:hAnsi="Times New Roman;sans-serif"/>
                  <w:b w:val="false"/>
                  <w:color w:val="0000FF"/>
                  <w:sz w:val="20"/>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69">
              <w:r>
                <w:rPr>
                  <w:rStyle w:val="InternetLink"/>
                  <w:rFonts w:ascii="Times New Roman;sans-serif" w:hAnsi="Times New Roman;sans-serif"/>
                  <w:b w:val="false"/>
                  <w:color w:val="0000FF"/>
                  <w:sz w:val="20"/>
                  <w:u w:val="single"/>
                </w:rPr>
                <w:t>115</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72">
              <w:r>
                <w:rPr>
                  <w:rStyle w:val="InternetLink"/>
                  <w:rFonts w:ascii="Times New Roman;sans-serif" w:hAnsi="Times New Roman;sans-serif"/>
                  <w:b/>
                  <w:color w:val="0000FF"/>
                  <w:sz w:val="20"/>
                  <w:u w:val="single"/>
                </w:rPr>
                <w:t>PART IV</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75">
              <w:r>
                <w:rPr>
                  <w:rStyle w:val="InternetLink"/>
                  <w:rFonts w:ascii="Times New Roman;sans-serif" w:hAnsi="Times New Roman;sans-serif"/>
                  <w:b w:val="false"/>
                  <w:color w:val="0000FF"/>
                  <w:sz w:val="20"/>
                  <w:u w:val="single"/>
                </w:rPr>
                <w:t>ITEM 15.</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75">
              <w:r>
                <w:rPr>
                  <w:rStyle w:val="InternetLink"/>
                  <w:rFonts w:ascii="Times New Roman;sans-serif" w:hAnsi="Times New Roman;sans-serif"/>
                  <w:b w:val="false"/>
                  <w:color w:val="000080"/>
                  <w:sz w:val="20"/>
                  <w:u w:val="single"/>
                </w:rPr>
                <w:t>EXHIBITS</w:t>
              </w:r>
            </w:hyperlink>
            <w:hyperlink w:anchor="ib98a91ff59954935bc804f1b1213f79a_175">
              <w:r>
                <w:rPr>
                  <w:rStyle w:val="InternetLink"/>
                  <w:rFonts w:ascii="Times New Roman;sans-serif" w:hAnsi="Times New Roman;sans-serif"/>
                  <w:b w:val="false"/>
                  <w:color w:val="000080"/>
                  <w:sz w:val="20"/>
                  <w:u w:val="single"/>
                </w:rPr>
                <w:t xml:space="preserve"> AND</w:t>
              </w:r>
            </w:hyperlink>
            <w:hyperlink w:anchor="ib98a91ff59954935bc804f1b1213f79a_175">
              <w:r>
                <w:rPr>
                  <w:rStyle w:val="InternetLink"/>
                  <w:rFonts w:ascii="Times New Roman;sans-serif" w:hAnsi="Times New Roman;sans-serif"/>
                  <w:b w:val="false"/>
                  <w:color w:val="000080"/>
                  <w:sz w:val="20"/>
                  <w:u w:val="single"/>
                </w:rPr>
                <w:t xml:space="preserve"> FINANCIAL STATEMENT SCHEDULE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75">
              <w:r>
                <w:rPr>
                  <w:rStyle w:val="InternetLink"/>
                  <w:rFonts w:ascii="Times New Roman;sans-serif" w:hAnsi="Times New Roman;sans-serif"/>
                  <w:b w:val="false"/>
                  <w:color w:val="0000FF"/>
                  <w:sz w:val="20"/>
                  <w:u w:val="single"/>
                </w:rPr>
                <w:t>116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78">
              <w:r>
                <w:rPr>
                  <w:rStyle w:val="InternetLink"/>
                  <w:rFonts w:ascii="Times New Roman;sans-serif" w:hAnsi="Times New Roman;sans-serif"/>
                  <w:b w:val="false"/>
                  <w:color w:val="0000FF"/>
                  <w:sz w:val="20"/>
                  <w:u w:val="single"/>
                </w:rPr>
                <w:t>ITEM 16.</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160" w:after="160"/>
              <w:jc w:val="left"/>
              <w:rPr/>
            </w:pPr>
            <w:hyperlink w:anchor="ib98a91ff59954935bc804f1b1213f79a_178">
              <w:r>
                <w:rPr>
                  <w:rStyle w:val="InternetLink"/>
                  <w:rFonts w:ascii="Times New Roman;sans-serif" w:hAnsi="Times New Roman;sans-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78">
              <w:r>
                <w:rPr>
                  <w:rStyle w:val="InternetLink"/>
                  <w:rFonts w:ascii="Times New Roman;sans-serif" w:hAnsi="Times New Roman;sans-serif"/>
                  <w:b w:val="false"/>
                  <w:color w:val="0000FF"/>
                  <w:sz w:val="20"/>
                  <w:u w:val="single"/>
                </w:rPr>
                <w:t>116</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lineRule="auto" w:line="240" w:before="160" w:after="160"/>
              <w:jc w:val="left"/>
              <w:rPr/>
            </w:pPr>
            <w:hyperlink w:anchor="ib98a91ff59954935bc804f1b1213f79a_181">
              <w:r>
                <w:rPr>
                  <w:rStyle w:val="InternetLink"/>
                  <w:rFonts w:ascii="Times New Roman;sans-serif" w:hAnsi="Times New Roman;sans-serif"/>
                  <w:b w:val="false"/>
                  <w:color w:val="0000FF"/>
                  <w:sz w:val="20"/>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81">
              <w:r>
                <w:rPr>
                  <w:rStyle w:val="InternetLink"/>
                  <w:rFonts w:ascii="Times New Roman;sans-serif" w:hAnsi="Times New Roman;sans-serif"/>
                  <w:b w:val="false"/>
                  <w:color w:val="0000FF"/>
                  <w:sz w:val="20"/>
                  <w:u w:val="single"/>
                </w:rPr>
                <w:t>117</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a91ff59954935bc804f1b1213f79a_184">
              <w:r>
                <w:rPr>
                  <w:rStyle w:val="InternetLink"/>
                  <w:rFonts w:ascii="Times New Roman;sans-serif" w:hAnsi="Times New Roman;sans-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a91ff59954935bc804f1b1213f79a_184">
              <w:r>
                <w:rPr>
                  <w:rStyle w:val="InternetLink"/>
                  <w:rFonts w:ascii="Times New Roman;sans-serif" w:hAnsi="Times New Roman;sans-serif"/>
                  <w:b w:val="false"/>
                  <w:color w:val="0000FF"/>
                  <w:sz w:val="20"/>
                  <w:u w:val="single"/>
                </w:rPr>
                <w:t>123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IMPORTANT FACTORS REGARDING FORWARD-LOOKING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bidi w:val="0"/>
        <w:spacing w:lineRule="auto" w:line="247" w:before="160" w:after="160"/>
        <w:ind w:left="0" w:right="0" w:hanging="360"/>
        <w:jc w:val="both"/>
        <w:rPr/>
      </w:pPr>
      <w:r>
        <w:rPr>
          <w:color w:val="000000"/>
        </w:rPr>
        <w:t>•</w:t>
      </w:r>
      <w:r>
        <w:rPr>
          <w:rFonts w:ascii="Times New Roman;sans-serif" w:hAnsi="Times New Roman;sans-serif"/>
          <w:b w:val="false"/>
          <w:color w:val="000000"/>
          <w:sz w:val="20"/>
        </w:rPr>
        <w:t>the impact that higher inflation rates and uncertainty with respect to the future state of the economy could have on discretionary consumer spending, including the casino operations of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consequences related to United States ("U.S.") government monetary policies and stimulus packages on inflation rates and economic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degree and nature of our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receive, or delays in obtaining, the regulatory approvals required to own and/or operate our properties, or other delays or impediments to completing our planned acquisitions or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elevated interest rates and higher levels of inflation (which have been exacerbated by the armed conflict between Russia and Ukraine and may be further impacted by recent events in the Middle 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of a new pandemic, including its effect on the ability or desire of people to gather in large groups (including in casinos), which could impact our financial results, operations, outlooks, plans, goals, growth, cash flows, liquidity, and stock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certain asset, income, organizational, distribution, shareholder ownership and other requirements on a continuing basis in order for the Company to maintain its REIT status;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to comply with laws, rules and regulations in the operation of our properties, to deliver high quality services, to attract and retain qualified personnel and to attract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generate sufficient cash flows to service our outstanding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through debt and equity markets in amounts and at rates and costs acceptable to GLPI, including for acquisitions or refinancings due to maturities;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changes in our credit rating;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qualified personnel and our ability to retain our key management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U.S. tax law and other federal, state or local laws, whether or not specific to real estate, REITs or the gaming, lodging or hospitality industries;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weather or climate events or conditions, natural disasters, acts of terrorism and other international hostilities, war (including the current conflict between Russia and Ukraine and recent conflicts in the Middle East) or political instability;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the historical financial statements included herein do not reflect what the business, financial position or results of operations of GLPI may be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inherent in the real estate business, including potential liability relating to environmental matters and illiquidity of real estate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additional factors discussed in the sections entitled "Risk Factors" and "Management's Discussion and Analysis of Financial Condition and Results of Operations" in this report.</w:t>
      </w:r>
    </w:p>
    <w:p>
      <w:pPr>
        <w:pStyle w:val="TextBody"/>
        <w:bidi w:val="0"/>
        <w:spacing w:before="0" w:after="0"/>
        <w:jc w:val="both"/>
        <w:rPr/>
      </w:pPr>
      <w:r>
        <w:rPr/>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unknown or unpredictable factors may also cause actual results to differ materially from those projected by the forward-looking statements. Most of these factors are difficult to anticipate and are generally beyond the control of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the terms "we," "us," "our," the "Company" and "GLPI" refer to Gaming and Leisure Properties, Inc. and its subsidiaries, unless the context indicates otherwise.</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GLPI is a self-administered and self-managed Pennsylvania REIT. The Company was formed from the 2013 tax-free spin-off of the real estate assets of PENN Entertainment, Inc., formerly known as Penn National Gaming, Inc. (NASDAQ: PENN)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w:t>
      </w:r>
      <w:r>
        <w:rPr>
          <w:color w:val="000000"/>
        </w:rPr>
        <w:t xml:space="preserve"> </w:t>
      </w:r>
      <w:r>
        <w:rPr>
          <w:rFonts w:ascii="Times New Roman;sans-serif" w:hAnsi="Times New Roman;sans-serif"/>
          <w:b w:val="false"/>
          <w:color w:val="000000"/>
          <w:sz w:val="20"/>
        </w:rPr>
        <w:t>("ASC 505").</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("GLP Capital").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("Tropicana Las Vegas"), elected to treat Tropicana LV, LLC as a TRS. In September 2022, Bally's Corporation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 dividend of $0.25 per share in the first quarter of 2023 related to the sale of the building to Bally's.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There were 7,653,326 OP Units outstanding as of December 31,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GLPI's primary business consists of acquiring, financing, and owning real estate property to be leased to gaming operators in triple-net lease arrangements. Triple-net leases are leases in which the lessee pays rent to the lessor, as well as all taxes, insurance, utilities and maintenance expenses that arise from the use of the property. As of December 31, 2023, GLPI's portfolio consisted of interests in 61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Corporation (NYSE: BALY) ("Bally's"), the real property associated with 3 gaming and related facilities operated by Cordish, the real property associated with 4 gaming and related facilities operated by Casino Queen and 1 gaming facility under construction that upon opening is intended to be managed by a subsidiary of Hard Rock International ("Hard Rock"). These facilities, including our corporate headquarters building, are geographically diversified across 18 states and contain approximately 28.7 million square feet. As of December 31, 2023, our properties were 100% occupied. We expect to continue growing our portfolio by pursuing opportunities to acquire additional gaming facilities to lease to gaming operators under prudent terms.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new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PENN 2023 Master Lease and the Amended PENN Master Lease are substantially similar to the Original PENN Master Lease with the following key differences: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PENN 2023 Master Lease is cross-defaulted and co-terminus with the Amended PENN Master Lease.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PENN 2023 Master Lease is $232.2 million in base rent with fixed annual escalation of 1.50%, with the first escalation occurring on November 1,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Amended PENN Master Lease is $284.1 million, consisting of $208.2 million of building base rent, $43.0 million of land base rent, and $32.9 million of percentage rent.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pPr>
      <w:r>
        <w:rPr>
          <w:rFonts w:ascii="Times New Roman;sans-serif" w:hAnsi="Times New Roman;sans-serif"/>
          <w:b w:val="false"/>
          <w:color w:val="000000"/>
          <w:sz w:val="20"/>
        </w:rPr>
        <w:t>(exercisable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assets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 Casino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amended and restated the Amended and Restated Caesars Master Lease (as amended and restated, the "Second Amended and Restated Caesars Master Lease") in connection with the completion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 and Caesars amended and restated the Second Amended and Restated Caesars Master Lease (as amended and restated, the "Third Amended and Restated Caesars Master Lease") in connection with Caesars selling its interest in the Belle of Baton Rouge to Casino Queen with no change in rent obligation to the Company. See Note 12 for further discussion.</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and January 3, 2023, the Company completed the acquisitions of the real estate assets of Bally's Black Hawk, Bally's Quad Cities, Bally's Biloxi, and Bally's Tiverton. These properties were added to the existing Bally's Master Lease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$771.0 million and additional rent of $58.8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meeting a 0.5% threshold. The ground lease is supported by a Bally’s corporate guarantee and cross-defaulted with the Bally's Master Lease (the "Tropicana Las Vegas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rent shall be increased by 1.5% annually (on a prorated basis for the remainder of the lease year in which the gaming facility opens)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an amended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Casino Queen Master Lease was adjusted upon opening to reflect a yield of 8.25% on GLPI's project costs of $77 million. Pursuant to an amendment to the Second Amended and Restated Casino Queen Master Lease, the Company acquired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(the "Third Amended and Restated Casino Queen Master Lease").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Hard Rock, from an affiliate of 815 Entertainment, LLC ("815 Entertainment") for $100.0 million. Simultaneously with the land acquisition, GLPI entered into a ground lease with 815 Entertainment for a 99-year term. The initial annual rent for the ground lease is $8.0 million, subject to fixed 2% annual escalation beginning with the lease's first anniversary and for the entirety of its term (the "Rockford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December 31, 2023, $40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before="0" w:after="0"/>
        <w:ind w:left="0" w:right="0" w:firstLine="495"/>
        <w:jc w:val="both"/>
        <w:rPr/>
      </w:pPr>
      <w:r>
        <w:rPr/>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Guarantees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under the PENN Master Lease, Amended Pinnacle Master Lease, and the Morgantown Lease, are guaranteed by PENN and, with respect to each lease, jointly and severally by PENN's subsidiaries that occupy and operate the facilities covered by such lease. Similarly, the obligations under the Third Amended and Restated Caesars Master Lease, the Third Amended and Restated Casino Queen Master Lease and the Bally's Master Lease are jointly and severally guaranteed by the corporate parent and the parent's subsidiaries that occupy and operate the facilities leased under the Third Amended and Restated Caesars Master Lease, the Third Amended and Restated Casino Queen Master Lease and Bally's Master Lease, respectively. The obligations under the Tropicana Las Vegas Lease are guaranteed by Bally's. The obligations under the Boyd Master Lease are jointly and severally guaranteed by Boyd's subsidiaries that occupy and operate the facilities leased under the Boyd Master Lease. Similarly, the obligations under the Maryland Live! Lease and Pennsylvania Live! Master Lease are jointly and severally guaranteed by the Cordish subsidiaries that occupy and operate the facilities leased under the respective leases and the obligations under the Rockford Lease are jointly and severally guaranteed by the subsidiaries of 815 Entertainment, LLC that occupy and operate the facility under the Rockford Lease.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rent structure under the Amended PENN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Amended PENN Master Lease during the preceding five years in excess of a contractual baseline.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the Amended PENN Master Lease, the Amended Pinnacle Master Lease also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PENN 2023 Master Lease that became effective on January 1, 2023 has annual rent of $232.2 million, which is fixed and subject to annual escalation of 1.50%, with the first escalation for the lease year beginning on November 1, 2023. In addition to the fixed escalations, a one-time annualized increase of $1.4 million is scheduled to occur on November 1, 2027. The prepaid rent and deferred revenue from the Perryville Lease and Meadows Lease (which were terminated effective January 1, 2023 and whose underlying real estate was added to the PENN 2023 Master Lease) along with an allocation of the deferred revenue from the Original PENN Master Lease, as well as the guaranteed fixed escalations and the one-time annual base rent increase, are being recognized on a straight-line basis over the initial lease term, which expires on October 31, 2033.</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Amended and Restated Caesars Master Lease building base rent escalates at 1.25% during the fifth and sixth lease years. In the seventh and eighth lease years it escalates at 1.75% and then escalates at 2% in the ninth lease year and each lease year thereafter.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Boyd Master Lease includes a fixed component, a portion of which is subject to an annual escalator of up to 2%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May 2020, the Company acquired the real estate of Belterra Park in satisfaction of the Belterra Park Loan, subject to the Belterra Park Lease with a Boyd affiliate operating the property. The Belterra Park Lease rent terms are consistent with the Boyd Master Lease.</w:t>
      </w:r>
      <w:r>
        <w:rPr>
          <w:color w:val="000000"/>
        </w:rPr>
        <w:t xml:space="preserve"> </w:t>
      </w:r>
      <w:r>
        <w:rPr>
          <w:rFonts w:ascii="Times New Roman;sans-serif" w:hAnsi="Times New Roman;sans-serif"/>
          <w:b w:val="false"/>
          <w:color w:val="000000"/>
          <w:sz w:val="20"/>
        </w:rPr>
        <w:t>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is subject to an annual escalator of 1.25% for the second through fifth lease years, increasing to 1.75% for the sixth and seventh lease years and thereafter increasing by 2.0% for the remainder of the lease.</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Morgantown Lease became effective on October 1, 2020 whereby the Company is leasing the land under PENN's gaming facility and the rent for lease year two and three was increased by 1.5% annually (and on a prorated basis for the remainder of the lease year in which the gaming facility opened)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rent under the Third Amended and Restated Casino Queen Master Lease increases annually by 0.5% for lease years two through six. Beginning with the seventh lease year through the remainder of the lease term, if the CPI increases by at least 0.25% for any lease year, then annual rent shall be increased by 1.25%, and if the CPI increase is less than 0.25%, then rent will remain unchanged for such lease year. The Company also completed a landside development project that opened in late August 2023 and rent under the Third Amended and Restated Casino Queen Master Lease was adjusted to reflect a yield of 8.25% on GLPI's project costs of $77 million. Additionally, on September 6, 2023, the Company acquired the land and certain improvements at Casino Queen Marquette for $32.72 million. The annual rent on the Third Amended and Restated Casino Queen Master Lease was increased by $2.7 million for this acquisition. Finally, the Company anticipates funding certain construction costs of a landside development project at Casino Queen Marquette in an amount not to exceed $12.5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Bally's Master Lease became effective on June 3, 2021 with the annual rent subject to contractual escalations based on the CPI, with a 1% floor and a 2% ceiling, subject to the CPI meeting a 0.5% threshold. On April 1, 2022 and January 3, 2023, the Company completed additional acquisitions from Bally's of various real estate assets of Bally's casinos. These properties were added to the existing Bally's Master Lease with annual rent increases subject to the escalation clauses described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2021, the Maryland Live! Lease with Cordish became effective. Annual rent increases by 1.75% annually commencing upon the second anniversary of the lease commencement. The Pennsylvania Live! Master Lease with Cordish became effective March 1, 2022 and annual rent increases by 1.75% commencing upon the second anniversary of the lease commencement. These leases were accounted for as an Investment in leases, financing receivables. See Note 7 for the further information including the future annual cash payments to be received under these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Hard Rock, from an affiliate of 815 Entertainment. Simultaneously with the land acquisition, GLPI entered into the Rockford Lease, the rent of which is subject to fixed 2% annual escalations.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Company's leases with percentage rent provide for a floor on such percentage rent described above, should the Company's tenants acquire or commence operating a competing facility within a restricted area (typically 60 miles from a property under the existing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went into effect on November 1, 2023, the date of the latest reset.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and other impositions levied on or with respect to the leased properties (other than taxes on the income of the lessor), and (4) all utilities and other services necessary or appropriate for the leased properties and the business conducted on the leased properties.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Termination of Leases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Features</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features of our properties as of December 31, 2023:</w:t>
      </w:r>
    </w:p>
    <w:tbl>
      <w:tblPr>
        <w:tblW w:w="10205" w:type="dxa"/>
        <w:jc w:val="left"/>
        <w:tblInd w:w="0" w:type="dxa"/>
        <w:tblLayout w:type="fixed"/>
        <w:tblCellMar>
          <w:top w:w="28" w:type="dxa"/>
          <w:left w:w="28" w:type="dxa"/>
          <w:bottom w:w="28" w:type="dxa"/>
          <w:right w:w="28" w:type="dxa"/>
        </w:tblCellMar>
      </w:tblPr>
      <w:tblGrid>
        <w:gridCol w:w="954"/>
        <w:gridCol w:w="608"/>
        <w:gridCol w:w="612"/>
        <w:gridCol w:w="448"/>
        <w:gridCol w:w="448"/>
        <w:gridCol w:w="453"/>
        <w:gridCol w:w="772"/>
        <w:gridCol w:w="597"/>
        <w:gridCol w:w="599"/>
        <w:gridCol w:w="109"/>
        <w:gridCol w:w="109"/>
        <w:gridCol w:w="109"/>
        <w:gridCol w:w="435"/>
        <w:gridCol w:w="436"/>
        <w:gridCol w:w="221"/>
        <w:gridCol w:w="109"/>
        <w:gridCol w:w="109"/>
        <w:gridCol w:w="109"/>
        <w:gridCol w:w="278"/>
        <w:gridCol w:w="278"/>
        <w:gridCol w:w="196"/>
        <w:gridCol w:w="109"/>
        <w:gridCol w:w="109"/>
        <w:gridCol w:w="109"/>
        <w:gridCol w:w="285"/>
        <w:gridCol w:w="271"/>
        <w:gridCol w:w="211"/>
        <w:gridCol w:w="109"/>
        <w:gridCol w:w="109"/>
        <w:gridCol w:w="109"/>
        <w:gridCol w:w="277"/>
        <w:gridCol w:w="279"/>
        <w:gridCol w:w="239"/>
      </w:tblGrid>
      <w:tr>
        <w:trPr/>
        <w:tc>
          <w:tcPr>
            <w:tcW w:w="95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Location</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Tenant/Lease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Approx.</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Property</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Square</w:t>
            </w:r>
          </w:p>
          <w:p>
            <w:pPr>
              <w:pStyle w:val="TableContents"/>
              <w:bidi w:val="0"/>
              <w:spacing w:lineRule="auto" w:line="240" w:before="0" w:after="0"/>
              <w:jc w:val="center"/>
              <w:rPr/>
            </w:pPr>
            <w:r>
              <w:rPr>
                <w:rFonts w:ascii="Times New Roman;sans-serif" w:hAnsi="Times New Roman;sans-serif"/>
                <w:b/>
                <w:color w:val="000000"/>
                <w:sz w:val="14"/>
              </w:rPr>
              <w:t xml:space="preserve">Footage </w:t>
            </w:r>
            <w:r>
              <w:rPr>
                <w:rFonts w:ascii="Times New Roman;sans-serif" w:hAnsi="Times New Roman;sans-serif"/>
                <w:b/>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Owned</w:t>
              <w:br/>
              <w:t>Acreage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Leased</w:t>
            </w:r>
          </w:p>
          <w:p>
            <w:pPr>
              <w:pStyle w:val="TableContents"/>
              <w:bidi w:val="0"/>
              <w:spacing w:lineRule="auto" w:line="240" w:before="0" w:after="0"/>
              <w:jc w:val="center"/>
              <w:rPr/>
            </w:pPr>
            <w:r>
              <w:rPr>
                <w:rFonts w:ascii="Times New Roman;sans-serif" w:hAnsi="Times New Roman;sans-serif"/>
                <w:b/>
                <w:color w:val="000000"/>
                <w:sz w:val="14"/>
              </w:rPr>
              <w:t xml:space="preserve">Acreage </w:t>
            </w:r>
            <w:r>
              <w:rPr>
                <w:rFonts w:ascii="Times New Roman;sans-serif" w:hAnsi="Times New Roman;sans-serif"/>
                <w:b/>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Hotel</w:t>
              <w:br/>
              <w:t>Rooms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Tenant Occupied Properties </w:t>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Hollywood Casino Lawrenceburg </w:t>
            </w:r>
            <w:r>
              <w:rPr>
                <w:rFonts w:ascii="Times New Roman;sans-serif" w:hAnsi="Times New Roman;sans-serif"/>
                <w:b w:val="false"/>
                <w:color w:val="000000"/>
                <w:sz w:val="10"/>
              </w:rPr>
              <w:t>(3)</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Lawrenceburg, IN</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Argosy Casino Alton</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Alton, IL</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at Charles Town Races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Charles Town, WV</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511,249 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at Penn National Race Course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Grantville, PA</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451,758 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Bangor</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Bangor, ME</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Zia Park Casino </w:t>
            </w:r>
            <w:r>
              <w:rPr>
                <w:rFonts w:ascii="Times New Roman;sans-serif" w:hAnsi="Times New Roman;sans-serif"/>
                <w:b w:val="false"/>
                <w:color w:val="000000"/>
                <w:sz w:val="10"/>
              </w:rPr>
              <w:t>(3)</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Hobbs, NM</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Gulf Coast</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Bay St. Louis, MS</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Argosy Casino Riverside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Riverside, MO</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Tunica</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Tunica, MS</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Boomtown Biloxi</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Biloxi, MS</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St. Louis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Heights, MO</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645,270 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Gaming at Dayton Raceway</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Dayton, OH</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Gaming at Mahoning Valley Race Course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Youngstown, OH</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177,448 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1st Jackpot Casino </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Tunica, MS</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Toledo</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Toledo, OH</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Columbus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Columbus, OH</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The Meadows Racetrack and Casino </w:t>
            </w:r>
            <w:r>
              <w:rPr>
                <w:rFonts w:ascii="Times New Roman;sans-serif" w:hAnsi="Times New Roman;sans-serif"/>
                <w:b w:val="false"/>
                <w:color w:val="000000"/>
                <w:sz w:val="10"/>
              </w:rPr>
              <w:t>(3)</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Washington, PA</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Perryville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Perryville, MD</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Aurora</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Aurora, IL</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Joliet</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Joliet, IL</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322,446 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 Resort</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Henderson, NV</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PENN/PENN Master Lease - New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910,173 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Black Hawk</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Black Hawk, CO</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775,744 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East Chicago</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Chicago, IN</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509,867 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Ameristar Council Bluffs </w:t>
            </w:r>
            <w:r>
              <w:rPr>
                <w:rFonts w:ascii="Times New Roman;sans-serif" w:hAnsi="Times New Roman;sans-serif"/>
                <w:b w:val="false"/>
                <w:color w:val="000000"/>
                <w:sz w:val="10"/>
              </w:rPr>
              <w:t>(3)</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Council Bluffs, IA</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L'Auberge Baton Rouge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Baton Rouge, LA</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436,461 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Boomtown Bossier City</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Bossier City, LA</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L'Auberge Lake Charles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Lake Charles, LA</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1,014,497 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Boomtown New Orleans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Orleans, LA</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Vicksburg</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Vicksburg, MS</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 City Casino and Hotel</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 Louis, MO</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Jackpot Properties </w:t>
            </w:r>
            <w:r>
              <w:rPr>
                <w:rFonts w:ascii="Times New Roman;sans-serif" w:hAnsi="Times New Roman;sans-serif"/>
                <w:b w:val="false"/>
                <w:color w:val="000000"/>
                <w:sz w:val="10"/>
              </w:rPr>
              <w:t>(4)</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Jackpot, NV</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419,800 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Plainridge Park Casino</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Plainville, MA</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PENN/Amended 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Morgantown</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Morgantown, PA</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PENN/Morgantown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Draft Kings at Casino Queen</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St. Louis, IL</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Casino Queen/Amended Casino Queen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Queen Baton Rouge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Baton Rouge, LA</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Casino Queen/Amended Casino Queen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Casino Queen Marquette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Marquette, IA</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Casino Queen/Amended Casino Queen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Belle of Baton Rouge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Baton Rouge, LA</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Casino Queen/Amended Casino Queen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Belterra Casino Resort </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Florence, IN</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Boyd/Boyd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Kansas City</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Kansas City, MO</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Boyd/Boyd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763,939 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St. Charles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 Charles, MO</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Boyd/Boyd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1,272,938 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Belterra Park Gaming &amp; Entertainment Center</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Cincinnati, OH</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Boyd/Belterra Park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372,650 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Tropicana Atlantic City</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Atlantic City, NJ</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Caesars/Amended Caesars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4,232,018 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Tropicana Laughlin</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Laughlin, NV</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Caesars/Amended Caesars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936,453 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794"/>
        <w:gridCol w:w="657"/>
        <w:gridCol w:w="661"/>
        <w:gridCol w:w="417"/>
        <w:gridCol w:w="372"/>
        <w:gridCol w:w="374"/>
        <w:gridCol w:w="845"/>
        <w:gridCol w:w="717"/>
        <w:gridCol w:w="719"/>
        <w:gridCol w:w="109"/>
        <w:gridCol w:w="109"/>
        <w:gridCol w:w="109"/>
        <w:gridCol w:w="479"/>
        <w:gridCol w:w="482"/>
        <w:gridCol w:w="109"/>
        <w:gridCol w:w="109"/>
        <w:gridCol w:w="109"/>
        <w:gridCol w:w="109"/>
        <w:gridCol w:w="345"/>
        <w:gridCol w:w="346"/>
        <w:gridCol w:w="109"/>
        <w:gridCol w:w="109"/>
        <w:gridCol w:w="109"/>
        <w:gridCol w:w="109"/>
        <w:gridCol w:w="278"/>
        <w:gridCol w:w="278"/>
        <w:gridCol w:w="109"/>
        <w:gridCol w:w="109"/>
        <w:gridCol w:w="109"/>
        <w:gridCol w:w="109"/>
        <w:gridCol w:w="322"/>
        <w:gridCol w:w="324"/>
        <w:gridCol w:w="160"/>
      </w:tblGrid>
      <w:tr>
        <w:trPr/>
        <w:tc>
          <w:tcPr>
            <w:tcW w:w="79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Isle Casino Hotel Bettendorf</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Bettendorf, IA</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Caesars/Amended Caesars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Isle Casino Hotel Waterloo</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Waterloo, IA</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Caesars/Amended Caesars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Trop Casino Greenville </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Greenville, MS</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Caesars/Amended Caesars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Horseshoe St. Louis </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 Louis, MO</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Caesars/Horseshoe St. Louis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Bally's Dover Casino Resort</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Dover, DE</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Tropicana Evansville</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Evansville, 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Bally's Black Hawk</w:t>
            </w:r>
            <w:r>
              <w:rPr>
                <w:color w:val="000000"/>
              </w:rPr>
              <w:t xml:space="preserve"> </w:t>
            </w:r>
            <w:r>
              <w:rPr>
                <w:rFonts w:ascii="Times New Roman;sans-serif" w:hAnsi="Times New Roman;sans-serif"/>
                <w:b w:val="false"/>
                <w:color w:val="000000"/>
                <w:sz w:val="10"/>
              </w:rPr>
              <w:t>(5)</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Black Hawk, CO</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Bally's Quad Cities Casino &amp; Hotel</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Rock Island, IL</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Hard Rock Hotel &amp; Casino Biloxi</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Biloxi, MS</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Bally's Tiverton Hotel &amp; Casino</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Tiverton, RI</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Tropicana Las Vegas</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Las Vegas, NV</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Bally's/ Tropicana Las Vegas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Live! Casino &amp; Hotel Maryland </w:t>
            </w:r>
            <w:r>
              <w:rPr>
                <w:rFonts w:ascii="Times New Roman;sans-serif" w:hAnsi="Times New Roman;sans-serif"/>
                <w:b w:val="false"/>
                <w:color w:val="000000"/>
                <w:sz w:val="10"/>
              </w:rPr>
              <w:t>(6)</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Hanover, MD</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Cordish / Maryland Live!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Live! Casino Pittsburgh</w:t>
            </w:r>
            <w:r>
              <w:rPr>
                <w:color w:val="000000"/>
              </w:rPr>
              <w:t xml:space="preserve"> </w:t>
            </w:r>
            <w:r>
              <w:rPr>
                <w:rFonts w:ascii="Times New Roman;sans-serif" w:hAnsi="Times New Roman;sans-serif"/>
                <w:b w:val="false"/>
                <w:color w:val="000000"/>
                <w:sz w:val="10"/>
              </w:rPr>
              <w:t>(6)</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Greensburg, PA</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Cordish/Pennsylvania Live!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Live! Casino and Hotel Philadelphia </w:t>
            </w:r>
            <w:r>
              <w:rPr>
                <w:rFonts w:ascii="Times New Roman;sans-serif" w:hAnsi="Times New Roman;sans-serif"/>
                <w:b w:val="false"/>
                <w:color w:val="000000"/>
                <w:sz w:val="10"/>
              </w:rPr>
              <w:t>(6)</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Philadelphia, PA</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Cordish/Pennsylvania Live!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Hard Rock Casino Rockford </w:t>
            </w:r>
            <w:r>
              <w:rPr>
                <w:rFonts w:ascii="Times New Roman;sans-serif" w:hAnsi="Times New Roman;sans-serif"/>
                <w:b w:val="false"/>
                <w:color w:val="000000"/>
                <w:sz w:val="10"/>
              </w:rPr>
              <w:t>(6)</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Rockford, IL</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815 Entertainment/Rockford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28,705,551 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Properties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Other owned buildings and land </w:t>
            </w:r>
            <w:r>
              <w:rPr>
                <w:rFonts w:ascii="Times New Roman;sans-serif" w:hAnsi="Times New Roman;sans-serif"/>
                <w:b w:val="false"/>
                <w:color w:val="000000"/>
                <w:sz w:val="10"/>
              </w:rPr>
              <w:t>(7)</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11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11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11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11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Square footage includes air-conditioned space and excludes parking garages and barns.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Leased acreage reflects land subject to leases with third-parties and includes land on which certain of the current facilities and ancillary supporting structures are located as well as parking lots and access rights.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These properties include hotels not owned by the Company. Square footage and rooms associated with properties not owned by GLPI are excluded from the table above.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    </w:t>
      </w:r>
      <w:r>
        <w:rPr>
          <w:rFonts w:ascii="Times New Roman;sans-serif" w:hAnsi="Times New Roman;sans-serif"/>
          <w:b w:val="false"/>
          <w:color w:val="000000"/>
          <w:sz w:val="20"/>
        </w:rPr>
        <w:t>Encompasses two gaming properties in Jackpot, Nevada: Cactus Pete's and The Horseshu.</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 xml:space="preserve">Encompasses three gaming properties in Black Hawk, CO: Black Hawk North, Black Hawk East, and Black Hawk West.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 xml:space="preserve">These properties are accounted for as financing leases and are not included in real estate investments. See Note 7 in the Consolidated Financial Statements for further details.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This includes our corporate headquarters building and undeveloped land the Company owns at locations other than its tenant occupied properties.</w:t>
      </w:r>
    </w:p>
    <w:p>
      <w:pPr>
        <w:pStyle w:val="TextBody"/>
        <w:bidi w:val="0"/>
        <w:spacing w:before="0" w:after="0"/>
        <w:ind w:left="0" w:right="0" w:hanging="720"/>
        <w:jc w:val="left"/>
        <w:rPr/>
      </w:pPr>
      <w:r>
        <w:rPr/>
      </w:r>
    </w:p>
    <w:p>
      <w:pPr>
        <w:pStyle w:val="TextBody"/>
        <w:bidi w:val="0"/>
        <w:spacing w:lineRule="auto" w:line="288" w:before="160" w:after="16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compete for additional real property investments with other REITs, including a publicly traded gaming focused REIT, VICI Properties Inc., investment companies, private equity and hedge fund investors, sovereign funds, lenders, gaming companies and other investors. Some of our competitors are significantly larger and have greater financial resources and lower costs of capital than we have, making it more challenging for us to identify and successfully capitalize on acquisition opportunities that meet our investment objectives.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percentage rent revenues that apply to certain of our leases are dependent on the ability of our gaming tenants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jurisdictions could award additional gaming licenses or permit the expansion or relocation of existing gaming operations. New, relocated or expanded operations by other parties may increase competition for our gaming tenants and could have a material adverse impact on our gaming tenants and us as landlord. Finally, the imposition of smoking bans and/or higher gaming tax rates have a significant impact on our gaming tenants' ability to compete with facilities in nearby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sale of the operations of Hollywood Casino Perryville and Hollywood Casino Baton Rouge that occurred in 2021,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tbl>
      <w:tblPr>
        <w:tblW w:w="7342" w:type="dxa"/>
        <w:jc w:val="center"/>
        <w:tblInd w:w="0" w:type="dxa"/>
        <w:tblLayout w:type="fixed"/>
        <w:tblCellMar>
          <w:top w:w="28" w:type="dxa"/>
          <w:left w:w="28" w:type="dxa"/>
          <w:bottom w:w="28" w:type="dxa"/>
          <w:right w:w="28" w:type="dxa"/>
        </w:tblCellMar>
      </w:tblPr>
      <w:tblGrid>
        <w:gridCol w:w="684"/>
        <w:gridCol w:w="597"/>
        <w:gridCol w:w="608"/>
        <w:gridCol w:w="180"/>
        <w:gridCol w:w="181"/>
        <w:gridCol w:w="131"/>
        <w:gridCol w:w="109"/>
        <w:gridCol w:w="109"/>
        <w:gridCol w:w="109"/>
        <w:gridCol w:w="1353"/>
        <w:gridCol w:w="1353"/>
        <w:gridCol w:w="1928"/>
      </w:tblGrid>
      <w:tr>
        <w:trPr/>
        <w:tc>
          <w:tcPr>
            <w:tcW w:w="6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Brandon J. Moore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General Counsel and Secretary</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R. Demchyk</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Investment Officer</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 Ladany</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Development Officer</w:t>
            </w:r>
          </w:p>
        </w:tc>
      </w:tr>
    </w:tbl>
    <w:p>
      <w:pPr>
        <w:pStyle w:val="TextBody"/>
        <w:bidi w:val="0"/>
        <w:spacing w:lineRule="auto" w:line="288" w:before="160" w:after="160"/>
        <w:ind w:left="0" w:right="0" w:firstLine="495"/>
        <w:jc w:val="both"/>
        <w:rPr/>
      </w:pPr>
      <w:r>
        <w:rPr>
          <w:rFonts w:ascii="Times New Roman;sans-serif" w:hAnsi="Times New Roman;sans-serif"/>
          <w:b/>
          <w:color w:val="000000"/>
          <w:sz w:val="20"/>
        </w:rPr>
        <w:t>Peter M. Carlino.</w:t>
      </w:r>
      <w:r>
        <w:rPr>
          <w:color w:val="000000"/>
        </w:rPr>
        <w:t xml:space="preserve">    </w:t>
      </w:r>
      <w:r>
        <w:rPr>
          <w:rFonts w:ascii="Times New Roman;sans-serif" w:hAnsi="Times New Roman;sans-serif"/>
          <w:b w:val="false"/>
          <w:color w:val="000000"/>
          <w:sz w:val="20"/>
        </w:rPr>
        <w:t>Mr. Carlino has been the Company's Chairman and Chief Executive Officer since the Company's inception in November 2013. Mr. Carlino 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pStyle w:val="TextBody"/>
        <w:bidi w:val="0"/>
        <w:spacing w:lineRule="auto" w:line="288" w:before="160" w:after="160"/>
        <w:ind w:left="0" w:right="0" w:firstLine="495"/>
        <w:jc w:val="both"/>
        <w:rPr/>
      </w:pPr>
      <w:r>
        <w:rPr>
          <w:rFonts w:ascii="Times New Roman;sans-serif" w:hAnsi="Times New Roman;sans-serif"/>
          <w:b/>
          <w:color w:val="000000"/>
          <w:sz w:val="20"/>
        </w:rPr>
        <w:t>Brandon J. Moore.</w:t>
      </w:r>
      <w:r>
        <w:rPr>
          <w:color w:val="000000"/>
        </w:rPr>
        <w:t>    </w:t>
      </w:r>
      <w:r>
        <w:rPr>
          <w:rFonts w:ascii="Times New Roman;sans-serif" w:hAnsi="Times New Roman;sans-serif"/>
          <w:b w:val="false"/>
          <w:color w:val="000000"/>
          <w:sz w:val="20"/>
        </w:rPr>
        <w:t>Mr. Moore is our Chief Operating Officer, General Counsel and Secretary. Mr. Moore was promoted to Chief Operating Officer in October 2022 and joined the Company in January 2014. 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pStyle w:val="TextBody"/>
        <w:bidi w:val="0"/>
        <w:spacing w:lineRule="auto" w:line="288" w:before="160" w:after="160"/>
        <w:ind w:left="0" w:right="0" w:firstLine="495"/>
        <w:jc w:val="both"/>
        <w:rPr/>
      </w:pPr>
      <w:r>
        <w:rPr>
          <w:rFonts w:ascii="Times New Roman;sans-serif" w:hAnsi="Times New Roman;sans-serif"/>
          <w:b/>
          <w:color w:val="000000"/>
          <w:sz w:val="20"/>
        </w:rPr>
        <w:t xml:space="preserve">Desiree A. Burke. </w:t>
      </w:r>
      <w:r>
        <w:rPr>
          <w:rFonts w:ascii="Times New Roman;sans-serif" w:hAnsi="Times New Roman;sans-serif"/>
          <w:b w:val="false"/>
          <w:color w:val="000000"/>
          <w:sz w:val="20"/>
        </w:rPr>
        <w:t>Ms. Burke is our Chief Financial Officer and Treasurer. She was promoted to Chief Financial Officer in October 2022 and joined the Company in April 2014 as our 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Ms. Burke was the Executive Vice President/Director of Financial Reporting and Control for MBNA America Bank, N.A. She joined MBNA in 1994 and held positions of ascending responsibility in the finance department during her tenure. Ms. Burke is a CPA.</w:t>
      </w:r>
    </w:p>
    <w:p>
      <w:pPr>
        <w:pStyle w:val="TextBody"/>
        <w:bidi w:val="0"/>
        <w:spacing w:lineRule="auto" w:line="288" w:before="160" w:after="160"/>
        <w:ind w:left="0" w:right="0" w:firstLine="495"/>
        <w:jc w:val="both"/>
        <w:rPr/>
      </w:pPr>
      <w:r>
        <w:rPr>
          <w:rFonts w:ascii="Times New Roman;sans-serif" w:hAnsi="Times New Roman;sans-serif"/>
          <w:b/>
          <w:color w:val="000000"/>
          <w:sz w:val="20"/>
        </w:rPr>
        <w:t xml:space="preserve">Matthew R. Demchyk. </w:t>
      </w:r>
      <w:r>
        <w:rPr>
          <w:rFonts w:ascii="Times New Roman;sans-serif" w:hAnsi="Times New Roman;sans-serif"/>
          <w:b w:val="false"/>
          <w:color w:val="000000"/>
          <w:sz w:val="20"/>
        </w:rPr>
        <w:t>Mr. Demchyk became our Senior Vice President, Chief Investment Officer in January 2021 in which he leads the Company's investment strategy and is responsible for capital allocation. Mr. Demchyk joined the Company in February 2019 as our Senior Vice President of Investments. Previously, he served as Portfolio Manager of Real Estate Securities at Millennium Partners for nine years. Prior to joining Millennium Partners, he managed a portfolio of REIT equity securities at Carlson Capital and served as Assistant Portfolio Manager at CenterSquare Investment Management, a leading REIT dedicated asset manager. Mr. Demchyk is a CFA Charterholder.</w:t>
      </w:r>
    </w:p>
    <w:p>
      <w:pPr>
        <w:pStyle w:val="TextBody"/>
        <w:bidi w:val="0"/>
        <w:spacing w:lineRule="auto" w:line="288" w:before="160" w:after="160"/>
        <w:ind w:left="0" w:right="0" w:firstLine="495"/>
        <w:jc w:val="both"/>
        <w:rPr/>
      </w:pPr>
      <w:r>
        <w:rPr>
          <w:rFonts w:ascii="Times New Roman;sans-serif" w:hAnsi="Times New Roman;sans-serif"/>
          <w:b/>
          <w:color w:val="000000"/>
          <w:sz w:val="20"/>
        </w:rPr>
        <w:t xml:space="preserve">Steven L. Ladany. </w:t>
      </w:r>
      <w:r>
        <w:rPr>
          <w:rFonts w:ascii="Times New Roman;sans-serif" w:hAnsi="Times New Roman;sans-serif"/>
          <w:b w:val="false"/>
          <w:color w:val="000000"/>
          <w:sz w:val="20"/>
        </w:rPr>
        <w:t>Mr. Ladany became our Senior Vice President, Chief Development Officer in January 2021 and leads the Company's ongoing merger, 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Tax Considerations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Taxation of REITs in General</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net earnings and profits are distributed as dividends. In general, the income that we generate is taxed only at the shareholder level upon a distribution of dividends to our shareholders. We will nonetheless be subject to U.S. federal tax in the following circumstances: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We will be taxed at regular corporate rates on any undistributed net taxable income, including undistributed net capital gains.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We may be required to pay monetary penalties to the IRS in certain circumstances, including if we fail to meet record-keeping requirements intended to monitor our compliance with rules relating to the composition of a REIT's shareholders.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A 100% tax may be imposed on transactions between us and a TRS that do not reflect arm's-length terms.</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 </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The earnings of our TRS will generally be subject to U.S. federal, state and corporate income tax, and we will be required to include, any dividends received from the TRS in our distribution tests.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Requirements for Qualification—General</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Code defines a REIT as a corporation, trust or association: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that is managed by one or more trustees or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beneficial ownership of which is evidenced by transferable shares, or by transferable certificates of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interest;</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(3) that would be taxable as a domestic corporation but for its election to be subject to tax as a REIT;</w:t>
      </w:r>
    </w:p>
    <w:p>
      <w:pPr>
        <w:pStyle w:val="TextBody"/>
        <w:bidi w:val="0"/>
        <w:spacing w:lineRule="auto" w:line="28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(4) that is neither a financial institution nor an insurance company subject to specific provisions of the Code;</w:t>
      </w:r>
    </w:p>
    <w:p>
      <w:pPr>
        <w:pStyle w:val="TextBody"/>
        <w:bidi w:val="0"/>
        <w:spacing w:lineRule="auto" w:line="28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(5) the beneficial ownership of which is held by 100 or more persons;</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 in which, during the last half of each taxable year, not more than 50% in value of the outstanding stock is </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owned, directly or indirectly, by five or fewer "individuals" (as defined in the Code to include specified tax-</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exempt entities); and</w:t>
      </w:r>
    </w:p>
    <w:p>
      <w:pPr>
        <w:pStyle w:val="TextBody"/>
        <w:bidi w:val="0"/>
        <w:spacing w:lineRule="auto" w:line="28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(7) that meets other tests described below, including with respect to the nature of its income and assets.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Qualified REIT Subsidiaries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 During 2021, we had one qualified REIT subsidiary for most of the year, which elected to become a TRS in December 2021.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Taxable REIT Subsidiaries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treated as holding the assets of a TRS or as receiving any income that the TRS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Ownership of Partnership Interests by a REIT</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REIT that is a partner in a partnership is deemed to own its proportionate share of the assets of the partnership and is deemed to receive the income of the partnership attributable to such share. In addition, the character of the assets and gross income of the partnership retains the same character in the hands of the REIT (except that, for purposes of the 10% of value asset test described below, our proportionate share of the partnership’s assets is based on our proportionate interest in the equity and certain debt securities issued by the partnership, as described in the Code). Accordingly, our proportionate share of the assets, liabilities and items of income of the OP, as defined below, are treated as assets, liabilities and items of income of ours for purposes of applying the requirements described herein. We have control over the OP and intend to operate it in a manner that is consistent with the requirements for qualification of GLPI as a REIT.</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Tests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Rents received by a REIT will qualify as "rents from real property" in satisfying the gross income requirements described above only if several conditions are met.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TRS will qualify as rents from real property 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own more than 10% of the total value or combined voting power of the TRS if (i) at least 90% of the property is leased to unrelated tenants and the rent paid by the TRS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Rent attributable to personal property leased in connection with a lease of real property will not qualify as "rents from real property" if such rent exceeds 15% of the total rent received under the lease.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REIT generally must not operate or manage the property or furnish or render services to tenants, except through an "independent contractor" who is adequately compensated and from whom the REIT derives no income, or through a TRS.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TRS may provide services (including noncustomary services) to a REIT’s tenants without "tainting" any of the rental income received by the REIT, and will be able to manage or operate properties for third parties and generally engage in other activities unrelated to real estate.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prior to the Spin-Off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TRS will not qualify under the 75% test. We believe, however, that the aggregate amount of such items and other non-qualifying income in any taxable year will not cause GLPI to exceed the limits on non-qualifying income under either the 75% or 95% gross income tests.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Tests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on or after January 1, 2016, personal property leased with real property if the rents attributable to the personal property would be rents from real property under the income tests discussed above), interests in mortgages on real property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Second, the value of any one issuer's securities that we own may not exceed 5% of the value of our total assets.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Fourth, the aggregate value of all securities of TRSs that we hold, together with other non-qualified assets (such as furniture and equipment or other tangible personal property, or non-real estate securities) may not, in the aggregate, exceed 20% of the value of our total assets. </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Fifth, not more than 25% of the value of our gross assets may be represented by debt instruments of publicly offered REITs that are not secured by mortgages on real property or interests in real property.</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pStyle w:val="TextBody"/>
        <w:bidi w:val="0"/>
        <w:spacing w:lineRule="auto" w:line="288" w:before="160" w:after="160"/>
        <w:ind w:left="0" w:right="0" w:firstLine="495"/>
        <w:jc w:val="both"/>
        <w:rPr/>
      </w:pPr>
      <w:r>
        <w:rPr>
          <w:rFonts w:ascii="Times New Roman;sans-serif" w:hAnsi="Times New Roman;sans-serif"/>
          <w:b w:val="false"/>
          <w:color w:val="000000"/>
          <w:sz w:val="20"/>
        </w:rPr>
        <w:t xml:space="preserve">In the case of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been and will continue to be in compliance with the asset tests described above.</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Distribution Requirements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qualify to be taxed as a REIT, we are required to distribute dividends, other than capital gain dividends, to our shareholders in an amount at least equal to:</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(i)the sum of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90% of our REIT taxable income, computed without regard to our net capital gains and the deduction for dividends paid;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90% of our after tax net income, if any, from foreclosure property (as described below); minus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(ii)the excess of the sum of specified items of non-cash income over 5% of our REIT taxable income, computed without regard to our net capital gain and the deduction for dividends paid.</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in the future we may have available net operating losses carried forward from prior tax years, such losses may reduce the amount of distributions that we must make in order to comply with the REIT distribution requirements.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satisfied the annual distribution requirements for the year ended December 31, 2023. Although we intend to satisfy the annual distribution requirements to continue to qualify as a REIT for the year ending December 31, 2024 and thereafter, economic, market, legal, tax or other considerations could limit our ability to meet those requirements.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Failure to Qualify</w:t>
      </w:r>
    </w:p>
    <w:p>
      <w:pPr>
        <w:pStyle w:val="TextBody"/>
        <w:bidi w:val="0"/>
        <w:spacing w:lineRule="auto" w:line="288" w:before="160" w:after="160"/>
        <w:ind w:left="0" w:right="0" w:firstLine="495"/>
        <w:jc w:val="both"/>
        <w:rPr/>
      </w:pPr>
      <w:r>
        <w:rPr>
          <w:rFonts w:ascii="Times New Roman;sans-serif" w:hAnsi="Times New Roman;sans-serif"/>
          <w:b w:val="false"/>
          <w:color w:val="000000"/>
          <w:sz w:val="20"/>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Times New Roman;sans-serif" w:hAnsi="Times New Roman;sans-serif"/>
          <w:b w:val="false"/>
          <w:i/>
          <w:color w:val="000000"/>
          <w:sz w:val="20"/>
        </w:rPr>
        <w:t>Income Tests</w:t>
      </w:r>
      <w:r>
        <w:rPr>
          <w:rFonts w:ascii="Times New Roman;sans-serif" w:hAnsi="Times New Roman;sans-serif"/>
          <w:b w:val="false"/>
          <w:color w:val="000000"/>
          <w:sz w:val="20"/>
        </w:rPr>
        <w:t>" and "</w:t>
      </w:r>
      <w:r>
        <w:rPr>
          <w:rFonts w:ascii="Times New Roman;sans-serif" w:hAnsi="Times New Roman;sans-serif"/>
          <w:b w:val="false"/>
          <w:i/>
          <w:color w:val="000000"/>
          <w:sz w:val="20"/>
        </w:rPr>
        <w:t>Asset Tests</w:t>
      </w:r>
      <w:r>
        <w:rPr>
          <w:rFonts w:ascii="Times New Roman;sans-serif" w:hAnsi="Times New Roman;sans-serif"/>
          <w:b w:val="false"/>
          <w:color w:val="000000"/>
          <w:sz w:val="20"/>
        </w:rPr>
        <w:t>."</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GLP Holdings Inc. Operating Asset Sales, TRS Merger, and E&amp;P Purging Distribution</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2021, we completed our sale of the membership interests of Louisiana Casino Cruises, LLC to a third-party operator and tenant, which was preceded by its conversion from a C corporation and transfer of the real property assets to GLP Holdings, Inc. We completed a similar transaction with PENN involving the membership interests of Penn Cecil Maryland, LLC in July 2021. On December 23, 2021, GLP Holdings, Inc. was merged with and into GLP Capital, L.P. in a transaction which was intended to be treated as a tax-free liquidation of GLP Holdings, Inc., a TRS, into the REIT. The result of such transaction was intended to wind up GLP Holdings, Inc. after its taxable sale of the operating assets and have the REIT receive the real property assets in a carryover basis transaction for income tax purposes prior to the completion of the UPREIT Transaction discussed below. As a result of the tax-free nature of the transaction, the REIT inherited all of GLP Holdings, Inc.'s C corporation earnings and profits earned while it was a TRS. Under Section 857 of the Code, as of the close of the taxable year, a REIT must not have earnings and profits which were accumulated in any non-REIT year, so the REIT was required to distribute any GLP Holdings, Inc. earnings and profits which had accumulated prior to its merger with GLP Capital, L.P. The Company’s Board of Directors declared a special earnings and profits cash dividend of $0.24 per share of its common stock payable on January 7, 2022 to shareholders of record on December 27, 2021. We believe that in accordance with Code Section 857(b)(9), such dividend will be treated as having been paid by the REIT and received by the REIT shareholders on or prior to December 31, 2021 to the extent it was treated as satisfying the REIT’s requirements to purge any earnings and profits from a non-REIT year.</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UPREIT Transaction</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2021, we completed a transaction with Cordish whereby they contributed certain real property assets into GLP Capital (our operating partnership, or the “OP”) in exchange for newly issued partnership interests in the OP. As a result of the contribution, the UPREIT Transaction was consummated. Prior to the UPREIT Transaction, the OP was owned by the REIT and another entity wholly owned by the REIT and disregarded for income tax purposes, making the OP disregarded as separate from the REIT. The structure of the transaction is intended to allow the REIT to still receive rents from real property on a passthrough basis from the OP, and it will continue to own an interest in real property through its ownership of the OP partnership interests as its sole asset, as discussed below. Based on this, we believe that the UPREIT Transaction will not impact our ability to meet the requirements of the REIT asset, income, and distribution tests described above.</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Tax Aspects of Investment in the Operating Partnership</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hold investments through entities that are classified as partnerships for U.S. federal income tax purposes, including our interest in the OP.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We will include in our income our proportionate share of these partnership items of the OP for purposes of the various REIT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tests and in the computation of our REIT taxable income. Moreover, for purposes of the REIT asset tests, we will include our proportionate share of assets held by the OP.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investment by us in the OP involves special tax considerations, including the possibility of a challenge by the IRS to the status of the OP as a partnership, as opposed to an association taxable as a corporation, for U.S. federal income tax purposes. If the OP were treated as an association for U.S. federal income tax purposes, it would be taxable as a corporation and, therefore, could be subject to an entity-level tax on its income.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Treasury regulations provide that a domestic business entity not otherwise organized as a corporation may elect to be treated as a partnership or disregarded entity for U.S. federal income tax purposes. Generally, an entity will be classified as a partnership or disregarded entity (depending on its number of owners) for U.S. federal income tax purposes unless it elects otherwise. The OP intends to be classified as a partnership under these Treasury regulations. We have not requested and do not intend to request a ruling from the IRS that the OP will be classified as partnerships for U.S. federal income tax purposes.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be a partnership for U.S. federal income tax purposes, the OP generally must not be a “publicly traded partnership”. A publicly traded partnership is a partnership whose interests are traded on an established securities market or are readily tradable on a secondary market (or a substantial equivalent). A publicly traded partnership is generally treated as a corporation for U.S. federal income tax purposes, but will not be so treated if, for each taxable year beginning after December 31, 1987 in which it was classified as a publicly traded partnership, at least 90% of the partnership’s gross income consisted of specified passive income, including real property rents (which includes rents that would be qualifying income for purposes of the 75% gross income test, with certain modifications that make it easier for the rents to qualify for the 90% passive income exception), gains from the sale or other disposition of real property, interest, and dividends (the “90% passive income exception”).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Treasury regulations provide limited safe harbors from treatment as a publicly traded partnership. We expect that the OP will fall within one of the “safe harbors” for the partnership to avoid being classified as a publicly traded partnership. However, no assurance can be given regarding the OP's ability to satisfy the requirements of some of these safe harbors and accordingly no assurance can be given that the OP would not be treated as a publicly traded partnership. Even if the OP failed to meet one of the safe harbors, it generally will not be treated as a corporation if it qualifies for the 90% passive income exception discussed immediately above.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Partnership Allocations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which require that partnership allocations respect the economic arrangement of the partners. If an allocation is not recognized for U.S. federal income tax purposes, the item subject to the allocation will be reallocated in accordance with the partners’ interests in the partnership, which will be determined considering all of the facts and circumstances relating to the economic arrangement of the partners with respect to such item. The OP’s allocations of taxable income and loss are intended to comply with the requirements of Section 704(b) of the Code and the Treasury regulations promulgated thereunder.</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704(c) of the Code, items of income, gain, loss, and deduction attributable to appreciated or depreciated property that is contributed to a partnership in exchange for an interest in the partnership must be allocated for U.S. federal income tax purposes in a manner such that the contributor is charged with or benefits from the unrealized gain or unrealized loss associated with the property at the time of the contribution. The amount of such unrealized gain or unrealized loss is generally equal to the difference between the fair market value of the contributed property at the time of contribution and the adjusted tax basis of such property at the time of contribution. Such allocations are solely for U.S. federal income tax purposes and do not affect other economic or legal arrangements among the partners.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 has entered into transactions involving the contribution to the OP of appreciated property, and the OP may enter into such transactions in the future. The partnership agreement of the OP requires allocations of income, gain, loss, and deduction attributable to contributed property to be made in a manner that is consistent with Section 704(c) of the Code. Treasury regulations issued under Section 704(c) give partnerships a choice of several methods of allocating taxable income with respect to contributed properties (and the tax protection agreements entered into in connection with the contributions of properties to the OP require that a certain method be used). Depending upon the method used, (1) our tax depreciation deductions attributable to those properties may be lower than they would have been if our OP had acquired those properties for cash and (2) in the event of a sale of such properties, we could be allocated gain in excess of our corresponding economic or book gain. These allocations may cause us to recognize taxable income in excess of cash proceeds received by us, which might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adversely affect our ability to comply with the REIT distribution requirements or result in our shareholders recognizing additional dividend income without an increase in distributions.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contributed to a partnership in a tax-free transaction generally retain the same depreciation method and recovery period as they had in the hands of the partner who contributed them to the partnership. Accordingly, a substantial amount of the OP’s depreciation deductions for its real property are based on the historic tax depreciation schedules for the properties prior to their contribution to the OP.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in OP Interest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adjusted tax basis in a partnership in which we have an interest (including the OP) generally (1) will be equal to the amount of cash and the basis of any other property contributed to such partnership by us, (2) will be increased by (a) our allocable share of such partnership’s income and (b) our allocable share of any indebtedness of such partnership, and (3) will be reduced, but not below zero, by our allocable share of (a) such partnership’s loss and (b) the amount of cash and the tax basis of any property distributed to us and by constructive distributions resulting from a reduction in our share of indebtedness of such partnership.</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our allocable share of the loss (or portion thereof) of any partnership in which we have an interest would reduce the adjusted tax basis of our partnership interest in such partnership below zero, the recognition of such loss will be deferred until such time as the recognition of such loss (or portion thereof) would not reduce our adjusted tax basis below zero. To the extent that distributions to us from a partnership, or any decrease in our share of the nonrecourse indebtedness of a partnership (each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would be characterized as long-term capital gain if our interest in such partnership has been held for longer than the long-term capital gain holding period (currently 12 months).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Partnership Property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any gain realized by a partnership on the sale of property held by the partnership for more than 12 months will be long-term capital gain, except for any portion of such gain that is treated as depreciation or cost recovery recapture. However, under requirements applicable to REITs under the Code, our share as a partner of any gain realized by the OP on the sale of any property held as inventory or other property held primarily for sale to customers in the ordinary course of a trade or business will be treated as income from a prohibited transaction that is subject to a 100% penalty tax.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Legislative or Other Actions Affecting REITs and Partnerships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2017, H.R. 1, known as the Act to provide for reconciliation pursuant to titles II and V of the concurrent resolution on the budget for fiscal year 2018 (the "Tax Cuts and Jobs Act") was signed into law. The Tax Cuts and Jobs Act made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Bipartisan Budget Act of 2015 (the “BBA”) revised the rules applicable to federal income tax audits of partnerships (such as the OP) and the collection of any tax resulting from any such audits or other tax proceedings, generally for taxable years beginning after December 31, 2017. Under the applicable rules, a partnership itself may be liable for a tax computed by reference to the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rules also include an elective alternative method under which the additional taxes resulting from the adjustment are assessed against the affected partners, subject to a higher rate of interest than otherwise would apply. Although it is uncertain how these rules will be implemented, it is possible that they could result in partnerships in which we directly or indirectly invest being required to pay additional taxes, interest and penalties as a result of an audit adjustment, and we, as a direct or indirect partner of those partnerships could be required to bear the economic burden of those taxes, interest and penalties even though we, as a REIT, may not otherwise have been required to pay additional corporate-level taxes as a result of the related audit adjustment. The changes created by these rules are sweeping and, in some respects, dependent on the promulgation of future regulations or other guidance by the U.S. Treasury.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are urged to consult with their own tax advisors with respect to the impact that the Tax Cuts and Jobs Act, the BBA, and other legislation may have on their investment and the status of legislative, regulatory or administrative developments and proposals and their potential effect on their investment in our shares.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U.S. Federal Income Tax Considerations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supplements and updates the disclosures under “Certain United States Federal Income Tax Considerations” in the prospectus dated August 12, 2022, contained in our Registration Statement on Form S-3 filed with the SEC on August 12, 2022. Capitalized terms herein that are not otherwise defined shall have the same meaning as when used in such disclosures (as supplemented).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29, 2022, the Internal Revenue Service promulgated final Treasury Regulations under Sections 897, 1441, 1445, and 1446 of the Code that were, in part, intended to coordinate various withholding regimes for non-U.S. stockholders. The new Treasury Regulations provide guidance regarding qualified foreign pension funds and are in large part consistent with the previously issued proposed Treasury Regulations.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Accordingly, the last two sentences of the first paragraph under the heading “</w:t>
      </w:r>
      <w:r>
        <w:rPr>
          <w:rFonts w:ascii="Times New Roman;sans-serif" w:hAnsi="Times New Roman;sans-serif"/>
          <w:b w:val="false"/>
          <w:i/>
          <w:color w:val="000000"/>
          <w:sz w:val="20"/>
        </w:rPr>
        <w:t>Certain United States Federal Income Tax Considerations—Taxation of Stockholders and Potential Tax Consequences of Their Investment in Shares of Common Stock or Preferred Stock—Taxation of Non-U.S. Stockholders—Qualified Foreign Pension Funds</w:t>
      </w:r>
      <w:r>
        <w:rPr>
          <w:color w:val="000000"/>
        </w:rPr>
        <w:t xml:space="preserve">” </w:t>
      </w:r>
      <w:r>
        <w:rPr>
          <w:rFonts w:ascii="Times New Roman;sans-serif" w:hAnsi="Times New Roman;sans-serif"/>
          <w:b w:val="false"/>
          <w:color w:val="000000"/>
          <w:sz w:val="20"/>
        </w:rPr>
        <w:t>are hereby deleted and replaced with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Additionally, the following two paragraphs are added after the first paragraph under the heading “</w:t>
      </w:r>
      <w:r>
        <w:rPr>
          <w:rFonts w:ascii="Times New Roman;sans-serif" w:hAnsi="Times New Roman;sans-serif"/>
          <w:b w:val="false"/>
          <w:i/>
          <w:color w:val="000000"/>
          <w:sz w:val="20"/>
        </w:rPr>
        <w:t>Certain United States Federal Income Tax Considerations—Taxation of Stockholders and Potential Tax Consequences of Their Investment in Shares of Common Stock or Preferred Stock—Taxation of Non-U.S. Stockholders—Qualified Foreign Pension Funds</w:t>
      </w:r>
      <w:r>
        <w:rPr>
          <w:color w:val="000000"/>
        </w:rPr>
        <w:t>”</w:t>
      </w:r>
      <w:r>
        <w:rPr>
          <w:rFonts w:ascii="Times New Roman;sans-serif" w:hAnsi="Times New Roman;sans-serif"/>
          <w:b w:val="false"/>
          <w:color w:val="000000"/>
          <w:sz w:val="20"/>
        </w:rPr>
        <w: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FIRPTA.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landlords and other suppliers of products and services to gaming operators, meet certain standards of character and suitability to hold a gaming license. In addition, gaming laws require gaming industry participants to:</w:t>
      </w:r>
    </w:p>
    <w:p>
      <w:pPr>
        <w:pStyle w:val="TextBody"/>
        <w:bidi w:val="0"/>
        <w:spacing w:before="0" w:after="0"/>
        <w:ind w:left="0" w:right="0" w:firstLine="495"/>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ensure that unsuitable individuals and organizations have no role in asset ownership and/or the operations of gaming assets, and in those jurisdictions that require landowner licensure, ownership of the real property;</w:t>
      </w:r>
    </w:p>
    <w:p>
      <w:pPr>
        <w:pStyle w:val="TextBody"/>
        <w:bidi w:val="0"/>
        <w:spacing w:before="0" w:after="0"/>
        <w:ind w:left="0" w:right="0" w:hanging="180"/>
        <w:jc w:val="both"/>
        <w:rPr/>
      </w:pPr>
      <w:r>
        <w:rPr/>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ensure transparency through periodic reporting around certain events, including levels of ownership and control, and licensure for those deemed necessary by the regulators;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establish procedures designed to prevent cheating and fraudulent practices;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establish and maintain responsible accounting practices and procedures;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maintain effective controls over their financial practices, including establishment of minimum procedures for internal fiscal affairs and the safeguarding of assets and revenues;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maintain systems for reliable record keeping;</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ensure that contracts and financial transactions are commercially reasonable, reflect fair market value and are arms-length transactions;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establish programs to promote responsible gaming.</w:t>
      </w:r>
    </w:p>
    <w:p>
      <w:pPr>
        <w:pStyle w:val="TextBody"/>
        <w:bidi w:val="0"/>
        <w:spacing w:before="0" w:after="0"/>
        <w:ind w:left="0" w:right="0" w:hanging="180"/>
        <w:jc w:val="both"/>
        <w:rPr/>
      </w:pPr>
      <w:r>
        <w:rPr/>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regulations impact our business insomuch as the gaming and racing regulatory agencies in the jurisdictions in which we own real estate and our gaming tenants operate require GLPI and its affiliates to maintain a license or finding of suitability as a key business entity, principal affiliate, business entity, qualifier, operator or supplier because of its status as landlord. We are presently licensed by gaming and racing regulatory agencies in the following jurisdictions: Colorado, Delaware, Illinois, Indiana, Louisiana, Maryland, Massachusetts, Mississippi, Missouri, New Jersey, Ohio, Rhode Island and Pennsylvania. </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and those operated by our tenants are subject to various federal, state and local laws and regulations including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comprehensive general liability, commercial property, fiduciary, directors and officers liability, and business interruption insurance covering our business. In regards to our properties subject to triple-net leases, those lease agreements require our tenants to procure and maintain their own comprehensive general liability, commercial property and business interruption coverage, including all insurance mandated by law, including protection for our insurable interests as the landlord.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properties are subject to U.S. federal, state and local environmental laws governing and regulating, among other things, air emissions, wastewater discharges and the handling and disposal of wastes, including medical wastes, and required actions and response efforts. Certain of the properties we own utilize or have utilized above or underground storage tanks to store oil and certain fuels for use at the properties. Other properties were built during the time that asbestos-containing building materials were routinely installed in residential and commercial structures. Certain of the real estate assets owned by GLPI were developed and constructed on remediated former commercial and industrial sites.</w:t>
      </w:r>
      <w:r>
        <w:rPr>
          <w:color w:val="000000"/>
        </w:rPr>
        <w:t xml:space="preserve"> </w:t>
      </w:r>
      <w:r>
        <w:rPr>
          <w:rFonts w:ascii="Times New Roman;sans-serif" w:hAnsi="Times New Roman;sans-serif"/>
          <w:b w:val="false"/>
          <w:color w:val="000000"/>
          <w:sz w:val="20"/>
        </w:rPr>
        <w:t xml:space="preserve">In connection with the ownership of our real property assets, we could be found legally responsible for environmental liabilities or costs relating to a release of hazardous substances or other regulated materials at or emanating from such property.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applicable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most triple-net leases to which we are a party, environmental liabilities arising from the businesses and operations are retained by our tenants, and the tenants are required to indemnify GLPI (and its subsidiaries, directors, officers, employees, agents and certain other related parties) against any claims, losses, orders or fines arising from or relating to such environmental liabilities. Further, our triple-net leases obligate our tenants thereunder to comply with applicable environmental laws and regulations. We expect that future leases with new parties and renewals with existing tenants will include the same provisions. A tenant’s failure to comply could result in fines and penalties or the requirement to undertake corrective actions which could result in significant costs to the tenant and thus adversely affect their ability to meet their obligations to us.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Company's due diligence process prior to acquiring real estate assets we routinely commission environmental assessments to assess the potential for such liability. We are not aware of any environmental issues, potential litigation or recognized environmental conditions that are expected to have a material impact on the operations of any of our properties or that would materially impact our ownership of those real estate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Responsibility and Environmental, Social, Governance (ESG)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believe that corporate responsibility, including environmental and community stewardship, is an integral component of being a responsible corporate citizen.</w:t>
      </w:r>
      <w:r>
        <w:rPr>
          <w:color w:val="000000"/>
        </w:rPr>
        <w:t xml:space="preserve"> </w:t>
      </w:r>
      <w:r>
        <w:rPr>
          <w:rFonts w:ascii="Times New Roman;sans-serif" w:hAnsi="Times New Roman;sans-serif"/>
          <w:b w:val="false"/>
          <w:color w:val="000000"/>
          <w:sz w:val="20"/>
        </w:rPr>
        <w:t>With this in mind, we continue to integrate ESG practices and implement social and sustainability strategies and initiatives into our overall business strategies intended to create long-term value for our shareholders, employees and other stakeholders.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ESG opportunities, risks and strategy are developed and managed by the Company’s management team collaboratively with the Company's cross-functional ESG Steering Committee.</w:t>
      </w:r>
      <w:r>
        <w:rPr>
          <w:color w:val="000000"/>
        </w:rPr>
        <w:t xml:space="preserve"> </w:t>
      </w:r>
      <w:r>
        <w:rPr>
          <w:rFonts w:ascii="Times New Roman;sans-serif" w:hAnsi="Times New Roman;sans-serif"/>
          <w:b w:val="false"/>
          <w:color w:val="000000"/>
          <w:sz w:val="20"/>
        </w:rPr>
        <w:t>The Company’s Nominating and Corporate Governance Committee oversees Company matters relating to ESG, including oversight of the Company’s policies and strategies relating to human capital management, corporate culture, and diversity, equity, and inclusion, which are discussed thoughtfully by the Committee and reported to our Board of Directors.</w:t>
      </w:r>
      <w:r>
        <w:rPr>
          <w:color w:val="000000"/>
        </w:rPr>
        <w:t xml:space="preserve"> </w:t>
      </w:r>
      <w:r>
        <w:rPr>
          <w:rFonts w:ascii="Times New Roman;sans-serif" w:hAnsi="Times New Roman;sans-serif"/>
          <w:b w:val="false"/>
          <w:color w:val="000000"/>
          <w:sz w:val="20"/>
        </w:rPr>
        <w:t>The ESG Steering Committee meets regularly and reports to the Nominating and Corporate Governance Committee on a quarterly basis and more frequently, as needed.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Environmental Sustainability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committed to conducting our business in an environmentally conscious manner.</w:t>
      </w:r>
      <w:r>
        <w:rPr>
          <w:color w:val="000000"/>
        </w:rPr>
        <w:t xml:space="preserve"> </w:t>
      </w:r>
      <w:r>
        <w:rPr>
          <w:rFonts w:ascii="Times New Roman;sans-serif" w:hAnsi="Times New Roman;sans-serif"/>
          <w:b w:val="false"/>
          <w:color w:val="000000"/>
          <w:sz w:val="20"/>
        </w:rPr>
        <w:t>We strive to maintain a corporate environment that fosters a sense of community and well-being and that encourages our employees to focus on their long-term success along with the long-term success of the Company.</w:t>
      </w:r>
      <w:r>
        <w:rPr>
          <w:color w:val="000000"/>
        </w:rPr>
        <w:t xml:space="preserve"> </w:t>
      </w:r>
      <w:r>
        <w:rPr>
          <w:rFonts w:ascii="Times New Roman;sans-serif" w:hAnsi="Times New Roman;sans-serif"/>
          <w:b w:val="false"/>
          <w:color w:val="000000"/>
          <w:sz w:val="20"/>
        </w:rPr>
        <w:t>We promote sustainable practices and environmental stewardship throughout the organization, with a particular emphasis on energy efficiency, recycling, indoor environmental quality, and environmental awareness.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our corporate headquarters, our properties are leased to gaming operators pursuant to triple-net lease agreements, meaning each operator is responsible for business operations, maintenance, insurance, taxes, utilities,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pPr>
      <w:r>
        <w:rPr>
          <w:rFonts w:ascii="Times New Roman;sans-serif" w:hAnsi="Times New Roman;sans-serif"/>
          <w:b w:val="false"/>
          <w:color w:val="000000"/>
          <w:sz w:val="20"/>
        </w:rPr>
        <w:t>other property-related expenses, including with respect to all ESG strategies. The oversight and control of all energy and water usage and consumption and operations-related sustainability strategies related thereto is the sole responsibility of our tenants.</w:t>
      </w:r>
      <w:r>
        <w:rPr>
          <w:color w:val="000000"/>
        </w:rPr>
        <w:t xml:space="preserve"> </w:t>
      </w:r>
      <w:r>
        <w:rPr>
          <w:rFonts w:ascii="Times New Roman;sans-serif" w:hAnsi="Times New Roman;sans-serif"/>
          <w:b w:val="false"/>
          <w:color w:val="000000"/>
          <w:sz w:val="20"/>
        </w:rPr>
        <w:t xml:space="preserve">Consequently, fostering a strong channel of communication with our tenants is an important component in the evolution of the environmental sustainability of our properties and establishing long-term, successful relationships is critical to the success of our business. </w:t>
      </w:r>
      <w:r>
        <w:rPr>
          <w:rFonts w:ascii="Times New Roman;sans-serif" w:hAnsi="Times New Roman;sans-serif"/>
          <w:b w:val="false"/>
          <w:color w:val="000000"/>
          <w:sz w:val="24"/>
        </w:rPr>
        <w:t>T</w:t>
      </w:r>
      <w:r>
        <w:rPr>
          <w:rFonts w:ascii="Times New Roman;sans-serif" w:hAnsi="Times New Roman;sans-serif"/>
          <w:b w:val="false"/>
          <w:color w:val="000000"/>
          <w:sz w:val="20"/>
        </w:rPr>
        <w:t xml:space="preserve">hrough our formalized Tenant Partnership Program, we discussed the importance of collecting and sharing utility data. To reinforce our level of commitment and support to tenants in these areas, we provided them with accessibility and use, at no charge, to a third-party platform to aid in the aggregation and compilation and reporting of utility data to encourage enhanced transparency and to aid in determining greenhouse gas emissions at our properties. As of December 31, 2023, we had 100% agreement from our tenants to provide utility data for those properties. We are committed to offering continued support to our tenants in the area of data sharing and sustainability. We also implemented certain green lease provisions, which include data collection obligations in many of our leases.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evaluating climate-related risks and opportunities to include in our near and long-term environmental strategies. We published our first standalone ESG Tearsheet in 2022 and expect to publish our inaugural standalone Corporate Responsibility Report with updated metrics and environmental data in the first quarter of 2024. We also refined our process for Scope 1 and 2 emissions data collection and reporting through the engagement of a third-party vendor.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growth of our business often involves the acquisition of real estate assets from third parties.</w:t>
      </w:r>
      <w:r>
        <w:rPr>
          <w:color w:val="000000"/>
        </w:rPr>
        <w:t xml:space="preserve"> </w:t>
      </w:r>
      <w:r>
        <w:rPr>
          <w:rFonts w:ascii="Times New Roman;sans-serif" w:hAnsi="Times New Roman;sans-serif"/>
          <w:b w:val="false"/>
          <w:color w:val="000000"/>
          <w:sz w:val="20"/>
        </w:rPr>
        <w:t xml:space="preserve">In furtherance of our commitment to environmental sustainability, we routinely engage nationally recognized and certified environmental engineers to perform Phase I Environmental Site Assessments as part of our acquisition process and require future tenants to ensure compliance with all environmental laws, including any necessary testing, remediation and/or monitoring.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Recognizing that sustainability is a journey, we are committed to continuous improvement and will endeavor to engage and communicate with our key stakeholders regarding our ESG stewardship.</w:t>
      </w:r>
      <w:r>
        <w:rPr>
          <w:color w:val="000000"/>
        </w:rPr>
        <w:t xml:space="preserve"> </w:t>
      </w:r>
      <w:r>
        <w:rPr>
          <w:rFonts w:ascii="Times New Roman;sans-serif" w:hAnsi="Times New Roman;sans-serif"/>
          <w:b w:val="false"/>
          <w:color w:val="000000"/>
          <w:sz w:val="20"/>
        </w:rPr>
        <w:t xml:space="preserve">Further, we are committed to developing initiatives to address and mitigate those environmental risks within our control and supporting our tenants to do the same. In 2023, we completed portfolio wide inspections of all of the leased real estate owned by the Company, which also included a comprehensive ESG and climate assessment component.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December 31, 2023, we had 18 full-time employees. Our employees are a valued asset and integral to the success of the Company.</w:t>
      </w:r>
      <w:r>
        <w:rPr>
          <w:color w:val="000000"/>
        </w:rPr>
        <w:t xml:space="preserve"> </w:t>
      </w:r>
      <w:r>
        <w:rPr>
          <w:rFonts w:ascii="Times New Roman;sans-serif" w:hAnsi="Times New Roman;sans-serif"/>
          <w:b w:val="false"/>
          <w:color w:val="000000"/>
          <w:sz w:val="20"/>
        </w:rPr>
        <w:t>We strive to prioritize our employees’ education, development, growth, and well-being.</w:t>
      </w:r>
      <w:r>
        <w:rPr>
          <w:color w:val="000000"/>
        </w:rPr>
        <w:t xml:space="preserve"> </w:t>
      </w:r>
      <w:r>
        <w:rPr>
          <w:rFonts w:ascii="Times New Roman;sans-serif" w:hAnsi="Times New Roman;sans-serif"/>
          <w:b w:val="false"/>
          <w:color w:val="000000"/>
          <w:sz w:val="20"/>
        </w:rPr>
        <w:t>We are passionate about developing our talent. We provide tuition reimbursement, professional development reimbursement, and performance appraisals.</w:t>
      </w:r>
      <w:r>
        <w:rPr>
          <w:color w:val="000000"/>
        </w:rPr>
        <w:t xml:space="preserve"> </w:t>
      </w:r>
      <w:r>
        <w:rPr>
          <w:rFonts w:ascii="Times New Roman;sans-serif" w:hAnsi="Times New Roman;sans-serif"/>
          <w:b w:val="false"/>
          <w:color w:val="000000"/>
          <w:sz w:val="20"/>
        </w:rPr>
        <w:t xml:space="preserve">We are committed to continuing to develop strategies focused on employee growth, development and well-being.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Senior management holds employee meetings and social events at a regular cadence to create an open forum for learning and to foster feedback.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Every employee receives an annual grant of GLPI restricted stock that vests over a three-year period.</w:t>
      </w:r>
      <w:r>
        <w:rPr>
          <w:color w:val="000000"/>
        </w:rPr>
        <w:t xml:space="preserve"> </w:t>
      </w:r>
      <w:r>
        <w:rPr>
          <w:rFonts w:ascii="Times New Roman;sans-serif" w:hAnsi="Times New Roman;sans-serif"/>
          <w:b w:val="false"/>
          <w:color w:val="000000"/>
          <w:sz w:val="20"/>
        </w:rPr>
        <w:t xml:space="preserve">This program was proposed and instituted by our Chairman and CEO as a way to attract and maintain talent across all levels of the organization and to ensure that every employee has a stake in the Company’s continued growth and success.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offer competitive and balanced benefits, including a flexible work policy designed to ensure a healthy work-life balance as well as flexible summer hours.</w:t>
      </w:r>
      <w:r>
        <w:rPr>
          <w:color w:val="000000"/>
        </w:rPr>
        <w:t xml:space="preserve"> </w:t>
      </w:r>
      <w:r>
        <w:rPr>
          <w:rFonts w:ascii="Times New Roman;sans-serif" w:hAnsi="Times New Roman;sans-serif"/>
          <w:b w:val="false"/>
          <w:color w:val="000000"/>
          <w:sz w:val="20"/>
        </w:rPr>
        <w:t xml:space="preserve">Our array of other well-being and benefits packages includes a 401(k) plan with employer match, family leave, a health and fitness facility at the corporate campus and an employee assistance plan (EAP), among other non-salary benefits. The Company also offers paid time off for volunteering and community involvement.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view of human capital management extends beyond our employees to our vendors and other third parties with whom we do business. Our adoption of our Vendor Code of Conduct was designed to ensure that we engage individuals and businesses that are committed to the health and well-being of their employees as well.</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pPr>
      <w:r>
        <w:rPr>
          <w:rFonts w:ascii="Times New Roman;sans-serif" w:hAnsi="Times New Roman;sans-serif"/>
          <w:b/>
          <w:color w:val="000000"/>
          <w:sz w:val="20"/>
        </w:rPr>
        <w:t>Diversity, Equity, and Inclusion (DEI)</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GLPI is focused on cultivating a diverse and inclusive culture where our employees can freely bring diverse perspectives and varied experiences to the workplace.</w:t>
      </w:r>
      <w:r>
        <w:rPr>
          <w:color w:val="000000"/>
        </w:rPr>
        <w:t xml:space="preserve"> </w:t>
      </w:r>
      <w:r>
        <w:rPr>
          <w:rFonts w:ascii="Times New Roman;sans-serif" w:hAnsi="Times New Roman;sans-serif"/>
          <w:b w:val="false"/>
          <w:color w:val="000000"/>
          <w:sz w:val="20"/>
        </w:rPr>
        <w:t>We value diverse representation, backgrounds and viewpoints and believe that they serve to strengthen our business proposition for the long-term horizon.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hiring and recruitment processes, we adhere to equal employment policies, and we are committed to prioritizing diversity in any expansion of our Board of Directors or the filling of any vacancy. We abide by our Inclusive Workplace Policy and require all employees, including our Board of Directors, to complete an annual training on diversity and inclusion, alongside other trainings for various GLPI policies, including our Code of Business Conduct.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50% of our employees identify as female.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Tenant Engagement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formalization of our Tenant Partnership Program, we have continued to engage with our tenants, at least annually, but more frequently as deemed necessary, to address and discuss ESG related matters such as environmental data collection, sustainability strategies and community engagement opportunities. We are proud to report 100% tenant participation in response to our engagement efforts again in 2023. We continue to foster these relationships and identify community engagement partnership opportunities. We believe that aligning, sharing and committing to similar sustainability goals will continue to allow our Company and our tenant stakeholders to make a greater collective impact, while fostering long-term, successful relationships in the communities in which we own real estate and conduct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Community Engagement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an active role in supporting our communities by partnering with local and national organizations to administer charitable contributions, provide community service, and organize the donation of goods to assist local families in need. We endeavor to broaden our outreach and maximize our impact year over year. Our employees volunteer at food banks and participate in other charitable events. We completed our second Annual Day of Service to support the Berks County branch of Helping Harvest in fighting hunger. 89% of our employees participated in this initiative focused on helping our local community. The Company also contributed to the construction of a women's and children's shelter in Berks County, Pennsylvania and committed to a multi-year donation. The Company proudly further expanded its local community involvement efforts nationally partnering with certain tenants in those states where we own real estate. For example, in 2023, the Company partnered with its tenant to sponsor the St. Charles County Mayor's Charity Ball which benefited deserving charities in the St. Charles, Missouri area. Other notable partnerships and community outreach and involvement include Angel Tree, Trees for Troops, Salvation Army and Habitat for Humanity.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Risk Factors Relating to Our Business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majority of our revenues are dependent on PENN and its subsidiaries until we further diversify our portfolio. Any event that has a material adverse effect on PENN’s business, financial position or results of operations may have a material adverse effect on our business, financial position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event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The bankruptcy or insolvency of any of our tenants could result in termination of such tenant's lease and material losses to us.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bankruptcy or insolvency of any of our tenants could diminish the income we receive from that tenant’s lease or leases. If a tenant becomes bankrupt or insolvent, federal law may prohibit us from evicting such tenant based solely upon such bankruptcy or insolvency. In addition, a bankrupt or insolvent tenant may be authorized to reject and terminate its lease or leases with us. Any claims against such bankrupt tenant for unpaid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terminated or rejected space or to re-lease it on comparable or more favorable terms. Moreover, tenants who are considering filing for bankruptcy protection may request amendments of their master leases to remove certain of the properties they lease from us under such master leases. We cannot guarantee that we will be able to sell or re-lease such properties or that lease termination fees, if any, received in exchange for such releases will be sufficient to make up for the rental revenues lost as a result of such lease amendments.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pursuit of investments in, and acquisitions or development of, additional properties may be unsuccessful or fail to meet our expectations.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highly competitive industry and face competition from other REITs (including other gaming-focused REITs), investment companies, private equity and hedge fund investors, sovereign funds, lenders, gaming companies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impacted. Furthermore, fluctuations in the price of our common stock may impact our ability to finance additional acquisitions through the issuance of common stock and/or cause significant dilution.</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are dependent on the gaming industry and may be susceptible to the risks associated with it, which could materially adversely affect our business, financial position or results of operations.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the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our tenants have no control. As we are subject to risks inherent in substantial investments in a single industry, a decrease in the gaming business may have a greater adverse effect on our revenues than if we owned a more diversified real estate portfolio, particularly 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tenants and, indirectly, our business. Present state or federal laws that restrict the forms of gaming authorized or the number of competitors that offer gaming in the applicable jurisdiction are subject to change and may increase the competition affecting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Expansion of internet gaming and sports betting in other jurisdictions may compete with our traditional operations, which could have an adverse impact on our business and result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Certain of our tenants operate and manage facilities that are located in areas that experience extreme weather conditions and are more sensitive to the adverse effects of climate change.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our tenants in our leased facilities are subject to disruptions or reduced patronage as a result of severe weather conditions, changing climate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and Boyd on our properties; consequently, a casualty that leads to the loss of use of a casino facility subject to our leases for an extended period may negatively impact our revenues.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the impact that changing climate conditions will have on the Company’s business, financial condition, results of operations or cash flows. Indirect weather-related impacts may affect the number of visitors to our tenants’ facilities in various ways, such as blocked access due to flooding, restricted access due to property damage, or decreased destination attractiveness of our tenants’ facilities. These facilities could be impacted by damage to their infrastructure or disruptions in their operations. The Company considers the potential impact of weather and climate change in acquiring properties and assessing portfolio risk.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face extensive regulation from gaming and other regulatory authorities.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ownership, operation, and management of gaming and racing facilities are subject to pervasive regulation. These regulations impact both GLPI and the operations of our gaming tenants.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regulations and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Required regulatory approvals can delay or prohibit transfers of our gaming properties, which could result in periods in which we are unable to receive rent for such properties.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pursuit of strategic acquisitions unrelated to the gaming industry may be unsuccessful or fail to meet our expectations.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pStyle w:val="TextBody"/>
        <w:bidi w:val="0"/>
        <w:spacing w:before="0" w:after="0"/>
        <w:ind w:left="0" w:right="0" w:firstLine="720"/>
        <w:jc w:val="both"/>
        <w:rPr/>
      </w:pPr>
      <w:r>
        <w:rPr/>
      </w:r>
    </w:p>
    <w:p>
      <w:pPr>
        <w:pStyle w:val="TextBody"/>
        <w:bidi w:val="0"/>
        <w:spacing w:lineRule="auto" w:line="288" w:before="160" w:after="160"/>
        <w:jc w:val="both"/>
        <w:rPr/>
      </w:pPr>
      <w:r>
        <w:rPr>
          <w:rFonts w:ascii="Times New Roman;sans-serif" w:hAnsi="Times New Roman;sans-serif"/>
          <w:b/>
          <w:i/>
          <w:color w:val="000000"/>
          <w:sz w:val="20"/>
        </w:rPr>
        <w:t>COVID-19 has had, and may continue to have, a significant impact on our tenants' financial conditions and operations.</w:t>
      </w:r>
      <w:r>
        <w:rPr>
          <w:color w:val="000000"/>
        </w:rPr>
        <w:t xml:space="preserv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a new strain of novel coronavirus, COVID-19, was reported in China and shortly thereafter spread across the globe. This global pandemic outbreak led to unprecedented responses by federal, state and local officials. Certain responses included mandates from authorities requiring temporary closures of or imposed limitations on the operations of many businesses in the attempt to mitigate the spread of infections. Unemployment levels rose sharply and economic activity levels declined dramatically as a result. The United States government implemented various significant aid packages to support the economy and credit markets to combat these declines.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TRS Properties and our tenants' casino operations were forced to close temporarily in mid-March of 2020 through various dates into May and June 2020. Even though most of our properties recommenced operations to encouraging results, including certain locations where earnings were higher than the corresponding period prior to COVID-19, it is uncertain whether these strong results will continue in future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Rent coverage ratios under our leases exceed that of pre-COVID-19 levels and business and social life have mostly returned to normal. However, the ultimate impact of COVID-19 and its variants on us is uncertain and subject to change and will depend on future developments, which cannot be accurately predicted, including the continued emergence of new strains of COVID-19, the effectiveness of vaccines and therapeutics over time against current and future strains of COVID-19, additional or modified government actions, new information that will emerge concerning the severity and impact of COVID-19 and the actions taken to contain COVID-19 or address its impact in the short and long term, among others.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charter restricts the ownership and transfer of our outstanding stock, which may have the effect of delaying, deferring or preventing a transaction or change of control of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Pennsylvania law and provisions in our charter and bylaws may delay or prevent takeover attempts by third parties and therefore inhibit our shareholders from realizing a premium on their stock.</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and bylaws, in addition to Pennsylvania law, contain provisions that are intended to deter coercive takeover practices and inadequate takeover bids and to encourage prospective acquirers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and corporate governance committee of the Board of Directors following the affirmative determination by the nominating and corporate governance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require shareholders or shareholder groups to own 3% or more of our outstanding common stock in order to recommend a person for direct nomination for election to the Board of Directors and inclusion in our proxy materials;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realized by an interested shareholder from certain dispositions of our shares; and (vi) severance payments for certain employees and prohibiting termination of certain labor contracts.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uninsured or under insured losses, which could result in a significant loss of the capital we have invested in a property, decrease anticipated future revenues or cause us to incur unanticipated expense.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damage to our properties is covered by insurance, a disruption of our or our tenant's business caused by a casualty event may result in the loss of business or tenants. The business interruption insurance our tenants carry may not fully compensate us for the loss of business of our tenants due to an interruption caused by a casualty event.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and holders of our common stock could lose a significant portion of their investment if the market price of our common stock declines.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Specific factors that may have a significant effect on the market price for our common stock include, among others, the following:</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stock market analyst recommendations or earnings estimates regarding our common stock or other comparable REITs;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actual or anticipated fluctuations in our revenue stream or future prospects;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strategic actions taken by us or our competitors, such as acquisitions;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failure to close pending acquisitions;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failure to achieve the perceived benefits of our acquisitions, including financial results, as rapidly as or to the extent anticipated by financial or industry analysts;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 and operations or the gaming industry;</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tax or accounting standards, policies, guidance, interpretations or principles;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the interest rate environment and/or the impact of rising inflation;</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adverse conditions in the financial markets or general U.S. or international economic conditions, including those resulting from war, incidents of terrorism and responses to such events; and</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sales of our common stock by members of our management team or other significant shareholders.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Environmental compliance costs and liabilities associated with real estate properties owned by us may materially impair the value of those investments.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Changes to U.S. federal income tax laws could materially and adversely affect us and our shareholders.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 net operating loss carry backs and allow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In addition, future changes in tax laws, including the proposed tax agenda presented by the Biden administration, or tax rulings, could affect our effective tax rate, the tax rate of shareholders of our stock, and overall benefit of maintaining our status as a REIT. For example, the reduction in the corporate income tax rate resulting from the Tax Cuts and Jobs Act could be reduced or rescinded, individual tax rates may increase, and the §199A deduction for REIT dividends could be phased out.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face risks associated with security breaches through cyber-attacks, cyber intrusions or otherwise, as well as other significant disruptions of our information technology (IT) networks and related systems.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If our tenants fail to detect fraud or theft, including by our tenants’ users and employees, our tenants, and, therefore, our reputation may suffer which could harm our tenants, and, therefore, our brand and reputation and negatively impact our tenants, and therefore, our business, financial condition and results of operations and can subject us to investigations and litigation</w:t>
      </w:r>
      <w:r>
        <w:rPr>
          <w:rFonts w:ascii="Times New Roman;sans-serif" w:hAnsi="Times New Roman;sans-serif"/>
          <w:b w:val="false"/>
          <w:i/>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tenants may incur losses from various types of financial fraud, including use of stolen or fraudulent credit card data, claims of unauthorized payments by a user and attempted payments by users with insufficient funds. Bad actors use increasingly sophisticated methods to engage in illegal activities involving personal information, such as unauthorized use of another person’s identity, account information or payment information and unauthorized acquisition or use of credit or debit card details, bank account information and mobile phone numbers and accounts. Under current credit card practices, our tenants may be liable for use of funds on their products with fraudulent credit card data, even if the associated financial institution approved the credit card transaction. Acts of fraud may involve various tactics, including collusion. Successful exploitation of our tenants' systems could have negative effects on their product offerings, services and user experience and could harm their reputation. Failure to discover such acts or schemes in a timely manner could result in harm to their operations. In addition, negative publicity related to such schemes could have an adverse effect on their reputation, potentially causing a material adverse effect on our business, financial condition, results of operations and prospects. We cannot guarantee that any of our tenants’ measures to detect and reduce the occurrence of fraudulent or other malicious activity on our offerings will be effective or will scale efficiently with our tenants business. Our tenants’ failure to adequately detect or prevent fraudulent transactions could harm our tenants’, and, therefore, our reputation or brand, result in litigation or regulatory action and lead to expenses that could adversely affect our tenants, and, therefore, our business, financial condition and results of operations.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Risk Factors Relating to our Status as a REIT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We received an opinion from our special tax advisors, Wachtell, Lipton, Rosen &amp; Katz and KPMG LLP (collectively the "Special Tax Advisors"), with respect to our qualification as a REIT in connection with the Spin-Off. Opinions of advisors are not binding on the IRS or any court. The opinions of the Special Tax Advisors represent only the view of the Special Tax Advisors based on their review and analysis of existing law and on certain representations as to factual matters and covenants made by us, including representations relating to the values of our assets and the sources of our income. The opinions are expressed as of the date issued. The Special Tax Advisors have no obligation to advise us or the holders of our common stock of any subsequent change in the matters stated, represented or assumed or of any subsequent change in applicable law. Furthermore, both the validity of the opinions of Special Tax Advisors and our qualification as a REIT will depend on our satisfaction of certain asset, income, organizational, distribution, shareholder ownership and other requirements on a continuing basis, the results of which are not monitored by the Special Tax Advisors. Our ability to satisfy the asset tests depends upon our analysis of the characterization and fair market values of our assets, some of which are not susceptible to a precise determination, and for which we will not obtain independent appraisals.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PENN Master Lease will not adversely affect our qualification as a REIT. No assurance can be given that the IRS will not challenge our qualification as a REIT on the basis of other issues or facts outside the scope of the ruling.</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Qualifying as a REIT involves highly technical and complex provisions of the Code and violations of these provisions could jeopardize our REIT qualifications.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We could fail to qualify to be taxed as a REIT if income we receive from our tenants, or their subsidiaries, is not treated as qualifying income.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provisions of the Code, we will not be treated as a REIT unless we satisfy various requirements, including requirements relating to the sources of our gross income. Rents received or accrued by us from our tenants or their subsidiaries, will not be treated as qualifying rent for purposes of these requirements if our leases are not respected as true leases for U.S. federal income tax purposes and are instead treated as service contracts, joint ventures or some other type of arrangements. If any leases are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subject to certain exceptions, rents received or accrued by us from our tenants will not be treated as qualifying rent for purposes of these requirements if we or an actual or constructive owner of 10% or more of our stock actually or constructively owns 10% or more of the total combined voting power of all classes of such respective tenant's stock entitled to vote or 10% or more of the total value of such respective tenant's stock. Our charter provides for restrictions on ownership and transfer of our shares of stock, including restrictions on such ownership or transfer that would cause the rents received or accrued by us from our tenants, to be treated as non-qualifying rent for purposes of the REIT gross income requirements. Nevertheless, there can be no assurance that such restrictions will be effective in ensuring that rents received or accrued by us from our tenants or their subsidiaries will not be treated as qualifying rent for purposes of REIT qualification requirements.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Dividends payable by REITs do not qualify for the reduced tax rates available for some dividends.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REIT distribution requirements could adversely affect our ability to execute our business plan.</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and to avoid the imposition of corporate income tax or the 4% excise tax.</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its leases would materially impair our ability to make distributions. Consequently, there can be no assurance that we will be able to make distributions at the anticipated distribution rate or any other rate.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Even if we remain qualified as a REIT, we may face other tax liabilities that reduce our cash flow.</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remain qualified for taxation as a REIT, we may be subject to certain U.S. federal, state, and local taxes on our income and assets, including taxes on any undistributed income and state or local income, property and transfer taxes. For example, we may hold certain of our assets and conduct related activities through TRS subsidiary corporations that are subject to 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Complying with REIT requirements may cause us to forego otherwise attractive acquisition opportunities or liquidate otherwise attractive investments.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Lastly, no more than 25% of the value of our total assets can be represented by unsecured debt of publicly traded REITs.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Complying with REIT requirements may limit our ability to hedge effectively and may cause us to incur tax liabilities.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transactions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than we would otherwise want to bear. In addition, losses in the TRS will generally not provide any tax benefit, except that such losses could theoretically be carried back or forward against past or future taxable income in the TRS.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Capital Structure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have future capital needs and may not be able to obtain additional financing on acceptable terms.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approximately $6.6 billion in long-term indebtedness, net of unamortized debt issuance costs, bond premiums and original issuance discounts, consisting of: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$6,075.0 million of outstanding senior unsecured notes;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$600.0 million of term loans,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approximately $0.4 million of finance lease liabilities related to certain assets.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material amount of indebtedness which could have significant effects on our business including the following: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it may limit our ability to obtain additional debt or equity financing for working capital, capital expenditures, acquisitions, debt service requirements and general corporate or other purposes;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material portion of our cash flows will be dedicated to the payment of principal and interest on our indebtedness, including indebtedness we may incur in the future, and will not be available for other purposes, including to make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it could limit our flexibility in planning for, or reacting to, changes in our business and the industry in which we operate and place us at a competitive disadvantage compared to our competitors that have less debt or are less leveraged;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it could make us more vulnerable to downturns in general economic or industry conditions or in our business, or prevent us from carrying out activities that are important to our growth;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it could increase our interest expense if interest rates in general increase because our indebtedness under the Amended Credit Facility bears interest at floating rates;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it could limit our ability to take advantage of strategic business opportunities;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Amended Credit Facility and other outstanding debt obligations;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it could impact our ability to pay dividends to our shareholders.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our business will generate sufficient cash flow from operations, or that future borrowings will be available to us under our Amended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or access new indebtedness will depend on the capital and credit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shareholders may be subject to significant dilution caused by the additional issuance of equity securities.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and when additional funds are raised through the issuance of equity securities, including under our "at the market" offering program relating to our common stock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Adverse changes in our credit rating may affect our borrowing capacity and borrowing terms.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If we cannot obtain additional capital, our growth may be limited.</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An increase in market interest rates could increase our interest costs on existing and future debt and could adversely affect our stock price.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debt is at fixed rates and our exposure to variable interest rates is currently limited to outstanding obligations, if any, under our $1.75 billion revolving credit facility (the "Initial Revolving Credit Facility") and our Term Loan Credit Facility. These debt instruments are indexed to a Secured Overnight Financing Rate ("SOFR"). Our total variable rate debt approximated 9% of our total debt at December 31, 2023.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Covenants in our debt agreements may limit our operational flexibility, and a covenant breach or default could materially adversely affect our business, financial position or results of operations.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Risk Factors Relating to Our Acquisition of Pinnacle and Tropicana's Gaming Properties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recourse against Tropicana, including for any breaches under the Amended Real Estate Purchase Agreement or the Tropicana Merger Agreement, is limited.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is customary for a public company target in a merger and acquisition transaction, Tropicana has no obligation to indemnify us or Caesars for any breaches of its representations and warranties or covenants included in the Tropicana Merger Agreement and the Amended Real Estate Purchase Agreement, or for any pre-closing liabilities or claims. While we have certain arrangements in place with Caesars in connection with certain limited pre-closing liabilities, if any issues arise post-closing (other than as provided for in the Third Amended and Restated Caesars Master Lease), we may not be entitled to sufficient, or any, indemnification or recourse from Tropicana or Caesars, which could have a materially adverse impact on our business and results of operations.</w:t>
      </w:r>
    </w:p>
    <w:p>
      <w:pPr>
        <w:pStyle w:val="TextBody"/>
        <w:bidi w:val="0"/>
        <w:spacing w:lineRule="auto" w:line="288" w:before="160" w:after="160"/>
        <w:jc w:val="both"/>
        <w:rPr/>
      </w:pPr>
      <w:r>
        <w:rPr>
          <w:rFonts w:ascii="Times New Roman;sans-serif" w:hAnsi="Times New Roman;sans-serif"/>
          <w:b/>
          <w:i/>
          <w:color w:val="000000"/>
          <w:sz w:val="20"/>
        </w:rPr>
        <w:t>PENN has contractual obligations to indemnify us for certain liabilities</w:t>
      </w:r>
      <w:r>
        <w:rPr>
          <w:rFonts w:ascii="Times New Roman;sans-serif" w:hAnsi="Times New Roman;sans-serif"/>
          <w:b w:val="false"/>
          <w:color w:val="000000"/>
          <w:sz w:val="20"/>
        </w:rPr>
        <w:t xml:space="preserve">, </w:t>
      </w:r>
      <w:r>
        <w:rPr>
          <w:rFonts w:ascii="Times New Roman;sans-serif" w:hAnsi="Times New Roman;sans-serif"/>
          <w:b/>
          <w:i/>
          <w:color w:val="000000"/>
          <w:sz w:val="20"/>
        </w:rPr>
        <w:t xml:space="preserve">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2023 Master Lease, the Amended PENN Master Lease and/or the Amended Pinnacle Master Lease.</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60" w:after="16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cyber risk program as a part of its enterprise risk management program that is designed to identify, assess, mitigate and manage cyber risks. The Company’s Vice President of Information Technology is responsible for managing the Company’s cyber risk program, informing senior management regarding the prevention, detection, mitigation, and remediation of cybersecurity incidents and supervising third parties assisting in these efforts. The Company's Vice President of Information Technology has two decades of experience in the Information Technology industry, with a strong emphasis on cybersecurity whose professional experience is distinguished by a Bachelor's degree in Network Operation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and enriched by practical, hands on experience in the field. The Vice President's long standing career in Information Technology reflects a deep seated expertise in safeguarding digital infrastructures in today's dynamic cyber environment.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policies and procedures concerning cybersecurity matters, which include policies that directly or indirectly relate to cybersecurity, such as policies related to encryption standards, antivirus protection, remote access, multifactor authentication, confidential information and the use of the internet, social media, email and wireless devices. All Company employees are required to complete annual cybersecurity training programs.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engages third party vendors to periodically test, monitor and maintain the performance and effectiveness of the Company’s cyber risk program. In addition, in 2023 the Company participated in a comprehensive third-party cyber risk review as part of its annual insurance renewal process and consideration of cyber risk coverage.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Audit and Compliance Committee of the Board of Directors oversees the Company’s cybersecurity risk program and the process employed to monitor and mitigate cybersecurity risks. Members of the management team provide periodic updates to the Audit and Compliance Committee on the status of the Company’s cyber risk management program. In addition, cybersecurity risks are reviewed by the Board of Directors as part of the Company’s ongoing enterprise risk management program.</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a triple net REIT with no significant consumer facing infrastructure or exposure, the Company faces a limited number of cybersecurity risks in connection with the operation of the business. Risks from cybersecurity threats have not materially affected the Company to date and are not reasonably likely to materially affect the Company, including the Company's business strategy, results of operations or financial condition. Other than widespread threats generally affecting businesses, the Company has not experienced threats to or breaches of its data or systems, including malware and computer virus attacks. For more information about the cybersecurity risks faced by the Company, see the risk factor entitled “</w:t>
      </w:r>
      <w:r>
        <w:rPr>
          <w:rFonts w:ascii="Times New Roman;sans-serif" w:hAnsi="Times New Roman;sans-serif"/>
          <w:b w:val="false"/>
          <w:i/>
          <w:color w:val="000000"/>
          <w:sz w:val="20"/>
        </w:rPr>
        <w:t>We face risks associated with security breaches through cyber-attacks, cyber intrusions or otherwise, as well as other significant disruptions of our information technology (IT) networks and related systems</w:t>
      </w:r>
      <w:r>
        <w:rPr>
          <w:color w:val="000000"/>
        </w:rPr>
        <w:t xml:space="preserve">” </w:t>
      </w:r>
      <w:r>
        <w:rPr>
          <w:rFonts w:ascii="Times New Roman;sans-serif" w:hAnsi="Times New Roman;sans-serif"/>
          <w:b w:val="false"/>
          <w:color w:val="000000"/>
          <w:sz w:val="20"/>
        </w:rPr>
        <w:t>in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Rental Properties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61 rental properties, consisting of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3 gaming and related facilities operated by the Cordish Companies, the real property associated with 4 gaming and related facilities operated by Casino Queen, 9 gaming and related facilities operated by Bally's and 1 gaming facility under construction that upon opening is intended to be managed by Hard Rock. All rental properties are subject to long-term triple-net leases. For additional information pertaining to our tenant leases and our rental properties see Item 1.</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Corporate Office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corporate headquarters building is located in Wyomissing, Pennsylvania and is owned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and requires its tenants to carry insurance and defend and indemnify the Company from and against any claims or liabilities.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carried by the Company or its tenants will be sufficient to cover losses arising from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 MATTERS AND ISSUER PURCHASES OF EQUITY SECURITIES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quoted on the NASDAQ Global Select Market under the symbol "GLPI." As of February 14, 2024, there were approximately 687 holders of record of our common stock.</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pays tax at regular corporate rates on any undistributed income to the extent that it distributes less than 100% of its taxable income in any tax year.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to GLPI shareholders is derived from income from real estate.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16 to the Consolidated Financial Statements for further details on dividends.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bidi w:val="0"/>
        <w:spacing w:before="0" w:after="0"/>
        <w:ind w:left="0" w:right="0" w:firstLine="720"/>
        <w:jc w:val="left"/>
        <w:rPr/>
      </w:pPr>
      <w:r>
        <w:rPr/>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the Spin-Off. The assets and liabilities of GLPI were recorded at their respective historical carrying values at the time of the Spin-Off.</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U.S. federal income tax return for its taxable year that began on January 1, 2014 to be treated as a REIT and the Company, together with its indirect wholly-owned subsidiary, GLP Holdings, Inc., jointly elected to treat each of GLP Holdings, Inc., Louisiana Casino Cruises, Inc. (d/b/a Hollywood Casino Baton Rouge) and Penn Cecil Maryland, Inc. (d/b/a Hollywood Casino Perryville) as a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subsequent to the sale of the operations of Hollywood Casino Perryville and Hollywood Casino Baton Rouge, GLP Holdings, Inc. was merged into GLP Capital.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elected to treat Tropicana LV, LLC as a TRS. In September 2022, Bally's acquired both the building assets from GLPI and PENN's outstanding equity interests in Tropicana Las Vegas. GLPI retained ownership of the land and entered into a ground lease with Bally's. In connection with this transaction, Tropicana LV, LLC was merged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into GLP Capital. GLPI paid a special earnings and profit dividend of $0.25 per share in the first quarter of 2023 related to the sale of the building to Bally's.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UPREIT Transaction with Cordish, GLP Capital issued 7,366,683 newly-issued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Biloxi and Bally's Tiverton. There were 7,653,326 OP Units outstanding as of December 31, 2023.</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GLPI's primary business consists of acquiring, financing, and owning real estate property to be leased to gaming operators in triple-net lease arrangements. As of December 31, 2023, GLPI's portfolio consisted of interests in 61 gaming and related facilities, which was comprised of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9 gaming and related facilities operated by Bally's, the real property associated with 3 gaming and related facilities operated by Cordish and the real property associated with 4 gaming and related facilities operated by Casino Queen and 1 gaming facility under construction that upon opening is intended to be managed by Hard Rock. These facilities, including our corporate headquarters building, are geographically diversified across 18 states and contain approximately 28.7 million square feet. As of December 31, 2023, our properties were 100% occupied. We expect to continue growing our portfolio by pursuing opportunities to acquire additional gaming facilities to lease to gaming operators under prudent terms.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the Original PENN Master Lease. The Original PENN Master Lease was a triple-net operating lease, the term of which was scheduled to expire on October 31, 2033, with no purchase option, followed by three remaining 5-year renewal options (exercisable by the tenant) on the same terms and conditions.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the PENN 2023 Master Lease for seven of PENN's properties. The companies also agreed to a funding mechanism to support PENN's pursuit of relocation and development opportunities at several of the properties included in the new master lease. The PENN 2023 Master Lease became effective on January 1, 2023.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Amended PENN Master Lease was also created to remove PENN's properties in Aurora and Joliet, Illinois; Columbus and Toledo, Ohio; and Henderson, Nevada. The properties removed from the Original Penn Master Lease were added to the PENN 2023 Master Lease. In addition, the Meadows Lease and the Perryville Lease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PENN 2023 Master Lease and the Amended PENN Master Lease are substantially similar to the Original PENN Master Lease with the following key differences: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PENN 2023 Master Lease is cross-defaulted and co-terminus with the Amended PENN Master Lease.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PENN 2023 Master Lease is $232.2 million in base rent with fixed annual escalation of 1.50%, with the first escalation occurring on November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rent for the Amended 2023 PENN Master Lease was adjusted to $284.1 million, consisting of $208.2 million of building base rent, $43.0 million of land base rent, and $32.9 million of percentage rent.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April 2016, the Company acquired substantially all of the real estate assets of Pinnacle for approximately $4.8 billion. GLPI originally leased these assets back to Pinnacle, under the Pinnacle Master Lease, the term of which expires on April 30, 2031, with no purchase option, followed by four remaining 5-year renewal options (exercisable by the tenant) on the same terms and conditions. On October 15, 2018, the Company completed the previously announced PENN-Pinnacle Merger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the Belterra Park Loan with Boyd in connection with Boyd's acquisition of Belterra Park. In May 2020, the Company acquired the real estate of Belterra Park in satisfaction of the Belterra Park Loan, subject to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Third Amended and Restated Caesars Master Lease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and certain of its affiliates pursuant to the Amended Real Estate Purchase Agreement.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entered into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Waterloo, Bettendorf or Isle of Capri Casino Boonville, provided that the aggregate value of such new property, individually or collectively, is at least equal to the value of Tropicana Evansville or Trop Casino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entered into the Second Amended and Restated Caesars Master Lease in connection with the completion of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component were increased.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13, 2023, the Company and Caesars entered into the Third Amended and Restated Caesars Master Lease in connection with Caesars selling its interest in the Belle of Baton Rouge to Casino Queen with no change in rent obligation to the Company. See Note 12 for further discussion.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On October 1, 2018 the Company entered into a loan agreement with Caesars in connection with Caesars’s acquisition of Horseshoe St. Louis, whereby the Company extended funds to Caesars under the CZR loan. On the one-year anniversary of the CZR loan, the mortgage evidenced by a deed of trust on the Horseshoe St. Louis property terminated and the loan became unsecured. On June 24, 2020, the Company received approval from the Missouri Gaming Commission to own the real estate assets of Horseshoe St. Louis property in satisfaction of the CZR loan.</w:t>
      </w:r>
      <w:r>
        <w:rPr>
          <w:color w:val="000000"/>
        </w:rPr>
        <w:t xml:space="preserve"> </w:t>
      </w:r>
      <w:r>
        <w:rPr>
          <w:rFonts w:ascii="Times New Roman;sans-serif" w:hAnsi="Times New Roman;sans-serif"/>
          <w:b w:val="false"/>
          <w:color w:val="000000"/>
          <w:sz w:val="20"/>
        </w:rPr>
        <w:t>On September 29, 2020, the transaction closed and we entered into the Horseshoe St. Louis Lease, the initial term of which expires on October 31, 2033 with four separate renewal options of five years each, exercisable at the tenant's option.</w:t>
      </w:r>
      <w:r>
        <w:rPr>
          <w:color w:val="000000"/>
        </w:rPr>
        <w:t xml:space="preserve"> </w:t>
      </w:r>
      <w:r>
        <w:rPr>
          <w:rFonts w:ascii="Times New Roman;sans-serif" w:hAnsi="Times New Roman;sans-serif"/>
          <w:b w:val="false"/>
          <w:color w:val="000000"/>
          <w:sz w:val="20"/>
        </w:rPr>
        <w:t>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r>
        <w:rPr>
          <w:color w:val="000000"/>
        </w:rPr>
        <w:t xml:space="preserve"> </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the Bally's Master Lease which has an initial term of 15 years, with no purchase option, followed by four five-year renewal options (exercisable by the tenant) on the same terms and conditions. Rent under the Bally's Master Lease is subject to contractual escalations based on the CPI, with a 1% floor and a 2% ceiling, subject to the CPI meeting a 0.5% threshold.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and January 3, 2023, the Company completed the acquisitions of real estate assets of Bally's Biloxi, Bally's Tiverton, Bally's Black Hawk, and Bally's Quad Cities. These properties were added to the existing Bally's Master Lease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a deposit of $200.0 million funded by GLPI in September 2022 was returned to the Company along with a $9.0 million transaction fee that was recorded against the purchase price of the assets acquired. Concurrent with the closing, GLPI borrowed $600 million under its previously structured delayed draw term loan. The Company continues to have the option, subject to receipt by Bally's of required consents, to acquire the real property assets of Bally's Twin River Lincoln Casino Resort prior to December 31, 2026 for a purchase price of $771.0 million and additional rent of $58.8 million. </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ans-serif" w:hAnsi="Times New Roman;sans-serif"/>
          <w:b w:val="false"/>
          <w:i/>
          <w:color w:val="000000"/>
          <w:sz w:val="20"/>
        </w:rPr>
        <w:t>Tropicana Las Vegas</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rent subject to contractual escalations based on the CPI, with a 1% floor and a 2% ceiling, subject to the CPI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meeting a 0.5% threshold. The ground lease is supported by a Bally’s corporate guarantee and cross-defaulted with the Bally's Master Lease.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which owns the Team, entered into the LOI setting forth the terms for developing the Stadium. The Stadium is expected to complement the potential resort redevelopment envisioned at our 35-acre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Morgantown Lease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w:t>
      </w:r>
      <w:r>
        <w:rPr>
          <w:color w:val="000000"/>
        </w:rPr>
        <w:t xml:space="preserve"> </w:t>
      </w:r>
      <w:r>
        <w:rPr>
          <w:rFonts w:ascii="Times New Roman;sans-serif" w:hAnsi="Times New Roman;sans-serif"/>
          <w:b w:val="false"/>
          <w:color w:val="000000"/>
          <w:sz w:val="20"/>
        </w:rPr>
        <w:t xml:space="preserve">The Company is leasing the land back to an affiliate of PENN pursuant to the Morgantown Lease for an initial term of 20 years, followed by six 5-year renewal options exercisable by the tenant. In lease years two and three, rent increased by 1.5% annually (and on a prorated basis for the remainder of the lease year in which the gaming facility opened)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Hollywood Casino Morgantown opened on December 22, 2021. </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25, 2020, the Company entered into a definitive agreement with respect to the HCBR transaction. The HCBR transaction closed on December 17, 2021. The Company retained ownership of all real estate assets at Hollywood Casino Baton Rouge and simultaneously entered into the Second Amended and Restated Casino Queen Master Lease. The lease has an initial term of 15 years with four 5 year renewal options exercisable by the tenant on the same terms and conditions. See Note 12 for a discussion regarding such renewal options.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on September 6, 2023. The annual rent on the Second Amended and Restated Casino Queen Master Lease was increased by $2.7 million for this acquisition. Additionally, the Company anticipates funding certain construction costs of a landside development project at Casino Queen Marquette for an amount not to exceed $12.5 million. The rent will be adjusted to reflect a yield of 8.25% for the funded project costs. The Company entered into the Third Amended and Restated Casino Queen Master Lease on November 13,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had agreed to acquire the real property assets of Live! Casino &amp; Hotel Maryland, Live! Casino &amp; Hotel Philadelphia, and Live! Casino Pittsburgh, including applicable long-term ground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GLPI closed the acquisition of the Live! Casino &amp; Hotel Maryland and GLPI entered into the Maryland Live! Lease. On March 1, 2022, GLPI closed the acquisition of the Live! Casino &amp; Hotel Philadelphia and Live! Casino Pittsburgh and leased back the real estate to Cordish pursuant to the Pennsylvania Live! Master Lease. The Pennsylvania Live! Master Lease and the Maryland Live! Lease each have initial lease terms of 39 years, with maximum terms of 60 years inclusive of tenant renewal options. The annual rent for both leases has a 1.75% fixed yearly escalator on the entirety of rent commencing on the leases' second anniversary.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development project in Rockford, IL, that upon opening is intended to be managed by Hard Rock, from an affiliate of 815 Entertainment. Simultaneously with the land acquisition, GLPI entered into the Rockford Lease with 815 Entertainment. The initial annual rent for the Rockford Lease is subject to fixed 2% annual escalation beginning with the lease's first anniversary and for the entirety of its term.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the Rockford Loan. Any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December 31, 2023, $40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earnings are the result of revenues we receive from our triple-net master leases with PENN, Boyd, Bally's, Cordish, Casino Queen and Caesars.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accordance with Accounting Standards Codification ("ASC 842"), we record revenue for the ground lease rent paid by our tenants with an offsetting expense in land rights and ground lease expense within the Consolidated Statement of Income as we have concluded that as the lessee we are the primary obligor under the ground leases. We sublease these ground leases back to our tenants, who are responsible for payment directly to the landlord.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Gaming revenue for our TRS Properties (whose operations we sold during 2021) was derived primarily from gaming on slot machines and to a lesser extent, table game and poker revenue, which was highly dependent upon the volume and spending levels of customers at our TRS Properties. Other revenues at our TRS Properties were derived from our dining, retail and certain other ancillary activities.</w: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competitive strengths will contribute significantly to our success: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Geographically Diverse Property Portfolio</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portfolio consisted of 61 gaming and related facilities. Our portfolio, including our corporate headquarters building, comprises approximately 28.7 million square feet and approximately 5,200 acres of land and is broadly diversified by location across 18 states. We expect that our geographic diversification will limit the effect of a decline in any one regional market on our overall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Financially Secure Tenants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Five of the company's tenants, PENN, Caesars, Boyd, Cordish and Bally's, are leading, diversified, multi-jurisdictional owners and managers of gaming and pari-mutuel properties and established gaming providers with strong financial performance. With the exception of Cordish,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Boyd's and Bally's respective websites for further financial information on these companies.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Triple-Net Lease Structure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Resilient Regional Gaming Characteristics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recession resulting from the COVID-19 pandemic has illustrated the resiliency of the regional gaming market. In spite of all our properties being forced to close during mid-March 2020, the Company collected all contractual rents, inclusive of rent credits, due in 2020. Furthermore, our tenants' results since they have reopened has been strong and in some cases better than prior to COVID-19, due to their increased focus on cost efficiencies and decreasing and/or eliminating lower margin amenities. For instance, the rent coverage ratios on all of our leases have increased compared to pre-COVID-19 levels at December 31, 2019. Although we are unable to predict whether these results will continue, we believe that our assets should generate substantial cash flows well into the future for both ourselves and our tenants.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Flexible UPREIT Structure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Experienced and Committed Management Team</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sale of the operations of the TRS Properties,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as of January 1, 2022, the Company has one reportable segment. The operating results of the Company's real estate investments are reviewed in the aggregate using the Company's consolidated financial statements by the Chief Executive Officer, who is the chief operating decision maker (as such term is defined in ASC 280 - Segment Reporting).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total revenues and income from operations of $1,440.4 million and $1,068.7 million, respectively, for the year ended December 31, 2023, compared to $1,311.7 million and $1,029.9 million, respectively, for the year ended December 31, 2022.  The major factors affecting our results for the year ended December 31, 2023, as compared to the year ended December 31, 2022, were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income from real estate was $1,440.4 million and $1,311.7 million for the years ended December 31, 2023 and 2022, respectively. Total income from real estate increased by $128.7 million for the year ended December 31, 2023, as compared to the year ended December 31, 2022. Current results benefited from the additions to, and/or the full year impact of the Bally's Master Lease, the Pennsylvania Live! Master Lease, the Tropicana Lease, the Third Amended and Restated Casino Queen Master Lease, and the Rockford Lease and Rockford Loan, which in the aggregate increased cash income by $74.2 million. Current year results also benefited by $15.3 million from escalations on our leases. The Company also recognized favorable straight line rent adjustments of $35.6 million compared to the corresponding period in the prior year, as well as higher accretion of $3.6 million on its Investment in leases, financing receivables. Finally, the Company had higher ground rent income of $1.3 million due primarily to the additions to the Bally's Master Lease. Partially offsetting these favorable variances, was a $1.3 million decline in percentage rent.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operating expenses increased by $89.9 million for the year ended December 31, 2023, as compared to the prior year. The reason for the increase was due to a decline in gains from dispositions of property of $67.5 million compared to the prior year due to the sale of the Tropicana Las Vegas building to Bally's in 2022, a $24.2 million increase in depreciation expense due to our recent acquisitions and a $5.1 million increase in general and administrative expenses due primarily from transaction related costs that did not qualify for capitalization as well as higher stock based compensation charges due to higher valuations on the Company's equity awards. Partially offsetting these increases was a property transfer tax recovery of $2.2 million in the current year compared to an impairment charge of $3.3 million in 2022, as well as lower land rights and ground lease expense of $0.9 million and lower provision for credit losses of $0.4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expenses, net increased by $1.8 million for the year ended December 31, 2023, as compared to the prior year. The increase was due to higher borrowing levels that partially funded our recent acquisitions, partially offset by an increase in interest income.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Income tax expense decreased by $15.1 million for the year ended December 31, 2023 as compared to the prior year The reason for the decrease was primarily due to the taxes incurred on the gain on the sale of the building at Tropicana Las Vegas in 2022.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Net income increased by $52.1 million for the year ended December 31, 2023, as compared to the prior year, primarily due to the variances explained above.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REIT, the majority of our revenues are derived from rent received from our tenants under long-term triple-net leases. Currently, we have master leases with PENN, Caesars, Bally's, Boyd, Cordish and Casino Queen. We also have separate single property leases with PENN, Caesars, Boyd, Cordish and 815 Entertainment. The accounting guidance under ASC 842 is complex and requires the use of judgments and assumptions by management to determine the proper accounting treatment of a lease. We perform a lease classification test upon the entry into any new tenant lease or lease modification to determine if we will account for the lease as an operating or sales-type lease. The revenue recognition model and thus the presentation of our financial statements is significantly different under operating leases and sales-type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operating lease model, as the lessor, the assets we own and lease to our tenants remain on our balance sheet as real estate investments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sales-type lease model, however, at lease inception we would record an Investment in leases, financing receivables on our Consolidated Balance Sheet rather than recording the actual assets we own. Furthermore, the cash rent we receive from tenants is not recorded as rental revenue, but rather a portion is recorded as interest income using an effective yield and a portion is recorded as a reduction to the Investment in leases, financing receivables. Under ASC 842, for leases with both land and building components, leases may be bifurcated between operating and sales-type leases. To determine if our real estate leases trigger full or partial sales-type lease treatment we conduct the five lease tests outlined in ASC 842 below. If a lease meets any of the five criteria below, it is accounted for as a sales-type lease.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1)    </w:t>
      </w:r>
      <w:r>
        <w:rPr>
          <w:rFonts w:ascii="Times New Roman;sans-serif" w:hAnsi="Times New Roman;sans-serif"/>
          <w:b/>
          <w:color w:val="000000"/>
          <w:sz w:val="20"/>
        </w:rPr>
        <w:t>Transfer of ownership -</w:t>
      </w:r>
      <w:r>
        <w:rPr>
          <w:color w:val="000000"/>
        </w:rPr>
        <w:t xml:space="preserve"> </w:t>
      </w:r>
      <w:r>
        <w:rPr>
          <w:rFonts w:ascii="Times New Roman;sans-serif" w:hAnsi="Times New Roman;sans-serif"/>
          <w:b w:val="false"/>
          <w:color w:val="000000"/>
          <w:sz w:val="20"/>
        </w:rPr>
        <w:t>The lease transfers ownership of the underlying asset to the lessee by the end of the lease term. This criterion is met in situations in which the lease agreement provides for the transfer of title at or shortly after the end of the lease term in exchange for the payment of a nominal fee, for example, the minimum required by statutory regulation to transfer title.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2)    </w:t>
      </w:r>
      <w:r>
        <w:rPr>
          <w:rFonts w:ascii="Times New Roman;sans-serif" w:hAnsi="Times New Roman;sans-serif"/>
          <w:b/>
          <w:color w:val="000000"/>
          <w:sz w:val="20"/>
        </w:rPr>
        <w:t>Bargain purchase option</w:t>
      </w:r>
      <w:r>
        <w:rPr>
          <w:color w:val="000000"/>
        </w:rPr>
        <w:t xml:space="preserve"> </w:t>
      </w:r>
      <w:r>
        <w:rPr>
          <w:rFonts w:ascii="Times New Roman;sans-serif" w:hAnsi="Times New Roman;sans-serif"/>
          <w:b w:val="false"/>
          <w:color w:val="000000"/>
          <w:sz w:val="20"/>
        </w:rPr>
        <w:t xml:space="preserve">- The lease contains a bargain purchase option, which is a provision allowing the lessee, at its option, to purchase the leased property for a price which is sufficiently lower than the expected fair value of the property at the date the option becomes exercisable and that is reasonably certain to be exercised.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3)    </w:t>
      </w:r>
      <w:r>
        <w:rPr>
          <w:rFonts w:ascii="Times New Roman;sans-serif" w:hAnsi="Times New Roman;sans-serif"/>
          <w:b/>
          <w:color w:val="000000"/>
          <w:sz w:val="20"/>
        </w:rPr>
        <w:t>Lease term</w:t>
      </w:r>
      <w:r>
        <w:rPr>
          <w:color w:val="000000"/>
        </w:rPr>
        <w:t xml:space="preserve"> </w:t>
      </w:r>
      <w:r>
        <w:rPr>
          <w:rFonts w:ascii="Times New Roman;sans-serif" w:hAnsi="Times New Roman;sans-serif"/>
          <w:b w:val="false"/>
          <w:color w:val="000000"/>
          <w:sz w:val="20"/>
        </w:rPr>
        <w:t xml:space="preserve">- The lease term is for the major part of the remaining economic life of the underlying asset. However, if the commencement date falls at or near the end of the economic life of the underlying asset, this criterion shall not be used for purposes of classifying the lease.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4)    </w:t>
      </w:r>
      <w:r>
        <w:rPr>
          <w:rFonts w:ascii="Times New Roman;sans-serif" w:hAnsi="Times New Roman;sans-serif"/>
          <w:b/>
          <w:color w:val="000000"/>
          <w:sz w:val="20"/>
        </w:rPr>
        <w:t>Minimum lease payments</w:t>
      </w:r>
      <w:r>
        <w:rPr>
          <w:color w:val="000000"/>
        </w:rPr>
        <w:t xml:space="preserve"> </w:t>
      </w:r>
      <w:r>
        <w:rPr>
          <w:rFonts w:ascii="Times New Roman;sans-serif" w:hAnsi="Times New Roman;sans-serif"/>
          <w:b w:val="false"/>
          <w:color w:val="000000"/>
          <w:sz w:val="20"/>
        </w:rPr>
        <w:t xml:space="preserve">- The present value of the sum of the lease payments and any residual value guaranteed by the lessee that is not already reflected in the lease payments equals or exceeds substantially all of the fair value of the underlying asset.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5)    </w:t>
      </w:r>
      <w:r>
        <w:rPr>
          <w:rFonts w:ascii="Times New Roman;sans-serif" w:hAnsi="Times New Roman;sans-serif"/>
          <w:b/>
          <w:color w:val="000000"/>
          <w:sz w:val="20"/>
        </w:rPr>
        <w:t>Specialized nature</w:t>
      </w:r>
      <w:r>
        <w:rPr>
          <w:color w:val="000000"/>
        </w:rPr>
        <w:t xml:space="preserve"> </w:t>
      </w:r>
      <w:r>
        <w:rPr>
          <w:rFonts w:ascii="Times New Roman;sans-serif" w:hAnsi="Times New Roman;sans-serif"/>
          <w:b w:val="false"/>
          <w:color w:val="000000"/>
          <w:sz w:val="20"/>
        </w:rPr>
        <w:t>- The underlying asset is of such specialized nature that it is expected to have no alternative use to the lessor at the end of the lease term.</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tests outlined above, as well as the resulting calculations, require subjective judgments, such as determining, at lease inception, the fair value of the underlying leased assets, the residual value of the assets at the end of the lease term, the likelihood a tenant will exercise some or all renewal options (in order to determine the lease term), the estimated remaining economic life of the leased assets, and an allocation of rental income received under our Master Leases to the underlying leased assets. A slight change in estimate or judgment can result in a materially different financial statement presentation and income recognition method.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Leases, Financing Receivables,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sales-type lease (i.e. a sale leaseback transaction), the Company must determine whether control of the asset has transferred to us. In cases whereby control has not transferred to the Company, we do not recognize the underlying asset but instead recognize a financial asset in accordance with ASC 310 "Receivables". The accounting for the financing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310 is materially consistent with the accounting for our investments in leases - sales type under ASC 842. We have concluded that certain of our leases are required to be accounted for as an Investment in leases - financing receivable on our Consolidated Balance Sheets in accordance with ASC 310, since control of the underlying assets was not considered to have transferred to the Company under GAAP.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ASC 326 “Credit Losses” (“ASC 326”), which requires that the Company measure and record current expected credit losses (“CECL”), the scope of which includes our Investments in leases - financing receivables, net as well as the Company's real estate loans.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update our CECL allowance on a quarterly basis with the resulting change being recorded in the Consolidated Statements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Changes in economic conditions and/or the underlying performance of the property contained within our leases accounted for as financing receivables impacts the assumptions utilized in the CECL reserve estimates. Changes in our assumptions could result in non-cash provisions or recoveries in future periods that could materially impact our results of operations.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 - REIT Qualification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on our U.S. federal income tax return for our taxable year that began on January 1, 2014 to be treated as a REIT and we, together with an indirect wholly-owned subsidiary of the Company, GLP Holdings, Inc., jointly elected to treat each of GLP Holdings, Inc., Louisiana Casino Cruises, Inc. and Penn Cecil Maryland, Inc. as a TRS effective on the first day of the first taxable year of GLPI as a REIT. In addition, during 2020, the Company and Tropicana LV, LLC, a wholly owned subsidiary of the Company which holds the real estate of Tropicana Las Vegas, elected to treat Tropicana LV, LLC as a TRS. Finally, in advance of the UPREIT Transaction, the Company, together with GLP Financing II, jointly elected for GLP Financing II, Inc. to be treated as a TRS effective December 23, 2021.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and meet the various other requirements imposed by the Code relating to matters such as operating results, asset holdings, distribution levels, and diversity of stock ownership.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TRS is able to engage in activities resulting in income that would not be qualifying income for a REIT. As a result, certain activities of the Company which occur within our TRS are subject to federal and state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Investments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If we used a shorter or longer estimated useful life, it could have a material impact on our results of operations.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determine whether the estimated undiscounted cash flows from the underlying lease exceeds the real estate investments' carrying value. If we determine the estimated undiscounted cash flows is less than the asset's carrying value then we would recognize an impairment charge equivalent to the amount required to reduce the carrying value of the asset to its estimated fair value, calculated in accordance with accounting principles generally accepted in the United States ("GAAP"). We group our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most important factors and trends that contribute or may contribute to our operating performance: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announced or closed numerous transactions in recent years and expect to continue to grow our portfolio by pursuing opportunities to acquire additional gaming facilities to lease to gaming operators under prudent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Several wholly-owned subsidiaries of PENN lease a substantial number of our properties and account for a significant portion of our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risks related to economic conditions, including stress in the banking sector, high inflation levels (that have been negatively impacted by the armed conflict between Russia and Ukraine as well as conflicts in the Middle East)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refinance our significant levels of debt at attractive terms and obtain favorable funding in connection with future business opportunities.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leases contain variable rent that resets on varying schedules depending on the lease. The Company's percentage rent which is subject to adjustment was 5.3% of total cash rent in 2023 compared to 11.7% in 2022.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for the years ended December 31, 2023 and 2022 are summarized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p>
    <w:tbl>
      <w:tblPr>
        <w:tblW w:w="9737" w:type="dxa"/>
        <w:jc w:val="left"/>
        <w:tblInd w:w="0" w:type="dxa"/>
        <w:tblLayout w:type="fixed"/>
        <w:tblCellMar>
          <w:top w:w="28" w:type="dxa"/>
          <w:left w:w="28" w:type="dxa"/>
          <w:bottom w:w="28" w:type="dxa"/>
          <w:right w:w="28" w:type="dxa"/>
        </w:tblCellMar>
      </w:tblPr>
      <w:tblGrid>
        <w:gridCol w:w="2370"/>
        <w:gridCol w:w="2087"/>
        <w:gridCol w:w="2098"/>
        <w:gridCol w:w="211"/>
        <w:gridCol w:w="976"/>
        <w:gridCol w:w="109"/>
        <w:gridCol w:w="109"/>
        <w:gridCol w:w="109"/>
        <w:gridCol w:w="109"/>
        <w:gridCol w:w="211"/>
        <w:gridCol w:w="976"/>
        <w:gridCol w:w="109"/>
        <w:gridCol w:w="109"/>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omitted the discussion comparing its operating results for the year ended December 31, 2022 to its operating results for the year ended December 31, 2021 from its Annual Report on Form 10-K for the year ended December 31, 2023. Readers are directed to Item 7 of the Company's Annual Report on Form 10-K for the year ended December 31, 2022 for these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FFO, AFFO and Adjusted EBITDA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property transfer tax recoveries and impairment charges; straight-line rent adjustments; losses on debt extinguishment;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adjustments; amortization of land rights; accretion on Investment in leases, financing receivables; non-cash adjustments to financing lease liabilities; property transfer tax recoveries; impairment charges; losses on debt extinguishment; and provision (benefit) for credit losses,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Company’s net income per GAAP to FFO, AFFO, and Adjusted EBITDA for the years ended December 31, 2023 and 2022 is as follows: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28"/>
        <w:gridCol w:w="2220"/>
        <w:gridCol w:w="2243"/>
        <w:gridCol w:w="211"/>
        <w:gridCol w:w="991"/>
        <w:gridCol w:w="109"/>
        <w:gridCol w:w="109"/>
        <w:gridCol w:w="109"/>
        <w:gridCol w:w="109"/>
        <w:gridCol w:w="211"/>
        <w:gridCol w:w="991"/>
        <w:gridCol w:w="109"/>
        <w:gridCol w:w="109"/>
        <w:gridCol w:w="156"/>
      </w:tblGrid>
      <w:tr>
        <w:trPr/>
        <w:tc>
          <w:tcPr>
            <w:tcW w:w="2528"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755,370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703,285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or losses from dispositions of property, net of tax</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1,015,788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887,250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Amortization of debt issuance costs, bond premiums and original issuance discounts </w:t>
            </w:r>
            <w:r>
              <w:rPr>
                <w:rFonts w:ascii="Times New Roman;sans-serif" w:hAnsi="Times New Roman;sans-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investment in leases, financing receivables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transfer tax recoveries and impairment charges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funds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1,006,797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924,363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net </w:t>
            </w:r>
            <w:r>
              <w:rPr>
                <w:rFonts w:ascii="Times New Roman;sans-serif" w:hAnsi="Times New Roman;sans-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Amortization of debt issuance costs, bond premiums and original issuance discounts </w:t>
            </w:r>
            <w:r>
              <w:rPr>
                <w:rFonts w:ascii="Times New Roman;sans-serif" w:hAnsi="Times New Roman;sans-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1,307,094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1,221,668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Such amortization is a non-cash component included in interest, net.</w:t>
      </w:r>
    </w:p>
    <w:p>
      <w:pPr>
        <w:pStyle w:val="TextBody"/>
        <w:bidi w:val="0"/>
        <w:spacing w:lineRule="auto" w:line="288" w:before="0" w:after="0"/>
        <w:ind w:left="0" w:right="0" w:hanging="540"/>
        <w:jc w:val="both"/>
        <w:rPr/>
      </w:pPr>
      <w:r>
        <w:rPr>
          <w:rFonts w:ascii="Times New Roman;sans-serif" w:hAnsi="Times New Roman;sans-serif"/>
          <w:b w:val="false"/>
          <w:color w:val="000000"/>
          <w:sz w:val="13"/>
        </w:rPr>
        <w:t>(2)    </w:t>
      </w:r>
      <w:r>
        <w:rPr>
          <w:rFonts w:ascii="Times New Roman;sans-serif" w:hAnsi="Times New Roman;sans-serif"/>
          <w:b w:val="false"/>
          <w:color w:val="000000"/>
          <w:sz w:val="20"/>
        </w:rPr>
        <w:t>Amounts exclude the non-cash interest expense gross up related to the ground lease for the Maryland Live! property.</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FFO, AFFO, and Adjusted EBITDA were $755.4 million, $1,015.8 million, $1,006.8 million and $1,307.1 million, respectively, for the year ended December 31, 2023. This compared to net income, FFO, AFFO, and Adjusted EBITDA, of $703.3 million, $887.3 million, $924.4 million and $1,221.7 million, respectively, for the year ended December 31, 2022. The increase in net income was primarily driven by a $128.7 million increase in income from real estate as explained below. This was partially offset by higher operating expenses of $89.9 million that are also discussed below. The Company also incurred lower income tax expense of $15.1 million for the year ended December 31, 2023 due primarily from the sale of the Tropicana Las Vegas building to Bally's in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FFO for the year ended December 31, 2023 were due to the items described above, excluding gains from dispositions of property and real estate depreciation. The increases in AFFO and Adjusted EBITDA were due to the items described above, less the adjustments mentioned in the tables above. Adjusted EBITDA also increased as compared to the prior year driven by the explanations above, as well as the adjustments mentioned in the tables above.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years ended December 31, 2023 and 2022 were as follows (in thousands):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6"/>
        <w:gridCol w:w="1260"/>
        <w:gridCol w:w="1262"/>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670"/>
      </w:tblGrid>
      <w:tr>
        <w:trPr/>
        <w:tc>
          <w:tcPr>
            <w:tcW w:w="14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Total income from real estate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from real estate increased $128.7 million, or 9.8%, for the year ended December 31, 2023, as compared to the year ended December 31, 2022. Current results benefited from the additions to, and/or the full year impact of the the Bally's Master Lease, the Pennsylvania Live! Master Lease, the Tropicana Lease, the Third Amended and Restated Casino Queen Master Lease, and the Rockford Lease and Rockford Loan which in the aggregate increased cash income by $74.2 million. Current year results also benefited by $15.3 million from escalations on our leases. The Company also recognized favorable straight line rent adjustments of $35.6 million compared to the corresponding period in the prior year, as well as higher accretion of $3.6 million on its Investment in leases, financing receivables. Finally, the Company had higher ground rent income of $1.3 million due primarily to the additions to the Bally's Master Lease. Partially offsetting these favorable variances was a $1.3 million decline in percentage rent.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year ended December 31, 2023 and December 31, 2022 were as follows (in thousands):</w:t>
      </w:r>
    </w:p>
    <w:p>
      <w:pPr>
        <w:pStyle w:val="TextBody"/>
        <w:bidi w:val="0"/>
        <w:spacing w:before="0" w:after="0"/>
        <w:ind w:left="0" w:right="0" w:firstLine="720"/>
        <w:jc w:val="left"/>
        <w:rPr/>
      </w:pPr>
      <w:r>
        <w:rPr/>
      </w:r>
    </w:p>
    <w:tbl>
      <w:tblPr>
        <w:tblW w:w="10975" w:type="dxa"/>
        <w:jc w:val="center"/>
        <w:tblInd w:w="0" w:type="dxa"/>
        <w:tblLayout w:type="fixed"/>
        <w:tblCellMar>
          <w:top w:w="28" w:type="dxa"/>
          <w:left w:w="28" w:type="dxa"/>
          <w:bottom w:w="28" w:type="dxa"/>
          <w:right w:w="28" w:type="dxa"/>
        </w:tblCellMar>
      </w:tblPr>
      <w:tblGrid>
        <w:gridCol w:w="501"/>
        <w:gridCol w:w="282"/>
        <w:gridCol w:w="283"/>
        <w:gridCol w:w="196"/>
        <w:gridCol w:w="871"/>
        <w:gridCol w:w="109"/>
        <w:gridCol w:w="109"/>
        <w:gridCol w:w="196"/>
        <w:gridCol w:w="736"/>
        <w:gridCol w:w="109"/>
        <w:gridCol w:w="109"/>
        <w:gridCol w:w="196"/>
        <w:gridCol w:w="646"/>
        <w:gridCol w:w="109"/>
        <w:gridCol w:w="109"/>
        <w:gridCol w:w="196"/>
        <w:gridCol w:w="556"/>
        <w:gridCol w:w="109"/>
        <w:gridCol w:w="196"/>
        <w:gridCol w:w="871"/>
        <w:gridCol w:w="109"/>
        <w:gridCol w:w="109"/>
        <w:gridCol w:w="210"/>
        <w:gridCol w:w="693"/>
        <w:gridCol w:w="118"/>
        <w:gridCol w:w="196"/>
        <w:gridCol w:w="646"/>
        <w:gridCol w:w="109"/>
        <w:gridCol w:w="196"/>
        <w:gridCol w:w="646"/>
        <w:gridCol w:w="109"/>
        <w:gridCol w:w="109"/>
        <w:gridCol w:w="196"/>
        <w:gridCol w:w="88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 Ended December 31, 2023</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Building base rent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Land base rent</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 and other rental revenue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income on real estate loans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cash income</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Ground rent in revenue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income from real estate</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Amended Penn Master Lease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276,595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 2023 Master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257,826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Amended Pinnacle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355,130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 Morgantown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98,049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25,264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Boyd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105,822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Boyd Belterra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Bally's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113,402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 Live!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96,953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 Live!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60,145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Queen Master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Las Vegas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10,555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Rockford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Rockford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1,440,392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849" w:type="dxa"/>
        <w:jc w:val="center"/>
        <w:tblInd w:w="0" w:type="dxa"/>
        <w:tblLayout w:type="fixed"/>
        <w:tblCellMar>
          <w:top w:w="28" w:type="dxa"/>
          <w:left w:w="28" w:type="dxa"/>
          <w:bottom w:w="28" w:type="dxa"/>
          <w:right w:w="28" w:type="dxa"/>
        </w:tblCellMar>
      </w:tblPr>
      <w:tblGrid>
        <w:gridCol w:w="501"/>
        <w:gridCol w:w="282"/>
        <w:gridCol w:w="283"/>
        <w:gridCol w:w="196"/>
        <w:gridCol w:w="736"/>
        <w:gridCol w:w="109"/>
        <w:gridCol w:w="109"/>
        <w:gridCol w:w="196"/>
        <w:gridCol w:w="736"/>
        <w:gridCol w:w="109"/>
        <w:gridCol w:w="109"/>
        <w:gridCol w:w="196"/>
        <w:gridCol w:w="736"/>
        <w:gridCol w:w="109"/>
        <w:gridCol w:w="109"/>
        <w:gridCol w:w="196"/>
        <w:gridCol w:w="871"/>
        <w:gridCol w:w="109"/>
        <w:gridCol w:w="196"/>
        <w:gridCol w:w="661"/>
        <w:gridCol w:w="109"/>
        <w:gridCol w:w="109"/>
        <w:gridCol w:w="196"/>
        <w:gridCol w:w="646"/>
        <w:gridCol w:w="109"/>
        <w:gridCol w:w="196"/>
        <w:gridCol w:w="646"/>
        <w:gridCol w:w="109"/>
        <w:gridCol w:w="196"/>
        <w:gridCol w:w="421"/>
        <w:gridCol w:w="109"/>
        <w:gridCol w:w="109"/>
        <w:gridCol w:w="196"/>
        <w:gridCol w:w="886"/>
        <w:gridCol w:w="109"/>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 Ended December 31, 2022</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 line rent</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rental revenue</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 Master Lease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468,131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Amended Pinnacle Master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340,800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 Meadows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 Morgantown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 Perryville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Master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Boyd Master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Boyd Belterra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Bally's Master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 Live! Lease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96,090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 Live! Master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Queen Master Lease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22,564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Las Vegas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1,254,326 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1,311,685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years ended December 31, 2023 and 2022 were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70"/>
        <w:gridCol w:w="1362"/>
        <w:gridCol w:w="137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1"/>
        <w:gridCol w:w="347"/>
        <w:gridCol w:w="571"/>
      </w:tblGrid>
      <w:tr>
        <w:trPr/>
        <w:tc>
          <w:tcPr>
            <w:tcW w:w="157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from disposition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transfer tax recovery and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Land rights and ground lease expense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Land rights and ground lease expense includes the amortization of land rights and rent expense related to the Company's long-term ground leases. Land rights and ground lease expense decreased by $0.9 million, or 1.9%, for the year ended December 31, 2023, as compared to the year ended December 31, 2022. The year ended December 31, 2022 had a $2.7 million accelerated write-off due to a partial donation of leased land which was partially offset by higher rent expense due to the acquisition of additional real estate assets that have ground leases. </w:t>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items such as compensation costs (including stock-based compensation awards), professional services and costs associated with development activities. General and administrative expenses increased by $5.1 million, or 10.0%, for the year ended December 31, 2023, as compared to the year ended December 31, 2022. The reason for the increase was due primarily from transaction related costs that did not qualify for capitalization as well as higher stock based compensation charges due to higher valuations on the Company's equity awards.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Gains from dispositions of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Gains from dispositions of property totaled $67.5 million for the year ended December 31, 2022 which was a result of the $67.4 million pre-tax gain on the sale of the Tropicana Las Vegas building to Bally's.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Property transfer tax recovery and impairment charge </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a property transfer tax recovery of $2.2 million related to a successful appeal initiated by our tenant. During the corresponding period in the prior year, the Company completed the sale of excess land for approximately $3.5 million that had a carrying value of $6.8 million and as such the Company recorded an impairment charge for the year ended December 31,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Depreciation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increased by $24.2 million, or 10.1%, to $262.9 million for the year ended December 31, 2023 as compared to the year ended December 31, 2022, primarily due to the Company's acquisitions over the past year.</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Provision for credit losses, net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recorded a $6.5 million provision for credit losses as compared to a $6.9 million provision in the corresponding period in the prior year. The primary reason for the current year provision was related to the initial provision of $6.2 million on the Rockford Lease and the Rockford Loan and related loan commitment. During 2022, the Company recorded an initial provision of $32.3 million on the Pennsylvania Live! Master Lease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originated on March 1, 2022. However, this initial provision was partially offset due to improved performance and updated earnings forecast from its tenant for the properties comprising both the Maryland Live! Lease and the Pennsylvania Live! Master Lease. This resulted in improved rent coverage ratios in its reserve calculation which led to a reduction in the required reserves for both financing receivables. See Note 7 for additional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Other income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for the years ended December 31, 2023 and 2022 were as follows (in thousands): </w:t>
      </w:r>
    </w:p>
    <w:tbl>
      <w:tblPr>
        <w:tblW w:w="8690" w:type="dxa"/>
        <w:jc w:val="left"/>
        <w:tblInd w:w="0" w:type="dxa"/>
        <w:tblLayout w:type="fixed"/>
        <w:tblCellMar>
          <w:top w:w="28" w:type="dxa"/>
          <w:left w:w="28" w:type="dxa"/>
          <w:bottom w:w="28" w:type="dxa"/>
          <w:right w:w="28" w:type="dxa"/>
        </w:tblCellMar>
      </w:tblPr>
      <w:tblGrid>
        <w:gridCol w:w="956"/>
        <w:gridCol w:w="838"/>
        <w:gridCol w:w="845"/>
        <w:gridCol w:w="109"/>
        <w:gridCol w:w="109"/>
        <w:gridCol w:w="10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308"/>
        <w:gridCol w:w="308"/>
        <w:gridCol w:w="5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Company's interest expense increased by $14.1 million as compared to the corresponding period in the prior year. The increase was due to higher borrowing levels that partially funded our recent acquisitions. See Note 10 for additional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for the year ended December 31, 2023 increased by $10.7 million due to higher cash balances and market interest rates in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expense decreased $15.1 million for the year ended December 31, 2023 as compared to the year ended December 31, 2022. During the year ended December 31, 2023, we had income tax expense of approximately $2.0 million, compared to income tax expense of $17.1 million during the year ended December 31, 2022. The reason for the decrease was primarily due to the taxes incurred on the gain on the sale of the building at Tropicana Las Vegas in 2022.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 in the Operating Partnership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Consolidated Balance Sheets and allocates the proportion of net income to the noncontrolling interests on the Consolidated Statements of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are cash flow from operations, borrowings from banks, and proceeds from the issuance of debt and equity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$1,009.4 million and $920.1 million during the years ended December 31, 2023 and 2022, respectively. The increase in net cash provided by operating activities of $89.2 million for the year ended December 31, 2023 as compared to the prior year was primarily due to an increase in cash receipts from customers of $88.1 million along with decreases in cash paid for taxes of $19.3 million and an increase in interest income of $10.7 million, partially offset by increases in cash paid for interest and cash paid for operating expenses of $23.9 million and $5.5 million, respectively. The increase in cash receipts collected from our customers for the year ended December 31, 2023, as compared to the corresponding period in the prior year, was due to the additions to and/or the full year impact of the Bally's Master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Amended and Restated Casino Queen Master Lease, the Pennsylvania Live! Master Lease, the Rockford Lease and Rockford Loan and the Tropicana Lease as well as escalations incurred on our leases.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net cash of $650.8 million and $354.5 million during the years ended December 31, 2023 and 2022, respectively. Net cash used in investing activities during the year ended December 31, 2023 consisted primarily of $412.3 million for the acquisition of the real estate assets of Bally's Tiverton, RI and Hard Rock Biloxi, MS properties (which was net of the $200 million deposit paid in the prior year) which were added to the Bally's Master Lease, $32.7 million and $1.8 million for the acquisition of the real estate assets of the Casino Queen Marquette, IA and two building assets at the Belle of Baton Rouge properties, respectively, which were added to the Third Amended and Restated Casino Queen Master Lease, and $7.6 million and $8.7 million for land in Joliet, IL and Aurora, IL, respectively. The Company also incurred capital expenditures equal to $47.4 million for the development project at Hollywood Casino Baton Rouge. The Company also acquired land for $100.2 million associated with the Rockford Lease which was accounted for as an Investment in lease, financing receivables and $40.0 million in fundings for the Rockford Loan. Net cash used in investing activities during the year ended December 31, 2022 consisted primarily of $129.0 million for the acquisition of the real estate assets included in the Pennsylvania Live! Master Lease which was accounted for as an Investment in lease, financing receivables, $200 million for a deposit payment for the Bally's Tiverton, RI and Hard Rock Biloxi, MS real estate acquisitions previously discussed, $150.1 million for the acquisition of the real estate assets of Bally's Black Hawk, CO and Rock Island, IL properties which were added to the Bally's Master Lease, and capital expenditures equal to $24.0 million, partially offset by the proceeds of $145.2 million from the sale of the Company's building at Tropicana Las Vegas and the sale of excess land for $3.5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activities provided net cash of $86.4 million during the year ended December 31, 2023 and used net cash of $1,051.2 million during the year ended December 31, 2022. Net cash provided by financing activities for the year ended December 31, 2023 was driven by $1,077.8 million of proceeds from the issuance of long-term debt and $469.2 million of net proceeds from the issuance of common stock. This was offset by repayments of long term debt of $585.1 million, dividend payments of $834.0 million, non-controlling interest distributions of $24.1 million, financing costs of $4.0 million and taxes paid related to shares withheld for tax purposes on restricted stock award vestings of $13.4 million. Net cash used in financing activities for the year ended December 31, 2022 was driven by the repayment of long term debt of $1,271.1 million, dividend payments of $770.9 million, non-controlling interest distributions of $20.7 million, financing costs of $11.9 million and taxes paid related to shares withheld for tax purposes on restricted stock award vestings of $11.9 million. These items were partially offset by $424.0 million of proceeds from the issuance of long-term debt and $611.3 million of net proceeds from the issuance of common stock.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and 2022 we spent approximately $0.1 million and $0.2 million respectively, for capital maintenance expenditures. Our tenants are responsible for capital maintenance expenditures at our leased properties. However, during the years ended December 31, 2023 and 2022, we incurred $47.4 million and $23.9 million, respectively, on capital project expenditures related to a landside development project at Hollywood Casino Baton Rouge.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11, the Company has various funding commitments over the next several years with PENN, Bally's and Casino Queen to develop new casino projects or enhance existing facilities leased by these tenants. The exact amounts and timing of these commitments can not be precisely determined, however the Company expects to fund up to $575 million to develop or enhance facilities leased to PENN under the PENN 2023 Master Lease, consisting of $225 million for the relocation of PENN's riverboat in Aurora, Illinois at a 7.75% cap rate and, if requested by PENN, up to $350 million for the relocation of the Hollywood Casino Joliet as well as the construction of hotels at Hollywood Casino Columbus and a second hotel tower at the M Resort Spa Casino at then current market rates if the funding is requested by PENN. Additionally, the Company is expected to commit up to $175 million of funding for hard construction costs related to the development of a potential casino resort redevelopment envisioned at the Tropicana Site where the Stadium is intended to be constructed for the Athletics. The Company has also committed to provide up to $150 million (of which $40 million was funded as of December 31, 2023) of development funding via the Rockford Loan. Finally, the Company committed funding for certain construction costs of a landside development project at Casino Queen Marquette for an amount not to exceed $12.5 million.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closing of Bally's Biloxi and Bally's Tiverton.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SOFR-based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 inaccuracy of representations and failure to comply with covenants, will enable the lenders to accelerate the loans and terminate the commitments thereunder.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the Initial Revolving Credit Facility maturing in May 2026, plus two six-month extensions at GLP Capital's option. GLP Capital is the primary obligor under the Credit Agreement, which was guaranteed by GLPI.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No. 1 (the “Amendment”) to the Credit Agreement (as amended, the "Amended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no amounts were outstanding under the Amended Credit Agreement. Additionally, at December 31, 2023, the Company was contingently obligated under letters of credit issued pursuant to the Amended Credit Agreement with face amounts aggregating approximately $0.4 million, resulting in $1,749.6 million of available borrowing capacity under the Amended Credit Agreement as of December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December 31, 2023, the Company was in compliance with all required financial covenants under the Amended Credit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At December 31, 2023, the Company had an outstanding balance of $6,075.0 million of senior unsecured notes (the "Senior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2023, the Company issued $400 million of 6.75% senior unsecured notes due December 2033 at an issue price equal to 98.196% of the principal amount. The Company plans to use the net proceeds for working capital and general corporate purposes, which may include the acquisition, development and improvement of properties, the repayment of indebtedness, capital expenditures and other general business purposes.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 right of payment with all of the Issuers' senior indebtedness, including the Amended Credit Agreement, and senior in right of payment to all of the Issuers' subordinated indebtedness, without giving effect to collateral arrangements. GLPI is not subject to any material or significant restrictions on its ability to obtain funds from its subsidiaries through dividends or loans or to transfer assets from such subsidiaries, except as provided by applicable law and the covenants listed below.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bidi w:val="0"/>
        <w:spacing w:lineRule="auto" w:line="288" w:before="0" w:after="0"/>
        <w:ind w:left="0" w:right="0" w:firstLine="72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was in compliance with all required financial covenants under its Senior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level of operations and anticipated earnings, we believe that cash generated from operations and cash on hand, together with amounts available under our Amended Credit Agreement of $1.75 billion and our ability to raise equity proceeds, will be adequate to meet our anticipated debt service requirements, capital expenditures, working capital needs and dividend requirements.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December 2022, the Company refreshed its ATM capacity to $1 billion (the "2022 ATM Program"). As of December 31, 2023, the Company had $593.6 million remaining for issuance under the 2022 ATM Program.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issuance of additional OP Units, and/or debt offerings. In addition, the Company intends to redeem its 3.350% Notes which are due in September 2024.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GLPI’s primary market risk exposure is interest rate risk with respect to its indebtedness of $6,675.4 million at December 31, 2023. Furthermore, $6,075.0 million of our obligations are the senior unsecured notes that have fixed interest rates with maturity dates ranging from less than one year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at December 31, 2023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December 31, 2023.</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tbl>
      <w:tblPr>
        <w:tblW w:w="12760" w:type="dxa"/>
        <w:jc w:val="left"/>
        <w:tblInd w:w="0" w:type="dxa"/>
        <w:tblLayout w:type="fixed"/>
        <w:tblCellMar>
          <w:top w:w="28" w:type="dxa"/>
          <w:left w:w="28" w:type="dxa"/>
          <w:bottom w:w="28" w:type="dxa"/>
          <w:right w:w="28" w:type="dxa"/>
        </w:tblCellMar>
      </w:tblPr>
      <w:tblGrid>
        <w:gridCol w:w="326"/>
        <w:gridCol w:w="287"/>
        <w:gridCol w:w="288"/>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1/01/24- 12/31/24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1/01/25- 12/31/25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1/01/26- 12/31/26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1/01/27- 12/31/27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1/01/28- 12/31/28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12/31/2023</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Long-term debt: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interest rate </w:t>
            </w:r>
            <w:r>
              <w:rPr>
                <w:rFonts w:ascii="Times New Roman;sans-serif" w:hAnsi="Times New Roman;sans-serif"/>
                <w:b w:val="false"/>
                <w:color w:val="000000"/>
                <w:sz w:val="10"/>
              </w:rPr>
              <w:t>(1)</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Gaming and Leisure Properties,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Gaming and Leisure Properties, Inc. and subsidiaries (the "Company") as of December 31, 2023 and 2022, the related consolidated statements of income, changes in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 xml:space="preserve">Internal Control </w:t>
      </w:r>
      <w:r>
        <w:rPr>
          <w:rFonts w:ascii="Times New Roman;sans-serif" w:hAnsi="Times New Roman;sans-serif"/>
          <w:b w:val="false"/>
          <w:i/>
          <w:color w:val="000000"/>
          <w:sz w:val="18"/>
        </w:rPr>
        <w:t xml:space="preserve">-- </w:t>
      </w:r>
      <w:r>
        <w:rPr>
          <w:rFonts w:ascii="Times New Roman;sans-serif" w:hAnsi="Times New Roman;sans-serif"/>
          <w:b w:val="false"/>
          <w:i/>
          <w:color w:val="000000"/>
          <w:sz w:val="20"/>
        </w:rPr>
        <w:t>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February 27, 2024, expressed an unqualified opinion on the Company's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Lease Classification - Lease Term - See Note 12 to the Consolidated Financial Statements</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a lease classification test upon the entry into any new tenant lease or amendment or modification of an existing tenant lease to determine if the lease will be accounted for as an operating lease, sales-type lease, or direct financing lease. The accounting guidance under ASC 842 is complex and requires the use of judgements and assumptions by management to determine the proper accounting treatment of a lease. The lease classification tests, and the resulting calculations require subjective judgments, such as determining the likelihood a tenant will exercise all renewal options, in order to determine the lease term. A slight change in an estimate or judgment can result in a material difference in the financial statement presentation.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significant judgements made by management to determine the expected lease term, we performed audit procedures to assess the reasonableness of such judgments, which required a high degree of auditor judgment. </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judgements surrounding the determination of the lease term for any new, modified, or amended lease included the following, among others: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tested the effectiveness of the controls over management’s assessment of the likelihood a tenant would exercise all renewal options.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evaluated the significant judgements made by management to determine the expected lease term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Assessing the significance of the leased assets to the tenant’s operations by examining available information, including the tenant’s financial statements, if available.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the Company’s historical pattern of tenant lease amendments and modifications by examining both confirming and contradictory evidence.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lease agreements to examine material lease provisions considered by management in their analysis.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before="16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 </w:t>
      </w:r>
    </w:p>
    <w:tbl>
      <w:tblPr>
        <w:tblW w:w="10205" w:type="dxa"/>
        <w:jc w:val="left"/>
        <w:tblInd w:w="0" w:type="dxa"/>
        <w:tblLayout w:type="fixed"/>
        <w:tblCellMar>
          <w:top w:w="28" w:type="dxa"/>
          <w:left w:w="28" w:type="dxa"/>
          <w:bottom w:w="28" w:type="dxa"/>
          <w:right w:w="28" w:type="dxa"/>
        </w:tblCellMar>
      </w:tblPr>
      <w:tblGrid>
        <w:gridCol w:w="2625"/>
        <w:gridCol w:w="2153"/>
        <w:gridCol w:w="2171"/>
        <w:gridCol w:w="217"/>
        <w:gridCol w:w="1112"/>
        <w:gridCol w:w="111"/>
        <w:gridCol w:w="109"/>
        <w:gridCol w:w="109"/>
        <w:gridCol w:w="109"/>
        <w:gridCol w:w="216"/>
        <w:gridCol w:w="1110"/>
        <w:gridCol w:w="163"/>
      </w:tblGrid>
      <w:tr>
        <w:trPr/>
        <w:tc>
          <w:tcPr>
            <w:tcW w:w="2625"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7,707,935 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leases, financing receivables, net </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11,806,658 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10,930,386 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liability</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unamortized debt issuance costs, bond premiums and original issuance discounts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6,128,468 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rental revenue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7,297,704 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6,812,290 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11)</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50,000,000 shares authorized, no shares issued or outstanding at December 31, 2023 and December 31, 2022)</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500,000,000 shares authorized, 270,922,719 and 260,727,030 shares issued and outstanding at December 31, 2023 and December 31, 2022, respectively)</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attributable to Gaming and Leisure Properties</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4,156,905 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3,777,958 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GLPI's Operating Partnership (7,653,326 units and 7,366,683 units outstanding at December 31, 2023 and December 31, 2022, respectively</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4,508,954 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equity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11,806,658 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10,930,386 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07"/>
        <w:gridCol w:w="1526"/>
        <w:gridCol w:w="153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5"/>
      </w:tblGrid>
      <w:tr>
        <w:trPr/>
        <w:tc>
          <w:tcPr>
            <w:tcW w:w="1907"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food, beverage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food, beverage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from dispositions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transfer tax recovery and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proceeds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Losses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Changes in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3"/>
        <w:gridCol w:w="310"/>
        <w:gridCol w:w="311"/>
        <w:gridCol w:w="525"/>
        <w:gridCol w:w="526"/>
        <w:gridCol w:w="211"/>
        <w:gridCol w:w="109"/>
        <w:gridCol w:w="109"/>
        <w:gridCol w:w="109"/>
        <w:gridCol w:w="196"/>
        <w:gridCol w:w="556"/>
        <w:gridCol w:w="109"/>
        <w:gridCol w:w="109"/>
        <w:gridCol w:w="109"/>
        <w:gridCol w:w="109"/>
        <w:gridCol w:w="196"/>
        <w:gridCol w:w="871"/>
        <w:gridCol w:w="109"/>
        <w:gridCol w:w="109"/>
        <w:gridCol w:w="109"/>
        <w:gridCol w:w="109"/>
        <w:gridCol w:w="196"/>
        <w:gridCol w:w="891"/>
        <w:gridCol w:w="109"/>
        <w:gridCol w:w="109"/>
        <w:gridCol w:w="109"/>
        <w:gridCol w:w="109"/>
        <w:gridCol w:w="275"/>
        <w:gridCol w:w="1037"/>
        <w:gridCol w:w="154"/>
        <w:gridCol w:w="109"/>
        <w:gridCol w:w="109"/>
        <w:gridCol w:w="109"/>
        <w:gridCol w:w="196"/>
        <w:gridCol w:w="871"/>
        <w:gridCol w:w="158"/>
      </w:tblGrid>
      <w:tr>
        <w:trPr/>
        <w:tc>
          <w:tcPr>
            <w:tcW w:w="7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 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2020</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232,452,220 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2,675,018 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14,394,709 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($2.900 per common share)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(693,353)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operating partnership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247,206,937 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4,953,943 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3,390,140 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13,141,499 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611,256 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($2.805 per common share)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(711,467)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operating partnership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703,285 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260,727,030 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9,817,430 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469,213 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($3.150 per common share)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(833,980)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operating partnership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755,370 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270,922,719 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4,508,954 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Gaming and Leisure Properties, Inc. and Subsidiaries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169"/>
        <w:gridCol w:w="1774"/>
        <w:gridCol w:w="1780"/>
        <w:gridCol w:w="109"/>
        <w:gridCol w:w="109"/>
        <w:gridCol w:w="109"/>
        <w:gridCol w:w="211"/>
        <w:gridCol w:w="826"/>
        <w:gridCol w:w="109"/>
        <w:gridCol w:w="109"/>
        <w:gridCol w:w="109"/>
        <w:gridCol w:w="109"/>
        <w:gridCol w:w="212"/>
        <w:gridCol w:w="833"/>
        <w:gridCol w:w="109"/>
        <w:gridCol w:w="109"/>
        <w:gridCol w:w="109"/>
        <w:gridCol w:w="109"/>
        <w:gridCol w:w="212"/>
        <w:gridCol w:w="833"/>
        <w:gridCol w:w="156"/>
      </w:tblGrid>
      <w:tr>
        <w:trPr/>
        <w:tc>
          <w:tcPr>
            <w:tcW w:w="216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premiums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 and adjustments to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dispositions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 and 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and accounts payable, accrued salaries, wages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project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assets held for sale and property and equipment, net of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operations,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loss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 and deposit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of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(1,030,834)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paid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(633,901)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shares withheld for taxes on stock award vestings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 net of senior note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 and costs paid on tender of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cash equivalents, including cash classified within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classified within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 and Note 17 for supplemental cash flow information and noncash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w:t>
      </w:r>
      <w:r>
        <w:rPr>
          <w:color w:val="000000"/>
        </w:rPr>
        <w:t>    </w:t>
      </w:r>
      <w:r>
        <w:rPr>
          <w:rFonts w:ascii="Times New Roman;sans-serif" w:hAnsi="Times New Roman;sans-serif"/>
          <w:b/>
          <w:color w:val="000000"/>
          <w:sz w:val="20"/>
        </w:rPr>
        <w:t>Business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 ("</w:t>
      </w:r>
      <w:r>
        <w:rPr>
          <w:rFonts w:ascii="Times New Roman;sans-serif" w:hAnsi="Times New Roman;sans-serif"/>
          <w:b w:val="false"/>
          <w:color w:val="000000"/>
          <w:sz w:val="20"/>
        </w:rPr>
        <w:t>ASC 505"</w:t>
      </w:r>
      <w:r>
        <w:rPr>
          <w:rFonts w:ascii="Times New Roman;sans-serif" w:hAnsi="Times New Roman;sans-serif"/>
          <w:b w:val="false"/>
          <w:i/>
          <w:color w:val="000000"/>
          <w:sz w:val="20"/>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 dividend of $0.25 per share in the first quarter of 2023 related to the sale of the building to Bally's. </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There were 7,653,326 OP Units outstanding as of December 31, 2023.</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business consists of acquiring, financing, and owning real estate property to be leased to gaming operators in triple-net lease arrangements. As of December 31, 2023, GLPI’s portfolio consisted of interests in 61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Corporation (NYSE: BALY) ("Bally's") the real property associated with 3 gaming and related facilities operated by Cordish, the real property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4 gaming and related facilities operated by Casino Queen and 1 gaming facility under construction that upon opening is intended to be managed by a subsidiary of Hard Rock International ("Hard Rock"). These facilities, including our corporate headquarters building, are geographically diversified across 18 states and contain approximately 28.7 million square feet. As of December 31, 2023, the Company's properties were 100% occupied. GLPI expects to continue growing its portfolio by pursuing opportunities to acquire additional gaming facilities to lease to gaming operators under prudent terms.</w:t>
      </w: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new master lease. The PENN 2023 Master Lease became effective on January 1, 2023.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the term of which expires on October 31, 2033, with no purchase option,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PENN 2023 Master Lease and the Amended PENN Master Lease are substantially similar to the Original PENN Master Lease with the following key differences: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PENN 2023 Master Lease is cross-defaulted and co-terminus with the Amended PENN Master Lease.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PENN 2023 Master Lease is $232.2 million in base rent with fixed annual escalation of 1.50%, with the first escalation occurring on November 1,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Amended PENN Master Lease is $284.1 million, consisting of $208.2 million of building base rent, $43.0 million of land base rent, and $32.9 million of percentage rent.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pPr>
      <w:r>
        <w:rPr>
          <w:rFonts w:ascii="Times New Roman;sans-serif" w:hAnsi="Times New Roman;sans-serif"/>
          <w:b w:val="false"/>
          <w:color w:val="000000"/>
          <w:sz w:val="20"/>
        </w:rPr>
        <w:t>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 Casino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13, 2023, the Company and Caesars amended and restated the Second Amended and Restated Caesars Master Lease (as amended and restated "the "Third Amended and Restated Caesars Master Lease") in connection with Caesars selling its interest in the Belle of Baton Rouge to Casino Queen with no change in rent obligation to the Company. See Note 12 for further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Horseshoe St. Louis property in satisfaction of the CZR loan. On September 29, 2020, the transaction closed and the Company entered into a new single property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and January 3, 2023, the Company completed the acquisitions of the real estate assets of Bally's Black Hawk, Bally's Quad Cities, Bally's Biloxi, and Bally's Tiverton. These properties were added to the existing Bally's Master Lease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$771.0 million and additional rent of $58.8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In lease years two and three rent increased by 1.5% annually (and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Also pursuant to an amendment to the Second Amended and Restated Casino Queen Master Lease, the Company acquired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Master Lease was subsequently amended and restated on November 13, 2023 (the "Third Amended and Restated Casino Queen Master Lease").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Hard Rock, from an affiliate of 815 Entertainment, LLC (together, "815 Entertainment") for $100.0 million. Simultaneously with the land acquisition, GLPI entered into a ground lease with 815 Entertainment for a 99 year term. The initial annual rent for the ground lease is $8.0 million, subject to fixed 2% annual escalation beginning with the lease's first anniversary and for the entirety of its term (the "Rockford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December 31, 2023, $40.0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before="16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2.</w:t>
      </w:r>
      <w:r>
        <w:rPr>
          <w:color w:val="000000"/>
        </w:rPr>
        <w:t>    </w:t>
      </w:r>
      <w:r>
        <w:rPr>
          <w:rFonts w:ascii="Times New Roman;sans-serif" w:hAnsi="Times New Roman;sans-serif"/>
          <w:b/>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Principles of Consolidation and Non-controlling interest</w:t>
      </w:r>
    </w:p>
    <w:p>
      <w:pPr>
        <w:pStyle w:val="TextBody"/>
        <w:bidi w:val="0"/>
        <w:spacing w:before="0" w:after="0"/>
        <w:jc w:val="left"/>
        <w:rPr/>
      </w:pPr>
      <w:r>
        <w:rPr/>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 </w:t>
      </w:r>
    </w:p>
    <w:p>
      <w:pPr>
        <w:pStyle w:val="TextBody"/>
        <w:bidi w:val="0"/>
        <w:spacing w:before="160" w:after="283"/>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Real Estate Investments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determines whether the undiscounted cash flows from the underlying lease exceeds the real estate investments' carrying value. If we determine the estimated undiscounted cash flow are less than the asset's carrying value, then the Company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Investment in Leases - Financing receivables</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In accordance with ASC 842 -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for transactions in which the Company enters into a contract to acquire an asset and leases it back to the seller under a sales-type lease (i.e. a sale leaseback transaction), the Company must determine whether control of the asset has transferred to the Company.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The Company recognizes interest income on Investment in leases - financing receivables under the effective yield method. Generally, we would recognize interest income to the extent the tenant is not more than 90 days delinquent on their rental obligations. Certain of the Company's leases were required to be accounted for as Investment in leases - financing receivable on the Consolidated Balance Sheets in accordance with ASC 310, since control of the underlying assets was not considered to have transferred to the Company under GAAP given the significant initial term of each of the leases.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Real Estate Loans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periodically loan funds to casino owner-operators for the purchase or construction of gaming related real estate. Loans for the construction or purchase of real estate assets of gaming related properties are classified as real estate loans on the Company's Consolidated Balance Sheets. Interest income related to real estate loans is recorded as interest income from real estate loans within the Company's Consolidated Statements of Income in the period earned. Generally, we would recognize interest income to the extent the loan is not more than 90 days delinquent.</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Lease Assets and Lease Liabilities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Company accounts for the lease and nonlease components (as necessary) of its leases of all classes of underlying assets as a single lease component. Leases with a term of 12 months or less are not recorded on the Company's Consolidated Balance Sheets.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Right-of-use assets and land rights are monitored for potential impairment in much the same way as the Company's real estate assets, using the impairment model in ASC 360 -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cash balances and highly-liquid investments with original maturities of three months or less to be cash and cash equivalents.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primarily consists of accounts receivable and deferred compensation plan assets (See Note 11 for further details on the deferred compensation plan). Other assets also include prepaid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 Other assets at December 31, 2022 included a $200 million deposit that was prefunded to Bally's in September 2022. This amount was credited to the Company in connection with the January 3, 2023 acquisition of the Bally's Biloxi and Bally's Tiverton real estate assets. See Note 6 for further details.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Debt Issuance Costs and Bond Premiums and Discounts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Times New Roman;sans-serif" w:hAnsi="Times New Roman;sans-serif"/>
          <w:b w:val="false"/>
          <w:i/>
          <w:color w:val="000000"/>
          <w:sz w:val="20"/>
        </w:rPr>
        <w:t>Interest - Imputation of Interest (Subtopic 835-30): Simplifying the Presentation of Debt Issuance Costs,</w:t>
      </w:r>
      <w:r>
        <w:rPr>
          <w:color w:val="000000"/>
        </w:rPr>
        <w:t xml:space="preserve"> </w:t>
      </w:r>
      <w:r>
        <w:rPr>
          <w:rFonts w:ascii="Times New Roman;sans-serif" w:hAnsi="Times New Roman;sans-serif"/>
          <w:b w:val="false"/>
          <w:color w:val="000000"/>
          <w:sz w:val="20"/>
        </w:rPr>
        <w:t>the Company records long-term debt net of unamortized debt issuance costs on its Consolidated Balance Sheets. Similarly, the Company records long-term debt net of any unamortized bond premiums and original issuance discounts on its Consolidated Balance Sheets. Any original issuance discounts or bond premiums are also amortized to interest expense over the contractual term of the underlying indebtedness.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Observable inputs such as quoted prices in active markets for identical assets or liabilities.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that reflect the reporting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our investments in leases under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related income from our financing receivables using an effective interest rate at a constant rate over the term of the applicable leases. As a result, the cash payments received under financing receivables will not equal the income recognized for accounting purposes. Rather, a portion of the cash rent the Company will receive is recorded as interest income with the remainder as a change to financing receivables. Initial direct costs incurred in connection with entering into financing receivables are included in the balance of the financing receivables. Such amounts will be recognized as a reduction to interest income from financing receivables over the term of the lease using the effective interest rate method. Costs that would have been incurred regardless of whether the lease was signed, such as legal fees and certain other third party fees, are expensed as incurred.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rental revenue from tenants, including rental abatements, lease incentives and contractually fixed increases attributable to operating leases, on a straight-line basis over the term of the related leases when collectability is reasonably assured in accordance with ASC 842.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periodically loan funds to casino owner-operators for the purchase of gaming related real estate. Interest income related to real estate loans is recorded as revenue from real estate within the Company's consolidated statements of income in the period earned.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Gaming revenue generated by the TRS Properties mainly consisted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Gaming revenue is recognized net of certain sales incentives, including promotional allowances in accordance with ASC 606 - </w:t>
      </w:r>
      <w:r>
        <w:rPr>
          <w:rFonts w:ascii="Times New Roman;sans-serif" w:hAnsi="Times New Roman;sans-serif"/>
          <w:b w:val="false"/>
          <w:i/>
          <w:color w:val="000000"/>
          <w:sz w:val="20"/>
        </w:rPr>
        <w:t>Revenues from Contracts with Customers</w:t>
      </w:r>
      <w:r>
        <w:rPr>
          <w:rFonts w:ascii="Times New Roman;sans-serif" w:hAnsi="Times New Roman;sans-serif"/>
          <w:b w:val="false"/>
          <w:color w:val="000000"/>
          <w:sz w:val="20"/>
        </w:rPr>
        <w:t>. The Company also defers a portion of the revenue received from customers (who participate in the points-based loyalty programs) at the time of play until a later period when the points are redeemed or forfeited. Other revenues at the TRS Properties are derived from the properties' dining, retail and certain other ancillary activities and revenue for these activities is recognized as services are performed. As of December 31, 2021, the Company no longer operates gaming assets and therefore gaming revenue is no longer recorded.</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ASC 326 “Credit Losses” (“ASC 326”), which requires that the Company measure and record current expected credit losses (“CECL”), the scope of which includes our Investments in leases - financing receivables and real estate loans.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Expected losses within our cash flows are determined by estimating the probability of default (“PD”) and loss given default (“LGD”) of our investments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or borrower. We are unable to use our historical data to estimate losses as the Company has no loss history to date on its lease portfolio. Our tenants and borrowers are current on all of their obligations as of December 31, 2023.</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CECL allowance is recorded as a reduction to our net Investments in leases - financing receivables and real estate loans, on our Consolidated Balance Sheets. We are required to update our CECL allowance on a quarterly basis with the resulting change being recorded in the provision for credit losses, net, in the Consolidated Statement of Income for the relevant period. Finally, each time the Company makes a new investment in an asset subject to ASC 326, the Company will be required to record an initial CECL allowance for such asset, which will result in a non-cash charge to the Consolidated Statement of Income for the relevant period. See Note 7 for further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Charge-offs are deducted from the allowance in the period in which they are deemed uncollectible. Recoveries previously written off are recorded when received. The Company recorded a recovery of $4 million for the year ended December 31, 2021 for the settlement of a loan that was previously written off to Casino Queen.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accounts for stock compensation under ASC 718 -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third-party valuation firm to measure the fair value of performance-based restricted stock awards at grant date using the Monte Carlo model.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unrecognized compensation cost relating to restricted stock awards and performance-based restricted stock awards is recognized as expense over the awards’ remaining vesting periods. See Note 13 for further information related to stock-based compensation.</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TRS were able to engage in activities resulting in income that would not be qualifying income for a REIT. As a result, certain activities of the Company which occured within its TRS are subject to federal and state income taxes.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Company accounts for income taxes in accordance with ASC 740 -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2023.</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2023, 2022 and 2021, the Company recognized no penalties and interest, net of deferred income taxes. </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calculates earnings per share ("EPS") in accordance with ASC 260 -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EPS is computed by dividing net income applicable to common shareholders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as described in Note 16. The effect of the conversion of the Operating Partnership ("OP") units to common shares is excluded from the computation of basic and diluted earnings per share because all net income attributable to the Noncontrolling interest holders are recorded as income attributable to non-controlling interests, thus it is excluded from net income available to common shareholders. See Note 15 for further details on the Company's earnings per share calculations.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due to the sale of the operations of Hollywood Casino Perryville and Hollywood Casino Baton Rouge in 2021,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as of January 1, 2022, the Company has one reportable segment.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160"/>
        <w:ind w:left="0" w:right="0" w:firstLine="630"/>
        <w:jc w:val="both"/>
        <w:rPr/>
      </w:pPr>
      <w:r>
        <w:rPr>
          <w:rFonts w:ascii="Times New Roman;sans-serif" w:hAnsi="Times New Roman;sans-serif"/>
          <w:b w:val="false"/>
          <w:color w:val="000000"/>
          <w:sz w:val="20"/>
        </w:rPr>
        <w:t xml:space="preserve">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2023, substantially all of the Company's real estate properties were leased to PENN, Cordish, </w:t>
      </w:r>
      <w:r>
        <w:rPr>
          <w:rFonts w:ascii="Times New Roman;sans-serif" w:hAnsi="Times New Roman;sans-serif"/>
          <w:b w:val="false"/>
          <w:color w:val="000000"/>
          <w:sz w:val="20"/>
          <w:shd w:fill="FFFFFF" w:val="clear"/>
        </w:rPr>
        <w:t>Caesars, Bally's an</w:t>
      </w:r>
      <w:r>
        <w:rPr>
          <w:rFonts w:ascii="Times New Roman;sans-serif" w:hAnsi="Times New Roman;sans-serif"/>
          <w:b w:val="false"/>
          <w:color w:val="000000"/>
          <w:sz w:val="20"/>
        </w:rPr>
        <w:t>d Boyd. During the year ended December 31, 2023, approximately 62%, 11%, 9%, 9% and 8% of the Company's collective income from real estate was derived from tenant leases with PENN, Cordish, Caesars, Bally's and Boyd respectively. PENN, Caesars, Bally's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PENN,Caesars, Bally's and Boyd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2023, the Company's portfolio of 61 properties is diversified by location across 18 states.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subject the Company to credit risk consist of cash and cash equivalents, Investment in leases, financing receivables and real estate loans.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New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Pending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 Improvements to Reportable Segment Disclosures." ASU 2023-07 improves disclosure about a public entity's reportable segments and addresses requests from investors for additional, more detailed information about a reportable segment's expenses. The provisions in this amendment are applicable to all public entities, even those with a single reportable segment. The standard is effective for fiscal years beginning after December 15, 2023, with early adoption permitted. The Company continues to evaluate the impact of the guidance, but does not expect the adoption of ASU 2023-07 to have a material impact on the Company's financial statements and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Pronouncements Adopted in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March 2022, the FASB issued ASU No 2022-02, </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 xml:space="preserve">which eliminates the accounting guidance for troubled debt restructurings ("TDRs") and requires that entities disclose current-period gross write-offs by year of origination for financing receivables and net investment in leases within the scope of ASC 326-20, </w:t>
      </w:r>
      <w:r>
        <w:rPr>
          <w:rFonts w:ascii="Times New Roman;sans-serif" w:hAnsi="Times New Roman;sans-serif"/>
          <w:b w:val="false"/>
          <w:i/>
          <w:color w:val="000000"/>
          <w:sz w:val="20"/>
        </w:rPr>
        <w:t>Financial Instruments-Credit Losses-Measured and Amortized Cost</w:t>
      </w:r>
      <w:r>
        <w:rPr>
          <w:rFonts w:ascii="Times New Roman;sans-serif" w:hAnsi="Times New Roman;sans-serif"/>
          <w:b w:val="false"/>
          <w:color w:val="000000"/>
          <w:sz w:val="20"/>
        </w:rPr>
        <w:t xml:space="preserve">. The Company early adopted the amendments in this update which had no impact on its financial statements or related disclosures as the Company has no TDRs, write-offs, or modifications to disclose on its net investment in leases.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of Contents</w:t>
      </w:r>
    </w:p>
    <w:p>
      <w:pPr>
        <w:pStyle w:val="TextBody"/>
        <w:bidi w:val="0"/>
        <w:spacing w:lineRule="auto" w:line="288" w:before="0" w:after="0"/>
        <w:jc w:val="left"/>
        <w:rPr/>
      </w:pPr>
      <w:r>
        <w:rPr>
          <w:rFonts w:ascii="Times New Roman;sans-serif" w:hAnsi="Times New Roman;sans-serif"/>
          <w:b/>
          <w:color w:val="000000"/>
          <w:sz w:val="20"/>
        </w:rPr>
        <w:t>4.</w:t>
      </w:r>
      <w:r>
        <w:rPr>
          <w:color w:val="000000"/>
        </w:rPr>
        <w:t>    </w:t>
      </w:r>
      <w:r>
        <w:rPr>
          <w:rFonts w:ascii="Times New Roman;sans-serif" w:hAnsi="Times New Roman;sans-serif"/>
          <w:b/>
          <w:color w:val="000000"/>
          <w:sz w:val="20"/>
        </w:rPr>
        <w:t>Real Estate Investments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 represent investments in rental properties and the corporate headquarters building (excluding our investments in transactions accounted for as real estate loans and investment in leases, financing receivables that are described in Notes 5 and 6, respectively) and is summarized as follows:</w:t>
      </w:r>
    </w:p>
    <w:p>
      <w:pPr>
        <w:pStyle w:val="TextBody"/>
        <w:bidi w:val="0"/>
        <w:spacing w:lineRule="auto" w:line="288" w:before="0" w:after="0"/>
        <w:jc w:val="left"/>
        <w:rPr>
          <w:color w:val="000000"/>
        </w:rPr>
      </w:pPr>
      <w:r>
        <w:rPr>
          <w:color w:val="000000"/>
        </w:rPr>
        <w:t> </w:t>
      </w:r>
    </w:p>
    <w:tbl>
      <w:tblPr>
        <w:tblW w:w="5588" w:type="dxa"/>
        <w:jc w:val="center"/>
        <w:tblInd w:w="0" w:type="dxa"/>
        <w:tblLayout w:type="fixed"/>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landside development project at Casino Queen Baton Rouge was completed in late August 2023. The Company also acquired land and certain real estate assets of Bally's Biloxi, Bally's Tiverton and Casino Queen Marquette in 2023, as well as land in Joliet and Aurora, Illinois for PENN's development projects.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entered into an agreement and completed the sale of excess land for approximately $3.5 million that had a carrying value of $6.8 million and as such the Company recorded an impairment charge of $3.3 million for the year ended December 31, 2022.</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Real estate loans, net</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As discussed in Note 1, the Company entered into the Rockford Loan during the year ended December 31, 2023 and $40.0 million of the $150 million commitment was drawn as of December 31, 2023. The Rockford Loan has a 10% interest rate and a maximum outstanding period of up to 6 years (5-year initial term with a 1-year extension). The following is a summary of the balances of the Company's Real estate loans, net.</w:t>
      </w:r>
    </w:p>
    <w:p>
      <w:pPr>
        <w:pStyle w:val="TextBody"/>
        <w:bidi w:val="0"/>
        <w:spacing w:before="0" w:after="0"/>
        <w:ind w:left="0" w:right="0" w:firstLine="720"/>
        <w:jc w:val="left"/>
        <w:rPr/>
      </w:pPr>
      <w:r>
        <w:rPr/>
      </w:r>
    </w:p>
    <w:tbl>
      <w:tblPr>
        <w:tblW w:w="3930" w:type="dxa"/>
        <w:jc w:val="left"/>
        <w:tblInd w:w="0" w:type="dxa"/>
        <w:tblLayout w:type="fixed"/>
        <w:tblCellMar>
          <w:top w:w="28" w:type="dxa"/>
          <w:left w:w="28" w:type="dxa"/>
          <w:bottom w:w="28" w:type="dxa"/>
          <w:right w:w="28" w:type="dxa"/>
        </w:tblCellMar>
      </w:tblPr>
      <w:tblGrid>
        <w:gridCol w:w="999"/>
        <w:gridCol w:w="876"/>
        <w:gridCol w:w="885"/>
        <w:gridCol w:w="227"/>
        <w:gridCol w:w="778"/>
        <w:gridCol w:w="165"/>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Real estate loans is shown below (in thousands):</w:t>
      </w:r>
    </w:p>
    <w:p>
      <w:pPr>
        <w:pStyle w:val="TextBody"/>
        <w:bidi w:val="0"/>
        <w:spacing w:before="0" w:after="0"/>
        <w:ind w:left="0" w:right="0" w:firstLine="720"/>
        <w:jc w:val="left"/>
        <w:rPr/>
      </w:pPr>
      <w:r>
        <w:rPr/>
      </w:r>
    </w:p>
    <w:tbl>
      <w:tblPr>
        <w:tblW w:w="4648" w:type="dxa"/>
        <w:jc w:val="left"/>
        <w:tblInd w:w="0" w:type="dxa"/>
        <w:tblLayout w:type="fixed"/>
        <w:tblCellMar>
          <w:top w:w="28" w:type="dxa"/>
          <w:left w:w="28" w:type="dxa"/>
          <w:bottom w:w="28" w:type="dxa"/>
          <w:right w:w="28" w:type="dxa"/>
        </w:tblCellMar>
      </w:tblPr>
      <w:tblGrid>
        <w:gridCol w:w="1163"/>
        <w:gridCol w:w="1022"/>
        <w:gridCol w:w="1024"/>
        <w:gridCol w:w="356"/>
        <w:gridCol w:w="820"/>
        <w:gridCol w:w="263"/>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Rockford Loan</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2023</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Rockford Loan is subject to CECL, which is described in Note 7. The Company recorded provision for credit losses of $1.0 million and $2.6 million on the Rockford Loan and the associated $110 million unfunded loan commitment, respectively, for the year ended December 31, 2023. The reserve for the unfunded loan commitment was recorded in other liabilities on the Consolidated Balance Sheets. The borrower is current on its loan obligation as of December 31,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8"/>
        </w:rPr>
        <w:t>6.    </w:t>
      </w:r>
      <w:r>
        <w:rPr>
          <w:rFonts w:ascii="Times New Roman;sans-serif" w:hAnsi="Times New Roman;sans-serif"/>
          <w:b/>
          <w:color w:val="000000"/>
          <w:sz w:val="20"/>
        </w:rPr>
        <w:t>Acquisitions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Company accounts for its acquisitions of real estate assets as asset acquisitions under ASC 805 -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Under asset acquisition accounting, transaction costs incurred to acquire the purchased assets are also included as part of the asset cost.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Current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the Company closed its previously announced acquisition from Bally's of the land and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3590" w:type="dxa"/>
        <w:jc w:val="left"/>
        <w:tblInd w:w="0" w:type="dxa"/>
        <w:tblLayout w:type="fixed"/>
        <w:tblCellMar>
          <w:top w:w="28" w:type="dxa"/>
          <w:left w:w="28" w:type="dxa"/>
          <w:bottom w:w="28" w:type="dxa"/>
          <w:right w:w="28" w:type="dxa"/>
        </w:tblCellMar>
      </w:tblPr>
      <w:tblGrid>
        <w:gridCol w:w="869"/>
        <w:gridCol w:w="763"/>
        <w:gridCol w:w="767"/>
        <w:gridCol w:w="211"/>
        <w:gridCol w:w="82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$771.0 million and additional annual rent of $58.8 million.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2023, the Company acquired the land associated with a development project in Rockford, IL, that upon opening is intended to be managed by Hard Rock, from an affiliate of 815 Entertainment, LLC. Simultaneously with the land acquisition, GLPI entered into the Rockford Lease. The transaction was accounted for as a failed sale leaseback and as such the purchase price was allocated to Investment in leases, financing receivables in the amount of $100.2 million.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2023, the Company acquired the land and certain improvements at Casino Queen Marquette for $32.72 million. The property was added to the Third Amended and Restated Casino Queen Master Lease and annual rent was increased by $2.7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tbl>
      <w:tblPr>
        <w:tblW w:w="3485" w:type="dxa"/>
        <w:jc w:val="left"/>
        <w:tblInd w:w="0" w:type="dxa"/>
        <w:tblLayout w:type="fixed"/>
        <w:tblCellMar>
          <w:top w:w="28" w:type="dxa"/>
          <w:left w:w="28" w:type="dxa"/>
          <w:bottom w:w="28" w:type="dxa"/>
          <w:right w:w="28" w:type="dxa"/>
        </w:tblCellMar>
      </w:tblPr>
      <w:tblGrid>
        <w:gridCol w:w="869"/>
        <w:gridCol w:w="763"/>
        <w:gridCol w:w="767"/>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Prior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2022, the Company completed its previously announced transaction with Cordish to acquire the real property assets of Live! Casino &amp; Hotel Philadelphia and Live! Casino Pittsburgh and simultaneously entered into the Pennsylvania Live! Master Lease such that Cordish continues to operate the facilities. The Company has concluded that the Pennsylvania Live! Master Lease is required to be accounted for as an Investment in leases, financing receivables on our Condensed Consolidated Balance Sheets in accordance with ASC 310, since control of the underlying assets was not considered to have transferred to the Company under GAAP given the significant initial lease term of the Pennsylvania Live! Master Lease which was 39 years. The purchase price of $689.0 million was recorded in Investment in leases, financing receivables, net.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13, 2021, the Company announced that it had entered into a binding term sheet with Bally's to acquire the real estate of Bally’s casino properties in Black Hawk, CO and its recently acquired property in Rock Island, IL, in a transaction that was subject to regulatory approval. This transaction closed on April 1, 2022 and total consideration for the acquisition was $150 million. The parties added the properties to the Bally's Master Lease for incremental rent of $12.0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price for the acquisition of the real estate assets of Black Hawk and Rock Island were as follows (in thousands):</w:t>
      </w:r>
    </w:p>
    <w:p>
      <w:pPr>
        <w:pStyle w:val="TextBody"/>
        <w:bidi w:val="0"/>
        <w:spacing w:before="0" w:after="0"/>
        <w:ind w:left="0" w:right="0" w:firstLine="720"/>
        <w:jc w:val="left"/>
        <w:rPr/>
      </w:pPr>
      <w:r>
        <w:rPr/>
      </w:r>
    </w:p>
    <w:tbl>
      <w:tblPr>
        <w:tblW w:w="3591" w:type="dxa"/>
        <w:jc w:val="left"/>
        <w:tblInd w:w="0" w:type="dxa"/>
        <w:tblLayout w:type="fixed"/>
        <w:tblCellMar>
          <w:top w:w="28" w:type="dxa"/>
          <w:left w:w="28" w:type="dxa"/>
          <w:bottom w:w="28" w:type="dxa"/>
          <w:right w:w="28" w:type="dxa"/>
        </w:tblCellMar>
      </w:tblPr>
      <w:tblGrid>
        <w:gridCol w:w="869"/>
        <w:gridCol w:w="762"/>
        <w:gridCol w:w="769"/>
        <w:gridCol w:w="211"/>
        <w:gridCol w:w="82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Investment in leases, financing receivables, net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leases are recorded as an Investment in leases, financing receivables, net, as the sale lease back transactions were accounted for as failed sale leasebacks due to the leases significant initial lease terms. The following is a summary of the balances of the Company's investment in leases, financing receivables (in thousands).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7" w:before="0" w:after="0"/>
        <w:jc w:val="both"/>
        <w:rPr>
          <w:color w:val="000000"/>
        </w:rPr>
      </w:pPr>
      <w:r>
        <w:rPr>
          <w:color w:val="000000"/>
        </w:rPr>
        <w:t>            </w:t>
      </w:r>
    </w:p>
    <w:tbl>
      <w:tblPr>
        <w:tblW w:w="7714" w:type="dxa"/>
        <w:jc w:val="left"/>
        <w:tblInd w:w="0" w:type="dxa"/>
        <w:tblLayout w:type="fixed"/>
        <w:tblCellMar>
          <w:top w:w="28" w:type="dxa"/>
          <w:left w:w="28" w:type="dxa"/>
          <w:bottom w:w="28" w:type="dxa"/>
          <w:right w:w="28" w:type="dxa"/>
        </w:tblCellMar>
      </w:tblPr>
      <w:tblGrid>
        <w:gridCol w:w="1760"/>
        <w:gridCol w:w="1547"/>
        <w:gridCol w:w="1552"/>
        <w:gridCol w:w="211"/>
        <w:gridCol w:w="976"/>
        <w:gridCol w:w="109"/>
        <w:gridCol w:w="211"/>
        <w:gridCol w:w="976"/>
        <w:gridCol w:w="109"/>
        <w:gridCol w:w="109"/>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Minimum lease payments receivable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residual values of lease property (unguaranteed)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 leases, financing receivables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leases, financing receivables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720"/>
        <w:jc w:val="left"/>
        <w:rPr/>
      </w:pPr>
      <w:r>
        <w:rPr/>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present value of the net investment in the lease payment receivable and unguaranteed residual value at December 31, 2023 was $1,991.4 million and $54.2 million, respectively compared to $1,871.5 million and $50.8 million, respectively at December 31, 2022. </w:t>
      </w:r>
    </w:p>
    <w:p>
      <w:pPr>
        <w:pStyle w:val="TextBody"/>
        <w:bidi w:val="0"/>
        <w:spacing w:before="16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minimum lease payments owed to us for each of the five succeeding years under the Company's financing receivables were as follows (in thousands):</w:t>
      </w:r>
    </w:p>
    <w:tbl>
      <w:tblPr>
        <w:tblW w:w="4620" w:type="dxa"/>
        <w:jc w:val="left"/>
        <w:tblInd w:w="0" w:type="dxa"/>
        <w:tblLayout w:type="fixed"/>
        <w:tblCellMar>
          <w:top w:w="28" w:type="dxa"/>
          <w:left w:w="28" w:type="dxa"/>
          <w:bottom w:w="28" w:type="dxa"/>
          <w:right w:w="28" w:type="dxa"/>
        </w:tblCellMar>
      </w:tblPr>
      <w:tblGrid>
        <w:gridCol w:w="739"/>
        <w:gridCol w:w="649"/>
        <w:gridCol w:w="652"/>
        <w:gridCol w:w="406"/>
        <w:gridCol w:w="1878"/>
        <w:gridCol w:w="296"/>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Future Minimum Lease Payments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139,746 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147,223 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8,377,107 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9,088,298 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financing receivables is illustrated below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1"/>
        <w:gridCol w:w="1075"/>
        <w:gridCol w:w="1081"/>
        <w:gridCol w:w="298"/>
        <w:gridCol w:w="871"/>
        <w:gridCol w:w="153"/>
        <w:gridCol w:w="359"/>
        <w:gridCol w:w="1230"/>
        <w:gridCol w:w="185"/>
        <w:gridCol w:w="513"/>
        <w:gridCol w:w="1757"/>
        <w:gridCol w:w="268"/>
        <w:gridCol w:w="211"/>
        <w:gridCol w:w="782"/>
        <w:gridCol w:w="161"/>
      </w:tblGrid>
      <w:tr>
        <w:trPr/>
        <w:tc>
          <w:tcPr>
            <w:tcW w:w="126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Rockford Lease</w:t>
            </w:r>
          </w:p>
        </w:tc>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 Live! Lease</w:t>
            </w:r>
          </w:p>
        </w:tc>
        <w:tc>
          <w:tcPr>
            <w:tcW w:w="2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 Live! Master Lease</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2022</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2023</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the Company's investment in leases, financing receivables by year of origination is shown below as of December 31, 2023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450"/>
        <w:gridCol w:w="1260"/>
        <w:gridCol w:w="1263"/>
        <w:gridCol w:w="211"/>
        <w:gridCol w:w="826"/>
        <w:gridCol w:w="271"/>
        <w:gridCol w:w="211"/>
        <w:gridCol w:w="826"/>
        <w:gridCol w:w="271"/>
        <w:gridCol w:w="109"/>
        <w:gridCol w:w="109"/>
        <w:gridCol w:w="109"/>
        <w:gridCol w:w="211"/>
        <w:gridCol w:w="976"/>
        <w:gridCol w:w="271"/>
        <w:gridCol w:w="109"/>
        <w:gridCol w:w="109"/>
        <w:gridCol w:w="109"/>
        <w:gridCol w:w="211"/>
        <w:gridCol w:w="976"/>
        <w:gridCol w:w="317"/>
      </w:tblGrid>
      <w:tr>
        <w:trPr/>
        <w:tc>
          <w:tcPr>
            <w:tcW w:w="145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2,045,577 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 basis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as a percentage of outstanding financing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a provision for credit losses, net of $6.5 million.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reason for the current year provision was related to the Rockford Lease and the Rockford Loan and related loan commitment (See Note 5 for further discussion).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recorded a provision for credit losses, net of $6.9 million.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was due to an initial allowance for credit losses of $32.3 million on the Pennsylvania Live! Master Lease which was originated on March 1, 2022. However, this initial provision was partially offset due to improved performance and an updated earnings forecast from its tenant at the properties comprising both the Maryland Live! Lease and the Pennsylvania Live! Master Lease. This resulted in improved rent coverage ratios in the reserve calculation which led to a reduction in the required reserves for both financing receivables.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reason for the higher allowance for credit losses as a percentage of the outstanding investment in leases for the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Rockford Lease and Pennsylvania Live! Master Lease compared to the Maryland Live! Lease is primarily due to the significantly higher rent coverage ratio on the Maryland Live! Lease compared to the Pennsylvania Live! Master Lease and the expected coverage ratio on the Rockford Lease. 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Lease Assets and Lease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Lease Assets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the Company's right-of use assets and land rights, net are detailed below (in thousands):</w:t>
      </w:r>
    </w:p>
    <w:tbl>
      <w:tblPr>
        <w:tblW w:w="6684" w:type="dxa"/>
        <w:jc w:val="center"/>
        <w:tblInd w:w="0" w:type="dxa"/>
        <w:tblLayout w:type="fixed"/>
        <w:tblCellMar>
          <w:top w:w="28" w:type="dxa"/>
          <w:left w:w="28" w:type="dxa"/>
          <w:bottom w:w="28" w:type="dxa"/>
          <w:right w:w="28" w:type="dxa"/>
        </w:tblCellMar>
      </w:tblPr>
      <w:tblGrid>
        <w:gridCol w:w="1200"/>
        <w:gridCol w:w="1054"/>
        <w:gridCol w:w="1060"/>
        <w:gridCol w:w="276"/>
        <w:gridCol w:w="1081"/>
        <w:gridCol w:w="142"/>
        <w:gridCol w:w="109"/>
        <w:gridCol w:w="109"/>
        <w:gridCol w:w="109"/>
        <w:gridCol w:w="273"/>
        <w:gridCol w:w="1072"/>
        <w:gridCol w:w="199"/>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Right-of-use assets - operating leases </w:t>
            </w:r>
            <w:r>
              <w:rPr>
                <w:rFonts w:ascii="Times New Roman;sans-serif" w:hAnsi="Times New Roman;sans-serif"/>
                <w:b w:val="false"/>
                <w:color w:val="000000"/>
                <w:sz w:val="13"/>
              </w:rPr>
              <w:t>(1)</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835,524 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834,067 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lineRule="auto" w:line="288" w:before="100" w:after="283"/>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During the year ended December 31, 2023, the Company acquired certain real estate assets at the Belle at Baton Rouge and the previously recorded right-of-use assets and related accumulated amortization associated with the ground leases at this property totaling $0.4 million were written off.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Land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land rights are amortized over the individual lease term of the related ground lease, including all renewal options, which ranged from 10 years to 92 years at their respective acquisition dates. Land rights net, consist of the following:</w:t>
      </w:r>
    </w:p>
    <w:p>
      <w:pPr>
        <w:pStyle w:val="TextBody"/>
        <w:bidi w:val="0"/>
        <w:spacing w:before="0" w:after="0"/>
        <w:ind w:left="0" w:right="0" w:firstLine="720"/>
        <w:jc w:val="left"/>
        <w:rPr/>
      </w:pPr>
      <w:r>
        <w:rPr/>
      </w:r>
    </w:p>
    <w:tbl>
      <w:tblPr>
        <w:tblW w:w="5514" w:type="dxa"/>
        <w:jc w:val="center"/>
        <w:tblInd w:w="0" w:type="dxa"/>
        <w:tblLayout w:type="fixed"/>
        <w:tblCellMar>
          <w:top w:w="28" w:type="dxa"/>
          <w:left w:w="28" w:type="dxa"/>
          <w:bottom w:w="28" w:type="dxa"/>
          <w:right w:w="28" w:type="dxa"/>
        </w:tblCellMar>
      </w:tblPr>
      <w:tblGrid>
        <w:gridCol w:w="1031"/>
        <w:gridCol w:w="905"/>
        <w:gridCol w:w="914"/>
        <w:gridCol w:w="211"/>
        <w:gridCol w:w="826"/>
        <w:gridCol w:w="109"/>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Land rights </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accumulated amortization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During the year ended December 31, 2023, the Company acquired certain real estate assets at the Belle at Baton Rouge and the previously recorded land rights and related accumulated amortization associated with the ground leases at this property totaling $0.7 million were written off.</w:t>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recorded $2.7 million of accelerated land right amortization as it donated a portion of the land underlying a ground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estimated future amortization expense related to the Company’s land rights by fiscal year is as follows (in thousands):</w:t>
      </w:r>
    </w:p>
    <w:p>
      <w:pPr>
        <w:pStyle w:val="TextBody"/>
        <w:bidi w:val="0"/>
        <w:spacing w:before="0" w:after="0"/>
        <w:ind w:left="0" w:right="0" w:firstLine="720"/>
        <w:jc w:val="left"/>
        <w:rPr/>
      </w:pPr>
      <w:r>
        <w:rPr/>
      </w:r>
    </w:p>
    <w:tbl>
      <w:tblPr>
        <w:tblW w:w="3276" w:type="dxa"/>
        <w:jc w:val="center"/>
        <w:tblInd w:w="0" w:type="dxa"/>
        <w:tblLayout w:type="fixed"/>
        <w:tblCellMar>
          <w:top w:w="28" w:type="dxa"/>
          <w:left w:w="28" w:type="dxa"/>
          <w:bottom w:w="28" w:type="dxa"/>
          <w:right w:w="28" w:type="dxa"/>
        </w:tblCellMar>
      </w:tblPr>
      <w:tblGrid>
        <w:gridCol w:w="755"/>
        <w:gridCol w:w="663"/>
        <w:gridCol w:w="667"/>
        <w:gridCol w:w="211"/>
        <w:gridCol w:w="82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maturities of the Company's operating lease liabilities were as follows (in thousands):</w:t>
      </w:r>
    </w:p>
    <w:p>
      <w:pPr>
        <w:pStyle w:val="TextBody"/>
        <w:bidi w:val="0"/>
        <w:spacing w:before="0" w:after="0"/>
        <w:jc w:val="left"/>
        <w:rPr/>
      </w:pPr>
      <w:r>
        <w:rPr/>
      </w:r>
    </w:p>
    <w:tbl>
      <w:tblPr>
        <w:tblW w:w="3875" w:type="dxa"/>
        <w:jc w:val="center"/>
        <w:tblInd w:w="0" w:type="dxa"/>
        <w:tblLayout w:type="fixed"/>
        <w:tblCellMar>
          <w:top w:w="28" w:type="dxa"/>
          <w:left w:w="28" w:type="dxa"/>
          <w:bottom w:w="28" w:type="dxa"/>
          <w:right w:w="28" w:type="dxa"/>
        </w:tblCellMar>
      </w:tblPr>
      <w:tblGrid>
        <w:gridCol w:w="970"/>
        <w:gridCol w:w="856"/>
        <w:gridCol w:w="858"/>
        <w:gridCol w:w="211"/>
        <w:gridCol w:w="82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Lease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costs represent the entire amount of expense recognized for operating leases that are recorded on the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7930" w:type="dxa"/>
        <w:jc w:val="left"/>
        <w:tblInd w:w="0" w:type="dxa"/>
        <w:tblLayout w:type="fixed"/>
        <w:tblCellMar>
          <w:top w:w="28" w:type="dxa"/>
          <w:left w:w="28" w:type="dxa"/>
          <w:bottom w:w="28" w:type="dxa"/>
          <w:right w:w="28" w:type="dxa"/>
        </w:tblCellMar>
      </w:tblPr>
      <w:tblGrid>
        <w:gridCol w:w="999"/>
        <w:gridCol w:w="877"/>
        <w:gridCol w:w="884"/>
        <w:gridCol w:w="486"/>
        <w:gridCol w:w="1662"/>
        <w:gridCol w:w="251"/>
        <w:gridCol w:w="109"/>
        <w:gridCol w:w="109"/>
        <w:gridCol w:w="109"/>
        <w:gridCol w:w="475"/>
        <w:gridCol w:w="1623"/>
        <w:gridCol w:w="346"/>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 assets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49,093 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the land right intangibles, as well as variable lease costs and the majority of the Company's operating lease costs are recorded within land rights and ground lease expense in the consolidated statements of income. The Company's short-term lease costs as well as a small portion of operating lease costs are recorded in both gaming, food, beverage and other expense and general and administrative expense in the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Supplemental Disclosures Related to Operating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operating leases was as follows:</w:t>
      </w:r>
    </w:p>
    <w:tbl>
      <w:tblPr>
        <w:tblW w:w="6314" w:type="dxa"/>
        <w:jc w:val="left"/>
        <w:tblInd w:w="0" w:type="dxa"/>
        <w:tblLayout w:type="fixed"/>
        <w:tblCellMar>
          <w:top w:w="28" w:type="dxa"/>
          <w:left w:w="28" w:type="dxa"/>
          <w:bottom w:w="28" w:type="dxa"/>
          <w:right w:w="28" w:type="dxa"/>
        </w:tblCellMar>
      </w:tblPr>
      <w:tblGrid>
        <w:gridCol w:w="1726"/>
        <w:gridCol w:w="1517"/>
        <w:gridCol w:w="1527"/>
        <w:gridCol w:w="452"/>
        <w:gridCol w:w="452"/>
        <w:gridCol w:w="640"/>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w:t>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50.71 years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w:t>
            </w:r>
          </w:p>
        </w:tc>
      </w:tr>
    </w:tbl>
    <w:p>
      <w:pPr>
        <w:pStyle w:val="TextBody"/>
        <w:bidi w:val="0"/>
        <w:spacing w:before="100" w:after="283"/>
        <w:ind w:left="0" w:right="0" w:firstLine="72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operating leases was as follows:</w:t>
      </w:r>
    </w:p>
    <w:tbl>
      <w:tblPr>
        <w:tblW w:w="10205" w:type="dxa"/>
        <w:jc w:val="left"/>
        <w:tblInd w:w="0" w:type="dxa"/>
        <w:tblLayout w:type="fixed"/>
        <w:tblCellMar>
          <w:top w:w="28" w:type="dxa"/>
          <w:left w:w="28" w:type="dxa"/>
          <w:bottom w:w="28" w:type="dxa"/>
          <w:right w:w="28" w:type="dxa"/>
        </w:tblCellMar>
      </w:tblPr>
      <w:tblGrid>
        <w:gridCol w:w="1940"/>
        <w:gridCol w:w="1701"/>
        <w:gridCol w:w="1710"/>
        <w:gridCol w:w="504"/>
        <w:gridCol w:w="1474"/>
        <w:gridCol w:w="260"/>
        <w:gridCol w:w="109"/>
        <w:gridCol w:w="109"/>
        <w:gridCol w:w="109"/>
        <w:gridCol w:w="491"/>
        <w:gridCol w:w="1434"/>
        <w:gridCol w:w="364"/>
      </w:tblGrid>
      <w:tr>
        <w:trPr/>
        <w:tc>
          <w:tcPr>
            <w:tcW w:w="1940"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2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Operating cash flows from operating leases </w:t>
            </w:r>
            <w:r>
              <w:rPr>
                <w:rFonts w:ascii="Times New Roman;sans-serif" w:hAnsi="Times New Roman;sans-serif"/>
                <w:b w:val="false"/>
                <w:color w:val="000000"/>
                <w:sz w:val="13"/>
              </w:rPr>
              <w:t>(1)</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r>
        <w:trPr/>
        <w:tc>
          <w:tcPr>
            <w:tcW w:w="535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r>
        <w:trPr/>
        <w:tc>
          <w:tcPr>
            <w:tcW w:w="535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Financing Lease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December 31, 2023, maturities of this finance lease were as follows (in thousands):</w:t>
      </w:r>
    </w:p>
    <w:p>
      <w:pPr>
        <w:pStyle w:val="TextBody"/>
        <w:bidi w:val="0"/>
        <w:spacing w:before="0" w:after="0"/>
        <w:jc w:val="both"/>
        <w:rPr/>
      </w:pPr>
      <w:r>
        <w:rPr/>
      </w:r>
    </w:p>
    <w:p>
      <w:pPr>
        <w:pStyle w:val="TextBody"/>
        <w:bidi w:val="0"/>
        <w:spacing w:before="0" w:after="0"/>
        <w:jc w:val="left"/>
        <w:rPr/>
      </w:pPr>
      <w:r>
        <w:rPr/>
      </w:r>
    </w:p>
    <w:tbl>
      <w:tblPr>
        <w:tblW w:w="4401" w:type="dxa"/>
        <w:jc w:val="left"/>
        <w:tblInd w:w="0" w:type="dxa"/>
        <w:tblLayout w:type="fixed"/>
        <w:tblCellMar>
          <w:top w:w="28" w:type="dxa"/>
          <w:left w:w="28" w:type="dxa"/>
          <w:bottom w:w="28" w:type="dxa"/>
          <w:right w:w="28" w:type="dxa"/>
        </w:tblCellMar>
      </w:tblPr>
      <w:tblGrid>
        <w:gridCol w:w="1163"/>
        <w:gridCol w:w="1021"/>
        <w:gridCol w:w="1026"/>
        <w:gridCol w:w="211"/>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finance lease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Fair Value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are used to estimate the fair value of each class of financial instruments for which it is practicable to estimate: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cash and cash equivalents approximates the carrying value of the Company’s cash and cash equivalents, due to the short maturity of the cash equivalents.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leases, financing receivables,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net investment in leases, financing receivables, is based on the value of the underlying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property the Company owns related to the Maryland Live! Lease, the Pennsylvania Live! Master Lease, and the Rockford Lease. The initial fair value was the price paid by the Company to acquire the real estate. The initial fair value is then adjusted for changes in the commercial real estate price index and as such is a Level 3 measurement as defined under ASC 820.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Compensation Plan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Loans,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real estate loans approximates the gross carrying value of the Company's real estate loans, 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collection on the outstanding loan balance is reasonably assured and the loan was recently originated on market based terms.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the real estate loans is considered a Level 3 measurement as defined in ASC 820.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Senior Notes are estimated based on quoted prices in active markets and as such are Level 1 measurements as defined under ASC 820. The fair value of the obligations in our Amended Credit Agreement is based on indicative pricing from market information (Level 2 inputs).</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Company’s financial instruments are as follows (in thousands):</w:t>
      </w:r>
    </w:p>
    <w:tbl>
      <w:tblPr>
        <w:tblW w:w="9674" w:type="dxa"/>
        <w:jc w:val="left"/>
        <w:tblInd w:w="0" w:type="dxa"/>
        <w:tblLayout w:type="fixed"/>
        <w:tblCellMar>
          <w:top w:w="28" w:type="dxa"/>
          <w:left w:w="28" w:type="dxa"/>
          <w:bottom w:w="28" w:type="dxa"/>
          <w:right w:w="28" w:type="dxa"/>
        </w:tblCellMar>
      </w:tblPr>
      <w:tblGrid>
        <w:gridCol w:w="1472"/>
        <w:gridCol w:w="1291"/>
        <w:gridCol w:w="13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and Term Loan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assets or liabilities measured at fair value on a nonrecurring basis during the years ended December 31, 2023 and 2022.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10.</w:t>
      </w:r>
      <w:r>
        <w:rPr>
          <w:color w:val="000000"/>
        </w:rPr>
        <w:t>    </w:t>
      </w:r>
      <w:r>
        <w:rPr>
          <w:rFonts w:ascii="Times New Roman;sans-serif" w:hAnsi="Times New Roman;sans-serif"/>
          <w:b/>
          <w:color w:val="000000"/>
          <w:sz w:val="20"/>
        </w:rPr>
        <w:t>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 and unamortized debt issuance costs is as follows: </w:t>
      </w:r>
    </w:p>
    <w:tbl>
      <w:tblPr>
        <w:tblW w:w="10205" w:type="dxa"/>
        <w:jc w:val="center"/>
        <w:tblInd w:w="0" w:type="dxa"/>
        <w:tblLayout w:type="fixed"/>
        <w:tblCellMar>
          <w:top w:w="28" w:type="dxa"/>
          <w:left w:w="28" w:type="dxa"/>
          <w:bottom w:w="28" w:type="dxa"/>
          <w:right w:w="28" w:type="dxa"/>
        </w:tblCellMar>
      </w:tblPr>
      <w:tblGrid>
        <w:gridCol w:w="2684"/>
        <w:gridCol w:w="2274"/>
        <w:gridCol w:w="2281"/>
        <w:gridCol w:w="211"/>
        <w:gridCol w:w="976"/>
        <w:gridCol w:w="109"/>
        <w:gridCol w:w="109"/>
        <w:gridCol w:w="109"/>
        <w:gridCol w:w="109"/>
        <w:gridCol w:w="211"/>
        <w:gridCol w:w="976"/>
        <w:gridCol w:w="156"/>
      </w:tblGrid>
      <w:tr>
        <w:trPr/>
        <w:tc>
          <w:tcPr>
            <w:tcW w:w="268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$1,750 million revolver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Credit Facility due September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5.375% senior unsecured notes due November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3.350% senior unsecured notes due September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$850 million 5.250% senior unsecured notes due June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$975 million 5.375% senior unsecured notes due April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5.750% senior unsecured notes due June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$750 million 5.300% senior unsecured notes due January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$800 million 3.250% senior unsecured notes due January 2032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6.750% senior unsecured notes due December 2033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6,175,583 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bond premiums and original issuance discounts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6,128,468 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future minimum repayments of long-term debt as of December 31, 2023 (in thousands): </w:t>
      </w:r>
    </w:p>
    <w:p>
      <w:pPr>
        <w:pStyle w:val="TextBody"/>
        <w:bidi w:val="0"/>
        <w:spacing w:before="0" w:after="0"/>
        <w:ind w:left="0" w:right="0" w:firstLine="720"/>
        <w:jc w:val="left"/>
        <w:rPr/>
      </w:pPr>
      <w:r>
        <w:rPr/>
      </w:r>
    </w:p>
    <w:tbl>
      <w:tblPr>
        <w:tblW w:w="3545" w:type="dxa"/>
        <w:jc w:val="center"/>
        <w:tblInd w:w="0" w:type="dxa"/>
        <w:tblLayout w:type="fixed"/>
        <w:tblCellMar>
          <w:top w:w="28" w:type="dxa"/>
          <w:left w:w="28" w:type="dxa"/>
          <w:bottom w:w="28" w:type="dxa"/>
          <w:right w:w="28" w:type="dxa"/>
        </w:tblCellMar>
      </w:tblPr>
      <w:tblGrid>
        <w:gridCol w:w="798"/>
        <w:gridCol w:w="700"/>
        <w:gridCol w:w="706"/>
        <w:gridCol w:w="211"/>
        <w:gridCol w:w="97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6,675,434 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customary conditions, including pro forma compliance with financial covenants, GLP Capital can obtain additional term loan commitments and incur incremental term loans under the Term Loan Credit Agreement, so long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December 31, 2023 was 6.76%.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was guaranteed by GLPI.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forma compliance with GLP Capital's financial covenants, as well as the receipt by Agent of a conditional guarantee of the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by Bally’s on a secondary basis, subject to enforcement of all remedies against GLP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GLPI and all sources other than Bally’s. Loans under the Bridge Revolving Facility will not be treated pro rata with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existing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no amounts were outstanding under the Amended Credit Agreement. Additionally, at December 31, 2023, the Company was contingently obligated under letters of credit issued pursuant to the Amended Credit Agreement with face amounts aggregating approximately $0.4 million, resulting in $1,749.6 million of available borrowing capacity under the Amended Credit Agreement as of December 31, 2023.</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payable on the loans borrowed under the Revolver are, at GLP Capital's option, equal to either 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December 31, 2023, the Company was in compliance with all required financial covenants under the Amended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At December 31, 2023, the Company had $6,075.0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2023, the Company issued $400 million of 6.75% senior unsecured notes due December 2033 at an issue price equal to 98.196% of the principal amount. The Company plans to use the net proceeds for working capital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corporate purposes, which may include the acquisition, development and improvement of properties, the repayment of indebtedness, capital expenditures and other general business purposes.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 right of payment with all of the Issuers' senior indebtedness, including the Amended Credit Agreement, and senior in right of payment to all of the Issuers' subordinated indebtedness, without giving effect to collateral arrangements.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13, 2023, the Company announced that it called for redemption all of the $500.0 million, 5.375% Senior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due in 2023 (the "Notes"). The Company redeemed all of the Notes on February 12, 2023 (the "Redemption Date") for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$507.5 million which represented 100% of the principal amount of the Notes plus accrued interest through the Redemption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incurring a loss on the early extinguishment of debt of $0.6 million, primarily related to debt issuance write-offs. GLPI</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funded the redemption of the Notes primarily from cash on hand as well as through the settlement of a forward sale agreement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occurred in February 2023 which resulted in the issuance of 1,284,556 shares which raised net proceeds of $64.6 million.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16 for additional discussion.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was in compliance with all required financial covenants under its Senior Notes.</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11.</w:t>
      </w:r>
      <w:r>
        <w:rPr>
          <w:color w:val="000000"/>
        </w:rPr>
        <w:t>    </w:t>
      </w:r>
      <w:r>
        <w:rPr>
          <w:rFonts w:ascii="Times New Roman;sans-serif" w:hAnsi="Times New Roman;sans-serif"/>
          <w:b/>
          <w:color w:val="000000"/>
          <w:sz w:val="20"/>
        </w:rPr>
        <w:t>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Funding commitments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agreed to a funding mechanism to support PENN's pursuit of relocation 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opportunities at several of the properties included in the PENN 2023 Master Lease. GLPI agreed to fund up to $225 million for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relocation of PENN's riverboat casino in Aurora at a 7.75% cap rate and, if requested by PENN, will fund up to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$350 million for the relocation of the Hollywood Casino Joliet, the construction of a hotel at Hollywood Casino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Columbus and the construction of a second hotel tower at the M Resort Spa Casino at then current market rates. The funding commitment expires on January 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for a discussion on the potential future funding commitments the Company may have in connection with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possible future transaction with Bally's and the Athletics at the Tropicana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the Company has also committed to providing up to $150 million (of which $40 million was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funded as of December 31, 2023) of development funding via the Rockford Loan. Any borrowings under the Rockford Loan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 be subject to an interest rate of 10%. The Rockford Loan has a maximum outstanding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of up to 6 years (5-year initial term with a 1-year extension). The Rockford Loan is prepayable without penalty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opening of the Hard Rock Casino in Rockford, IL, which is expected in September 2024. The Rockford Loan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advances are subject to typical construction lending terms and conditions.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Company has agreed and anticipates funding certain construction costs of a landside development project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Casino Queen Marquette for an amount not to exceed $12.5 million.</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Employee Benefit Plans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Prior to January 1, 2023, the Company made a discretionary match contribution of 50% of employees' elective salary deferrals, up to a maximum of 6% of eligible employee compensation. On January 1, 2023, the Company amended its defined contribution plan to be a Nonelective Safe Harbor Plan as defined by the Internal Revenue Code. Commencing January 1, 2023, the Company makes safe harbor nonelective contributions equal to 3% of each participant's compensation and such contributions are fully vested and nonforfeitable at all times. The matching contributions for the defined contribution plan were $0.1 million for the years ended December 31, 2023, and 2022 and $0.3 million for the year ended December 31, 2021.</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each of the years ended December 31, 2023, 2022 and 2021 were $0.5 million. The Company's deferred compensation liability, which was included in other liabilities within the Consolidated Balance Sheets, was $32.9 million and $25.8 million at December 31, 2023 and 2022, respectively. Assets held in the Trust were $31.8 million and $27.4 million at December 31, 2023 and 2022, respectively, and are included in other assets within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Revenues from Real Estate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14 of the Company’s real estate investment properties were leased to a subsidiary of PENN under the Amended PENN Master Lease, 7 of the Company's real estate investment properties were leased to a subsidiary under the PENN 2023 Master Lease, an additional 12 of the Company's real estate investment properties were leased to a subsidiary of PENN under the Amended Pinnacle Master Lease, 5 of the Company's real estate investment properties were leased to a subsidiary of Caesars under the Third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and 4 of the Company's real estate properties were leased to a subsidiary of Casino Queen under the Third Amended and Restated Casino Queen Master Lease. Additionally, the land under PENN's Hollywood Casino Morgantown is subject to the Morgantown Lease. Finally, the Company has single property triple net leases with Caesars under the Horseshoe St. Louis Lease, Boyd under the Belterra Park Lease, Bally's under the Tropicana Lease and Cordish under the Maryland Live! Lease and 815 Entertainment under the Rockford Lease. </w:t>
      </w:r>
    </w:p>
    <w:p>
      <w:pPr>
        <w:pStyle w:val="TextBody"/>
        <w:bidi w:val="0"/>
        <w:spacing w:before="0" w:after="0"/>
        <w:ind w:left="0" w:right="0" w:firstLine="72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Third Amended and Restated Caesars Master Lease, the Third Amended and Restated Casino Queen Master Lease and Bally's Master Lease are jointly and severally guaranteed by the parent company and by the subsidiaries that occupy and operate the leased facilities.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obligations under the Boyd Master Lease, the Maryland Live! Lease, the Pennsylvania Live! Lease and the Rockford Lease are jointly and severally guaranteed by the subsidiaries that occupy and operate the facilities.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Rent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five years to an amount equal to 4% of the average net revenues of all facilities under the Amended PENN Master Lease during the preceding five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the Amended PENN Master Lease, the Amended Pinnacle Master Lease also includes a fixed component, a portion of which is subject to an annual 2% escalator if certain rent coverage ratio thresholds are met and a component that is based on the revenues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and November 13, 2023, amendments became effective to the Amended and Restated Caesars Master Lease and Second Amended and Restated Master Lease, respectively, as described more fully in Note 1. These modifications were each accounted for as a new lease which the Company concluded continued to meet the criteria for operating lease treatment. As a result, the existing deferred revenue at the time of the amendments are being recognized over the Amended and Restated Caesars Master Lease's new initial lease term, which expires in September 2038. The Company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 line basis.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Boyd Master Lease includes a fixed component, a portion of which is subject to an annual 2% escalator if certain rent coverage ratio thresholds are met, and a component that is based on the revenues of the facilities, which is adjusted, every two years to an amount equal to 4% of the average annual net revenues of all facilities under the Boyd Master Lease during the preceding two years in excess of a contractual baseline.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May 2020, the Company acquired the real estate of Belterra Park in satisfaction of the Belterra Park Loan, subject to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thresholds are met and a component that is based on the revenues of the facilities which is adjusted, every two years to an amount equal to 4% of the average annual net revenues of Belterra Park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2020, the Company acquired the real estate of Horseshoe St. Louis in satisfaction of the CZR loan, subject to the Horseshoe St. Louis Lease, the initial term of which expires on October 31, 2033, with 4 separate renewal options of 5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Meadows Lease contained a fixed component, subject to annual escalators, and a component that was based on the revenues of the facility, which was reset every two years to an amount determined by multiplying (i) 4% by (ii) the average annual net revenues of the facility for the trailing two-year period. The Meadows Lease contained an annual escalator provision for up to 5% of the base rent, if certain rent coverage ratio thresholds were met, which remained at 5% until the earlier of ten years or the year in which total rent was $31.0 million, at which point the escalator was to be reduced to 2% annually thereafter. The Meadows Lease was terminated during 2023 and the real estate associated with the property became part of the PENN 2023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Morgantown Lease became effective on October 1, 2020 whereby the Company is leasing the land under PENN's gaming facility under construction for an initial cash rent of $3.0 million, provided, however, that (i) in lease years two and three rent increased by 1.5% annually (and on a prorated basis for the remainder of the lease year in which the gaming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opened)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Rent under the Third Amended and Restated Casino Queen Master Lease increases annually by 0.5% lease years two through six.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was adjusted upon opening to reflect a yield of 8.25% on GLPI's project costs of $77 million. The Company also acquired the land and certain improvements at Casino Queen Marquette for $32.72 million as of September 6, 2023. The annual rent on the Third Amended and Restated Casino Queen Master Lease was increased by $2.7 million for this acquisition. Additionally, the Company anticipates funding certain construction costs for an amount not to exceed $12.5 million, for a landside development project at Casino Queen Marquette that is expected to be completed by December 31, 2024. The rent will be adjusted to reflect a yield of 8.25% for the funded project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Perryville Lease that became effective on July 1, 2021 was subject to escalation provisions beginning in the second lease year through the fourth lease year and increasing by 1.50% during such period and then increasing by 1.25% for the remaining lease term. The escalation provisions beginning in the fifth lease year were subject to the CPI being at least 0.5% for the preceding lease year. The Perryville Lease was terminated during 2023, and the real estate associated with the property became part of the PENN 2023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Bally's Master Lease became effective on June 3, 2021 and rent is subject to contractual escalations based on the CPI, with a 1% floor and 2% ceiling, subject to the CPI meeting a 0.5% threshold. On April 1, 2022 and January 3, 2023, the Company completed acquisitions of the real estate assets of Bally's Biloxi, Bally's Tiverton, Bally's Black Hawk, and Bally's Quad Cities. These properties were added to the existing Bally's Master Lease with annual rent increases subject to the escalation clauses described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2021, the Maryland Live! Lease with Cordish became effective, with annual rent increasing by 1.75% upon the second anniversary of the lease commencement. The Pennsylvania Live! Master Lease with Cordish became effective March 1, 2022 with annual rent also increasing by 1.75% upon the second anniversary of the lease commencement. These leases were accounted for as an Investment in leases, financing receivables. See Note 7 for the further information including the future annual cash payments to be received under these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development project in Rockford, IL. Simultaneously with the land acquisition, GLPI entered into the Rockford Lease which has a 99 year term and the initial annual rent is subject to fixed 2% annual escalation beginning with the lease's first anniversary and for the entirety of its term.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Furthermore, the Company's master leases that contain variable rent provide for a floor on such rent,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the Amended Pinnacle Master Lease on the Bossier City Boomtown property due to PENN's acquisition of Margaritaville Resort Casino.</w:t>
      </w:r>
      <w:r>
        <w:rPr>
          <w:color w:val="000000"/>
        </w:rPr>
        <w:t xml:space="preserve"> </w:t>
      </w:r>
      <w:r>
        <w:rPr>
          <w:rFonts w:ascii="Times New Roman;sans-serif" w:hAnsi="Times New Roman;sans-serif"/>
          <w:b w:val="false"/>
          <w:color w:val="000000"/>
          <w:sz w:val="20"/>
        </w:rPr>
        <w:t>Additionally, a percentage rent floor on the Amended PENN Master Lease was triggered on the Hollywood Casino at Penn National Race Course in connection with PENN opening a facility in York, Pennsylvania, which went into effect at the November 1, 2023 reset.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taxes on the income of the lessor) and (4) all utilities and other services necessary or appropriate for the leased properties and the business conducted on the leased properties.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 terms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ASC 842, the Company is required at lease inception (and if applicable at a lease reassessment date) to determine the term of the lease.</w:t>
      </w:r>
      <w:r>
        <w:rPr>
          <w:color w:val="000000"/>
        </w:rPr>
        <w:t xml:space="preserve"> </w:t>
      </w:r>
      <w:r>
        <w:rPr>
          <w:rFonts w:ascii="Times New Roman;sans-serif" w:hAnsi="Times New Roman;sans-serif"/>
          <w:b w:val="false"/>
          <w:color w:val="000000"/>
          <w:sz w:val="20"/>
        </w:rPr>
        <w:t>This requires concluding whether it is reasonably assured that our tenants will exercise their renewal options contained within the lease.</w:t>
      </w:r>
      <w:r>
        <w:rPr>
          <w:color w:val="000000"/>
        </w:rPr>
        <w:t xml:space="preserve"> </w:t>
      </w:r>
      <w:r>
        <w:rPr>
          <w:rFonts w:ascii="Times New Roman;sans-serif" w:hAnsi="Times New Roman;sans-serif"/>
          <w:b w:val="false"/>
          <w:color w:val="000000"/>
          <w:sz w:val="20"/>
        </w:rPr>
        <w:t>The initial lease term is a key judgment that is utilized in the lease classification test to determine whether the lease is an operating lease, sales type lease or direct financing lease. We currently have not included tenant renewal options in our determination of the initial lease term. We assess whether to include tenant renewal options in our calculation of the lease term based on several factors, including but not limited to, whether our tenants' leases represent substantially all of the tenants' earnings and revenues, the ability of our tenants to sell their leased operations for fair value and whether the initial term of our leases is for a significant period of time. Since the formation of the Company on November 1, 2013, the Company has amended or reassessed seven of its fourteen current leases.</w:t>
      </w:r>
      <w:r>
        <w:rPr>
          <w:color w:val="000000"/>
        </w:rPr>
        <w:t xml:space="preserve"> </w:t>
      </w:r>
      <w:r>
        <w:rPr>
          <w:rFonts w:ascii="Times New Roman;sans-serif" w:hAnsi="Times New Roman;sans-serif"/>
          <w:b w:val="false"/>
          <w:color w:val="000000"/>
          <w:sz w:val="20"/>
        </w:rPr>
        <w:t>All of these reassessments were the result of significant lease amendments and were completed during the initial lease terms and prior to any renewal options.</w:t>
      </w:r>
      <w:r>
        <w:rPr>
          <w:color w:val="000000"/>
        </w:rPr>
        <w:t xml:space="preserve"> </w:t>
      </w:r>
      <w:r>
        <w:rPr>
          <w:rFonts w:ascii="Times New Roman;sans-serif" w:hAnsi="Times New Roman;sans-serif"/>
          <w:b w:val="false"/>
          <w:color w:val="000000"/>
          <w:sz w:val="20"/>
        </w:rPr>
        <w:t>Additionally, Pinnacle sold its operations to PENN for fair value whose underlying real estate for the casino operations were leased from the Company.</w:t>
      </w:r>
      <w:r>
        <w:rPr>
          <w:color w:val="000000"/>
        </w:rPr>
        <w:t xml:space="preserve"> </w:t>
      </w:r>
      <w:r>
        <w:rPr>
          <w:rFonts w:ascii="Times New Roman;sans-serif" w:hAnsi="Times New Roman;sans-serif"/>
          <w:b w:val="false"/>
          <w:color w:val="000000"/>
          <w:sz w:val="20"/>
        </w:rPr>
        <w:t>Described below are our lease term assessments in connection with recent lease reassessment events or at lease inception for certain of the Company's tenant leases.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Amended PENN Master Lease and the PENN 2023 Master Lease became effective January 1, 2023.</w:t>
      </w:r>
      <w:r>
        <w:rPr>
          <w:color w:val="000000"/>
        </w:rPr>
        <w:t xml:space="preserve"> </w:t>
      </w:r>
      <w:r>
        <w:rPr>
          <w:rFonts w:ascii="Times New Roman;sans-serif" w:hAnsi="Times New Roman;sans-serif"/>
          <w:b w:val="false"/>
          <w:color w:val="000000"/>
          <w:sz w:val="20"/>
        </w:rPr>
        <w:t>The Company concluded that the lease term for both of these leases should end at the current lease expiration date of October 31, 2033 and not include any of the three remaining renewal terms of 5 years each due to the factors described above.</w:t>
      </w:r>
      <w:r>
        <w:rPr>
          <w:color w:val="000000"/>
        </w:rPr>
        <w:t xml:space="preserve"> </w:t>
      </w:r>
      <w:r>
        <w:rPr>
          <w:rFonts w:ascii="Times New Roman;sans-serif" w:hAnsi="Times New Roman;sans-serif"/>
          <w:b w:val="false"/>
          <w:color w:val="000000"/>
          <w:sz w:val="20"/>
        </w:rPr>
        <w:t>The Company concluded that each individual lease component within the Amended PENN Master Lease and the PENN 2023 Master Lease meets the definition of an operating lease.</w:t>
      </w:r>
      <w:r>
        <w:rPr>
          <w:color w:val="000000"/>
        </w:rPr>
        <w:t xml:space="preserve"> </w:t>
      </w:r>
      <w:r>
        <w:rPr>
          <w:rFonts w:ascii="Times New Roman;sans-serif" w:hAnsi="Times New Roman;sans-serif"/>
          <w:b w:val="false"/>
          <w:color w:val="000000"/>
          <w:sz w:val="20"/>
        </w:rPr>
        <w:t>The deferred rent and contractual fixed minimum lease payments at January 1, 2023 are being recognized on a straight-line basis over the initial lease term expiration date of October 31, 2033 for both master leases.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during 2022, the Original PENN Master Lease required an accounting reassessment due to a lease amendment resulting in a lease modification for accounting purposes.</w:t>
      </w:r>
      <w:r>
        <w:rPr>
          <w:color w:val="000000"/>
        </w:rPr>
        <w:t xml:space="preserve"> </w:t>
      </w:r>
      <w:r>
        <w:rPr>
          <w:rFonts w:ascii="Times New Roman;sans-serif" w:hAnsi="Times New Roman;sans-serif"/>
          <w:b w:val="false"/>
          <w:color w:val="000000"/>
          <w:sz w:val="20"/>
        </w:rPr>
        <w:t>The Company concluded the lease term should end at the current lease expiration date of October 31, 2033 and not include any of the three remaining renewal terms of 5 years each.</w:t>
      </w:r>
      <w:r>
        <w:rPr>
          <w:color w:val="000000"/>
        </w:rPr>
        <w:t xml:space="preserve"> </w:t>
      </w:r>
      <w:r>
        <w:rPr>
          <w:rFonts w:ascii="Times New Roman;sans-serif" w:hAnsi="Times New Roman;sans-serif"/>
          <w:b w:val="false"/>
          <w:color w:val="000000"/>
          <w:sz w:val="20"/>
        </w:rPr>
        <w:t>This was due to the factors described above, and the fact that PENN has significantly diversified its earnings stream since the inception of the Original PENN Master Lease such that the leased operations in the Original PENN Master Lease no longer represented substantially all of PENN's revenues and earnings.</w:t>
      </w:r>
      <w:r>
        <w:rPr>
          <w:color w:val="000000"/>
        </w:rPr>
        <w:t xml:space="preserve"> </w:t>
      </w:r>
      <w:r>
        <w:rPr>
          <w:rFonts w:ascii="Times New Roman;sans-serif" w:hAnsi="Times New Roman;sans-serif"/>
          <w:b w:val="false"/>
          <w:color w:val="000000"/>
          <w:sz w:val="20"/>
        </w:rPr>
        <w:t>We believe all these factors precluded the Company from concluding all renewal periods were reasonably assured to be exercised in the Original PENN Master Lease. It should be noted that several of these factors were not present in 2013 when this lease began and, therefore, resulted in a change in the determination of the lease term.</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Second Amended and Restated Casino Queen Master Lease became effective December 17, 2021 and required an accounting reassessment due to changes in the rent and lease terms.</w:t>
      </w:r>
      <w:r>
        <w:rPr>
          <w:color w:val="000000"/>
        </w:rPr>
        <w:t xml:space="preserve"> </w:t>
      </w:r>
      <w:r>
        <w:rPr>
          <w:rFonts w:ascii="Times New Roman;sans-serif" w:hAnsi="Times New Roman;sans-serif"/>
          <w:b w:val="false"/>
          <w:color w:val="000000"/>
          <w:sz w:val="20"/>
        </w:rPr>
        <w:t>The Company concluded the lease term is limited to its initial 15 year term.</w:t>
      </w:r>
      <w:r>
        <w:rPr>
          <w:color w:val="000000"/>
        </w:rPr>
        <w:t xml:space="preserve"> </w:t>
      </w:r>
      <w:r>
        <w:rPr>
          <w:rFonts w:ascii="Times New Roman;sans-serif" w:hAnsi="Times New Roman;sans-serif"/>
          <w:b w:val="false"/>
          <w:color w:val="000000"/>
          <w:sz w:val="20"/>
        </w:rPr>
        <w:t>This was due to the factors discussed above as well as due to additional competitive threats that have emerged in the regional markets for the properties in the lease that were not present previously, particularly in the state of Illinois with respect to additional competitive pressures from video gaming terminals that took market share from land-based casinos.</w:t>
      </w:r>
      <w:r>
        <w:rPr>
          <w:color w:val="000000"/>
        </w:rPr>
        <w:t xml:space="preserve"> </w:t>
      </w:r>
      <w:r>
        <w:rPr>
          <w:rFonts w:ascii="Times New Roman;sans-serif" w:hAnsi="Times New Roman;sans-serif"/>
          <w:b w:val="false"/>
          <w:color w:val="000000"/>
          <w:sz w:val="20"/>
        </w:rPr>
        <w:t>It should be noted that several of these factors were not present in 2013 when this lease began and, therefore, resulted in a change in the determination of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the Company's rental income for the year ended December 31, 2023 was as follows (in thousands):</w:t>
      </w:r>
    </w:p>
    <w:tbl>
      <w:tblPr>
        <w:tblW w:w="5819" w:type="dxa"/>
        <w:jc w:val="left"/>
        <w:tblInd w:w="0" w:type="dxa"/>
        <w:tblLayout w:type="fixed"/>
        <w:tblCellMar>
          <w:top w:w="28" w:type="dxa"/>
          <w:left w:w="28" w:type="dxa"/>
          <w:bottom w:w="28" w:type="dxa"/>
          <w:right w:w="28" w:type="dxa"/>
        </w:tblCellMar>
      </w:tblPr>
      <w:tblGrid>
        <w:gridCol w:w="1223"/>
        <w:gridCol w:w="1073"/>
        <w:gridCol w:w="1079"/>
        <w:gridCol w:w="384"/>
        <w:gridCol w:w="1780"/>
        <w:gridCol w:w="280"/>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base rent</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base rent</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rent and other rental revenue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real estate loans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income</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1,343,067 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 rent in revenue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from real estate</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1,440,392 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Building base rent is subject to the annual rent escalators described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future minimum rental income from the Company's rental properties under non-cancelable operating leases, including any reasonably assured renewal periods, was as follows (in thousands):</w:t>
      </w:r>
    </w:p>
    <w:tbl>
      <w:tblPr>
        <w:tblW w:w="10205" w:type="dxa"/>
        <w:jc w:val="left"/>
        <w:tblInd w:w="0" w:type="dxa"/>
        <w:tblLayout w:type="fixed"/>
        <w:tblCellMar>
          <w:top w:w="28" w:type="dxa"/>
          <w:left w:w="28" w:type="dxa"/>
          <w:bottom w:w="28" w:type="dxa"/>
          <w:right w:w="28" w:type="dxa"/>
        </w:tblCellMar>
      </w:tblPr>
      <w:tblGrid>
        <w:gridCol w:w="512"/>
        <w:gridCol w:w="450"/>
        <w:gridCol w:w="452"/>
        <w:gridCol w:w="281"/>
        <w:gridCol w:w="1441"/>
        <w:gridCol w:w="145"/>
        <w:gridCol w:w="109"/>
        <w:gridCol w:w="109"/>
        <w:gridCol w:w="109"/>
        <w:gridCol w:w="294"/>
        <w:gridCol w:w="1154"/>
        <w:gridCol w:w="152"/>
        <w:gridCol w:w="109"/>
        <w:gridCol w:w="109"/>
        <w:gridCol w:w="109"/>
        <w:gridCol w:w="324"/>
        <w:gridCol w:w="1271"/>
        <w:gridCol w:w="167"/>
        <w:gridCol w:w="109"/>
        <w:gridCol w:w="109"/>
        <w:gridCol w:w="109"/>
        <w:gridCol w:w="375"/>
        <w:gridCol w:w="1925"/>
        <w:gridCol w:w="281"/>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Rental Payments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Base Ground Rents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Income to be Recognized Related to Operating Leases</w:t>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1,278,257 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1,194,550 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1,264,889 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1,197,837 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1,163,728 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1,158,866 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5,880,255 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5,971,643 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11,633,701 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284,893 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12,035,220 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8.</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Gaming, Food, Beverage and Other Revenues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sale of operations of the TRS Properties in 2021, gaming revenue generated by the TRS Properties mainly consisted of revenue from slot machines, and to a lesser extent, table game and poker revenue. Gaming revenue was recognized net of certain sales incentives, including promotional allowances in accordance with ASC 606. The Company also deferred a portion of the revenue received from customers (who participated in the points-based loyalty programs) at the time of play until a later period when the points were redeemed or forfeited. Other revenues at our TRS Properties were derived from our dining, retail and certain other ancillary activities. During the year ended December 31, 2021, the Company recognized gaming, food, beverage and other revenue of $109.7 million.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13.    Stock-Based Compensation</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1,934,142 shares available for future issuance under the Amended 2013 Long Term Incentive Compensation Plan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$4.4 million of total unrecognized compensation cost for restricted stock awards that will be recognized over the grants' remaining weighted average vesting period of 1.69 years. For the years ended December 31, 2023, 2022 and 2021, the Company recognized $8.5 million, $7.9 million and $7.2 million, respectively, of compensation expense associated with these awards. The total fair value of awards released during the years ended December 31, 2023, 2022 and 2021, was $11.3 million, $12.0 million and $9.9 million,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restricted stock award activity for the years ended December 31, 2023 and 2022:</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7687" w:type="dxa"/>
        <w:jc w:val="center"/>
        <w:tblInd w:w="0" w:type="dxa"/>
        <w:tblLayout w:type="fixed"/>
        <w:tblCellMar>
          <w:top w:w="28" w:type="dxa"/>
          <w:left w:w="28" w:type="dxa"/>
          <w:bottom w:w="28" w:type="dxa"/>
          <w:right w:w="28" w:type="dxa"/>
        </w:tblCellMar>
      </w:tblPr>
      <w:tblGrid>
        <w:gridCol w:w="1065"/>
        <w:gridCol w:w="935"/>
        <w:gridCol w:w="940"/>
        <w:gridCol w:w="449"/>
        <w:gridCol w:w="451"/>
        <w:gridCol w:w="296"/>
        <w:gridCol w:w="109"/>
        <w:gridCol w:w="109"/>
        <w:gridCol w:w="109"/>
        <w:gridCol w:w="692"/>
        <w:gridCol w:w="2023"/>
        <w:gridCol w:w="5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Award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254,664 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238,013 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(244,426)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Canceled </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247,051 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(220,413)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269,929 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2023, there was $16.2 million of total unrecognized compensation cost for performance-based restricted stock awards, which will be recognized over the awards' remaining weighted average vesting period of 1.69 years.  For the years ended December 31, 2023, 2022 and 2021, the Company recognized $14.4 million, $12.5 million and $9.6 million, respectively, of compensation expense associated with these awards. The total fair value of performance-based stock awards released during the years ended December 31, 2023, 2022, and 2021 was $21.7 million, $18.5 million, and $14.9 million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performance-based restricted stock award activity for the years ended December 31, 2023 and 2022:</w:t>
      </w:r>
    </w:p>
    <w:p>
      <w:pPr>
        <w:pStyle w:val="TextBody"/>
        <w:bidi w:val="0"/>
        <w:spacing w:before="0" w:after="0"/>
        <w:ind w:left="0" w:right="0" w:firstLine="720"/>
        <w:jc w:val="left"/>
        <w:rPr/>
      </w:pPr>
      <w:r>
        <w:rPr/>
      </w:r>
    </w:p>
    <w:p>
      <w:pPr>
        <w:pStyle w:val="TextBody"/>
        <w:bidi w:val="0"/>
        <w:spacing w:lineRule="auto" w:line="288" w:before="0" w:after="0"/>
        <w:jc w:val="center"/>
        <w:rPr>
          <w:color w:val="000000"/>
        </w:rPr>
      </w:pPr>
      <w:r>
        <w:rPr>
          <w:color w:val="000000"/>
        </w:rPr>
        <w:t>        </w:t>
      </w:r>
    </w:p>
    <w:tbl>
      <w:tblPr>
        <w:tblW w:w="9956" w:type="dxa"/>
        <w:jc w:val="center"/>
        <w:tblInd w:w="0" w:type="dxa"/>
        <w:tblLayout w:type="fixed"/>
        <w:tblCellMar>
          <w:top w:w="28" w:type="dxa"/>
          <w:left w:w="28" w:type="dxa"/>
          <w:bottom w:w="28" w:type="dxa"/>
          <w:right w:w="28" w:type="dxa"/>
        </w:tblCellMar>
      </w:tblPr>
      <w:tblGrid>
        <w:gridCol w:w="1065"/>
        <w:gridCol w:w="935"/>
        <w:gridCol w:w="940"/>
        <w:gridCol w:w="1154"/>
        <w:gridCol w:w="1154"/>
        <w:gridCol w:w="1157"/>
        <w:gridCol w:w="109"/>
        <w:gridCol w:w="109"/>
        <w:gridCol w:w="109"/>
        <w:gridCol w:w="692"/>
        <w:gridCol w:w="2023"/>
        <w:gridCol w:w="5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Performance-Based Award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2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1,305,106 </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(380,070)</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Canceled </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(30,816)</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2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1,394,220 </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514,000 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(416,220)</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23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1,492,000 </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TRS effective on the first day of the first taxable year of GLPI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Jobs Act, the corporate tax rate was permanently lowered from the previous maximum rate of 35% to 21%, effective for tax years including or commencing January 1, 2018. As of December 31, 2022, the Company no longer has activity in its TRS nor does it have deferred tax assets. </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charged to operations for years ended December 31, 2023, 2022 and 2021 was as follows:</w:t>
      </w:r>
    </w:p>
    <w:tbl>
      <w:tblPr>
        <w:tblW w:w="6266" w:type="dxa"/>
        <w:jc w:val="left"/>
        <w:tblInd w:w="0" w:type="dxa"/>
        <w:tblLayout w:type="fixed"/>
        <w:tblCellMar>
          <w:top w:w="28" w:type="dxa"/>
          <w:left w:w="28" w:type="dxa"/>
          <w:bottom w:w="28" w:type="dxa"/>
          <w:right w:w="28" w:type="dxa"/>
        </w:tblCellMar>
      </w:tblPr>
      <w:tblGrid>
        <w:gridCol w:w="924"/>
        <w:gridCol w:w="810"/>
        <w:gridCol w:w="815"/>
        <w:gridCol w:w="211"/>
        <w:gridCol w:w="616"/>
        <w:gridCol w:w="109"/>
        <w:gridCol w:w="109"/>
        <w:gridCol w:w="109"/>
        <w:gridCol w:w="109"/>
        <w:gridCol w:w="211"/>
        <w:gridCol w:w="721"/>
        <w:gridCol w:w="109"/>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expense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 expense</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statutory federal income tax rate to the actual effective income tax rate for the years ended December 31, 2023, 2022 and 2021:</w:t>
      </w:r>
    </w:p>
    <w:tbl>
      <w:tblPr>
        <w:tblW w:w="7211" w:type="dxa"/>
        <w:jc w:val="left"/>
        <w:tblInd w:w="0" w:type="dxa"/>
        <w:tblLayout w:type="fixed"/>
        <w:tblCellMar>
          <w:top w:w="28" w:type="dxa"/>
          <w:left w:w="28" w:type="dxa"/>
          <w:bottom w:w="28" w:type="dxa"/>
          <w:right w:w="28" w:type="dxa"/>
        </w:tblCellMar>
      </w:tblPr>
      <w:tblGrid>
        <w:gridCol w:w="1429"/>
        <w:gridCol w:w="1254"/>
        <w:gridCol w:w="1261"/>
        <w:gridCol w:w="291"/>
        <w:gridCol w:w="294"/>
        <w:gridCol w:w="271"/>
        <w:gridCol w:w="109"/>
        <w:gridCol w:w="109"/>
        <w:gridCol w:w="109"/>
        <w:gridCol w:w="291"/>
        <w:gridCol w:w="294"/>
        <w:gridCol w:w="271"/>
        <w:gridCol w:w="109"/>
        <w:gridCol w:w="109"/>
        <w:gridCol w:w="109"/>
        <w:gridCol w:w="291"/>
        <w:gridCol w:w="294"/>
        <w:gridCol w:w="316"/>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pretax income</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income tax rate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TRS tax-free liquidation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conversion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items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tbl>
      <w:tblPr>
        <w:tblW w:w="8191" w:type="dxa"/>
        <w:jc w:val="left"/>
        <w:tblInd w:w="0" w:type="dxa"/>
        <w:tblLayout w:type="fixed"/>
        <w:tblCellMar>
          <w:top w:w="28" w:type="dxa"/>
          <w:left w:w="28" w:type="dxa"/>
          <w:bottom w:w="28" w:type="dxa"/>
          <w:right w:w="28" w:type="dxa"/>
        </w:tblCellMar>
      </w:tblPr>
      <w:tblGrid>
        <w:gridCol w:w="1429"/>
        <w:gridCol w:w="1254"/>
        <w:gridCol w:w="1262"/>
        <w:gridCol w:w="211"/>
        <w:gridCol w:w="826"/>
        <w:gridCol w:w="109"/>
        <w:gridCol w:w="109"/>
        <w:gridCol w:w="109"/>
        <w:gridCol w:w="109"/>
        <w:gridCol w:w="211"/>
        <w:gridCol w:w="826"/>
        <w:gridCol w:w="109"/>
        <w:gridCol w:w="109"/>
        <w:gridCol w:w="109"/>
        <w:gridCol w:w="109"/>
        <w:gridCol w:w="211"/>
        <w:gridCol w:w="826"/>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based upon pretax income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TRS tax-free liquidation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conversion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still subject to federal income tax examinations for its years ended December 31, 2020 and forward.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weighted-average common shares outstanding used in the calculation of basic EPS to the weighted-average common shares outstanding used in the calculation of diluted EPS for the years ended December 31, 2023, 2022 and 2021: </w:t>
      </w:r>
    </w:p>
    <w:tbl>
      <w:tblPr>
        <w:tblW w:w="9254" w:type="dxa"/>
        <w:jc w:val="left"/>
        <w:tblInd w:w="0" w:type="dxa"/>
        <w:tblLayout w:type="fixed"/>
        <w:tblCellMar>
          <w:top w:w="28" w:type="dxa"/>
          <w:left w:w="28" w:type="dxa"/>
          <w:bottom w:w="28" w:type="dxa"/>
          <w:right w:w="28" w:type="dxa"/>
        </w:tblCellMar>
      </w:tblPr>
      <w:tblGrid>
        <w:gridCol w:w="1979"/>
        <w:gridCol w:w="1738"/>
        <w:gridCol w:w="1742"/>
        <w:gridCol w:w="413"/>
        <w:gridCol w:w="413"/>
        <w:gridCol w:w="156"/>
        <w:gridCol w:w="132"/>
        <w:gridCol w:w="132"/>
        <w:gridCol w:w="132"/>
        <w:gridCol w:w="413"/>
        <w:gridCol w:w="413"/>
        <w:gridCol w:w="156"/>
        <w:gridCol w:w="132"/>
        <w:gridCol w:w="132"/>
        <w:gridCol w:w="132"/>
        <w:gridCol w:w="413"/>
        <w:gridCol w:w="413"/>
        <w:gridCol w:w="213"/>
      </w:tblGrid>
      <w:tr>
        <w:trPr/>
        <w:tc>
          <w:tcPr>
            <w:tcW w:w="197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shares:</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performance-based restricted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EPS for the Company’s common stock for the years ended December 31, 2023, 2022 and 2021: </w:t>
      </w:r>
    </w:p>
    <w:tbl>
      <w:tblPr>
        <w:tblW w:w="10205" w:type="dxa"/>
        <w:jc w:val="left"/>
        <w:tblInd w:w="0" w:type="dxa"/>
        <w:tblLayout w:type="fixed"/>
        <w:tblCellMar>
          <w:top w:w="28" w:type="dxa"/>
          <w:left w:w="28" w:type="dxa"/>
          <w:bottom w:w="28" w:type="dxa"/>
          <w:right w:w="28" w:type="dxa"/>
        </w:tblCellMar>
      </w:tblPr>
      <w:tblGrid>
        <w:gridCol w:w="2255"/>
        <w:gridCol w:w="1903"/>
        <w:gridCol w:w="1908"/>
        <w:gridCol w:w="211"/>
        <w:gridCol w:w="826"/>
        <w:gridCol w:w="109"/>
        <w:gridCol w:w="109"/>
        <w:gridCol w:w="109"/>
        <w:gridCol w:w="109"/>
        <w:gridCol w:w="211"/>
        <w:gridCol w:w="826"/>
        <w:gridCol w:w="109"/>
        <w:gridCol w:w="109"/>
        <w:gridCol w:w="109"/>
        <w:gridCol w:w="109"/>
        <w:gridCol w:w="211"/>
        <w:gridCol w:w="826"/>
        <w:gridCol w:w="156"/>
      </w:tblGrid>
      <w:tr>
        <w:trPr/>
        <w:tc>
          <w:tcPr>
            <w:tcW w:w="225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basic EPS: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earnings per share purposes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diluted EPS: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Antidilutive securities excluded from the computation of diluted earnings per share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During the year ended December 31, 2023, the Company sold 8.5 million shares of its common stock under the 2022 ATM Program which raised net proceeds of $404.7 million. As of December 31, 2023, the Company had $593.6 million remaining for issuance under the 2022 ATM Program.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2019, the Company commenced a continuous equity offering under which the Company may sell up to an aggregate of $600 million of its common stock from time to time through a sales agent in "at the market" offerings (the "2019 ATM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a forward sale agreement under the Company's 2019 ATM program that was settled in February 2023 which resulted in the issuance of 1,284,556 common shares and net proceeds of $64.6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GLPI sold 5,206,499 of its common stock at an average price of $50.32 per share under the 2019 ATM Program, which generated net proceeds of approximately $260.8 million. In November 2022, the Company exhausted the capacity under its 2019 ATM Program..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2022, the Company issued 7,935,000 shares of its common stock, generating net proceeds of approximately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$350.8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the Company issued 8.9 million shares at $44.24 per share of common stock to partially finance the funding required for the Cordish transactions. See Note 6 for further details.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partial consideration for the closing of the real property assets under the Bally's Master Lease that occurred on January 3, 2023, the Company's operating partnership issued 286,643 newly-issued OP Units to affiliates of Bally's which were valued at $14.9 million. In the prior year, as partial consideration for the closing of the real property assets under the Pennsylvania Live! Master Lease that occurred on March 1, 2022, the Company's operating partnership issued 3,017,909 newly-issued OP Units to affiliates of Cordish which were valued at $137.0 million. The OP Units are exchangeable for common shares of the Company on a one-for-one basis, subject to certain terms and conditions. As of December 31, 2023, the Company holds a 97.3%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$24.1 million and $20.7 million in distributions to the non-controlling interest holders concurrently with the dividends paid to the Company's common shareholders, during the year ended December 31, 2023 and December 31, 2022,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regular dividends declared and paid by the Company during the years ended December 31, 2023, 2022 and 2021:</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31"/>
        <w:gridCol w:w="379"/>
        <w:gridCol w:w="381"/>
        <w:gridCol w:w="109"/>
        <w:gridCol w:w="109"/>
        <w:gridCol w:w="109"/>
        <w:gridCol w:w="465"/>
        <w:gridCol w:w="465"/>
        <w:gridCol w:w="467"/>
        <w:gridCol w:w="109"/>
        <w:gridCol w:w="109"/>
        <w:gridCol w:w="109"/>
        <w:gridCol w:w="333"/>
        <w:gridCol w:w="333"/>
        <w:gridCol w:w="334"/>
        <w:gridCol w:w="109"/>
        <w:gridCol w:w="109"/>
        <w:gridCol w:w="109"/>
        <w:gridCol w:w="271"/>
        <w:gridCol w:w="716"/>
        <w:gridCol w:w="140"/>
        <w:gridCol w:w="109"/>
        <w:gridCol w:w="109"/>
        <w:gridCol w:w="109"/>
        <w:gridCol w:w="350"/>
        <w:gridCol w:w="350"/>
        <w:gridCol w:w="351"/>
        <w:gridCol w:w="109"/>
        <w:gridCol w:w="109"/>
        <w:gridCol w:w="109"/>
        <w:gridCol w:w="405"/>
        <w:gridCol w:w="405"/>
        <w:gridCol w:w="406"/>
        <w:gridCol w:w="109"/>
        <w:gridCol w:w="109"/>
        <w:gridCol w:w="109"/>
        <w:gridCol w:w="240"/>
        <w:gridCol w:w="838"/>
        <w:gridCol w:w="183"/>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Amount</w:t>
            </w:r>
          </w:p>
        </w:tc>
      </w:tr>
      <w:tr>
        <w:trPr/>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 xml:space="preserve">March 24, 2023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25,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24,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23,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23,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Quarter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25,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Quarter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29,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9,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 Quarter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 Quarter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 xml:space="preserve">January 7, 2022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On February 22, 2023, the Company declared a first quarter dividend of $0.72 per share in addition to a special earnings and profit dividend related to the sale of the Tropicana Las Vegas building of $0.25 per share on the Company's common stock.</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On December 17, 2021, the Company declared a special earnings and profits dividend related to the sale of the operations at Hollywood Casino Perryville and Hollywood Casino Baton Rouge of $0.24 per share on the Company's common stock. The dividend was accrued in 2021 and paid on January 7, 2022. In addition, dividend payments of $61 thousand were made to GLPI restricted stock award holders.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the years ended December 31, 2023, 2022 and 2021, dividend payments were made to GLPI restricted stock award holders in the amount of, $0.9 million, $0.8 million and $0.7 million, respectively.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taxable common stock distributions for the years ended December 31, 2023, 2022 and 2021 is as follows (unaudited):</w:t>
      </w:r>
    </w:p>
    <w:p>
      <w:pPr>
        <w:pStyle w:val="TextBody"/>
        <w:bidi w:val="0"/>
        <w:spacing w:before="0" w:after="0"/>
        <w:ind w:left="0" w:right="0" w:firstLine="720"/>
        <w:jc w:val="left"/>
        <w:rPr/>
      </w:pPr>
      <w:r>
        <w:rPr/>
      </w:r>
    </w:p>
    <w:tbl>
      <w:tblPr>
        <w:tblW w:w="8373" w:type="dxa"/>
        <w:jc w:val="center"/>
        <w:tblInd w:w="0" w:type="dxa"/>
        <w:tblLayout w:type="fixed"/>
        <w:tblCellMar>
          <w:top w:w="28" w:type="dxa"/>
          <w:left w:w="28" w:type="dxa"/>
          <w:bottom w:w="28" w:type="dxa"/>
          <w:right w:w="28" w:type="dxa"/>
        </w:tblCellMar>
      </w:tblPr>
      <w:tblGrid>
        <w:gridCol w:w="1587"/>
        <w:gridCol w:w="1391"/>
        <w:gridCol w:w="1402"/>
        <w:gridCol w:w="211"/>
        <w:gridCol w:w="511"/>
        <w:gridCol w:w="271"/>
        <w:gridCol w:w="109"/>
        <w:gridCol w:w="109"/>
        <w:gridCol w:w="109"/>
        <w:gridCol w:w="211"/>
        <w:gridCol w:w="511"/>
        <w:gridCol w:w="271"/>
        <w:gridCol w:w="109"/>
        <w:gridCol w:w="109"/>
        <w:gridCol w:w="109"/>
        <w:gridCol w:w="211"/>
        <w:gridCol w:w="826"/>
        <w:gridCol w:w="316"/>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dollars per share)</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dividends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dividends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0.01199 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return of capital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0.03215 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distributions per common share </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classified as qualified dividends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Percentage classified as non-qualified dividends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classified as capital gains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Percentage classified as non-taxable return of capital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A portion of the $0.24 dividend declared on December 27, 2021 and paid on January 7, 2022 is treated as a 2022 distribution and a portion is treated as a 2021 distribution for federal income tax purposes.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8"/>
        </w:rPr>
        <w:t>17.    </w:t>
      </w:r>
      <w:r>
        <w:rPr>
          <w:rFonts w:ascii="Times New Roman;sans-serif" w:hAnsi="Times New Roman;sans-serif"/>
          <w:b/>
          <w:color w:val="000000"/>
          <w:sz w:val="20"/>
        </w:rPr>
        <w:t>Supplemental Disclosures of Cash Flow Information and Noncash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are as follows:</w:t>
      </w:r>
    </w:p>
    <w:p>
      <w:pPr>
        <w:pStyle w:val="TextBody"/>
        <w:bidi w:val="0"/>
        <w:spacing w:before="0" w:after="0"/>
        <w:ind w:left="0" w:right="0" w:firstLine="720"/>
        <w:jc w:val="left"/>
        <w:rPr/>
      </w:pPr>
      <w:r>
        <w:rPr/>
      </w:r>
    </w:p>
    <w:tbl>
      <w:tblPr>
        <w:tblW w:w="7962" w:type="dxa"/>
        <w:jc w:val="center"/>
        <w:tblInd w:w="0" w:type="dxa"/>
        <w:tblLayout w:type="fixed"/>
        <w:tblCellMar>
          <w:top w:w="28" w:type="dxa"/>
          <w:left w:w="28" w:type="dxa"/>
          <w:bottom w:w="28" w:type="dxa"/>
          <w:right w:w="28" w:type="dxa"/>
        </w:tblCellMar>
      </w:tblPr>
      <w:tblGrid>
        <w:gridCol w:w="1535"/>
        <w:gridCol w:w="1353"/>
        <w:gridCol w:w="1357"/>
        <w:gridCol w:w="211"/>
        <w:gridCol w:w="616"/>
        <w:gridCol w:w="109"/>
        <w:gridCol w:w="109"/>
        <w:gridCol w:w="109"/>
        <w:gridCol w:w="109"/>
        <w:gridCol w:w="211"/>
        <w:gridCol w:w="721"/>
        <w:gridCol w:w="109"/>
        <w:gridCol w:w="109"/>
        <w:gridCol w:w="109"/>
        <w:gridCol w:w="109"/>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as part of the consideration for the land and real estate assets of Bally's Biloxi and Bally's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Tiverton, the Company issued 286,643 OP Units to affiliates of Bally's that were valued at $14.9 million for accounting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purposes at closing. The Company also recognized a right of use asset and liability of $37.1 million on a ground lease which was subsequently remeasured due to a renegotiation and reduced the right of use asset and lease liability to $18.4 million for the year ended December 31, 2023. On March 1, 2022, as part of the consideration for the real estate assets acquired pursuant to the Pennsylvania Live! Master Lease, the Company issued 3,017,909 OP Units that were valued at $137.0 million and assumed debt of $422.9 million that was repaid after closing with the offsetting increase to Investment in leases, financing receivables,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29, 2021, as part of the consideration for the real estate assets of Live! Casino &amp; Hotel Maryland, the Company issued 4.35 million OP Units that were valued at $205.1 million and assumed debt of $363.3 million that was repaid after closing. The Company also recorded a $53.3 million increase to lease liabilities for a right of use liability associated with a land lease with an increase to Investment in leases, financing receivables in connection with the transaction. In connection with the June 3, 2021 transaction with Bally's the Company recorded a $36.4 million increase to right of use assets and land rights, net and lease liabilities for a right of use liability associated with a land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during the year ended December 31, 2021, the Company sold the operations of Hollywood Casino Perryville and Hollywood Casino Baton Rouge and leased the underlying real estate to third party operators. This resulted in the reclassification of $67.1 million of net assets from property, plant and equipment used in operations to real estate investments, net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discussed, the Company declared a dividend on December 27, 2021, totaling $59.3 million, that was paid on January 7, 2022 and that was accrued at December 31, 2021. Finally, see Note 16 for a description of the stock dividend that was distributed in 2020. The Company did not engage in any other noncash investing and financing activities during the years ended December 31, 2023, 2022 and 2021.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18.</w:t>
      </w:r>
      <w:r>
        <w:rPr>
          <w:color w:val="000000"/>
        </w:rPr>
        <w:t>    </w:t>
      </w:r>
      <w:r>
        <w:rPr>
          <w:rFonts w:ascii="Times New Roman;sans-serif" w:hAnsi="Times New Roman;sans-serif"/>
          <w:b/>
          <w:color w:val="000000"/>
          <w:sz w:val="20"/>
        </w:rPr>
        <w:t>Subsequent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announced it had acquired the real estate assets of Tioga Downs Casino Resort ("Tioga Downs") in Nichols, NY from American Racing &amp; Entertainment, LLC ("American Racing") for $175.0 million. Simultaneous with the acquisition, GLPI and American Racing entered into a triple-net master lease agreement for an initial 30 year term. The initial annual rent is $14.5 million and is subject to annual fixed escalations of 1.75% beginning with the first anniversary which increases to 2% beginning in year fifteen of the lease through the remainder of its term. The initial annualized rent coverage ratio for the lease is expected to be over 2.3x.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Tioga Downs features a 32,600 square foot gaming floor with 895 slots and 29 table games, a 2,500 square foot FanDuel sports book, a 160 room hotel, 5/8-mile harness horse track, 7 food and beverage locations, and a separate 18-hole championship golf course. The property underwent a $130 million expansion beginning in 2016 after it was awarded a Class III casino license by the State of New York. </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REAL ESTATE ASSETS AND ACCUMULATED DEPRECIATION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left"/>
        <w:rPr/>
      </w:pPr>
      <w:r>
        <w:rPr/>
      </w:r>
    </w:p>
    <w:tbl>
      <w:tblPr>
        <w:tblW w:w="15970" w:type="dxa"/>
        <w:jc w:val="center"/>
        <w:tblInd w:w="0" w:type="dxa"/>
        <w:tblLayout w:type="fixed"/>
        <w:tblCellMar>
          <w:top w:w="28" w:type="dxa"/>
          <w:left w:w="28" w:type="dxa"/>
          <w:bottom w:w="28" w:type="dxa"/>
          <w:right w:w="28" w:type="dxa"/>
        </w:tblCellMar>
      </w:tblPr>
      <w:tblGrid>
        <w:gridCol w:w="399"/>
        <w:gridCol w:w="258"/>
        <w:gridCol w:w="259"/>
        <w:gridCol w:w="109"/>
        <w:gridCol w:w="109"/>
        <w:gridCol w:w="109"/>
        <w:gridCol w:w="309"/>
        <w:gridCol w:w="309"/>
        <w:gridCol w:w="313"/>
        <w:gridCol w:w="109"/>
        <w:gridCol w:w="109"/>
        <w:gridCol w:w="109"/>
        <w:gridCol w:w="253"/>
        <w:gridCol w:w="569"/>
        <w:gridCol w:w="154"/>
        <w:gridCol w:w="109"/>
        <w:gridCol w:w="109"/>
        <w:gridCol w:w="109"/>
        <w:gridCol w:w="209"/>
        <w:gridCol w:w="625"/>
        <w:gridCol w:w="127"/>
        <w:gridCol w:w="109"/>
        <w:gridCol w:w="109"/>
        <w:gridCol w:w="109"/>
        <w:gridCol w:w="191"/>
        <w:gridCol w:w="653"/>
        <w:gridCol w:w="117"/>
        <w:gridCol w:w="109"/>
        <w:gridCol w:w="109"/>
        <w:gridCol w:w="109"/>
        <w:gridCol w:w="109"/>
        <w:gridCol w:w="109"/>
        <w:gridCol w:w="275"/>
        <w:gridCol w:w="458"/>
        <w:gridCol w:w="168"/>
        <w:gridCol w:w="109"/>
        <w:gridCol w:w="109"/>
        <w:gridCol w:w="109"/>
        <w:gridCol w:w="209"/>
        <w:gridCol w:w="625"/>
        <w:gridCol w:w="127"/>
        <w:gridCol w:w="109"/>
        <w:gridCol w:w="109"/>
        <w:gridCol w:w="109"/>
        <w:gridCol w:w="191"/>
        <w:gridCol w:w="653"/>
        <w:gridCol w:w="117"/>
        <w:gridCol w:w="109"/>
        <w:gridCol w:w="109"/>
        <w:gridCol w:w="109"/>
        <w:gridCol w:w="181"/>
        <w:gridCol w:w="616"/>
        <w:gridCol w:w="109"/>
        <w:gridCol w:w="109"/>
        <w:gridCol w:w="109"/>
        <w:gridCol w:w="109"/>
        <w:gridCol w:w="181"/>
        <w:gridCol w:w="616"/>
        <w:gridCol w:w="109"/>
        <w:gridCol w:w="109"/>
        <w:gridCol w:w="109"/>
        <w:gridCol w:w="109"/>
        <w:gridCol w:w="295"/>
        <w:gridCol w:w="591"/>
        <w:gridCol w:w="327"/>
        <w:gridCol w:w="646"/>
        <w:gridCol w:w="327"/>
        <w:gridCol w:w="916"/>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Net Capitalized Costs (Retirements) Subsequent to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Gross Amount at which Carried at 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Life on</w:t>
              <w:br/>
              <w:t>which</w:t>
              <w:br/>
              <w:t>Depreciation</w:t>
              <w:br/>
              <w:t>in Latest</w:t>
              <w:br/>
              <w:t>Income</w:t>
              <w:br/>
              <w:t>Statement is</w:t>
              <w:br/>
              <w:t>Computed</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Original</w:t>
              <w:br/>
              <w:t>Date of</w:t>
              <w:br/>
              <w:t>Construction /</w:t>
              <w:br/>
              <w:t>Renovation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Encumbrances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Land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Buildings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Land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Buildings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3"/>
              </w:rPr>
              <w:t xml:space="preserve">Total </w:t>
            </w:r>
            <w:r>
              <w:rPr>
                <w:rFonts w:ascii="Times New Roman;sans-serif" w:hAnsi="Times New Roman;sans-serif"/>
                <w:b/>
                <w:color w:val="000000"/>
                <w:sz w:val="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w:t>
              <w:b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3"/>
              </w:rPr>
              <w:t>Date Acquire</w:t>
            </w:r>
            <w:r>
              <w:rPr>
                <w:rFonts w:ascii="Times New Roman;sans-serif" w:hAnsi="Times New Roman;sans-serif"/>
                <w:b w:val="false"/>
                <w:color w:val="000000"/>
                <w:sz w:val="13"/>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3"/>
              </w:rPr>
            </w:pPr>
            <w:r>
              <w:rPr>
                <w:rFonts w:ascii="Times New Roman;sans-serif" w:hAnsi="Times New Roman;sans-serif"/>
                <w:b/>
                <w:i/>
                <w:color w:val="000000"/>
                <w:sz w:val="13"/>
              </w:rPr>
              <w:t>Rental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Lawrenceburg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Lawrenceburg, IN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15,251 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342,393 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15,221 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342,393 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1997/2009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Hollywood Casino Aurora </w:t>
            </w:r>
            <w:r>
              <w:rPr>
                <w:rFonts w:ascii="Times New Roman;sans-serif" w:hAnsi="Times New Roman;sans-serif"/>
                <w:b w:val="false"/>
                <w:color w:val="000000"/>
                <w:sz w:val="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Aurora, IL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4,937 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98,378 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97,996 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1993/2002/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Hollywood Casino Joliet </w:t>
            </w:r>
            <w:r>
              <w:rPr>
                <w:rFonts w:ascii="Times New Roman;sans-serif" w:hAnsi="Times New Roman;sans-serif"/>
                <w:b w:val="false"/>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Joliet, IL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19,214 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101,104 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7,610 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26,824 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101,104 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1992/2003/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Argosy Casino Alton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Alton, IL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1991/1999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Toledo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Toledo, OH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12,003 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144,093 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11,802 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144,093 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Columbus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Columbus, OH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188,543 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38,266 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188,622 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at Charles Town Races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Charles Town, WV</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35,102 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233,069 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35,102 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233,069 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at Penn National Race 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Grantville, PA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161,810 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161,810 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2008/2010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Henderson,  NV</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126,689 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(436)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65,668 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126,689 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2009/2012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Bangor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Bangor, 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84,257 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84,257 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2008/2012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Zia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Hobbs, NM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38,947 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38,947 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Bay St. Louis, MS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59,388 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87,352 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59,176 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87,335 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1992/2006/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Argosy Casino Riverside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Riverside, MO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23,468 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143,301 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143,301 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37</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Tunica, MS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Boomtown Biloxi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Biloxi, MS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63,083 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63,083 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Maryland Heights, MO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44,198 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177,063 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40,959 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177,063 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1997/2013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Hollywood Casino at Dayton Raceway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Dayton, OH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86,288 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86,288 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at Mahoning Valley Race Track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Youngstown, OH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94,314 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94,164 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Resorts Casino Tunica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Tunica,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(12,860)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1994/1996/ 2005/2014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5/1/2017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N/A</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3"/>
              </w:rPr>
              <w:t>1</w:t>
            </w:r>
            <w:r>
              <w:rPr>
                <w:rFonts w:ascii="Times New Roman;sans-serif" w:hAnsi="Times New Roman;sans-serif"/>
                <w:b w:val="false"/>
                <w:color w:val="000000"/>
                <w:sz w:val="8"/>
              </w:rPr>
              <w:t>st</w:t>
            </w:r>
            <w:r>
              <w:rPr>
                <w:color w:val="000000"/>
              </w:rPr>
              <w:t xml:space="preserve"> </w:t>
            </w:r>
            <w:r>
              <w:rPr>
                <w:rFonts w:ascii="Times New Roman;sans-serif" w:hAnsi="Times New Roman;sans-serif"/>
                <w:b w:val="false"/>
                <w:color w:val="000000"/>
                <w:sz w:val="13"/>
              </w:rPr>
              <w:t xml:space="preserve">Jackpot Casino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Tunica,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5/1/2017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Ameristar Black Hawk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Black Hawk,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243,092 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334,024 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243,117 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334,024 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Ameristar East Chicago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East Chicago,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123,430 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123,430 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Belterra Casino Resort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Florence,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63,420 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172,876 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63,420 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172,876 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Ameristar Council Bluffs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Council Bluffs,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84,009 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109,027 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84,009 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109,027 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L'Auberge Baton Rouge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Baton Rouge,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205,274 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178,426 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205,274 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178,426 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Boomtown Bossier City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79,022 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107,067 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79,022 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107,067 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L'Auberge Lake Charles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Lake Charles,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14,831 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310,877 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14,739 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310,877 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096" w:type="dxa"/>
        <w:jc w:val="center"/>
        <w:tblInd w:w="0" w:type="dxa"/>
        <w:tblLayout w:type="fixed"/>
        <w:tblCellMar>
          <w:top w:w="28" w:type="dxa"/>
          <w:left w:w="28" w:type="dxa"/>
          <w:bottom w:w="28" w:type="dxa"/>
          <w:right w:w="28" w:type="dxa"/>
        </w:tblCellMar>
      </w:tblPr>
      <w:tblGrid>
        <w:gridCol w:w="707"/>
        <w:gridCol w:w="239"/>
        <w:gridCol w:w="240"/>
        <w:gridCol w:w="109"/>
        <w:gridCol w:w="109"/>
        <w:gridCol w:w="109"/>
        <w:gridCol w:w="359"/>
        <w:gridCol w:w="256"/>
        <w:gridCol w:w="256"/>
        <w:gridCol w:w="109"/>
        <w:gridCol w:w="109"/>
        <w:gridCol w:w="109"/>
        <w:gridCol w:w="181"/>
        <w:gridCol w:w="406"/>
        <w:gridCol w:w="109"/>
        <w:gridCol w:w="109"/>
        <w:gridCol w:w="109"/>
        <w:gridCol w:w="109"/>
        <w:gridCol w:w="181"/>
        <w:gridCol w:w="721"/>
        <w:gridCol w:w="109"/>
        <w:gridCol w:w="109"/>
        <w:gridCol w:w="109"/>
        <w:gridCol w:w="109"/>
        <w:gridCol w:w="181"/>
        <w:gridCol w:w="721"/>
        <w:gridCol w:w="109"/>
        <w:gridCol w:w="109"/>
        <w:gridCol w:w="109"/>
        <w:gridCol w:w="109"/>
        <w:gridCol w:w="109"/>
        <w:gridCol w:w="109"/>
        <w:gridCol w:w="181"/>
        <w:gridCol w:w="541"/>
        <w:gridCol w:w="109"/>
        <w:gridCol w:w="109"/>
        <w:gridCol w:w="109"/>
        <w:gridCol w:w="109"/>
        <w:gridCol w:w="181"/>
        <w:gridCol w:w="721"/>
        <w:gridCol w:w="109"/>
        <w:gridCol w:w="109"/>
        <w:gridCol w:w="109"/>
        <w:gridCol w:w="109"/>
        <w:gridCol w:w="181"/>
        <w:gridCol w:w="721"/>
        <w:gridCol w:w="109"/>
        <w:gridCol w:w="109"/>
        <w:gridCol w:w="109"/>
        <w:gridCol w:w="109"/>
        <w:gridCol w:w="181"/>
        <w:gridCol w:w="796"/>
        <w:gridCol w:w="109"/>
        <w:gridCol w:w="109"/>
        <w:gridCol w:w="109"/>
        <w:gridCol w:w="109"/>
        <w:gridCol w:w="181"/>
        <w:gridCol w:w="721"/>
        <w:gridCol w:w="109"/>
        <w:gridCol w:w="109"/>
        <w:gridCol w:w="109"/>
        <w:gridCol w:w="109"/>
        <w:gridCol w:w="149"/>
        <w:gridCol w:w="302"/>
        <w:gridCol w:w="327"/>
        <w:gridCol w:w="406"/>
        <w:gridCol w:w="327"/>
        <w:gridCol w:w="372"/>
      </w:tblGrid>
      <w:tr>
        <w:trPr/>
        <w:tc>
          <w:tcPr>
            <w:tcW w:w="7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Boomtown New Orleans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Boomtown,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Ameristar Vicksburg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Vicksburg,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River City Casino &amp; Hotel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Ameristar Kansas City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Kansas City,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510,709 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Ameristar St. Charles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 Charles,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375,597 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375,596 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813,504 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Jackpot Properties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Jackpot,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110,334 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Plainridge Park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Plainridge,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10/15/2018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3"/>
              </w:rPr>
              <w:t xml:space="preserve">Belterra Park Gaming and Entertainment Center </w:t>
            </w:r>
            <w:r>
              <w:rPr>
                <w:rFonts w:ascii="Times New Roman;sans-serif" w:hAnsi="Times New Roman;sans-serif"/>
                <w:b w:val="false"/>
                <w:color w:val="000000"/>
                <w:sz w:val="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Cincinnati,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5/6/2020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The Meadows Racetrack and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Washington,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9/9/2016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DraftKings at Casino Queen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East St. Louis,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1/23/2014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Atlantic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392,923 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392,923 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559,897 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Tropicana Evansville </w:t>
            </w:r>
            <w:r>
              <w:rPr>
                <w:rFonts w:ascii="Times New Roman;sans-serif" w:hAnsi="Times New Roman;sans-serif"/>
                <w:b w:val="false"/>
                <w:color w:val="000000"/>
                <w:sz w:val="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Evansville,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(194,369)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N/A</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Tropicana Evansville-Bally's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Evansville,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6/3/2021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Tropicana Laughlin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Laughlin,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Trop Casino Greenville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Greenville,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Belle of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Baton Rouge,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Isle Casino Waterloo </w:t>
            </w:r>
            <w:r>
              <w:rPr>
                <w:rFonts w:ascii="Times New Roman;sans-serif" w:hAnsi="Times New Roman;sans-serif"/>
                <w:b w:val="false"/>
                <w:color w:val="000000"/>
                <w:sz w:val="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Waterloo,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12/18/2020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Isle Casino Bettendorf </w:t>
            </w:r>
            <w:r>
              <w:rPr>
                <w:rFonts w:ascii="Times New Roman;sans-serif" w:hAnsi="Times New Roman;sans-serif"/>
                <w:b w:val="false"/>
                <w:color w:val="000000"/>
                <w:sz w:val="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Bettendorf,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12/18/2020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Horseshoe St. Louis </w:t>
            </w:r>
            <w:r>
              <w:rPr>
                <w:rFonts w:ascii="Times New Roman;sans-serif" w:hAnsi="Times New Roman;sans-serif"/>
                <w:b w:val="false"/>
                <w:color w:val="000000"/>
                <w:sz w:val="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Hollywood Casino Morgantown </w:t>
            </w:r>
            <w:r>
              <w:rPr>
                <w:rFonts w:ascii="Times New Roman;sans-serif" w:hAnsi="Times New Roman;sans-serif"/>
                <w:b w:val="false"/>
                <w:color w:val="000000"/>
                <w:sz w:val="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Morgantown,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10/1/2020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N/A</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Hollywood Casino Perryville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Perryville,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07/1/2021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Bally's Dover Casino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Dover, 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06/3/2021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Casino Queen Baton Rouge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Baton Rouge,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12/17/2021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Tropicana Las Vegas </w:t>
            </w:r>
            <w:r>
              <w:rPr>
                <w:rFonts w:ascii="Times New Roman;sans-serif" w:hAnsi="Times New Roman;sans-serif"/>
                <w:b w:val="false"/>
                <w:color w:val="000000"/>
                <w:sz w:val="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04/16/2020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N/A</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Bally's Black Hawk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Black Hawk,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04/01/2022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27</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Bally's Quad Cities Casino &amp; Hotel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Rock Island,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04/01/2022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Hard Rock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01/03/2023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Bally's Tiverton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Tiverton,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Casino Queen Marquette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Marquette,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09/06/2023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3,595,196 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6,677,441 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3,559,101 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6,778,856 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10,337,957 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2,176,257 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3"/>
              </w:rPr>
            </w:pPr>
            <w:r>
              <w:rPr>
                <w:rFonts w:ascii="Times New Roman;sans-serif" w:hAnsi="Times New Roman;sans-serif"/>
                <w:b/>
                <w:i/>
                <w:color w:val="000000"/>
                <w:sz w:val="13"/>
              </w:rPr>
              <w:t>Headquarters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GLPI Corporate Office </w:t>
            </w:r>
            <w:r>
              <w:rPr>
                <w:rFonts w:ascii="Times New Roman;sans-serif" w:hAnsi="Times New Roman;sans-serif"/>
                <w:b w:val="false"/>
                <w:color w:val="000000"/>
                <w:sz w:val="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Wyomissing,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2014/2015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9/19/2014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3"/>
              </w:rPr>
            </w:pPr>
            <w:r>
              <w:rPr>
                <w:rFonts w:ascii="Times New Roman;sans-serif" w:hAnsi="Times New Roman;sans-serif"/>
                <w:b/>
                <w:i/>
                <w:color w:val="000000"/>
                <w:sz w:val="13"/>
              </w:rPr>
              <w:t>Other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Other owned land </w:t>
            </w:r>
            <w:r>
              <w:rPr>
                <w:rFonts w:ascii="Times New Roman;sans-serif" w:hAnsi="Times New Roman;sans-serif"/>
                <w:b w:val="false"/>
                <w:color w:val="000000"/>
                <w:sz w:val="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3,602,744 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6,685,906 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3,559,851 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6,787,464 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10,347,315 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2,178,523 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In connection with the funding agreement with PENN, new facilities are being developed for the relocation of PENN's riverboat casino in Aurora and PENN is also in the process of relocating its Hollywood Casino Joliet operations. The Company accelerated the lives of its depreciable assets at the two existing locations to coincide with the expected opening dates of the new facilities.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3"/>
        </w:rPr>
        <w:t>(2)     </w:t>
      </w:r>
      <w:r>
        <w:rPr>
          <w:rFonts w:ascii="Times New Roman;sans-serif" w:hAnsi="Times New Roman;sans-serif"/>
          <w:b w:val="false"/>
          <w:color w:val="000000"/>
          <w:sz w:val="20"/>
        </w:rPr>
        <w:t xml:space="preserve">During 2020, the Company acquired the real estate of both of these properties in satisfaction of previously outstanding loans, subject to the Belterra Park Lease and the Horseshoe St. Louis Lease,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On December 18, 2020, Caesar's elected to replace Tropicana Evansville with Isle Casino Bettendorf and Isle Casino Waterloo as allowed under the Third Amended and Restated Caesars Master Lease.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 xml:space="preserve">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pursuant to the Morgantown Lease for an initial annual rent of $3.0 million, subject to escalation provisions following the opening of the property.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(5)    </w:t>
      </w:r>
      <w:r>
        <w:rPr>
          <w:rFonts w:ascii="Times New Roman;sans-serif" w:hAnsi="Times New Roman;sans-serif"/>
          <w:b w:val="false"/>
          <w:color w:val="000000"/>
          <w:sz w:val="20"/>
        </w:rPr>
        <w:t>The Company's corporate headquarters building was completed in October 2015. The land was purchased on September 19, 2014 and construction on the building occurred through October 2015.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(6)    </w:t>
      </w:r>
      <w:r>
        <w:rPr>
          <w:rFonts w:ascii="Times New Roman;sans-serif" w:hAnsi="Times New Roman;sans-serif"/>
          <w:b w:val="false"/>
          <w:color w:val="000000"/>
          <w:sz w:val="20"/>
        </w:rPr>
        <w:t>This includes undeveloped land the Company owns at locations other than its tenant occupied properties. The undeveloped land was sold on August 9,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(7)    </w:t>
      </w:r>
      <w:r>
        <w:rPr>
          <w:rFonts w:ascii="Times New Roman;sans-serif" w:hAnsi="Times New Roman;sans-serif"/>
          <w:b w:val="false"/>
          <w:color w:val="000000"/>
          <w:sz w:val="20"/>
        </w:rPr>
        <w:t>On April 13, 2021, Bally’s agreed to acquire both GLPI’s non-land real estate assets and PENN's outstanding equity interests in Tropicana Las Vegas Hotel and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Inc. This deal closed on September 26, 2022.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13"/>
        </w:rPr>
        <w:t>(8)    </w:t>
      </w:r>
      <w:r>
        <w:rPr>
          <w:rFonts w:ascii="Times New Roman;sans-serif" w:hAnsi="Times New Roman;sans-serif"/>
          <w:b w:val="false"/>
          <w:color w:val="000000"/>
          <w:sz w:val="20"/>
        </w:rPr>
        <w:t>The aggregate cost for federal income tax purposes of the properties listed above was $9.90 billion at December 31, 2023. This amount does not include the real estate part of Investment in Financing Lease, net.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for real estate and accumulated depreciation for the years ended December 31, 2023, 2022 and 2021 is as follows:</w:t>
      </w:r>
    </w:p>
    <w:p>
      <w:pPr>
        <w:pStyle w:val="TextBody"/>
        <w:bidi w:val="0"/>
        <w:spacing w:before="0" w:after="0"/>
        <w:jc w:val="left"/>
        <w:rPr/>
      </w:pPr>
      <w:r>
        <w:rPr/>
      </w:r>
    </w:p>
    <w:tbl>
      <w:tblPr>
        <w:tblW w:w="8922" w:type="dxa"/>
        <w:jc w:val="center"/>
        <w:tblInd w:w="0" w:type="dxa"/>
        <w:tblLayout w:type="fixed"/>
        <w:tblCellMar>
          <w:top w:w="28" w:type="dxa"/>
          <w:left w:w="28" w:type="dxa"/>
          <w:bottom w:w="28" w:type="dxa"/>
          <w:right w:w="28" w:type="dxa"/>
        </w:tblCellMar>
      </w:tblPr>
      <w:tblGrid>
        <w:gridCol w:w="1478"/>
        <w:gridCol w:w="1296"/>
        <w:gridCol w:w="1306"/>
        <w:gridCol w:w="211"/>
        <w:gridCol w:w="1081"/>
        <w:gridCol w:w="109"/>
        <w:gridCol w:w="109"/>
        <w:gridCol w:w="109"/>
        <w:gridCol w:w="109"/>
        <w:gridCol w:w="211"/>
        <w:gridCol w:w="1051"/>
        <w:gridCol w:w="109"/>
        <w:gridCol w:w="109"/>
        <w:gridCol w:w="109"/>
        <w:gridCol w:w="109"/>
        <w:gridCol w:w="211"/>
        <w:gridCol w:w="1051"/>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484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and assets placed in service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Depreciation:</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Additions </w:t>
            </w:r>
            <w:r>
              <w:rPr>
                <w:rFonts w:ascii="Times New Roman;sans-serif" w:hAnsi="Times New Roman;sans-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accumulated depreciation on real estate assets of Hollywood Casino Perryville and Hollywood Casino Baton Rouge which were leased to third parties during 2021. See Note 6 in the Notes to the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2023,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2023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2023. In making this assessment, management used the criteria established by the Committee of Sponsoring Organizations of the Treadway Commission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xml:space="preserv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(PCAOB ID No. 34), the Company's independent registered accounting firm, issued an audit report on the effectiveness of the Company's internal control over financial reporting as of December 31, 2023, which is included on the following page of this Annual Report on Form 10-K.</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the Company's internal control over financial reporting (as defined in Exchange Act Rules 13a-15(f) and 15d-15(f)) that occurred during the fiscal quarter ended December 31, 2023, that have materially affected, or are reasonably likely to materially affect, the Company's internal control over financial reporting.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Gaming and Leisure Properties,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Gaming and Leisure Properties, Inc. and subsidiaries (the "Company") as of December 31, 2023, based on criteria established in </w:t>
      </w:r>
      <w:r>
        <w:rPr>
          <w:rFonts w:ascii="Times New Roman;sans-serif" w:hAnsi="Times New Roman;sans-serif"/>
          <w:b w:val="false"/>
          <w:i/>
          <w:color w:val="000000"/>
          <w:sz w:val="20"/>
        </w:rPr>
        <w:t xml:space="preserve">Internal Control </w:t>
      </w:r>
      <w:r>
        <w:rPr>
          <w:rFonts w:ascii="Times New Roman;sans-serif" w:hAnsi="Times New Roman;sans-serif"/>
          <w:b w:val="false"/>
          <w:i/>
          <w:color w:val="000000"/>
          <w:sz w:val="18"/>
        </w:rPr>
        <w:t xml:space="preserve">-- </w:t>
      </w:r>
      <w:r>
        <w:rPr>
          <w:rFonts w:ascii="Times New Roman;sans-serif" w:hAnsi="Times New Roman;sans-serif"/>
          <w:b w:val="false"/>
          <w:i/>
          <w:color w:val="000000"/>
          <w:sz w:val="20"/>
        </w:rPr>
        <w:t>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 xml:space="preserve">Internal </w:t>
      </w:r>
      <w:r>
        <w:rPr>
          <w:rFonts w:ascii="Times New Roman;sans-serif" w:hAnsi="Times New Roman;sans-serif"/>
          <w:b w:val="false"/>
          <w:i/>
          <w:color w:val="000000"/>
          <w:sz w:val="18"/>
        </w:rPr>
        <w:t xml:space="preserve">Control -- </w:t>
      </w:r>
      <w:r>
        <w:rPr>
          <w:rFonts w:ascii="Times New Roman;sans-serif" w:hAnsi="Times New Roman;sans-serif"/>
          <w:b w:val="false"/>
          <w:i/>
          <w:color w:val="000000"/>
          <w:sz w:val="20"/>
        </w:rPr>
        <w:t>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and financial statement schedule as of and for the year ended December 31, 2023, of the Company and our report dated February 27, 2024,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concerning directors is hereby incorporated by reference to the Company's definitive proxy statement for its 2024 Annual Meeting of Shareholders (the "2024 Proxy Statement"), to be filed with the U.S. Securities and Exchange Commission within 120 days after December 31, 2023, pursuant to Regulation 14A under the Securities Exchange Act of 1934, as amended. Information required by this item concerning executive officers is included in Part 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in this item is hereby incorporated by reference to the 2024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STOCKHOLDERS MATTERS</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in this item is hereby incorporated by reference to the 2024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in this item is hereby incorporated by reference to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in this item is hereby incorporated by reference to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1. Financial Statements. The following is a list of the Consolidated Financial Statements of the Company and its subsidiaries and supplementary data filed as part of Item 8 hereof:</w:t>
      </w:r>
    </w:p>
    <w:p>
      <w:pPr>
        <w:pStyle w:val="TextBody"/>
        <w:bidi w:val="0"/>
        <w:spacing w:lineRule="auto" w:line="288" w:before="160" w:after="1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160" w:after="1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Balance Sheets as of December 31, 2023 and 2022 </w:t>
      </w:r>
    </w:p>
    <w:p>
      <w:pPr>
        <w:pStyle w:val="TextBody"/>
        <w:bidi w:val="0"/>
        <w:spacing w:lineRule="auto" w:line="288" w:before="160" w:after="1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Income for the years ended December 31, 2023, 2022 and 2021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Changes in Equity for the years ended December 31, 2023, 2022 and 2021 </w:t>
      </w:r>
    </w:p>
    <w:p>
      <w:pPr>
        <w:pStyle w:val="TextBody"/>
        <w:bidi w:val="0"/>
        <w:spacing w:lineRule="auto" w:line="288" w:before="160" w:after="1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for the years ended December 31, 2023, 2022 and 2021 </w:t>
      </w:r>
    </w:p>
    <w:p>
      <w:pPr>
        <w:pStyle w:val="TextBody"/>
        <w:bidi w:val="0"/>
        <w:spacing w:lineRule="auto" w:line="288" w:before="160" w:after="283"/>
        <w:jc w:val="left"/>
        <w:rPr>
          <w:color w:val="000000"/>
        </w:rPr>
      </w:pPr>
      <w:r>
        <w:rPr>
          <w:color w:val="000000"/>
        </w:rPr>
        <w:t>    </w:t>
      </w:r>
      <w:r>
        <w:rPr>
          <w:rFonts w:ascii="Times New Roman;sans-serif" w:hAnsi="Times New Roman;sans-serif"/>
          <w:b w:val="false"/>
          <w:color w:val="000000"/>
          <w:sz w:val="20"/>
        </w:rPr>
        <w:t>2. Financial Statement Schedule:</w:t>
      </w:r>
    </w:p>
    <w:p>
      <w:pPr>
        <w:pStyle w:val="TextBody"/>
        <w:bidi w:val="0"/>
        <w:spacing w:lineRule="auto" w:line="288" w:before="160" w:after="160"/>
        <w:ind w:left="0" w:right="0" w:firstLine="900"/>
        <w:jc w:val="left"/>
        <w:rPr>
          <w:color w:val="000000"/>
        </w:rPr>
      </w:pPr>
      <w:r>
        <w:rPr>
          <w:color w:val="000000"/>
        </w:rPr>
        <w:t>    </w:t>
      </w:r>
      <w:r>
        <w:rPr>
          <w:rFonts w:ascii="Times New Roman;sans-serif" w:hAnsi="Times New Roman;sans-serif"/>
          <w:b w:val="false"/>
          <w:color w:val="000000"/>
          <w:sz w:val="20"/>
        </w:rPr>
        <w:t>Schedule III. Real Estate and Accumulated Depreciation as of December 31, 2023</w:t>
      </w:r>
    </w:p>
    <w:p>
      <w:pPr>
        <w:pStyle w:val="TextBody"/>
        <w:bidi w:val="0"/>
        <w:spacing w:lineRule="auto" w:line="288" w:before="160" w:after="283"/>
        <w:jc w:val="left"/>
        <w:rPr>
          <w:color w:val="000000"/>
        </w:rPr>
      </w:pPr>
      <w:r>
        <w:rPr>
          <w:color w:val="000000"/>
        </w:rPr>
        <w:t>    </w:t>
      </w:r>
      <w:r>
        <w:rPr>
          <w:rFonts w:ascii="Times New Roman;sans-serif" w:hAnsi="Times New Roman;sans-serif"/>
          <w:b w:val="false"/>
          <w:color w:val="000000"/>
          <w:sz w:val="20"/>
        </w:rPr>
        <w:t>3. Exhibits, Including Those Incorporated by Reference.</w:t>
      </w:r>
    </w:p>
    <w:p>
      <w:pPr>
        <w:pStyle w:val="TextBody"/>
        <w:bidi w:val="0"/>
        <w:spacing w:lineRule="auto" w:line="288" w:before="160" w:after="160"/>
        <w:ind w:left="0" w:right="0" w:firstLine="900"/>
        <w:jc w:val="left"/>
        <w:rPr>
          <w:color w:val="000000"/>
        </w:rPr>
      </w:pPr>
      <w:r>
        <w:rPr>
          <w:color w:val="000000"/>
        </w:rPr>
        <w:t>    </w:t>
      </w:r>
      <w:r>
        <w:rPr>
          <w:rFonts w:ascii="Times New Roman;sans-serif" w:hAnsi="Times New Roman;sans-serif"/>
          <w:b w:val="false"/>
          <w:color w:val="000000"/>
          <w:sz w:val="20"/>
        </w:rPr>
        <w:t>The exhibits to this Report are listed on the accompanying index to exhibits and are incorporated herein by reference or are filed as part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995"/>
        <w:gridCol w:w="2640"/>
        <w:gridCol w:w="359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4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Separation and Distribution Agreement, dated November 1, 2013, by and between Penn National Gaming, Inc. and Gaming and Leisure Properties, Inc. (Incorporated by reference to Exhibit 2.1 to the Company's current report on Form 8-K filed on November 7, 2013).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Separation and Distribution Agreement, dated April 28, 2016, by and between PNK Entertainment, Inc., Pinnacle Entertainment, Inc. and solely with respect to Article VIII, Gaming and Leisure Properties, Inc. (Incorporated by reference to Exhibit 2.4 to the Company's current report on Form 8-K filed on April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Articles of Incorporation of Gaming and Leisure Properties, Inc. (Incorporated by reference to Exhibit 3.1 to the Company's current report on Form 8-K filed on June 15,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Second Amended and Restated Bylaws of Gaming and Leisure Properties, Inc. (Incorporated by reference to Exhibit 3.1 to the Company's current report on Form 8-K filed on December 13, 2023).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Indenture, dated as of October 30, 2013, among GLP Capital, L.P. and GLP Financing II, Inc., as Issuers, Gaming and Leisure Properties, Inc., as Parent Guarantor, and Wells Fargo Bank, National Association, as Trustee. (Incorporated by reference to Exhibit 4.1 to the Company's current report on Form 8-K filed on November 1, 2013).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First Supplemental Indenture, dated as of March 28, 2016, by and among GLP Capital, L.P. and GLP Financing II, Inc., as Issuers and Wells Fargo Bank, National Association, as Trustee. (Incorporated by reference to Exhibit 4.1 to the Company's current report on Form 8-K filed on March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Second Supplemental Indenture, dated as of April 28, 2016, by and among GLP Capital, L.P. and GLP Financing II, Inc. as Issuers and Gaming and Leisure Properties, Inc, as Parent Guarantor and Wells Fargo Bank, National Association, as Trustee. (Incorporated by reference to Exhibit 4.3 to the Company's current report on Form 8-K filed on April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Third Supplemental Indenture, dated as of April 28, 2016, by and among GLP Capital, L.P. and GLP Financing II, Inc. as Issuers and Gaming and Leisure Properties, Inc. as Parent Guarantor and Wells Fargo Bank, National Association, as Trustee. (Incorporated by reference to Exhibit 4.4 to the Company's current report on Form 8-K filed on April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Fourth Supplemental Indenture, dated May 21, 2018, by and among GLP Capital, L.P. and GLP Financing II, Inc. as Issuers, Gaming and Leisure Properties, Inc., as Parent Guarantor, and Wells Fargo Bank, National Association, as Trustee, relating to the Issuers' 4.375% Senior Notes due 2018. (Incorporated by reference to Exhibit 4.3 to the Company's current report on Form 8-K, filed on May 22,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Fifth Supplemental Indenture, dated May 21, 2018, among GLP Capital, L.P. and GLP Financing II, Inc. as Issuers, Gaming and Leisure Properties, Inc., as Parent Guarantor, and Wells Fargo Bank, National Association, as Trustee, relating to the Issuers' 5.250% Senior Notes due 2025. (Incorporated by reference to Exhibit 4.4 to the Company's current report on Form 8-K, filed on May 22,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Sixth Supplemental Indenture, dated May 21, 2018, by and among GLP Capital, L.P. and GLP Financing II, Inc. as Issuers, Gaming and Leisure Properties, Inc., as Parent Guarantor, and Wells Fargo Bank, National Association, as Trustee, relating to the Issuers' 5.750% Senior Notes due 2028. (Incorporated by reference to Exhibit 4.5 to the Company's current report on Form 8-K, filed on May 22,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Seventh Supplemental Indenture, dated as of September 26, 2018, by and among GLP Capital, L.P. and GLP Financing II, Inc. as Issuers, Gaming and Leisure Properties, Inc., as Parent Guarantor, and Wells Fargo Bank, National Association, as Trustee, relating to the Issuers' 5.300% Senior Notes due 2029. (Incorporated by reference to Exhibit 4.4 to the Company's current report on Form 8-K, filed on September 26,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Eighth Supplemental Indenture, dated August 29, 2019, among GLP Capital, L.P. and GLP Financing II, Inc., as issuers, Gaming and Leisure Properties, Inc., as parent guarantor, and Wells Fargo Bank, National Association, as trustee, relating to the issuers’ 3.350% Senior Notes due 2024. (Incorporated by reference to Exhibit 4.3 of the Company's current report on Form 8-K, filed on September 5, 2019).</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9"/>
        <w:gridCol w:w="247"/>
        <w:gridCol w:w="109"/>
        <w:gridCol w:w="109"/>
        <w:gridCol w:w="109"/>
        <w:gridCol w:w="109"/>
        <w:gridCol w:w="2986"/>
        <w:gridCol w:w="2584"/>
        <w:gridCol w:w="3673"/>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Ninth Supplemental Indenture, dated August 29, 2019, among GLP Capital, L.P. and GLP Financing II, Inc., as issuers, Gaming and Leisure Properties, Inc., as parent guarantor, and Wells Fargo Bank, National Association, as trustee, relating to the issuers’ 4.000% Senior Notes due 2030. (Incorporated by reference to Exhibit 4.4 of the Company's current report on Form 8-K, filed on September 5, 2019).</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Tenth Supplemental Indenture, dated as of June 25, 2020, among GLP Capital, L.P. and GLP Financing II, Inc., as Issuers, Gaming and Leisure Properties, Inc., as Parent Guarantor, and Wells Fargo Bank, National Association, as Trustee (Incorporated by reference to Exhibit 4.3 of the Company's current report on Form 8-K filed on July 1, 2020).</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Eleventh Supplemental Indenture, dated as of December 13, 2021, among GLP Capital, L.P. and GLP Financing II, Inc., as Issuers, Gaming and Leisure Properties, Inc. as Parent Guarantor, and Computershare Trust Company, N.A. as successor to Wells Fargo Bank, National Association, as Trustee. (Incorporated by reference to Exhibit 4.3 of the Company's current report on Form 8-K filed on December 17, 2021).</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Twelfth Supplemental Indenture, dated as of November 22, 2023,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November 28, 2023).</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2026 Note (Incorporated by reference to Exhibit 4.4 and included in Exhibit 4.4 to the Company's current report on Form 8-K filed on April 28, 2016).</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Form of 2025 Note (Incorporated by reference to Exhibit 4.6 and included in Exhibit 4.4 to the Company's current report on Form 8-K, filed on May 22, 2018).</w:t>
              </w:r>
            </w:hyperlink>
            <w:r>
              <w:rPr>
                <w:color w:val="000000"/>
              </w:rPr>
              <w:t xml:space="preserve"> </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 xml:space="preserve">Form of 2028 Note (Incorporated by reference to Exhibit 4.7 and included in Exhibit 4.5 to the Company's current report on Form 8-K, filed on May 22, 2018). </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 xml:space="preserve">Form of 2029 Note (Incorporated by reference to Exhibit 4.8 and included in Exhibit 4.4 to the Company's current report on Form 8-K, filed on September 26, 2018). </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2024 Note. (Incorporated by reference to Exhibit 4.9 and included in Exhibit 4.3 of the Company's current report on Form 8-K, filed on September 5, 2019).</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2030 Note (Incorporated by reference to Exhibit 4.10 and included in Exhibit 4.4 of the Company's current report on Form 8-K, filed on September 5, 2019).</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Form of 2031 Note (Incorporated by reference to Exhibit 4.11 and included in Exhibit 4.3 to the Company's current report on Form 8-K filed on August 18, 2020).</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80"/>
                  <w:sz w:val="20"/>
                  <w:u w:val="single"/>
                </w:rPr>
                <w:t>Form of 2032 Note (Incorporated by reference to Exhibit 4.12 and included in Exhibit 4.</w:t>
              </w:r>
            </w:hyperlink>
            <w:hyperlink r:id="rId27">
              <w:r>
                <w:rPr>
                  <w:rStyle w:val="InternetLink"/>
                  <w:rFonts w:ascii="Times New Roman;sans-serif" w:hAnsi="Times New Roman;sans-serif"/>
                  <w:b w:val="false"/>
                  <w:color w:val="000080"/>
                  <w:sz w:val="20"/>
                  <w:u w:val="single"/>
                </w:rPr>
                <w:t>3</w:t>
              </w:r>
            </w:hyperlink>
            <w:hyperlink r:id="rId28">
              <w:r>
                <w:rPr>
                  <w:rStyle w:val="InternetLink"/>
                  <w:rFonts w:ascii="Times New Roman;sans-serif" w:hAnsi="Times New Roman;sans-serif"/>
                  <w:b w:val="false"/>
                  <w:color w:val="000080"/>
                  <w:sz w:val="20"/>
                  <w:u w:val="single"/>
                </w:rPr>
                <w:t xml:space="preserve"> to the Company's current report on Form 8-K filed on December 17, 2021).</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2033 Note (Incorporated by reference to Exhibit 4.13 and included in Exhibit 4.3 to the Company's current report on Form 8-K filed on November 28, 2023).</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31231exhibit423.htm">
              <w:r>
                <w:rPr>
                  <w:rStyle w:val="InternetLink"/>
                  <w:rFonts w:ascii="Times New Roman;sans-serif" w:hAnsi="Times New Roman;sans-serif"/>
                  <w:b w:val="false"/>
                  <w:color w:val="0000FF"/>
                  <w:sz w:val="20"/>
                  <w:u w:val="single"/>
                </w:rPr>
                <w:t>Description of securities registered pursuant to Section 12 of the Securities Exchange Act of 1934.</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Credit Agreement, dated as of October 28, 2013, among GLP Capital, L.P., as successor-by-merger to GLP Financing, LLC, each lender from time to time party thereto and JPMorgan Chase Bank, N.A., as administrative agent. (Incorporated by reference to Exhibit 10.4 to the Company's current report on Form 8-K filed on November 1, 2013).</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No. 1, dated as of July 31, 2015, to the Credit Agreement dated as of October 28, 2013 among GLP Capital, L.P., the several banks and other financial institutions party thereto, JPMorgan Chase Bank, N.A., as Administrative Agent and the various other parties thereto. (Incorporated by reference to Exhibit 10.2 to the Company's Registration Statement on S-4 filed on August 28, 2015).</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4"/>
        <w:gridCol w:w="297"/>
        <w:gridCol w:w="109"/>
        <w:gridCol w:w="109"/>
        <w:gridCol w:w="109"/>
        <w:gridCol w:w="109"/>
        <w:gridCol w:w="2675"/>
        <w:gridCol w:w="2675"/>
        <w:gridCol w:w="3788"/>
      </w:tblGrid>
      <w:tr>
        <w:trPr/>
        <w:tc>
          <w:tcPr>
            <w:tcW w:w="3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First Amendment, dated as of March 25, 2016, to Amendment No. 1, dated as of July 31, 2015, to the Credit Agreement dated as of October 28, 2013 among GLP Capital, L.P., the several banks and other financial institutions party thereto, JPMorgan Chase Bank, N.A., as Administrative Agent and the various other parties thereto. (Incorporated by reference to Exhibit 10.1 to the Company's current report on Form 8-K filed on March 28, 2016).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 xml:space="preserve">Amendment No. 2, dated as of May 21, 2018, to the Credit Agreement dated as of October 28, 2013 among GLP Capital, L.P., the several banks and other financial institutions party thereto, JPMorgan Chase Bank, N.A., as Administrative Agent and the various other parties thereto. (Incorporated by reference to Exhibit 10.1 to the Company's current report on Form 8-K, filed on May 22, 2018).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Amendment No. 3, dated as of October 10, 2018, to the Credit Agreement dated as of October 28, 2013 among GLP Capital, L.P., the several banks and other financial institutions party thereto, JPMorgan Chase Bank, N.A., as Administrative Agent and the various other parties thereto. (Incorporated by reference to Exhibit 10.5 to the Company's quarterly report on Form 10-Q filed on November 1,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Amendment No. 5, dated as of March 30, 2020, to the Credit Agreement dated as of October 28, 2013 among GLP Capital, L.P., the several banks and other financial institutions party thereto, JPMorgan Chase Bank, N.A., as Administrative Agent and the various other parties thereto (Incorporated by reference to Exhibit 4.1 to the Company's quarterly report on Form 10-Q filed on May 1, 2020).</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Amendment No. 6, dated as of June 25, 2020, to the Credit Agreement dated as of October 28, 2013 among GLP Capital, L.P., the several banks and other financial institutions party thereto, JPMorgan Chase Bank, N.A., as administrative agent, as further amended (Incorporated by reference to Exhibit 10.1 to the Company's current report on Form 8-K filed on July 1, 2020).</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Master Lease, dated November 1, 2013, by and among GLP Capital L.P. and Penn Tenant, LLC. (Incorporated by reference to Exhibit 10.1 to the Company's current report on Form 8-K filed on November 7, 2013).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First Amendment to the Master Lease Agreement, dated as of March 5, 2014, by and among GLP Capital L.P. and Penn Tenant, LLC. (Incorporated by reference to Exhibit 10.1 to the Company's quarterly report on Form 10-Q filed on May 12, 2014).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Second Amendment to the Master Lease Agreement, dated as of April 18, 2014, by and among GLP Capital L.P. and Penn Tenant, LLC. (Incorporated by reference to Exhibit 10.1 to the Company's quarterly report on Form 10-Q filed on August 1, 2014).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Third Amendment to the Master Lease Agreement, dated as of September 20, 2016, by and among GLP Capital L.P. and Penn Tenant, LLC. (Incorporated by reference to Exhibit 10.2 to the Company's quarterly report on Form 10-Q filed on November 9, 2016).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Fourth Amendment to the Master Lease Agreement, dated as of May 1, 2017, by and among GLP Capital L.P. and Penn Tenant, LLC. (Incorporated by reference to Exhibit 10.2 to the Company's quarterly report on Form 10-Q filed on May 3, 2017).</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Fifth Amendment to the Master Lease Agreement, dated as of June 19, 2018, by and among GLP Capital L.P. and Penn Tenant, LLC. (Incorporated by reference to Exhibit 10.3 to the Company's quarterly report on Form 10-Q filed on August 1,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Sixth Amendment to the Master Lease Agreement, dated as of August 8, 2018, by and among GLP Capital L.P. and Penn Tenant, LLC. (Incorporated by reference to Exhibit 10.1 to the Company's quarterly report on Form 10-Q filed on November 1,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Seventh Amendment to the Master Lease Agreement, dated as of October 31, 2018, by and among GLP Capital L.P. and Penn Tenant, LLC. (Incorporated by reference to Exhibit 10.16 to the Company's annual report on Form 10-K filed on February 13, 2019).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Eighth Amendment to the Master Lease Agreement, dated as of November 20, 2018, by and among GLP Capital L.P. and Penn Tenant, LLC. (Incorporated by reference to Exhibit 10.17 to the Company's annual report on Form 10-K filed on February 13, 2019).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6"/>
        <w:gridCol w:w="295"/>
        <w:gridCol w:w="188"/>
        <w:gridCol w:w="109"/>
        <w:gridCol w:w="109"/>
        <w:gridCol w:w="109"/>
        <w:gridCol w:w="2704"/>
        <w:gridCol w:w="2632"/>
        <w:gridCol w:w="3723"/>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Ninth Amendment to the Master Lease Agreement, dated as of January 14, 2022, by and among GLP Capital, L.P. and Penn Tenant, LLC</w:t>
              </w:r>
            </w:hyperlink>
            <w:hyperlink r:id="rId47">
              <w:r>
                <w:rPr>
                  <w:rStyle w:val="InternetLink"/>
                  <w:rFonts w:ascii="Times New Roman;sans-serif" w:hAnsi="Times New Roman;sans-serif"/>
                  <w:b w:val="false"/>
                  <w:color w:val="000080"/>
                  <w:sz w:val="20"/>
                  <w:u w:val="single"/>
                </w:rPr>
                <w:t xml:space="preserve"> </w:t>
              </w:r>
            </w:hyperlink>
            <w:hyperlink r:id="rId48">
              <w:r>
                <w:rPr>
                  <w:rStyle w:val="InternetLink"/>
                  <w:rFonts w:ascii="Times New Roman;sans-serif" w:hAnsi="Times New Roman;sans-serif"/>
                  <w:b w:val="false"/>
                  <w:color w:val="000080"/>
                  <w:sz w:val="20"/>
                  <w:u w:val="single"/>
                </w:rPr>
                <w:t>(Incorporated by reference to Exhibit 10.18 to the Com</w:t>
              </w:r>
            </w:hyperlink>
            <w:hyperlink r:id="rId49">
              <w:r>
                <w:rPr>
                  <w:rStyle w:val="InternetLink"/>
                  <w:rFonts w:ascii="Times New Roman;sans-serif" w:hAnsi="Times New Roman;sans-serif"/>
                  <w:b w:val="false"/>
                  <w:color w:val="000080"/>
                  <w:sz w:val="20"/>
                  <w:u w:val="single"/>
                </w:rPr>
                <w:t>pany's annual report on Form 10-K filed on February 23, 2023).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80"/>
                  <w:sz w:val="20"/>
                  <w:u w:val="single"/>
                </w:rPr>
                <w:t>Amended and Restated Master Lease, dated February 21, 2023, by and among GLP Capital, L.P. and Penn Tenant, LLC</w:t>
              </w:r>
            </w:hyperlink>
            <w:hyperlink r:id="rId51">
              <w:r>
                <w:rPr>
                  <w:rStyle w:val="InternetLink"/>
                  <w:rFonts w:ascii="Times New Roman;sans-serif" w:hAnsi="Times New Roman;sans-serif"/>
                  <w:b w:val="false"/>
                  <w:color w:val="000080"/>
                  <w:sz w:val="20"/>
                  <w:u w:val="single"/>
                </w:rPr>
                <w:t xml:space="preserve"> </w:t>
              </w:r>
            </w:hyperlink>
            <w:hyperlink r:id="rId52">
              <w:r>
                <w:rPr>
                  <w:rStyle w:val="InternetLink"/>
                  <w:rFonts w:ascii="Times New Roman;sans-serif" w:hAnsi="Times New Roman;sans-serif"/>
                  <w:b w:val="false"/>
                  <w:color w:val="000080"/>
                  <w:sz w:val="20"/>
                  <w:u w:val="single"/>
                </w:rPr>
                <w:t>(Incorporated by reference to Exhibit 10</w:t>
              </w:r>
            </w:hyperlink>
            <w:hyperlink r:id="rId53">
              <w:r>
                <w:rPr>
                  <w:rStyle w:val="InternetLink"/>
                  <w:rFonts w:ascii="Times New Roman;sans-serif" w:hAnsi="Times New Roman;sans-serif"/>
                  <w:b w:val="false"/>
                  <w:color w:val="000080"/>
                  <w:sz w:val="20"/>
                  <w:u w:val="single"/>
                </w:rPr>
                <w:t>.19 to the Company's annual report on Form 10-K filed on February 23, 2023).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Master Lease, dated February 21, 2023, by and among GLP Capital, L.P., Penn Tenant LLC, Penn Cecil Maryland, LLC, and PNK Development 33, LLC (Incorporated by reference to Exhibit 10.20 to the Company's annual report on Form 10-K filed on February 23, 2023).</w:t>
              </w:r>
            </w:hyperlink>
            <w:r>
              <w:rPr>
                <w:color w:val="000000"/>
              </w:rPr>
              <w:t xml:space="preserve"> </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Master Lease, dated April 28, 2016, by and among Gold Merger Sub, LLC (as successor to Pinnacle Entertainment, Inc.) and Pinnacle MLS, LLC. (Incorporated by reference to Exhibit 2.3 to the Company's current report on Form 8-K filed on April 28, 2016).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First Amendment to the Master Lease, dated August 29, 2016, by and among Gold Merger Sub, LLC (as successor to Pinnacle Entertainment, Inc.) and Pinnacle MLS, LLC. (Incorporated by reference to Exhibit 10.1 to the Company's quarterly report on Form 10-Q filed on November 9, 2016).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Second Amendment to the Master Lease, dated October 25, 2016, by and among Gold Merger Sub, LLC (as successor to Pinnacle Entertainment, Inc.) and Pinnacle MLS, LLC. (Incorporated by reference to Exhibit 10.13 to the Company's annual report on Form 10-K filed on February 22, 2017).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Third Amendment to the Master Lease, dated March 24, 2017, by and among Gold Merger Sub, LLC (as successor to Pinnacle Entertainment, Inc.) and Pinnacle MLS, LLC. (Incorporated by reference to Exhibit 10.1 to the Company's quarterly report on Form 10-Q filed on May 3, 2017).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Fourth Amendment to the Master Lease, dated October 15, 2018, by and between Gold Merger Sub, LLC (as successor to Pinnacle Entertainment, Inc.) and Pinnacle MLS, LLC. (Incorporated by reference to Exhibit 10.1 to the Company's current report on Form 8-K, filed on October 16, 2018).</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Fifth Amendment to the Master Lease, dated January 14, 2022, by and among Gold Merger Sub, LLC (as successor to Pinnacle Entertainment, Inc.) and Pinnacle MLS, LLC (Incorporated by reference to Exhibit 10.26 to the Company's annual report on Form 10-K filed on February 23, 2023).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Master Lease Agreement, dated October 15, 2018, by and between Gold Merger Sub, LLC and Boyd TCIV, LLC. (Incorporated by reference to Exhibit 10.2 to the Company's current report on Form 8-K, filed on October 16, 2018).</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Tax Matters Agreement, dated as of November 1, 2013, by and among Penn National Gaming, Inc. and Gaming and Leisure Properties, Inc. (Incorporated by reference to Exhibit 10.2 to the Company's current report on Form 8-K filed on November 7, 2013).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Tax Matters Agreement, dated as of July 20, 2015, by and among Pinnacle Entertainment, Inc. and Gaming and Leisure Properties, Inc. (Incorporated by reference to Exhibit 10.1 to the Company's current report on Form 8-K filed on July 22, 2015).</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Gaming and Leisure Properties, Inc.’s Second Amended and Restated 2013 Long-Term Incentive Compensation Plan (Incorporated by reference to Appendix A to the Company’s Definitive Proxy Statement on Schedule 14A, filed April 29, 2020).</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bookmarkStart w:id="0" w:name="iabcdd54ed39e46c8895a2f67e24582bc_113-2-"/>
              <w:bookmarkEnd w:id="0"/>
              <w:r>
                <w:rPr>
                  <w:rStyle w:val="InternetLink"/>
                  <w:rFonts w:ascii="Times New Roman;sans-serif" w:hAnsi="Times New Roman;sans-serif"/>
                  <w:b w:val="false"/>
                  <w:color w:val="0000FF"/>
                  <w:sz w:val="20"/>
                  <w:u w:val="single"/>
                </w:rPr>
                <w:t>Form of Restricted Stock Award under the Gaming and Leisure Properties, Inc. 2013 Long-Term Incentive Compensation Plan for Awards issued after January 1, 2020. (Incorporated by reference to Exhibit 10.30 to the Company's annual report on Form 10-K filed on February 24, 2022).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Form of Restricted Stock Award under the Gaming and Leisure Properties, Inc. Second Amended and Restated 2013 Long-Term Incentive Compensation Plan for Awards issued after January 1, 2021. (Incorporated by reference to Exhibit 10.31 to the Company's annual report on Form 10-K filed on February 24, 2022).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Form of Director Restricted Stock Award with Quarterly Vesting under the Gaming and Leisure Properties, Inc. 2013 Long-Term Incentive Compensation Plan for Awards issued after January 1, 2020. (Incorporated by reference to Exhibit 10.32 to the Company's annual report on Form 10-K filed on February 24, 2022).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6"/>
        <w:gridCol w:w="295"/>
        <w:gridCol w:w="201"/>
        <w:gridCol w:w="109"/>
        <w:gridCol w:w="109"/>
        <w:gridCol w:w="109"/>
        <w:gridCol w:w="2654"/>
        <w:gridCol w:w="2644"/>
        <w:gridCol w:w="3748"/>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Form of Director Restricted Stock Award under the Gaming and Leisure Properties, Inc. Second Amended and Restated 2013 Long-Term Incentive Compensation Plan for Awards Issued after January 1, 2022. (Incorporated by reference to Exhibit 10.33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Form of Restricted Stock Performance Award MSCI under the Gaming and Leisure Properties, Inc. 2013 Long-Term Incentive Compensation Plan for Awards issued after January 1, 2020. (Incorporated by reference to Exhibit 10.34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Form of Restricted Stock Performance Award MSCI under the Gaming and Leisure Properties, Inc. Second Amended and Restated 2013 Long-Term Incentive Compensation Plan for Awards Issued after January 1, 2021. (Incorporated by reference to Exhibit 10.35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Form of Restricted Stock Performance Award NNN under the Gaming and Leisure Properties, Inc. 2013 Long-Term Incentive Compensation Plan for Awards issued in 2020. (Incorporated by reference to Exhibit 10.36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Form of Restricted Stock Performance Award NNN under the Gaming and Leisure Properties, Inc. Second Amended and Restated 2013 Long-Term Incentive Compensation Plan for Awards issued in 2021. (Incorporated by reference to Exhibit 10.37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Form of Restricted Stock Performance Award NNN under the Gaming and Leisure Properties, Inc. Second Amended and Restated 2013 Long-Term Incentive Compensation Plan for Awards issued in 2022. (Incorporated by reference to Exhibit 10.38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_formofrestrictedstock.htm">
              <w:r>
                <w:rPr>
                  <w:rStyle w:val="InternetLink"/>
                  <w:rFonts w:ascii="Times New Roman;sans-serif" w:hAnsi="Times New Roman;sans-serif"/>
                  <w:b w:val="false"/>
                  <w:color w:val="0000FF"/>
                  <w:sz w:val="20"/>
                  <w:u w:val="single"/>
                </w:rPr>
                <w:t>Form of Restricted Stock Performance Award NNN under the Gaming and Leisure Properties, Inc. Second Amended and Restated 2013 Long-Term Incentive Compensation Plan for Awards issued in 2023.</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Gaming and Leisure Properties, Inc. Executive Change in Control and Severance Plan. (Incorporated by reference to Exhibit 10.1 to the Company's current report on Form 8-K, filed on February 4, 2019).</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Second Amended and Restated Master Lease by and among GLP Capital, L.P., as landlord, and Tropicana Entertainment, Inc., IOC Black Hawk Country, Inc. and Isle of Capri Bettendorf, L.L.C., as tenant, dated December 18, 2020. (Incorporated by reference to Exhibit 10.40 to the Company's annual report on Form 10-K filed on February 24,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Separation Agreement dated July 27, 2020 by and between the Company and Steven T. Snyder (Incorporated by reference to Exhibit 10.1 to the Company's current report on Form 8-K filed on July 29, 2020).</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Amended and Restated Agreement of Limited Partnership of GLP Capital, L.P., dated as of December 29, 2021 (Incorporated by reference to Exhibit 10.1 to the Company's current report on Form 8-K filed on December 29, 2021).</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Credit Agreement dated as of May 13, 2022 by and among GLP Capital, L.P., Wells Fargo Bank, National Association, as administrative agent, and the other agents and lenders party thereto from time to time (Incorporated by reference to Exhibit 10.1 to the Company's quarterly report on Form 10-Q filed on July 28,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 xml:space="preserve">Term Loan Credit Agreement, dated as of September 2, 2022, by and among GLP Capital, L.P., Wells Fargo Bank, National Association, as administrative agent, and the lenders party thereto (Incorporated by reference to Exhibit 10.1 to the Company's Form 8-K filed on September 8, 2022). </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Amendment No. 1 to Credit Agreement, dated as of September 2, 2022, by and among GLP Capital, L.P., Wells Fargo Bank, National Association, as administrative agent, and the lenders party thereto (Incorporated by reference to Exhibit 10.2 to the Company's Form 8-K filed on September 8, 2022).</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amingandleisureinsidertra.htm">
              <w:r>
                <w:rPr>
                  <w:rStyle w:val="InternetLink"/>
                  <w:rFonts w:ascii="Times New Roman;sans-serif" w:hAnsi="Times New Roman;sans-serif"/>
                  <w:b w:val="false"/>
                  <w:color w:val="0000FF"/>
                  <w:sz w:val="20"/>
                  <w:u w:val="single"/>
                </w:rPr>
                <w:t>Gaming and Leisure Properties, Inc. Policy Statement on Trading in Company Securities</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21231exhibit21.htm">
              <w:r>
                <w:rPr>
                  <w:rStyle w:val="InternetLink"/>
                  <w:rFonts w:ascii="Times New Roman;sans-serif" w:hAnsi="Times New Roman;sans-serif"/>
                  <w:b w:val="false"/>
                  <w:color w:val="0000FF"/>
                  <w:sz w:val="20"/>
                  <w:u w:val="single"/>
                </w:rPr>
                <w:t>Subsidiaries of the Registrant.</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21231ex221.htm">
              <w:r>
                <w:rPr>
                  <w:rStyle w:val="InternetLink"/>
                  <w:rFonts w:ascii="Times New Roman;sans-serif" w:hAnsi="Times New Roman;sans-serif"/>
                  <w:b w:val="false"/>
                  <w:color w:val="0000FF"/>
                  <w:sz w:val="20"/>
                  <w:u w:val="single"/>
                </w:rPr>
                <w:t>List of Subsidiary Issuers of Guaranteed Securities.</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31231exhibit23.htm">
              <w:r>
                <w:rPr>
                  <w:rStyle w:val="InternetLink"/>
                  <w:rFonts w:ascii="Times New Roman;sans-serif" w:hAnsi="Times New Roman;sans-serif"/>
                  <w:b w:val="false"/>
                  <w:color w:val="0000FF"/>
                  <w:sz w:val="20"/>
                  <w:u w:val="single"/>
                </w:rPr>
                <w:t>Consent of Deloitte &amp; Touche LLP, Independent Registered Public Accounting Firm.</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5"/>
        <w:gridCol w:w="226"/>
        <w:gridCol w:w="162"/>
        <w:gridCol w:w="109"/>
        <w:gridCol w:w="109"/>
        <w:gridCol w:w="109"/>
        <w:gridCol w:w="2781"/>
        <w:gridCol w:w="2669"/>
        <w:gridCol w:w="3785"/>
      </w:tblGrid>
      <w:tr>
        <w:trPr/>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31231exhibit311.htm">
              <w:r>
                <w:rPr>
                  <w:rStyle w:val="InternetLink"/>
                  <w:rFonts w:ascii="Times New Roman;sans-serif" w:hAnsi="Times New Roman;sans-serif"/>
                  <w:b w:val="false"/>
                  <w:color w:val="0000FF"/>
                  <w:sz w:val="20"/>
                  <w:u w:val="single"/>
                </w:rPr>
                <w:t>Principal Executive Officer Certification pursuant to rule 13a-14(a) or 15d-14(a) of the Securities Exchange Act of 1934.</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31231exhibit312.htm">
              <w:r>
                <w:rPr>
                  <w:rStyle w:val="InternetLink"/>
                  <w:rFonts w:ascii="Times New Roman;sans-serif" w:hAnsi="Times New Roman;sans-serif"/>
                  <w:b w:val="false"/>
                  <w:color w:val="0000FF"/>
                  <w:sz w:val="20"/>
                  <w:u w:val="single"/>
                </w:rPr>
                <w:t>Principal Financial Officer Certification pursuant to rule 13a-14(a) or 15d-14(a) of the Securities Exchange Act of 1934.</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31231exhibit321.htm">
              <w:r>
                <w:rPr>
                  <w:rStyle w:val="InternetLink"/>
                  <w:rFonts w:ascii="Times New Roman;sans-serif" w:hAnsi="Times New Roman;sans-serif"/>
                  <w:b w:val="false"/>
                  <w:color w:val="0000FF"/>
                  <w:sz w:val="20"/>
                  <w:u w:val="single"/>
                </w:rPr>
                <w:t>Principal Executive Officer Certification pursuant to 18 U.S.C. Section 1350, As Adopted Pursuant to Section 906 of The Sarbanes - 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31231exhibit322.htm">
              <w:r>
                <w:rPr>
                  <w:rStyle w:val="InternetLink"/>
                  <w:rFonts w:ascii="Times New Roman;sans-serif" w:hAnsi="Times New Roman;sans-serif"/>
                  <w:b w:val="false"/>
                  <w:color w:val="0000FF"/>
                  <w:sz w:val="20"/>
                  <w:u w:val="single"/>
                </w:rPr>
                <w:t>Principal Financial Officer Certification pursuant to 18 U.S.C Section 1350, As Adopted Pursuant to Section 906 of The Sarbanes - Oxley Act of 2022.</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htm">
              <w:r>
                <w:rPr>
                  <w:rStyle w:val="InternetLink"/>
                  <w:rFonts w:ascii="Times New Roman;sans-serif" w:hAnsi="Times New Roman;sans-serif"/>
                  <w:b w:val="false"/>
                  <w:color w:val="0000FF"/>
                  <w:sz w:val="20"/>
                  <w:u w:val="single"/>
                </w:rPr>
                <w:t>Gaming and Leisure Properties, Inc. Policy Regarding the Mandatory Recovery of Compensation</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Gaming and Leisure Properties, Inc.'s Annual Report on Form 10-K for the year ended December 31, 2023, formatted in Inline XBRL: (i) Consolidated Balance Sheets, ii) Consolidated Statements of Income, (iii) Consolidated Statements of Changes in Equity, (iv) Consolidated Statements of Cash Flows and (v) Notes to the Consolidated Financial Statements.</w:t>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Annual Report on Form 10-K for the year ended December 31, 2023, formatted in Inline XBRL and contained in Exhibit 101.</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Compensation plans and arrangements for executives and others.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5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10"/>
        <w:gridCol w:w="410"/>
        <w:gridCol w:w="410"/>
        <w:gridCol w:w="410"/>
        <w:gridCol w:w="410"/>
        <w:gridCol w:w="410"/>
        <w:gridCol w:w="715"/>
        <w:gridCol w:w="715"/>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AND LEISURE PROPERTIES,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M. CARLINO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20"/>
              </w:rPr>
              <w:t>Chairman of the Board and</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27, 2024 </w:t>
      </w:r>
    </w:p>
    <w:p>
      <w:pPr>
        <w:pStyle w:val="TextBody"/>
        <w:bidi w:val="0"/>
        <w:spacing w:lineRule="auto" w:line="288" w:before="160" w:after="16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900"/>
        <w:gridCol w:w="730"/>
        <w:gridCol w:w="736"/>
        <w:gridCol w:w="109"/>
        <w:gridCol w:w="109"/>
        <w:gridCol w:w="109"/>
        <w:gridCol w:w="1955"/>
        <w:gridCol w:w="1910"/>
        <w:gridCol w:w="1935"/>
        <w:gridCol w:w="109"/>
        <w:gridCol w:w="109"/>
        <w:gridCol w:w="109"/>
        <w:gridCol w:w="403"/>
        <w:gridCol w:w="403"/>
        <w:gridCol w:w="579"/>
      </w:tblGrid>
      <w:tr>
        <w:trPr/>
        <w:tc>
          <w:tcPr>
            <w:tcW w:w="90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CAROL LYNTON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Carol Lynton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JOSEPH W. MARSHALL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Joseph W. Marshall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B.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James B.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BARRY F. SCHWARTZ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Barry F. Schwartz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EARL C.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Earl C.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E. SCOTT URDANG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 Scott Urdang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4.23</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GAMING AND LEISURE PROPERTIES, INC.’S SECURITIES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 SECURITIES AND EXCHANGE ACT OF 1934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is a summary of certain information concerning Gaming and Leisure Properties, Inc.’s (“GLPI,” “we,” “us,” or “our”) securities registered pursuant to Section 12 of the Securities and Exchange Act of 1934, as amended (the “Exchange Act”). The summaries and descriptions below do not purport to be complete statements of the relevant provisions of GLPI’s amended and restated articles of incorporation (the “Articles of Incorporation”) and second amended and restated bylaws (the “Bylaws”). The summaries are qualified in their entirety by reference to the full text of GLPI’s Articles of Incorporation and Bylaws, which are included as exhibits to GLPI’s Annual Report on Form 10-K for the year ended December 31, 2023, of which this exhibit is a part.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provide that GLPI may issue up to 500,000,000 shares of common stock, par value $0.01 per share, and 50,000,000 shares of preferred stock, par value $0.01 per share. No shares of our preferred stock are issued and outstanding.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 </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Voting Rights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Rights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GLPI’s common stock do not have any preemptive, subscription, redemption, conversion or sinking fund rights with respect to the common stock, or any instruments convertible (directly or indirectly) into GLPI stock. </w:t>
      </w:r>
    </w:p>
    <w:p>
      <w:pPr>
        <w:pStyle w:val="TextBody"/>
        <w:bidi w:val="0"/>
        <w:spacing w:lineRule="auto" w:line="288" w:before="120" w:after="283"/>
        <w:jc w:val="left"/>
        <w:rPr/>
      </w:pPr>
      <w:r>
        <w:rPr>
          <w:rFonts w:ascii="Times New Roman;sans-serif" w:hAnsi="Times New Roman;sans-serif"/>
          <w:b w:val="false"/>
          <w:color w:val="000000"/>
          <w:sz w:val="20"/>
        </w:rPr>
        <w:t xml:space="preserve">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 </w:t>
      </w:r>
      <w:r>
        <w:rPr>
          <w:color w:val="000000"/>
        </w:rPr>
        <w:t> </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27" name="Frame1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Trading Symbol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Global Select Market under the symbol “GLPI.”</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 </w:t>
      </w:r>
    </w:p>
    <w:p>
      <w:pPr>
        <w:pStyle w:val="TextBody"/>
        <w:bidi w:val="0"/>
        <w:spacing w:before="12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designation of the series, which may be by distinguishing number, letter or title;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number of shares constituting such series, including the authority to increase or decrease such number (but not below the number of shares thereof then outstanding);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dividend rate of the shares of such series, whether the dividends shall be cumulative and, if so, the date from which they shall be cumulative, and the relative rights of priority, if any, of payment of dividends on shares of such series;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dates at which dividends, if any, shall be payable;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right, if any, of GLPI to redeem shares of such series and the terms and conditions of such redemption;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rights of the shares in case of a voluntary or involuntary liquidation, dissolution or winding up of GLPI, and the relative rights of priority, if any, of payment of shares of such series;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voting power, if any, of such series and the terms and conditions under which such voting power may be exercised;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obligation, if any, of GLPI to retire shares of such series pursuant to a retirement or sinking fund or funds of a similar nature or otherwise and the terms and conditions of such obligations;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terms and conditions, if any, upon which shares of such series shall be convertible into or exchangeable for shares of stock of any other class or classes, including the price or prices or the rate or rates of conversion or exchange and the terms of adjustment, if any;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restrictions on the issuance of shares of the same series or of any other class or series;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any other rights, preferences or limitations of the shares of such series.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Restrictions on Ownership and Transfer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 </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28"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ownership limit”) or more than 7% in value or in number, whichever is more restrictive, of the outstanding shares of all 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Articles of Incorporation, GLPI’s board of directors may exempt, prospectively or retroactively, a particular shareholder (the “excepted holder”) from the ownership limits or establish a different limit on ownership (the “excepted holder limit”) if: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no individual’s beneficial or constructive ownership of GLPI stock will result in GLPI being “closely held” under Section 856(h) of the Code (without regard to whether the ownership interest is held during the last half of a taxable year) or otherwise failing to qualify to be taxed as a REIT or would cause any income of GLPI that would otherwise qualify as rents from real property to fail to qualify as such;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such shareholder does not and represents that it will not own, actually or constructively, an interest in a tenant of GLPI (or a tenant of any entity owned or controlled by GLPI) that would cause GLPI to own, actually or constructively, more than a 9.9% interest (as set forth in Section 856(d)(2)(B) of the Code) in such tenant (or GLPI’s board of directors determines that rent derived from such tenant will not affect GLPI’s ability to qualify to be taxed as a REIT).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Peter M. Carlino, GLPI’s Chairman and Chief Executive Officer, the Carlino Family Trust, The Vanguard Group Inc., BlackRock, Inc., Cohen &amp; Steers, Inc., Capital World Investors and Capital International Investors have each been deemed excepted holders by GLPI’s board of directors.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further prohibit: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9" name="Frame1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any person from transferring shares of GLPI stock if the transfer would result in shares of GLPI stock being beneficially owned by fewer than 100 persons (determined without reference to the rules of attribution under Section 544 of the Code);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any person from constructively owning shares of GLPI stock to the extent that such constructive ownership would cause any of GLPI’s income that would otherwise qualify as “rents from real property” for purposes of Section 856(d) of the Code to fail to qualify as such.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GLPI stock held in the trust will continue to be issued and outstanding shares. The prohibited owner will not benefit economically from ownership of any shares of GLPI stock held in the trust and will have no rights to distributions and no rights 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30" name="Frame1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 be 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Every person or entity who is a beneficial owner or constructive owner of more than 5% (or such lower percentage as required by the Code or the regulations promulgated thereunder) in number of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 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certificates representing shares of GLPI stock will bear a legend referring to the restrictions on ownership and transfer of GLPI stock described above.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restrictions on ownership and transfer of GLPI stock described above could delay, defer or prevent a transaction or a change in control that might involve a premium price for GLPI common stock or otherwise be in the best interests of GLPI shareholders.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Redemption of Securities Owned or Controlled by an Unsuitable Person or Affiliate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1155"/>
                <wp:effectExtent l="0" t="0" r="0" b="0"/>
                <wp:wrapNone/>
                <wp:docPr id="131" name="Frame1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 control of any securities of GLPI, failure or refusal to comply with the provisions of the Articles of Incorporation, or failure to divest himself, herself or itself of any securities when and in the specific manner required by a gaming authority or the Articles of Incorporation.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Transfer Agent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GLPI common stock is Continental Stock Transfer &amp; Trust.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DESCRIPTION OF DEBT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issue debt securities in one or more series under an indenture dated October 30, 2013 among GLP Capital, L.P. and GLP Financing II, Inc., two wholly-owned Subsidiaries of GLPI, as issuers, GLPI as parent guarantor and Computershare Trust Company, N.A., as successor to Wells Fargo Bank, National Association, as trustee. The terms of the debt securities include those stated in the base indenture as supplemented by the supplemental indenture or officer’s certificate related to such debt securities (the base indenture, as supplemented, is referred to as the “indenture”) and those made part of the indenture by reference to the Trust Indenture Act of 1939, as amended (the “TIA”).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description, (1) the “Operating Partnership” refers only to GLP Capital, L.P., and not to any of its Subsidiaries, (2) “Capital Corp.” refers only to GLP Financing II, Inc., and not to any of its Subsidiaries, (3) “Issuers,” “we,” “us” and “our” refer only to the Operating Partnership and Capital Corp., and (4) “Guarantor” refers only to GLPI and not to any of its Subsidiaries. Other defined terms used in this description but not defined below under the caption “-Certain Definitions” have the meanings assigned to them in the indenture.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is a summary of the material provisions of our existing senior unsecured notes (as defined below) and the indenture. It does not restate the indenture in its entirety. The summary is qualified in its entirety by reference to the full text of the base indenture and supplemental indentures, which are included as exhibits to GLPI’s Annual Report on Form 10-K for the year ended December 31, 2023, of which this exhibit is a part.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holder of an existing senior unsecured note is treated as the owner of it for all purposes. Only registered holders have rights under the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5.375% Senior Unsecured Notes Due 2026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28, 2016, the Issuers issued $975 million of 5.375% senior unsecured notes maturing on April 15, 2026 (the “2026 Notes”), all of which were outstanding as of December 31, 2023. Interest on the 2026 Notes accrues at the rate of 5.375% per annum and is payable semi-annually on April 15 and October 15 of each year. The Issuers will make each interest payment on the 2026 Notes to the holders of record on the immediately preceding April 1 and October 1. Interest on the 2026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5.75% Senior Unsecured Notes Due 2028</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21, 2018, the Issuers issued $500 million of 5.75% senior unsecured notes maturing on June 1, 2028 (the “2028 Notes”), all of which were outstanding as of December 31, 2023. Interest on the 2028 Notes accrues at the rate of 5.75% per annum and is payable semi-annually on June 1 and December 1 of each year. The Issuers will make each interest payment on the 2028 Notes to the holders of record on the immediately preceding May 15 and November 15. Interest on the 2028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2" name="Frame1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5.25% Senior Unsecured Notes Due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2018, the Issuers issued $500 million of 5.25% senior unsecured notes maturing on June 1, 2025 (the “Initial 2025 Notes”). On September 26, 2018, the Issuers issued an additional $350 million of 5.25% senior unsecured notes maturing on June 1, 2025 (the “New 2025 Notes,” and together with the Initial 2025 Notes, the “2025 Notes,”) which such notes became part of the same series as the Initial 2025 Notes. All of the 2025 Notes were outstanding as of December 31, 2023. Interest on the 2025 Notes accrues at the rate of 5.25% per annum and is payable semi-annually on June 1 and December 1 of each year. The Issuers will make each interest payment on the 2025 Notes to the holders of record on the immediately preceding May 15 and November 15. Interest on the 2025 Notes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5.30% Senior Unsecured Notes Due 2029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26, 2018, the Issuers issued $750 million of 5.30% senior unsecured notes maturing on January 15, 2029 (the “2029 Notes”), all of which were outstanding as of December 31, 2023. Interest on the 2029 Notes accrues at the rate of 5.30% per annum and is payable semi-annually on January 15 and July 15 of each year. The Issuers will make each interest payment on the 2029 Notes to the holders of record on the immediately preceding January 1 and July 1. Interest on the 2029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3.350% Senior Unsecured Notes Due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29, 2019, the Issuers issued $400 million of 3.350% senior unsecured notes maturing on September 1, 2024 (the “2024 Notes”), all of which were outstanding as of December 31, 2023. Interest on the 2024 Notes accrues at the rate of 3.350% per annum and is payable semi-annually on March 1 and September 1 of each year. The Issuers will make each interest payment on the 2024 Notes to the holders of record on the immediately preceding February 15 and August 15. Interest on the 2024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4.000% Senior Unsecured Notes Due 2030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2019, the Issuers issued $700 million of 4.000% senior unsecured notes maturing on January 15, 2030 (the “2030 Notes”, all of which were outstanding as of December 31, 2023. Interest on the 2030 Notes accrues at the rate of 4.000% per annum and is payable semi-annually on January 15 and July 15 of each year. The Issuers will make each interest payment on the 2030 Notes to the holders of record on the immediately preceding January 1 and July 1. Interest on the 2030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3" name="Frame1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4.000% Senior Unsecured Notes Due 2031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2020, the Issuers issued $500 million of 4.000% senior unsecured notes maturing on January 15, 2031 (the “Initial 2031 Notes”). On August 18, 2020, the Issuers issued an additional $200 million of 4.000% senior unsecured notes maturing on January 15, 2031 (the “New 2031 Notes,” and together with the Initial 2031 Notes, the “2031 Notes,”). All of the 2031 Notes were outstanding as of December 31, 2023. Interest on the 2031 Notes accrues at the rate of 4.000% per annum and is payable semi-annually on January 15 and July 15 of each year. The Issuers will make each interest payment on the 2031 Notes to the holders of record on the immediately preceding January 1 and July 1. Interest on the 2031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3.250% Senior Unsecured Notes Due 2032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13, 2021, the Issuers issued $800 million of 3.250% senior unsecured notes maturing on January 15, 2032 (the “2032 Notes,”. All of the 2032 Notes were outstanding as of December 31, 2023. Interest on the 2031 Notes accrues at the rate of 3.250% per annum and is payable semi-annually on January 15 and July 15 of each year. The Issuers will make each interest payment on the 2032 Notes to the holders of record on the immediately preceding January 1 and July 1. Interest on the 2032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6.750% Senior Unsecured Notes Due 2033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22, 2023, the Issuers issued $400 million of 6.750% senior unsecured notes maturing on December 1, 2033 (the “2033 Notes,” and together with the 2026 Notes, the 2028 Notes, the 2025 Notes, the 2029 Notes, the 2024 Notes, the 2030 Notes, the 2031 Notes and the 2032 Notes, the “existing senior unsecured notes” or the “notes”). All of the 2033 Notes were outstanding as of December 31, 2023. Interest on the 2033 Notes accrues at the rate of 6.750% per annum and is payable semi-annually on June 1 and December 1 of each year, commencing on June 1, 2024. The Issuers will make each interest payment on the 2033 Notes to the holders of record on the immediately preceding May 15 and November 15. Interest on the 2033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Brief Description of the Existing Senior Unsecured Notes and the Existing Senior Unsecured Notes Guarantee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series of existing senior unsecured notes: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represents general senior unsecured obligations of the Issuers;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i/>
          <w:color w:val="000000"/>
          <w:sz w:val="20"/>
        </w:rPr>
        <w:t>pari passu</w:t>
      </w:r>
      <w:r>
        <w:rPr>
          <w:color w:val="000000"/>
        </w:rPr>
        <w:t> </w:t>
      </w:r>
      <w:r>
        <w:rPr>
          <w:rFonts w:ascii="Times New Roman;sans-serif" w:hAnsi="Times New Roman;sans-serif"/>
          <w:b w:val="false"/>
          <w:color w:val="000000"/>
          <w:sz w:val="20"/>
        </w:rPr>
        <w:t xml:space="preserve">in right of payment with all of the Issuers’ senior indebtedness, including all of the other series of existing senior unsecured notes and borrowings under the Revolving Credit Agreement and Term Loan Credit Agreement, without giving effect to collateral arrangements;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is effectively subordinated in right of payment to all of the Issuers' secured indebtedness to the extent of the value of the assets securing such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is senior in right of payment to all of the Issuers’ senior subordinated or subordinated indebtedness;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is structurally subordinated to all liabilities of the Issuers’ Subsidiaries (other than Capital Corp., which is a co-Issuer of the notes);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is fully and unconditionally guaranteed by the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4" name="Frame1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existing senior unsecured notes are guaranteed by the Guarantor; however, the Guarantor is not subject to most of the covenants in the indenture.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of each series of the existing senior unsecured notes: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represents general unsecured obligation of the Guarantor;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i/>
          <w:color w:val="000000"/>
          <w:sz w:val="20"/>
        </w:rPr>
        <w:t>pari passu</w:t>
      </w:r>
      <w:r>
        <w:rPr>
          <w:color w:val="000000"/>
        </w:rPr>
        <w:t> </w:t>
      </w:r>
      <w:r>
        <w:rPr>
          <w:rFonts w:ascii="Times New Roman;sans-serif" w:hAnsi="Times New Roman;sans-serif"/>
          <w:b w:val="false"/>
          <w:color w:val="000000"/>
          <w:sz w:val="20"/>
        </w:rPr>
        <w:t xml:space="preserve">in right of payment with all of the Guarantor’s senior indebtedness, including its guarantee of all of the other series of existing senior unsecured notes and borrowings under the Revolving Credit Agreement and Term Loan Credit Agreement, without giving effect to collateral arrangements;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is effectively subordinated in right of payment to all of the Guarantor’s secured indebtedness to the extent of the value of the assets securing such indebtedness;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is senior in right of payment to all of the Guarantor’s senior subordinated or subordinated indebtedness;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is structurally subordinated to all liabilities of the Guarantor’s Subsidiaries (other than the Issuers).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 of the Guarantor under its guarantee is limited as necessary to prevent that guarantee from constituting a fraudulent conveyance under applicable law.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Issuers, the Guarantor and the Issuers’ Subsidiaries had no indebtedness outstanding under the Revolving Credit Agreement and Term Loan Credit Agreement. The indenture permits the Issuers and the Issuers’ Subsidiaries to incur substantial additional indebtedness and does not limit the amount of indebtedness that the Guarantor may incur.</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Additional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may issue additional notes of a series the same as or different from any of the series of the existing senior unsecured notes from time to time under the indenture. Any issuance of additional notes is subject to the covenants set forth below under “-Certain Covenants-Limitations on Incurrence of Indebtedness.” Any additional notes of the same series as any of the series of the existing senior unsecured notes subsequently issued will be treated as a single series with the applicable series of the existing senior unsecured notes for all purposes under the indenture, including, without limitation, waivers, amendments, redemptions and offers to purchase. The Issuers issue notes in denominations of $2,000 and integral multiples of $1,000. </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Sinking Fund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will not be entitled to the benefit of any sinking fund.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Redemption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Optional Redemption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redeem all or part of any series of the notes other than the 2033 Notes at any time at our option at a redemption price equal to the greater of: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100% of the principal amount of the notes to be redeemed, and </w:t>
      </w:r>
    </w:p>
    <w:p>
      <w:pPr>
        <w:pStyle w:val="TextBody"/>
        <w:bidi w:val="0"/>
        <w:spacing w:lineRule="auto" w:line="288" w:before="120" w:after="283"/>
        <w:jc w:val="left"/>
        <w:rPr/>
      </w:pPr>
      <w:r>
        <w:rPr>
          <w:rFonts w:ascii="Times New Roman;sans-serif" w:hAnsi="Times New Roman;sans-serif"/>
          <w:b w:val="false"/>
          <w:color w:val="000000"/>
          <w:sz w:val="20"/>
        </w:rPr>
        <w:t>(2)    the sum of the present values of the remaining scheduled payments of principal and interest thereon that would be due if such notes matured 90 days prior to their maturity date (or 30 days in the case of the 2024 Notes or three months in the case of the 2032 Notes) (the “</w:t>
      </w:r>
      <w:r>
        <w:rPr>
          <w:rFonts w:ascii="Times New Roman;sans-serif" w:hAnsi="Times New Roman;sans-serif"/>
          <w:b w:val="false"/>
          <w:i/>
          <w:color w:val="000000"/>
          <w:sz w:val="20"/>
        </w:rPr>
        <w:t>Par Call Date</w:t>
      </w:r>
      <w:r>
        <w:rPr>
          <w:color w:val="000000"/>
        </w:rPr>
        <w:t>”</w:t>
      </w:r>
      <w:r>
        <w:rPr>
          <w:rFonts w:ascii="Times New Roman;sans-serif" w:hAnsi="Times New Roman;sans-serif"/>
          <w:b w:val="false"/>
          <w:color w:val="000000"/>
          <w:sz w:val="20"/>
        </w:rPr>
        <w:t>) but for the redemption thereof (exclusive of interest accrued to, but not including, the date of redemption) discounted to the date of redemption on a semi-annual basis (assuming a 360-day year consisting of twelve 30-day months) at the Treasury Rate (or the Adjusted Treasury Rate in the case of the 2032 Notes and the 2031 Notes)</w:t>
      </w:r>
      <w:r>
        <w:rPr>
          <w:color w:val="000000"/>
        </w:rPr>
        <w:t>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50 basis points (or 40 basis points in the case of the 2030 Notes, 30 basis points in the case of the 2032 Notes and the 2024 Notes and 35 basis points in the case of the 2029 Notes),</w:t>
      </w:r>
      <w:r>
        <w:rPr>
          <w:color w:val="000000"/>
        </w:rPr>
        <w:t>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accrued and unpaid interest on the amount being redeemed to, but not including, the date of redemption;</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we redeem the notes on or after the applicable Par Call Date, the redemption price will equal 100% of the principal amount of the notes to be redeemed</w:t>
      </w:r>
      <w:r>
        <w:rPr>
          <w:color w:val="000000"/>
        </w:rPr>
        <w:t>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accrued and unpaid interest on the amount being redeemed to, but not including, the date of redemption;</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installments of interest that are due and payable on any interest payment dates falling on or prior to a redemption date shall be payable on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5" name="Frame1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interest payment dates to the persons who were registered holders of the notes to be redeemed at the close of business on the applicable record dates. </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2033 Notes, (A) prior to September 1, 2033 (3 months prior to their maturity date) (the “2033 Notes Par Call Date”), we may redeem all or part of the 2033 Notes at any time and from time to time, at a redemption price (expressed as a percentage of principal amount and rounded to three decimal places) equal to the greater of:</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(a) the sum of the present values of the remaining scheduled payments of principal and interest thereon discounted to the redemption date (assuming the 2033 Notes matured on the 2033 Notes Par Call Date) on a semi-annual basis (assuming a 360-day year consisting of twelve 30-day months) at the 2033 Notes Treasury Rate plus 40 basis points less (b) interest accrued to the date of redemption, and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 xml:space="preserve">100% of the principal amount of the 2033 Notes to be redeemed,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in either case, accrued and unpaid interest thereon to the redemption date; and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on or after the 2033 Notes Par Call Date, we may redeem all or any part of the 2033 Notes at any time and from time to time at a redemption price equal to 100% of the principal amount of the 2033 Notes being redeemed plus accrued and unpaid interest thereon to the redemption date.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actions and determinations in determining the redemption price for redemption of the 2033 Notes shall be conclusive and binding for all purposes, absent manifest error.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default in our payment of the redemption price, on and after the redemption date, interest will cease to accrue on the notes or portions of such notes called for redemption.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Comparable Treasury Issue</w:t>
      </w:r>
      <w:r>
        <w:rPr>
          <w:color w:val="000000"/>
        </w:rPr>
        <w:t xml:space="preserve">” </w:t>
      </w:r>
      <w:r>
        <w:rPr>
          <w:rFonts w:ascii="Times New Roman;sans-serif" w:hAnsi="Times New Roman;sans-serif"/>
          <w:b w:val="false"/>
          <w:color w:val="000000"/>
          <w:sz w:val="20"/>
        </w:rPr>
        <w:t>means the United States Treasury security selected by the Quotation Agent as having a maturity comparable to the remaining term of the applicable series of notes being redeemed calculated as if the maturity date of such notes was the applicable Par Call Date (as applicable, the “</w:t>
      </w:r>
      <w:r>
        <w:rPr>
          <w:rFonts w:ascii="Times New Roman;sans-serif" w:hAnsi="Times New Roman;sans-serif"/>
          <w:b w:val="false"/>
          <w:i/>
          <w:color w:val="000000"/>
          <w:sz w:val="20"/>
        </w:rPr>
        <w:t>Remaining Life</w:t>
      </w:r>
      <w:r>
        <w:rPr>
          <w:color w:val="000000"/>
        </w:rPr>
        <w:t>”</w:t>
      </w:r>
      <w:r>
        <w:rPr>
          <w:rFonts w:ascii="Times New Roman;sans-serif" w:hAnsi="Times New Roman;sans-serif"/>
          <w:b w:val="false"/>
          <w:color w:val="000000"/>
          <w:sz w:val="20"/>
        </w:rPr>
        <w:t xml:space="preserve">), that would be utilized, at the time of selection and in accordance with customary financial practice, in pricing new issues of corporate debt securities of comparable maturity to the Remaining Life of such series of notes.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Comparable Treasury Price</w:t>
      </w:r>
      <w:r>
        <w:rPr>
          <w:color w:val="000000"/>
        </w:rPr>
        <w:t xml:space="preserve">” </w:t>
      </w:r>
      <w:r>
        <w:rPr>
          <w:rFonts w:ascii="Times New Roman;sans-serif" w:hAnsi="Times New Roman;sans-serif"/>
          <w:b w:val="false"/>
          <w:color w:val="000000"/>
          <w:sz w:val="20"/>
        </w:rPr>
        <w:t xml:space="preserve">means, with respect to any redemption date, (1) the average of four Reference Treasury Dealer Quotations for such redemption date, after excluding the highest and lowest of such Reference Treasury Dealer Quotations, or (2) if the Issuers are provided fewer than four such Reference Treasury Dealer Quotations, the average of all such quotations.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Quotation Agent</w:t>
      </w:r>
      <w:r>
        <w:rPr>
          <w:color w:val="000000"/>
        </w:rPr>
        <w:t xml:space="preserve">” </w:t>
      </w:r>
      <w:r>
        <w:rPr>
          <w:rFonts w:ascii="Times New Roman;sans-serif" w:hAnsi="Times New Roman;sans-serif"/>
          <w:b w:val="false"/>
          <w:color w:val="000000"/>
          <w:sz w:val="20"/>
        </w:rPr>
        <w:t xml:space="preserve">means the Reference Treasury Dealer appointed by the Issuers to act as the Quotation Agent from time to time.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Reference Treasury Dealer</w:t>
      </w:r>
      <w:r>
        <w:rPr>
          <w:color w:val="000000"/>
        </w:rPr>
        <w:t xml:space="preserve">” </w:t>
      </w:r>
      <w:r>
        <w:rPr>
          <w:rFonts w:ascii="Times New Roman;sans-serif" w:hAnsi="Times New Roman;sans-serif"/>
          <w:b w:val="false"/>
          <w:color w:val="000000"/>
          <w:sz w:val="20"/>
        </w:rPr>
        <w:t xml:space="preserve">means (1) with respect to the 2030 Notes and 2024 Notes, Wells Fargo Securities, LLC and its successors, BofA Securities, Inc. and its successors, Fifth Third Securities, Inc. and its successors and J.P. Morgan Securities LLC and its successors; (2) with respect to the 2029 Notes, Merrill Lynch, Pierce, Fenner &amp; Smith Incorporated, J.P. Morgan Securities LLC and Wells Fargo Securities, LLC and their respective successors; (3) with respect to the 2025 Notes and 2028 Notes, Wells Fargo Securities, LLC and its successors and (4) with respect to the 2026 Notes, J.P. Morgan Securities LLC or Merrill Lynch, Pierce, Fenner &amp; Smith Incorporated and their respective successors;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if any of the foregoing shall cease to be a primary U.S. Government securities dealer in New York City (a “</w:t>
      </w:r>
      <w:r>
        <w:rPr>
          <w:rFonts w:ascii="Times New Roman;sans-serif" w:hAnsi="Times New Roman;sans-serif"/>
          <w:b w:val="false"/>
          <w:i/>
          <w:color w:val="000000"/>
          <w:sz w:val="20"/>
        </w:rPr>
        <w:t>Primary Treasury Dealer</w:t>
      </w:r>
      <w:r>
        <w:rPr>
          <w:color w:val="000000"/>
        </w:rPr>
        <w:t>”</w:t>
      </w:r>
      <w:r>
        <w:rPr>
          <w:rFonts w:ascii="Times New Roman;sans-serif" w:hAnsi="Times New Roman;sans-serif"/>
          <w:b w:val="false"/>
          <w:color w:val="000000"/>
          <w:sz w:val="20"/>
        </w:rPr>
        <w:t xml:space="preserve">), we will substitute therefor another Primary Treasury Dealer, and (5) any other Primary Treasury Dealers selected by the Issuers.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Reference Treasury Dealer Quotations</w:t>
      </w:r>
      <w:r>
        <w:rPr>
          <w:color w:val="000000"/>
        </w:rPr>
        <w:t xml:space="preserve">” </w:t>
      </w:r>
      <w:r>
        <w:rPr>
          <w:rFonts w:ascii="Times New Roman;sans-serif" w:hAnsi="Times New Roman;sans-serif"/>
          <w:b w:val="false"/>
          <w:color w:val="000000"/>
          <w:sz w:val="20"/>
        </w:rPr>
        <w:t xml:space="preserve">means, with respect to each Reference Treasury Dealer and any redemption date, the average, as determined by an Issuer, of the bid and asked prices for the Comparable Treasury Issue (expressed in each case as a percentage of its principal amount) quoted in writing to the Issuers by such Reference Treasury Dealer at 5:00 p.m., New York City time, on the third business day preceding such redemption date (or in the case of the notes that reference a Reference Treasury Dealer other than the 2026 Notes, the third business day preceding the relevant Deposit Date in connection with the satisfaction and discharge of notes in accordance with the terms of the indenture).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Treasury Rate</w:t>
      </w:r>
      <w:r>
        <w:rPr>
          <w:color w:val="000000"/>
        </w:rPr>
        <w:t xml:space="preserve">” </w:t>
      </w:r>
      <w:r>
        <w:rPr>
          <w:rFonts w:ascii="Times New Roman;sans-serif" w:hAnsi="Times New Roman;sans-serif"/>
          <w:b w:val="false"/>
          <w:color w:val="000000"/>
          <w:sz w:val="20"/>
        </w:rPr>
        <w:t xml:space="preserve">means, with respect to any redemption date for the redemption of notes other than the 2033 Notes, the rate per annum equal to the semi-annual equivalent yield to maturity of the Comparable Treasury Issue, assuming a price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1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Comparable Treasury Issue (expressed as a percentage of its principal amount) equal to the Comparable Treasury Price on such redemption date.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Gaming Redemption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foregoing, if any Gaming Authority requires that a holder or Beneficial Owner of notes must be licensed, qualified or found suitable under any applicable Gaming Laws and such holder or Beneficial Owner: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fails to apply for a license, qualification or a finding of suitability within 30 days (or such shorter period as may be required by the applicable Gaming Authority) after being requested to do so by the Gaming Authority, or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is denied such license or qualification or not found suitable, or if any Gaming Authority otherwise requires that notes from any holder or Beneficial Owner be redeemed, subject to applicable Gaming Laws the Issuers shall have the right, at their option: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to require any such holder or Beneficial Owner to dispose of its notes within 30 days (or such earlier date as may be required by the applicable Gaming Authority) of receipt of such notice or finding by such Gaming Authority,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to call for the redemption of the notes of such holder or Beneficial Owner at a redemption price equal to the least of: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principal amount thereof, together with accrued interest to the earlier of the date of redemption or the date of the denial of license or qualification or of the finding of unsuitability by such Gaming Authority,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the price at which such holder or Beneficial Owner acquired the notes, together with accrued interest to the earlier of the date of redemption or the date of the denial of license or qualification or of the finding of unsuitability by such Gaming Authority,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such other lesser amount as may be required by any Gaming Authority.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shall notify the trustee in writing of any such redemption as soon as practicable. The holder or Beneficial Owner applying for license, qualification or a finding of suitability must pay all costs of the licensure or investigation for such qualification or finding of suitability.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 Mandatory Redemption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are not required to make mandatory redemption or sinking fund payments with respect to the notes.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Selection and Notice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less than all of the notes of any series other than the 2033 Notes are to be redeemed at any time, the trustee will select notes of such series for redemption as follows: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if the notes are listed on any national securities exchange, in compliance with the requirements of the principal national securities exchange on which the notes are listed; or </w:t>
      </w:r>
    </w:p>
    <w:p>
      <w:pPr>
        <w:pStyle w:val="TextBody"/>
        <w:bidi w:val="0"/>
        <w:spacing w:lineRule="auto" w:line="288" w:before="120" w:after="283"/>
        <w:jc w:val="left"/>
        <w:rPr/>
      </w:pPr>
      <w:r>
        <w:rPr>
          <w:rFonts w:ascii="Times New Roman;sans-serif" w:hAnsi="Times New Roman;sans-serif"/>
          <w:b w:val="false"/>
          <w:color w:val="000000"/>
          <w:sz w:val="20"/>
        </w:rPr>
        <w:t>(2)    if the notes are not listed on any national securities exchange, on a</w:t>
      </w:r>
      <w:r>
        <w:rPr>
          <w:color w:val="000000"/>
        </w:rPr>
        <w:t> </w:t>
      </w:r>
      <w:r>
        <w:rPr>
          <w:rFonts w:ascii="Times New Roman;sans-serif" w:hAnsi="Times New Roman;sans-serif"/>
          <w:b w:val="false"/>
          <w:i/>
          <w:color w:val="000000"/>
          <w:sz w:val="20"/>
        </w:rPr>
        <w:t>pro rata</w:t>
      </w:r>
      <w:r>
        <w:rPr>
          <w:color w:val="000000"/>
        </w:rPr>
        <w:t> </w:t>
      </w:r>
      <w:r>
        <w:rPr>
          <w:rFonts w:ascii="Times New Roman;sans-serif" w:hAnsi="Times New Roman;sans-serif"/>
          <w:b w:val="false"/>
          <w:color w:val="000000"/>
          <w:sz w:val="20"/>
        </w:rPr>
        <w:t xml:space="preserve">basis, by lot or by such method as the trustee deems fair and appropriate and in accordance with DTC procedures. </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notes of $2,000 or less can be redeemed in part. Notices of redemption of notes other than the 2033 Notes will be mailed by first class mail (or in the case of global notes, given pursuant to applicable DTC procedures) at least 30 (or 15 in the case of the 2032 Notes and the 2031 Notes) but not more than 60 days before the redemption date to each holder of notes to be redeemed at its registered address and notices of redemption of the 2033 Notes will be mailed or electronically delivered (or otherwise transmitted in accordance with the depositary’s procedures) at least 10 days but not more than 60 days before the redemption date to each holder of notes to be redeemed, except that (a) with respect to notes other than the 2033 Notes, redemption notices may be mailed or given more than 60 days prior to a redemption date if the notice is issued in connection with a defeasance of the notes or a satisfaction and discharge of the indenture, and (b) redemption notices may be mailed or given less than 30 days (or 10 days in the case of the 2033 Notes and 15 days in the case of the 2032 Notes and the 2031 Notes) or more than 60 days prior to a redemption date if so required by any applicable Gaming Authority in connection with a redemption described above under the caption “—Redemption-Gaming Redemption.” </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a partial redemption of the 2033 Notes, selection of the 2033 Notes for redemption will be made pro rata, by lot or by such other method as the Trustee in its sole discretion deems appropriate and fair. If any note (not limited to the 2033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1155"/>
                <wp:effectExtent l="0" t="0" r="0" b="0"/>
                <wp:wrapNone/>
                <wp:docPr id="137" name="Frame1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0"/>
        </w:rPr>
        <w:t>Notes)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(or surrender for cancellation in the case of the 2033 Notes) of the original note. Notes other than the 2033 Notes called for redemption become due on the date fixed for redemption (subject to satisfaction of any applicable conditions precedent).</w:t>
      </w:r>
      <w:r>
        <w:rPr>
          <w:color w:val="000000"/>
        </w:rPr>
        <w:t xml:space="preserve"> </w:t>
      </w:r>
      <w:r>
        <w:rPr>
          <w:rFonts w:ascii="Times New Roman;sans-serif" w:hAnsi="Times New Roman;sans-serif"/>
          <w:b w:val="false"/>
          <w:color w:val="000000"/>
          <w:sz w:val="20"/>
        </w:rPr>
        <w:t>For so long as the 2033 Notes are held by DTC (or other depository), the redemption of the 2033 Notes shall be done in accordance with the policies and procedures of the depositary.</w:t>
      </w:r>
      <w:r>
        <w:rPr>
          <w:color w:val="000000"/>
        </w:rPr>
        <w:t xml:space="preserve"> </w:t>
      </w:r>
      <w:r>
        <w:rPr>
          <w:rFonts w:ascii="Times New Roman;sans-serif" w:hAnsi="Times New Roman;sans-serif"/>
          <w:b w:val="false"/>
          <w:color w:val="000000"/>
          <w:sz w:val="20"/>
        </w:rPr>
        <w:t xml:space="preserve">Unless we default in the payment of the redemption price, on and after the redemption date, interest ceases to accrue on notes or portions of them called for redemption. For the avoidance of doubt, the trustee shall not have any responsibility for calculating the redemption price.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applicable securities laws, the Issuers or their affiliates may at any time and from time to time purchase notes or other indebtedness. Any such purchases may be made through open market or privately negotiated transactions with third parties or pursuant to one or more tender or exchange offers or otherwise, upon such terms and at such prices as well as with such consideration as the Issuers or any such affiliates may determine.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Repurchase at the Option of Holders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of Control and Rating Decline </w:t>
      </w:r>
    </w:p>
    <w:p>
      <w:pPr>
        <w:pStyle w:val="TextBody"/>
        <w:bidi w:val="0"/>
        <w:spacing w:before="12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If a Change of Control Triggering Event occurs with respect to a series of notes other than the 2033 Notes, 2032 Notes or the 2031 Notes, each holder of such notes will have the right to require the Issuers to repurchase all or any part (equal to $2,000 or an integral multiple of $1,000) of that holder’s notes of the applicable series pursuant to an offer by the Issuers (a “</w:t>
      </w:r>
      <w:r>
        <w:rPr>
          <w:rFonts w:ascii="Times New Roman;sans-serif" w:hAnsi="Times New Roman;sans-serif"/>
          <w:b w:val="false"/>
          <w:i/>
          <w:color w:val="000000"/>
          <w:sz w:val="20"/>
        </w:rPr>
        <w:t>Change of Control Offer</w:t>
      </w:r>
      <w:r>
        <w:rPr>
          <w:color w:val="000000"/>
        </w:rPr>
        <w:t>”</w:t>
      </w:r>
      <w:r>
        <w:rPr>
          <w:rFonts w:ascii="Times New Roman;sans-serif" w:hAnsi="Times New Roman;sans-serif"/>
          <w:b w:val="false"/>
          <w:color w:val="000000"/>
          <w:sz w:val="20"/>
        </w:rPr>
        <w:t>) on the terms set forth in the indenture, except to the extent the Issuers have previously redeemed such notes as described under “—Redemption-Optional Redemption.” In the Change of Control Offer, the Issuers will offer a payment in cash equal to 101% of the aggregate principal amount of notes repurchased</w:t>
      </w:r>
      <w:r>
        <w:rPr>
          <w:color w:val="000000"/>
        </w:rPr>
        <w:t>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accrued and unpaid interest on the notes repurchased, to the date of purchase (the “</w:t>
      </w:r>
      <w:r>
        <w:rPr>
          <w:rFonts w:ascii="Times New Roman;sans-serif" w:hAnsi="Times New Roman;sans-serif"/>
          <w:b w:val="false"/>
          <w:i/>
          <w:color w:val="000000"/>
          <w:sz w:val="20"/>
        </w:rPr>
        <w:t>Change of Control Payment</w:t>
      </w:r>
      <w:r>
        <w:rPr>
          <w:color w:val="000000"/>
        </w:rPr>
        <w:t>”</w:t>
      </w:r>
      <w:r>
        <w:rPr>
          <w:rFonts w:ascii="Times New Roman;sans-serif" w:hAnsi="Times New Roman;sans-serif"/>
          <w:b w:val="false"/>
          <w:color w:val="000000"/>
          <w:sz w:val="20"/>
        </w:rPr>
        <w:t xml:space="preserve">). Within 30 days following the occurrence of a Change of Control Triggering Event, the Issuers will mail a notice to each holder describing the transaction or transactions that constitute, or are expected to constitute, the Change of Control Triggering Event, and offering to repurchase notes on the date (the “Change of Control Payment Date”) specified in the notice, which date will be no earlier than 30 days and no later than 60 days after the date such notice is mailed (or in the case of global notes, given pursuant to applicable DTC procedures),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conflict.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Change of Control Payment Date, the Issuers will, to the extent lawful: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accept for payment all notes or portions of notes properly tendered pursuant to the Change of Control Offer;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deposit with the paying agent an amount equal to the Change of Control Payment in respect of all notes or portions of notes properly tendered;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deliver or cause to be delivered to the trustee the notes properly accepted together with an officer’s certificate stating the aggregate principal amount of notes or portions of notes being purchased by the Issuers. </w:t>
      </w:r>
    </w:p>
    <w:p>
      <w:pPr>
        <w:pStyle w:val="TextBody"/>
        <w:bidi w:val="0"/>
        <w:spacing w:lineRule="auto" w:line="288" w:before="240" w:after="283"/>
        <w:jc w:val="left"/>
        <w:rPr/>
      </w:pPr>
      <w:r>
        <w:rPr>
          <w:rFonts w:ascii="Times New Roman;sans-serif" w:hAnsi="Times New Roman;sans-serif"/>
          <w:b w:val="false"/>
          <w:color w:val="000000"/>
          <w:sz w:val="20"/>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each new note will be in a principal amount of $2,000 or an integral multiple of $1,000.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provisions described above that require the Issuers to make a Change of Control Offer following the occurrence of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that the Issuers repurchase or redeem the notes in the event of a takeover, recapitalization or similar transaction.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will not be required to make a Change of Control Offer upon the occurrence of a Change of Control Triggering Event if a third party makes the Change of Control Offer in the manner, at the times and otherwise in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1155"/>
                <wp:effectExtent l="0" t="0" r="0" b="0"/>
                <wp:wrapNone/>
                <wp:docPr id="138" name="Frame1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the requirements set forth in the indenture applicable to a Change of Control Offer made by the Issuers and purchases all notes properly tendered and not withdrawn under the Change of Control Offer. Notwithstanding anything to the contrary herein, a Change of Control Offer may be made in advance of an anticipated Change of Control Triggering Event, conditional upon such Change of Control Triggering Event. </w:t>
      </w:r>
    </w:p>
    <w:p>
      <w:pPr>
        <w:pStyle w:val="TextBody"/>
        <w:bidi w:val="0"/>
        <w:spacing w:lineRule="auto" w:line="288" w:before="240" w:after="283"/>
        <w:jc w:val="left"/>
        <w:rPr/>
      </w:pPr>
      <w:r>
        <w:rPr>
          <w:rFonts w:ascii="Times New Roman;sans-serif" w:hAnsi="Times New Roman;sans-serif"/>
          <w:b w:val="false"/>
          <w:color w:val="000000"/>
          <w:sz w:val="20"/>
        </w:rPr>
        <w:t>If holders of not less than 90% in aggregate principal amount of the outstanding applicable series of notes validly tender and do not withdraw such notes in a Change of Control Offer and the Issuers, or any third party making a Change of Control Offer in lieu of the Issuers as described above,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of the applicable series that remain outstanding following such purchase at a price in cash equal to 101% of the principal amount thereof</w:t>
      </w:r>
      <w:r>
        <w:rPr>
          <w:color w:val="000000"/>
        </w:rPr>
        <w:t>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 xml:space="preserve">accrued and unpaid interest to, but not including the date of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definition of “Change of Control” includes a phrase relating to the direct or indirect sale, transfer, conveyance or other disposition of “all or substantially all” of the properties or assets of the Guarantor, the Issuers and their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the Guarantor, the Issuers and their Subsidiaries taken as a whole to another Person or group may be uncertain.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Agreement provides that certain change of control events with respect to the Issuers would constitute a default under the Revolving Credit Agreement. Any future credit agreements or other agreements to which any of the Issuers becomes a party may contain similar provisions. In the event a Change of Control Triggering Event occurs at a time when the Issuers are prohibited from purchasing notes, the Issuers could seek the consent of their senior lenders to the purchase of notes or could attempt to refinance the borrowings that contain such prohibition. If the Issuers do not obtain such a consent or repay such borrowings, the Issuers will remain prohibited from purchasing notes. In such case, the Issuers’ failure to purchase tendered notes would constitute a default under the indenture which could, in turn, constitute a default under such other indebtedness.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Certain Covenants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Limitations on Incurrence of Indebtedness </w:t>
      </w:r>
    </w:p>
    <w:p>
      <w:pPr>
        <w:pStyle w:val="TextBody"/>
        <w:bidi w:val="0"/>
        <w:spacing w:lineRule="auto" w:line="288" w:before="120" w:after="283"/>
        <w:jc w:val="left"/>
        <w:rPr/>
      </w:pPr>
      <w:r>
        <w:rPr>
          <w:rFonts w:ascii="Times New Roman;sans-serif" w:hAnsi="Times New Roman;sans-serif"/>
          <w:b w:val="false"/>
          <w:i/>
          <w:color w:val="000000"/>
          <w:sz w:val="20"/>
        </w:rPr>
        <w:t>Limitation on Total Debt.</w:t>
      </w:r>
      <w:r>
        <w:rPr>
          <w:color w:val="000000"/>
        </w:rPr>
        <w:t> </w:t>
      </w:r>
      <w:r>
        <w:rPr>
          <w:rFonts w:ascii="Times New Roman;sans-serif" w:hAnsi="Times New Roman;sans-serif"/>
          <w:b w:val="false"/>
          <w:color w:val="000000"/>
          <w:sz w:val="20"/>
        </w:rPr>
        <w:t>The Issuers shall not, and shall not permit any of their Subsidiaries to, incur any Indebtedness (other than Permitted Debt) if, immediately after giving effect to the incurrence of such additional Indebtedness, the Total Debt of the Issuers and their Subsidiaries on a</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i/>
          <w:color w:val="000000"/>
          <w:sz w:val="20"/>
        </w:rPr>
        <w:t>basis</w:t>
      </w:r>
      <w:r>
        <w:rPr>
          <w:color w:val="000000"/>
        </w:rPr>
        <w:t xml:space="preserve"> </w:t>
      </w:r>
      <w:r>
        <w:rPr>
          <w:rFonts w:ascii="Times New Roman;sans-serif" w:hAnsi="Times New Roman;sans-serif"/>
          <w:b w:val="false"/>
          <w:color w:val="000000"/>
          <w:sz w:val="20"/>
        </w:rPr>
        <w:t>(including</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application of the net proceeds from such Indebtedness) would exceed 60% of the sum of (i) Total Asset Value as of the end of the Latest Completed Quarter and (ii) any increase in Total Asset Value since the end of the Latest Completed Quarter (such sum of (i) and (ii), “</w:t>
      </w:r>
      <w:r>
        <w:rPr>
          <w:rFonts w:ascii="Times New Roman;sans-serif" w:hAnsi="Times New Roman;sans-serif"/>
          <w:b w:val="false"/>
          <w:i/>
          <w:color w:val="000000"/>
          <w:sz w:val="20"/>
        </w:rPr>
        <w:t>Adjusted Total Asset Value</w:t>
      </w:r>
      <w:r>
        <w:rPr>
          <w:color w:val="000000"/>
        </w:rPr>
        <w:t>”</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from and after the consummation of a Significant Acquisition, such percentage shall be 65% for the fiscal quarter in which such Significant Acquisition is consummated and the three consecutive fiscal quarters immediately succeeding such fiscal quarter. </w:t>
      </w:r>
    </w:p>
    <w:p>
      <w:pPr>
        <w:pStyle w:val="TextBody"/>
        <w:bidi w:val="0"/>
        <w:spacing w:lineRule="auto" w:line="288" w:before="240" w:after="283"/>
        <w:jc w:val="left"/>
        <w:rPr/>
      </w:pPr>
      <w:r>
        <w:rPr>
          <w:rFonts w:ascii="Times New Roman;sans-serif" w:hAnsi="Times New Roman;sans-serif"/>
          <w:b w:val="false"/>
          <w:i/>
          <w:color w:val="000000"/>
          <w:sz w:val="20"/>
        </w:rPr>
        <w:t>Limitation on Secured Debt.</w:t>
      </w:r>
      <w:r>
        <w:rPr>
          <w:color w:val="000000"/>
        </w:rPr>
        <w:t> </w:t>
      </w:r>
      <w:r>
        <w:rPr>
          <w:rFonts w:ascii="Times New Roman;sans-serif" w:hAnsi="Times New Roman;sans-serif"/>
          <w:b w:val="false"/>
          <w:color w:val="000000"/>
          <w:sz w:val="20"/>
        </w:rPr>
        <w:t>The Issuers shall not, and shall not permit any of their Subsidiaries to, incur any Secured Debt if, immediately after giving effect to the incurrence of such additional Secured Debt, the Secured Debt of the Issuers and their Subsidiaries on a</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i/>
          <w:color w:val="000000"/>
          <w:sz w:val="20"/>
        </w:rPr>
        <w:t>basis</w:t>
      </w:r>
      <w:r>
        <w:rPr>
          <w:color w:val="000000"/>
        </w:rPr>
        <w:t xml:space="preserve"> </w:t>
      </w:r>
      <w:r>
        <w:rPr>
          <w:rFonts w:ascii="Times New Roman;sans-serif" w:hAnsi="Times New Roman;sans-serif"/>
          <w:b w:val="false"/>
          <w:color w:val="000000"/>
          <w:sz w:val="20"/>
        </w:rPr>
        <w:t>(including</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 xml:space="preserve">application of the net proceeds from such Indebtedness) would exceed 40% of Adjusted Total Asset Value. </w:t>
      </w:r>
    </w:p>
    <w:p>
      <w:pPr>
        <w:pStyle w:val="TextBody"/>
        <w:bidi w:val="0"/>
        <w:spacing w:lineRule="auto" w:line="288" w:before="240" w:after="283"/>
        <w:jc w:val="left"/>
        <w:rPr/>
      </w:pPr>
      <w:r>
        <w:rPr>
          <w:rFonts w:ascii="Times New Roman;sans-serif" w:hAnsi="Times New Roman;sans-serif"/>
          <w:b w:val="false"/>
          <w:i/>
          <w:color w:val="000000"/>
          <w:sz w:val="20"/>
        </w:rPr>
        <w:t>Interest Coverage Ratio.</w:t>
      </w:r>
      <w:r>
        <w:rPr>
          <w:color w:val="000000"/>
        </w:rPr>
        <w:t> </w:t>
      </w:r>
      <w:r>
        <w:rPr>
          <w:rFonts w:ascii="Times New Roman;sans-serif" w:hAnsi="Times New Roman;sans-serif"/>
          <w:b w:val="false"/>
          <w:color w:val="000000"/>
          <w:sz w:val="20"/>
        </w:rPr>
        <w:t>The Issuers shall not, and shall not permit any of their Subsidiaries to, incur any Indebtedness (other than Permitted Debt) if, immediately after giving effect to the incurrence of such additional Indebtedness, the ratio of Consolidated EBITDA to Interest Expense for the Issuers and their Subsidiaries (the “</w:t>
      </w:r>
      <w:r>
        <w:rPr>
          <w:rFonts w:ascii="Times New Roman;sans-serif" w:hAnsi="Times New Roman;sans-serif"/>
          <w:b w:val="false"/>
          <w:i/>
          <w:color w:val="000000"/>
          <w:sz w:val="20"/>
        </w:rPr>
        <w:t>Coverage Ratio</w:t>
      </w:r>
      <w:r>
        <w:rPr>
          <w:color w:val="000000"/>
        </w:rPr>
        <w:t>”</w:t>
      </w:r>
      <w:r>
        <w:rPr>
          <w:rFonts w:ascii="Times New Roman;sans-serif" w:hAnsi="Times New Roman;sans-serif"/>
          <w:b w:val="false"/>
          <w:color w:val="000000"/>
          <w:sz w:val="20"/>
        </w:rPr>
        <w:t>) for the four consecutive fiscal quarter period ending on and including the Latest Completed Quarter would be less than 1.50 to 1.00 on a</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i/>
          <w:color w:val="000000"/>
          <w:sz w:val="20"/>
        </w:rPr>
        <w:t>basis</w:t>
      </w:r>
      <w:r>
        <w:rPr>
          <w:color w:val="000000"/>
        </w:rPr>
        <w:t xml:space="preserve"> </w:t>
      </w:r>
      <w:r>
        <w:rPr>
          <w:rFonts w:ascii="Times New Roman;sans-serif" w:hAnsi="Times New Roman;sans-serif"/>
          <w:b w:val="false"/>
          <w:color w:val="000000"/>
          <w:sz w:val="20"/>
        </w:rPr>
        <w:t>(including</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 xml:space="preserve">application of the net proceeds from such Indebtedness). </w:t>
      </w:r>
    </w:p>
    <w:p>
      <w:pPr>
        <w:pStyle w:val="TextBody"/>
        <w:bidi w:val="0"/>
        <w:spacing w:lineRule="auto" w:line="288" w:before="240" w:after="283"/>
        <w:jc w:val="left"/>
        <w:rPr/>
      </w:pPr>
      <w:r>
        <w:rPr>
          <w:rFonts w:ascii="Times New Roman;sans-serif" w:hAnsi="Times New Roman;sans-serif"/>
          <w:b w:val="false"/>
          <w:i/>
          <w:color w:val="000000"/>
          <w:sz w:val="20"/>
        </w:rPr>
        <w:t>Limitation on Subordinated Debt and Subsidiary Guarantees.</w:t>
      </w:r>
      <w:r>
        <w:rPr>
          <w:color w:val="000000"/>
        </w:rPr>
        <w:t> </w:t>
      </w:r>
      <w:r>
        <w:rPr>
          <w:rFonts w:ascii="Times New Roman;sans-serif" w:hAnsi="Times New Roman;sans-serif"/>
          <w:b w:val="false"/>
          <w:color w:val="000000"/>
          <w:sz w:val="20"/>
        </w:rPr>
        <w:t xml:space="preserve">The Issuers shall not incur, create, issue, assume, guarantee or otherwise become liable for any Indebtedness that is subordinate or junior in right of payment to any other Indebtedness of the Issuers, unless such Indebtedness is expressly subordinated in right of payment to the notes. The foregoing does not apply to distinctions between categories of Indebtedness that exist by reason of any Liens securing some but not all of such Indebtedness or securing such Indebtedness with greater or lesser priority or with different collateral or as a result of provisions that apply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or amounts received by the borrower, obligor or Issuer following a default or exercise of remedies in a certain order of priority.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following the date of the indenture, no Subsidiary of the Operating Partnership (excluding Capital Corp.) will directly or indirectly guarantee, or become jointly and severally liable with respect to any Debt Securities of the Operating Partnership (excluding, in any event, (x) Acquired Debt and (y) guarantees of such Acquired Debt or any other Indebtedness of the Operating Partnership to the extent a guarantee is required as a result of the assumption by the Operating Partnership of such Acquired Debt described in clause (x) pursuant to the terms thereof as they existed at the time of and after giving effect to (and are not modified in contemplation of, other than to give effect to) the assumption of or acquisition of such Acquired Debt) issued after the date of the indenture, unless a guarantee is provided in respect of the notes by such Subsidiary.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Maintenance of Total Unencumbered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and their Subsidiaries shall maintain Total Unencumbered Asset Value of not less than 150% of Unsecured Debt, in each case calculated as of the end of the Latest Completed Quarter.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Reports </w:t>
      </w:r>
    </w:p>
    <w:p>
      <w:pPr>
        <w:pStyle w:val="TextBody"/>
        <w:bidi w:val="0"/>
        <w:spacing w:lineRule="auto" w:line="288" w:before="120" w:after="283"/>
        <w:jc w:val="left"/>
        <w:rPr/>
      </w:pPr>
      <w:r>
        <w:rPr>
          <w:rFonts w:ascii="Times New Roman;sans-serif" w:hAnsi="Times New Roman;sans-serif"/>
          <w:b w:val="false"/>
          <w:color w:val="000000"/>
          <w:sz w:val="20"/>
        </w:rPr>
        <w:t>Whether or not required by the Securities and Exchange Commission (the “</w:t>
      </w:r>
      <w:r>
        <w:rPr>
          <w:rFonts w:ascii="Times New Roman;sans-serif" w:hAnsi="Times New Roman;sans-serif"/>
          <w:b w:val="false"/>
          <w:i/>
          <w:color w:val="000000"/>
          <w:sz w:val="20"/>
        </w:rPr>
        <w:t>SEC</w:t>
      </w:r>
      <w:r>
        <w:rPr>
          <w:color w:val="000000"/>
        </w:rPr>
        <w:t>”</w:t>
      </w:r>
      <w:r>
        <w:rPr>
          <w:rFonts w:ascii="Times New Roman;sans-serif" w:hAnsi="Times New Roman;sans-serif"/>
          <w:b w:val="false"/>
          <w:color w:val="000000"/>
          <w:sz w:val="20"/>
        </w:rPr>
        <w:t xml:space="preserve">), so long as any notes are outstanding, the Issuers will furnish to the trustee with written instructions for mailing (or in the case of global notes, delivery pursuant to applicable DTC procedures) to the holders of notes, within 30 days after the time periods specified in the SEC’s rules and regulations: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all quarterly and annual financial information that is filed or that would be required to be contained in a filing with the SEC on Forms 10-Q and 10-K if or as if the Issuers were required to file such forms, including a “Management’s Discussion and Analysis of Financial Condition and Results of Operations” and, with respect to the annual information only, a report on the annual financial statements by the Issuers’ certified independent accountants;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all current reports that would be required to be filed with the SEC on Form 8-K if the Issuers were required to file such reports. </w:t>
      </w:r>
    </w:p>
    <w:p>
      <w:pPr>
        <w:pStyle w:val="TextBody"/>
        <w:bidi w:val="0"/>
        <w:spacing w:lineRule="auto" w:line="288" w:before="240" w:after="283"/>
        <w:jc w:val="left"/>
        <w:rPr/>
      </w:pPr>
      <w:r>
        <w:rPr>
          <w:rFonts w:ascii="Times New Roman;sans-serif" w:hAnsi="Times New Roman;sans-serif"/>
          <w:b w:val="false"/>
          <w:color w:val="000000"/>
          <w:sz w:val="20"/>
        </w:rPr>
        <w:t>The availability of the foregoing materials on the SEC’s EDGAR service (or any successor thereto) shall be deemed to satisfy the Issuers’ obligations to furnish such materials to the trustee with written instructions for mailing (or in the case of global notes, delivery pursuant to applicable DTC procedures) to the holders of notes;</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trustee shall have no obligation whatsoever to determine whether or not such information, documents or reports have been filed pursuant to the “EDGAR” system (or its successor).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under the indenture (as to which the trustee is entitled to rely exclusively on officer’s certificates).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Issuers have agreed that, for so long as any 2026 Notes remain outstanding, if the Issuers are not required to file with the SEC the reports required by the first paragraph of this covenant, it will furnish to the holders of the 2026 Notes and to securities analysts and prospective investors, upon their request, the information required to be delivered pursuant to Rule 144A(d)(4) under the Securities Act of 1933, as amended.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for so long as the Guarantor guarantees the notes (or in the event that another parent entity of the Issuers becomes a guarantor of the notes), the Issuers may satisfy their obligations to furnish the reports and other information described above by furnishing such reports filed by, or such information of, the Guarantor (or such other parent guarantor, respectively) and the availability of the Guarantor’s (or such other parent guarantor’s, as applicable) information on the SEC’s EDGAR service (or any successor thereto) shall be deemed to satisfy such obligation.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Penn Master Lease </w:t>
      </w:r>
    </w:p>
    <w:p>
      <w:pPr>
        <w:pStyle w:val="TextBody"/>
        <w:bidi w:val="0"/>
        <w:spacing w:lineRule="auto" w:line="288" w:before="120" w:after="283"/>
        <w:jc w:val="left"/>
        <w:rPr/>
      </w:pPr>
      <w:r>
        <w:rPr>
          <w:rFonts w:ascii="Times New Roman;sans-serif" w:hAnsi="Times New Roman;sans-serif"/>
          <w:b w:val="false"/>
          <w:color w:val="000000"/>
          <w:sz w:val="20"/>
        </w:rPr>
        <w:t>The Issuers will not enter into any amendment to the Penn Master Lease if such amendment would materially impair the ability of the Issuers to satisfy their obligations to make payments on the notes other than the 2033 Notes, the 2032 Notes and the 2031 Notes;</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amendments of the Penn Master Lease (and corresponding rent reduction) pursuant to the terms of the Penn Master Lease in connection with an asset sale made in accordance with the Penn Master Lease shall not be deemed to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40"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materially impair the ability of the Issuers to satisfy their obligations to make payments on the notes or to materially impair the rights and remedies of the holders of the notes.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Consolidation, Merger and Sale of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Issuer may not, directly or indirectly: (x) consolidate or merge with or into another Person (whether or not such Issuer is the surviving entity); or (y) sell, assign, transfer, convey or otherwise dispose of all or substantially all of the properties or assets of such Issuer and its Subsidiaries taken as a whole to another Person unless: </w:t>
      </w:r>
    </w:p>
    <w:p>
      <w:pPr>
        <w:pStyle w:val="TextBody"/>
        <w:bidi w:val="0"/>
        <w:spacing w:lineRule="auto" w:line="288" w:before="120" w:after="283"/>
        <w:jc w:val="left"/>
        <w:rPr/>
      </w:pPr>
      <w:r>
        <w:rPr>
          <w:rFonts w:ascii="Times New Roman;sans-serif" w:hAnsi="Times New Roman;sans-serif"/>
          <w:b w:val="false"/>
          <w:color w:val="000000"/>
          <w:sz w:val="20"/>
        </w:rPr>
        <w:t>(1)    either (a) such Issuer is the surviving Person; or (b) the Person formed by or surviving any such consolidation or merger (if other than such Issuer) or to which such sale, assignment, transfer, conveyance or other disposition has been made is a Person organized or existing under the laws of the United States, any state of the United States or the District of Columbia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if such Person is not a corporation, a co-obligor of the notes is a corporation organized or existing under such laws);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Person formed by or surviving any such consolidation or merger (if other than an Issuer) or the Person to which such sale, assignment, transfer, conveyance or other disposition has been made assumes all the obligations of such Issuer under the notes and the indenture pursuant to agreements reasonably satisfactory to the trustee;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immediately after such transaction no default or event of default exists with respect to the notes.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Guarantor may not, directly or indirectly: (x) consolidate or merge with or into another Person (whether or not the Guarantor is the surviving corporation); or (y) sell, assign, transfer, convey or otherwise dispose of all or substantially all of the properties or assets of the Guarantor and its Subsidiaries taken as a whole to another Person unless: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either (a) the Guarantor is the surviving corporation; or (b) the Person formed by or surviving any such consolidation or merger (if other than the Guarantor) or to which such sale, assignment, transfer, conveyance or other disposition has been made is a Person organized or existing under the laws of the United States, any state of the United States or the District of Columbia;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Person formed by or surviving any such consolidation or merger (if other than the Guarantor) or the Person to which such sale, assignment, transfer, conveyance or other disposition has been made assumes all the obligations of the Guarantor under the notes and the indenture pursuant to agreements reasonably satisfactory to the trustee;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immediately after such transaction no default or event of default exists with respect to the notes.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any sale, assignment, transfer, conveyance or other disposition of all or substantially all of an Issuer’s or the Guarantor’s, as applicable, and its Subsidiaries’ assets, taken as a whole, in compliance with the provisions of this “Consolidation, Merger and Sale of Assets” covenant, such Issuer or the Guarantor, as applicable, will be released from the obligations under the notes or its guarantee, respectively, and the indenture except with respect to any obligations that arise from, or are related to, such transaction.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“Consolidation, Merger and Sale of Assets” covenant will not apply to: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 merger, consolidation, sale, assignment, transfer, conveyance or other disposition of assets between or among the Guarantor, the Issuers (or an Issuer) or any of the Issuers’ Subsidiaries;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a merger between the Issuers (or an Issuer), the Guarantor or any Subsidiary respectively, and an Affiliate of an Issuer, the Guarantor or such Subsidiary incorporated or formed solely for the purpose of reincorporating or reorganizing an Issuer, the Guarantor or such Subsidiary in another state of the United States or changing the legal domicile or form of an Issuer, the Guarantor or such Subsidiary or for the sole purpose of forming or collapsing a holding company structure;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the lease of all or substantially all of the real estate assets of the Guarantor or any Issuer, or any of their respective Subsidiaries, to Penn or its Subsidiaries or another operator pursuant to the Penn Master Lease, Pinnacle Master Lease or another real estate lease or leases;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except with respect to the 2033 Notes, the 2032 Notes and the 2031 Notes, the Penn Transactions and any transactions related thereto.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description above includes a phrase relating to the sale or disposition of “all or substantially all” of the properties or assets of the Issuers or the Guarantor, and their respective Subsidiaries. Although there is a limited body of case law interpreting the phrase “substantially all,” there is no precise established definition of the phrase under applicable law.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Certain Definitions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color w:val="000000"/>
        </w:rPr>
        <w:t>“</w:t>
      </w:r>
      <w:r>
        <w:rPr>
          <w:rFonts w:ascii="Times New Roman;sans-serif" w:hAnsi="Times New Roman;sans-serif"/>
          <w:b w:val="false"/>
          <w:i/>
          <w:color w:val="000000"/>
          <w:sz w:val="20"/>
        </w:rPr>
        <w:t>2013 Offering Memorandum</w:t>
      </w:r>
      <w:r>
        <w:rPr>
          <w:color w:val="000000"/>
        </w:rPr>
        <w:t xml:space="preserve">” </w:t>
      </w:r>
      <w:r>
        <w:rPr>
          <w:rFonts w:ascii="Times New Roman;sans-serif" w:hAnsi="Times New Roman;sans-serif"/>
          <w:b w:val="false"/>
          <w:color w:val="000000"/>
          <w:sz w:val="20"/>
        </w:rPr>
        <w:t xml:space="preserve">means the offering memorandum of the Issuers, dated October 23, 2013.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ans-serif" w:hAnsi="Times New Roman;sans-serif"/>
          <w:b w:val="false"/>
          <w:i/>
          <w:color w:val="000000"/>
          <w:sz w:val="20"/>
        </w:rPr>
        <w:t>2033 Notes Treasury Rate</w:t>
      </w:r>
      <w:r>
        <w:rPr>
          <w:color w:val="000000"/>
        </w:rPr>
        <w:t xml:space="preserve">” </w:t>
      </w:r>
      <w:r>
        <w:rPr>
          <w:rFonts w:ascii="Times New Roman;sans-serif" w:hAnsi="Times New Roman;sans-serif"/>
          <w:b w:val="false"/>
          <w:color w:val="000000"/>
          <w:sz w:val="20"/>
        </w:rPr>
        <w:t xml:space="preserve">means, with respect to any redemption date for redemption of the 2033 Notes, the yield determined by the Issuers in accordance with the following two paragraphs.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2033 Notes Treasury Rate shall be determined by the Issuers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sans-serif" w:hAnsi="Times New Roman;sans-serif"/>
          <w:b w:val="false"/>
          <w:i/>
          <w:color w:val="000000"/>
          <w:sz w:val="20"/>
        </w:rPr>
        <w:t>H.15</w:t>
      </w:r>
      <w:r>
        <w:rPr>
          <w:color w:val="000000"/>
        </w:rPr>
        <w:t>”</w:t>
      </w:r>
      <w:r>
        <w:rPr>
          <w:rFonts w:ascii="Times New Roman;sans-serif" w:hAnsi="Times New Roman;sans-serif"/>
          <w:b w:val="false"/>
          <w:color w:val="000000"/>
          <w:sz w:val="20"/>
        </w:rPr>
        <w:t>) under the caption “U.S. government securities—Treasury constant maturities—Nominal” (or any successor caption or heading) (“</w:t>
      </w:r>
      <w:r>
        <w:rPr>
          <w:rFonts w:ascii="Times New Roman;sans-serif" w:hAnsi="Times New Roman;sans-serif"/>
          <w:b w:val="false"/>
          <w:i/>
          <w:color w:val="000000"/>
          <w:sz w:val="20"/>
        </w:rPr>
        <w:t>H.15 TCM</w:t>
      </w:r>
      <w:r>
        <w:rPr>
          <w:color w:val="000000"/>
        </w:rPr>
        <w:t>”</w:t>
      </w:r>
      <w:r>
        <w:rPr>
          <w:rFonts w:ascii="Times New Roman;sans-serif" w:hAnsi="Times New Roman;sans-serif"/>
          <w:b w:val="false"/>
          <w:color w:val="000000"/>
          <w:sz w:val="20"/>
        </w:rPr>
        <w:t>). In determining the 2033 Notes Treasury Rate, the Issuers shall select, as applicable: (1) the yield for the Treasury constant maturity on H.15 exactly equal to the period from the redemption date to the 2033 Notes Par Call Date (the “</w:t>
      </w:r>
      <w:r>
        <w:rPr>
          <w:rFonts w:ascii="Times New Roman;sans-serif" w:hAnsi="Times New Roman;sans-serif"/>
          <w:b w:val="false"/>
          <w:i/>
          <w:color w:val="000000"/>
          <w:sz w:val="20"/>
        </w:rPr>
        <w:t>2033 Notes Remaining Life</w:t>
      </w:r>
      <w:r>
        <w:rPr>
          <w:color w:val="000000"/>
        </w:rPr>
        <w:t>”</w:t>
      </w:r>
      <w:r>
        <w:rPr>
          <w:rFonts w:ascii="Times New Roman;sans-serif" w:hAnsi="Times New Roman;sans-serif"/>
          <w:b w:val="false"/>
          <w:color w:val="000000"/>
          <w:sz w:val="20"/>
        </w:rPr>
        <w:t xml:space="preserve">); or (2) if there is no such Treasury constant maturity on H.15 exactly equal to the 2033 Notes Remaining Life, the two yields—one yield corresponding to the Treasury constant maturity on H.15 immediately shorter than and one yield corresponding to the Treasury constant maturity on H.15 immediately longer than the 2033 Notes Remaining Life—and shall interpolate to the 2033 Notes Par Call Date on a straight-line basis (using the actual number of days) using such yields and rounding the result to three decimal places; or (3) if there is no such Treasury constant maturity on H.15 shorter than or longer than the 2033 Notes Remaining Life, the yield for the single Treasury constant maturity on H.15 closest to the 2033 Notes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on the third business day preceding the date of the notice of redemption H.15 TCM is no longer published, the Issuers shall calculate the 2033 Notes Treasury Rate based on the rate per annum equal to the semi-annual equivalent yield to maturity at 11:00 a.m., New York City time, on the second business day preceding the date of the notice of redemption of the United States Treasury security maturing on, or with a maturity that is closest to, the 2033 Notes Par Call Date, as applicable. If there is no United States Treasury security maturing on the 2033 Notes Par Call Date but there are two or more United States Treasury securities with a maturity date equally distant from the 2033 Notes Par Call Date, one with a maturity date preceding the 2033 Notes Par Call Date and one with a maturity date following the 2033 Notes Par Call Date, the Issuers shall select the United States Treasury security with a maturity date preceding the 2033 Notes Par Call Date. If there are two or more United States Treasury securities maturing on the 2033 Notes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2033 Notes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Acquired Debt</w:t>
      </w:r>
      <w:r>
        <w:rPr>
          <w:color w:val="000000"/>
        </w:rPr>
        <w:t xml:space="preserve">” </w:t>
      </w:r>
      <w:r>
        <w:rPr>
          <w:rFonts w:ascii="Times New Roman;sans-serif" w:hAnsi="Times New Roman;sans-serif"/>
          <w:b w:val="false"/>
          <w:color w:val="000000"/>
          <w:sz w:val="20"/>
        </w:rPr>
        <w:t xml:space="preserve">means, with respect to any specified Person: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Indebtedness secured by a Lien encumbering any asset acquired by such specified Person.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ans-serif" w:hAnsi="Times New Roman;sans-serif"/>
          <w:b w:val="false"/>
          <w:i/>
          <w:color w:val="000000"/>
          <w:sz w:val="20"/>
        </w:rPr>
        <w:t>Adjusted Treasury Rate</w:t>
      </w:r>
      <w:r>
        <w:rPr>
          <w:color w:val="000000"/>
        </w:rPr>
        <w:t xml:space="preserve">” </w:t>
      </w:r>
      <w:r>
        <w:rPr>
          <w:rFonts w:ascii="Times New Roman;sans-serif" w:hAnsi="Times New Roman;sans-serif"/>
          <w:b w:val="false"/>
          <w:color w:val="000000"/>
          <w:sz w:val="20"/>
        </w:rPr>
        <w:t>means, with respect to any redemption date for the redemption of the 2033 Notes, the 2032 Notes or the 2031 Notes, the rate per year equal to the arithmetic mean of the weekly average yield to maturity (representing the average of the daily rates for the immediately preceding week) available through the most recent Statistical Release under the heading “Week Ending” for “U.S. Government Securities—Treasury Constant Maturities” for the maturity (rounded to the nearest month) corresponding to the remaining term of the notes being redeemed as of such redemption date, calculated as if the maturity date of such notes was the Par Call Date (as applicable, the “</w:t>
      </w:r>
      <w:r>
        <w:rPr>
          <w:rFonts w:ascii="Times New Roman;sans-serif" w:hAnsi="Times New Roman;sans-serif"/>
          <w:b w:val="false"/>
          <w:i/>
          <w:color w:val="000000"/>
          <w:sz w:val="20"/>
        </w:rPr>
        <w:t>Remaining Life</w:t>
      </w:r>
      <w:r>
        <w:rPr>
          <w:color w:val="000000"/>
        </w:rPr>
        <w:t>”</w:t>
      </w:r>
      <w:r>
        <w:rPr>
          <w:rFonts w:ascii="Times New Roman;sans-serif" w:hAnsi="Times New Roman;sans-serif"/>
          <w:b w:val="false"/>
          <w:color w:val="000000"/>
          <w:sz w:val="20"/>
        </w:rPr>
        <w:t>). If no maturity exactly corresponds to such Remaining Life, yields for the next shortest and next longest published maturities most closely corresponding to such Remaining Life shall be calculated pursuant to the immediately preceding sentence and the Adjusted Treasury Rate shall be interpolated or extrapolated from such yields on a straight-line basis, rounding in each of such relevant periods to the nearest month. For the purposes of calculating the Adjusted Treasury Rate, the most recent Statistical Release published at least two business days prior to the redemption date (or at least two business days prior to the relevant Deposit Date in connection with a satisfaction and discharge of the such notes in accordance with the terms of the indenture) shall be used.</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Asset Value</w:t>
      </w:r>
      <w:r>
        <w:rPr>
          <w:color w:val="000000"/>
        </w:rPr>
        <w:t xml:space="preserve">” </w:t>
      </w:r>
      <w:r>
        <w:rPr>
          <w:rFonts w:ascii="Times New Roman;sans-serif" w:hAnsi="Times New Roman;sans-serif"/>
          <w:b w:val="false"/>
          <w:color w:val="000000"/>
          <w:sz w:val="20"/>
        </w:rPr>
        <w:t xml:space="preserve">means, at any date of determination, the sum of: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r>
        <w:rPr>
          <w:rFonts w:ascii="Times New Roman;sans-serif" w:hAnsi="Times New Roman;sans-serif"/>
          <w:b w:val="false"/>
          <w:color w:val="000000"/>
          <w:sz w:val="20"/>
        </w:rPr>
        <w:t>(1)    in the case of any Income Property (or group of Income Properties, including, without limitation, the Penn Master Lease Properties), the Capitalized Value of such Income Property (or group of Income Properties) as of such date;</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Asset Value of each Income Property (other than a former Development Property or Redevelopment Property) during the first four complete fiscal quarters following the date of acquisition thereof shall be the greater of (i) the acquisition price thereof and (ii) the Capitalized Value thereof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the Asset Value shall be the acquisition price thereof if results of one full fiscal quarter after the acquisition thereof are not available with respect to such Income Property (or group of Income Properties) (and after results of one full fiscal quarter after the acquisition thereof are available, the Capitalized Value thereof may be determined by annualizing such results) including for purposes of determining any increase in Total Asset Value since the end of the Latest Completed Quarter);</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an adjustment shall be made to the Asset Value of any Income Property (in an amount reasonably determined by an Issuer) as new tenancy leases are entered into, or existing tenancy leases terminate or expire, in respect of such Income Property;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in the case of any Development Property or Redevelopment Property (or former Development Property or Redevelopment Property) prior to the date when financial results are available for at least one complete fiscal quarter following completion or opening of the applicable development project, 100% of the book value (determined in accordance with GAAP but determined without giving effect to any depreciation) of any such Development Property or Redevelopment Property (or former Development Property or Redevelopment Property);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100% of the book value (determined in accordance with GAAP) of any undeveloped land owned or leased as of such date of determination.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Beneficial Owner</w:t>
      </w:r>
      <w:r>
        <w:rPr>
          <w:color w:val="000000"/>
        </w:rPr>
        <w:t xml:space="preserve">” </w:t>
      </w:r>
      <w:r>
        <w:rPr>
          <w:rFonts w:ascii="Times New Roman;sans-serif" w:hAnsi="Times New Roman;sans-serif"/>
          <w:b w:val="false"/>
          <w:color w:val="000000"/>
          <w:sz w:val="20"/>
        </w:rPr>
        <w:t>has the meaning assigned to such term in Rule 13d-3 and Rule 13d-5 under the Exchange Act. The terms “</w:t>
      </w:r>
      <w:r>
        <w:rPr>
          <w:rFonts w:ascii="Times New Roman;sans-serif" w:hAnsi="Times New Roman;sans-serif"/>
          <w:b w:val="false"/>
          <w:i/>
          <w:color w:val="000000"/>
          <w:sz w:val="20"/>
        </w:rPr>
        <w:t>Beneficially Owns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Beneficially Owned</w:t>
      </w:r>
      <w:r>
        <w:rPr>
          <w:color w:val="000000"/>
        </w:rPr>
        <w:t xml:space="preserve">” </w:t>
      </w:r>
      <w:r>
        <w:rPr>
          <w:rFonts w:ascii="Times New Roman;sans-serif" w:hAnsi="Times New Roman;sans-serif"/>
          <w:b w:val="false"/>
          <w:color w:val="000000"/>
          <w:sz w:val="20"/>
        </w:rPr>
        <w:t xml:space="preserve">have a corresponding meaning.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Capitalized Value</w:t>
      </w:r>
      <w:r>
        <w:rPr>
          <w:color w:val="000000"/>
        </w:rPr>
        <w:t xml:space="preserve">” </w:t>
      </w:r>
      <w:r>
        <w:rPr>
          <w:rFonts w:ascii="Times New Roman;sans-serif" w:hAnsi="Times New Roman;sans-serif"/>
          <w:b w:val="false"/>
          <w:color w:val="000000"/>
          <w:sz w:val="20"/>
        </w:rPr>
        <w:t>means, with respect to the Penn Master Lease Properties or any other group of related properties or any other property, the Property EBITDA of the Penn Master Lease Properties or such other group of related properties or such property, as the case may be, for the most recent four completed fiscal quarters divided by 8.25%</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Change of Control</w:t>
      </w:r>
      <w:r>
        <w:rPr>
          <w:color w:val="000000"/>
        </w:rPr>
        <w:t xml:space="preserve">” </w:t>
      </w:r>
      <w:r>
        <w:rPr>
          <w:rFonts w:ascii="Times New Roman;sans-serif" w:hAnsi="Times New Roman;sans-serif"/>
          <w:b w:val="false"/>
          <w:color w:val="000000"/>
          <w:sz w:val="20"/>
        </w:rPr>
        <w:t xml:space="preserve">means the occurrence of any of the following: </w:t>
      </w:r>
    </w:p>
    <w:p>
      <w:pPr>
        <w:pStyle w:val="TextBody"/>
        <w:bidi w:val="0"/>
        <w:spacing w:lineRule="auto" w:line="288" w:before="120" w:after="283"/>
        <w:jc w:val="left"/>
        <w:rPr/>
      </w:pPr>
      <w:r>
        <w:rPr>
          <w:rFonts w:ascii="Times New Roman;sans-serif" w:hAnsi="Times New Roman;sans-serif"/>
          <w:b w:val="false"/>
          <w:color w:val="000000"/>
          <w:sz w:val="20"/>
        </w:rPr>
        <w:t>(1)    the direct or indirect sale, transfer, conveyance or other disposition (other than by way of merger or consolidation), in one or a series of related transactions, of all or substantially all of the properties or assets of the Guarantor, the Operating Partnership and their Subsidiaries taken as a whole to any “person” (as that term is used in Section 13(d) of the Exchange Act);</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for the avoidance of doubt, the lease of all or substantially all of the real estate assets of the Guarantor or any Issuer or any of their respective subsidiaries, to Penn or its Subsidiaries or to another operator pursuant to the Penn Master Lease or another real estate lease or leases shall not constitute a Change of Control;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adoption by shareholders or partners of a plan relating to the liquidation or dissolution of the Guarantor or the Operating Partnership;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the consummation of any transaction (including any merger or consolidation) the result of which is that any “person” (as defined above), other than any holding company which owns 100% of the Voting Stock of the Guarantor (so long as no Change of Control would otherwise have occurred in respect of the Voting Stock of such holding company), becomes the Beneficial Owner, directly or indirectly, of more than 50% of the Voting Stock of the Guarantor, measured by voting power rather than number of shares;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(i) the Guarantor ceases to own, directly or indirectly, more than 50% of the Voting Stock of the Operating Partnership or (ii) the sole general partner of the Operating Partnership ceases to be the Guarantor or one or more of the Guarantor’s wholly owned subsidiaries;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first day on which a majority of the members of the Board of Directors of the Guarantor are not Continuing Directors.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definition, (1) no Change of Control shall be deemed to have occurred solely as a result of a transfer of assets among the Guarantor, any Issuer and any of their respective Subsidiaries and (2) a Person shall not be deemed to have beneficial ownership of securities subject to a stock purchase agreement, merger agreement or similar agreement until the consummation of the transactions contemplated by such agreement.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Change of Control Triggering Event</w:t>
      </w:r>
      <w:r>
        <w:rPr>
          <w:color w:val="000000"/>
        </w:rPr>
        <w:t xml:space="preserve">” </w:t>
      </w:r>
      <w:r>
        <w:rPr>
          <w:rFonts w:ascii="Times New Roman;sans-serif" w:hAnsi="Times New Roman;sans-serif"/>
          <w:b w:val="false"/>
          <w:color w:val="000000"/>
          <w:sz w:val="20"/>
        </w:rPr>
        <w:t xml:space="preserve">means the occurrence of both (i) a Change of Control and (ii) a Rating Decline. </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color w:val="000000"/>
        </w:rPr>
        <w:t>“</w:t>
      </w:r>
      <w:r>
        <w:rPr>
          <w:rFonts w:ascii="Times New Roman;sans-serif" w:hAnsi="Times New Roman;sans-serif"/>
          <w:b w:val="false"/>
          <w:i/>
          <w:color w:val="000000"/>
          <w:sz w:val="20"/>
        </w:rPr>
        <w:t>Consolidated EBITDA</w:t>
      </w:r>
      <w:r>
        <w:rPr>
          <w:color w:val="000000"/>
        </w:rPr>
        <w:t xml:space="preserve">” </w:t>
      </w:r>
      <w:r>
        <w:rPr>
          <w:rFonts w:ascii="Times New Roman;sans-serif" w:hAnsi="Times New Roman;sans-serif"/>
          <w:b w:val="false"/>
          <w:color w:val="000000"/>
          <w:sz w:val="20"/>
        </w:rPr>
        <w:t>means, for the applicable test period, the net income (or net loss) of the Issuers and their Subsidiaries for such period, determined on a consolidated basis in accordance with GAAP, except to the extent that GAAP is not applicable, including, without limitation, with respect to the determination of all extraordinary, non-cash and non-</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recurring items ((x) excluding, without duplication, gains (or losses) from dispositions of depreciable real estate investments, property valuation losses and impairment charges and (y) before giving effect to cash dividends on preferred units of the Issuers or charges resulting from the redemption of preferred units of the Issuers attributable to the Issuers and their Subsidiaries for such period determined on a consolidated basis in conformity with GAAP); </w:t>
      </w:r>
    </w:p>
    <w:p>
      <w:pPr>
        <w:pStyle w:val="TextBody"/>
        <w:bidi w:val="0"/>
        <w:spacing w:lineRule="auto" w:line="288" w:before="120" w:after="283"/>
        <w:jc w:val="left"/>
        <w:rPr/>
      </w:pPr>
      <w:r>
        <w:rPr>
          <w:rFonts w:ascii="Times New Roman;sans-serif" w:hAnsi="Times New Roman;sans-serif"/>
          <w:b w:val="false"/>
          <w:color w:val="000000"/>
          <w:sz w:val="20"/>
        </w:rPr>
        <w:t>(1)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without duplication and solely to the extent already deducted (and not added back) in arriving at such net income (or net loss), the sum of the following amounts for such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interest expense (whether paid or accrued and whether or not capitalized);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income tax expense;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depreciation expense;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amortization expense;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extraordinary, non-recurring and unusual items, charges or expenses (including, without limitation,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expenses and losses associated with hedging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    expenses and losses resulting from fluctuations in foreign exchange rates;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    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the amount of integration costs deducted (and not added back) in such period in computing the net income (or net loss);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    severance, relocation costs, signing costs, retention or completion bonuses, transition costs, curtailments or modifications to pension and post-retirement employee benefit plans (including any settlement of pension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 in the case of the 2033 Notes, the 2032 Notes and the 2031 Notes, equity-based compensation; and </w:t>
      </w:r>
    </w:p>
    <w:p>
      <w:pPr>
        <w:pStyle w:val="TextBody"/>
        <w:bidi w:val="0"/>
        <w:spacing w:lineRule="auto" w:line="288" w:before="120" w:after="283"/>
        <w:jc w:val="left"/>
        <w:rPr/>
      </w:pPr>
      <w:r>
        <w:rPr>
          <w:rFonts w:ascii="Times New Roman;sans-serif" w:hAnsi="Times New Roman;sans-serif"/>
          <w:b w:val="false"/>
          <w:color w:val="000000"/>
          <w:sz w:val="20"/>
        </w:rPr>
        <w:t>(l)    to the extent not included in net income or, if otherwise excluded from Consolidated EBITDA due to the operation of clause (2)(a) below, the amount of insurance proceeds received during such period, or after such period and on or prior to the date the calculation is made with respect to such period, attributable to any property which has been closed or had operations curtailed for such period;</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such amount of insurance proceeds shall only be included pursuant to this clause (l) to the extent of the amount of insurance proceeds</w:t>
      </w:r>
      <w:r>
        <w:rPr>
          <w:color w:val="000000"/>
        </w:rPr>
        <w:t>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 xml:space="preserve">Consolidated EBITDA attributable to such property for such period (without giving effect to this clause (k)) does not exceed Consolidated EBITDA attributable to such property during the most recent four consecutive fiscal quarter period that such property was fully operational (or if such property has not been fully operational for the most recent such period prior to such closure or curtailment, the Consolidated EBITDA attributable to such property during the consecutive fiscal quarter period prior to such closure or curtailment (for which financial results are available) annualized over four fiscal quarters);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    </w:t>
      </w:r>
      <w:r>
        <w:rPr>
          <w:rFonts w:ascii="Times New Roman;sans-serif" w:hAnsi="Times New Roman;sans-serif"/>
          <w:b w:val="false"/>
          <w:i/>
          <w:color w:val="000000"/>
          <w:sz w:val="20"/>
        </w:rPr>
        <w:t>minus</w:t>
      </w:r>
      <w:r>
        <w:rPr>
          <w:rFonts w:ascii="Times New Roman;sans-serif" w:hAnsi="Times New Roman;sans-serif"/>
          <w:b w:val="false"/>
          <w:color w:val="000000"/>
          <w:sz w:val="20"/>
        </w:rPr>
        <w:t xml:space="preserve">, without duplication and solely to the extent included in arriving at such net income (or net loss), the sum of the following amounts for such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extraordinary, non-recurring and unusual gains (other than insurance proceeds);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gains attributable to hedging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non-cash gains resulting from fluctuations in foreign exchange rates;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other non-cash gains increasing net income (or decreasing net loss) other than accruals in the ordinary course.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definition, net income (net loss) shall only include the Issuers’ Ownership Share of net income (net loss) of their non-wholly owned Subsidiaries and Unconsolidated Affiliates and, accordingly, there shall be no deduction from net income or Consolidated EBITDA for non-controlling or minority interests in such Persons.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4"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0"/>
        </w:rPr>
        <w:t>Consolidated EBITDA will be adjusted, without duplication, to give</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effect: (x) in the case of any assets having been placed-in-service or removed from service since the beginning of the period and on or prior to the date of determination, to 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For purposes of calculating Consolidated EBITDA, all amounts shall be as reasonably determined by an Issuer, and in accordance with GAAP except to the extent that GAAP is not applicable, including, without limitation, with respect to the determination of extraordinary, non-cash or non-recurring items.</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Consolidated Financial Statements</w:t>
      </w:r>
      <w:r>
        <w:rPr>
          <w:color w:val="000000"/>
        </w:rPr>
        <w:t xml:space="preserve">” </w:t>
      </w:r>
      <w:r>
        <w:rPr>
          <w:rFonts w:ascii="Times New Roman;sans-serif" w:hAnsi="Times New Roman;sans-serif"/>
          <w:b w:val="false"/>
          <w:color w:val="000000"/>
          <w:sz w:val="20"/>
        </w:rPr>
        <w:t xml:space="preserve">means, with respect to any Person, collectively, the consolidated financial statements and notes to those financial statements, of that Person and its Subsidiaries prepared in accordance with GAAP.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Continuing Directors</w:t>
      </w:r>
      <w:r>
        <w:rPr>
          <w:color w:val="000000"/>
        </w:rPr>
        <w:t xml:space="preserve">” </w:t>
      </w:r>
      <w:r>
        <w:rPr>
          <w:rFonts w:ascii="Times New Roman;sans-serif" w:hAnsi="Times New Roman;sans-serif"/>
          <w:b w:val="false"/>
          <w:color w:val="000000"/>
          <w:sz w:val="20"/>
        </w:rPr>
        <w:t xml:space="preserve">means, as of any date of determination, any member of the Board of Directors of the Guarantor who: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was a member of such Board of Directors on the date of the indenture;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was nominated for election or elected to such Board of Directors with the approval of a majority of the continuing directors under clause (1) or this clause (2) who were members of such Board at the time of such nomination or election.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Credit Facilities</w:t>
      </w:r>
      <w:r>
        <w:rPr>
          <w:color w:val="000000"/>
        </w:rPr>
        <w:t xml:space="preserve">” </w:t>
      </w:r>
      <w:r>
        <w:rPr>
          <w:rFonts w:ascii="Times New Roman;sans-serif" w:hAnsi="Times New Roman;sans-serif"/>
          <w:b w:val="false"/>
          <w:color w:val="000000"/>
          <w:sz w:val="20"/>
        </w:rPr>
        <w:t xml:space="preserve">means one or more debt facilities or commercial paper facilities (providing for revolving credit loans, term loans, other loans, receivables financing (including through the sale of receivables to such lenders or to special purpose entities formed to borrow from such lenders against such receivables) or letters of credit) or debt securities, including any related notes, guarantees, collateral documents, agreements relating to swap or other hedging obligations, and other instruments, agreements and documents executed in connection therewith, in each case as amended, restated, modified, renewed, refunded, replaced, restructured or otherwise refinanced in whole or in part from time to time by one or more agreements, facilities (whether or not in the form of a debt facility or commercial paper facility) or instruments.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Debt Securities</w:t>
      </w:r>
      <w:r>
        <w:rPr>
          <w:color w:val="000000"/>
        </w:rPr>
        <w:t xml:space="preserve">” </w:t>
      </w:r>
      <w:r>
        <w:rPr>
          <w:rFonts w:ascii="Times New Roman;sans-serif" w:hAnsi="Times New Roman;sans-serif"/>
          <w:b w:val="false"/>
          <w:color w:val="000000"/>
          <w:sz w:val="20"/>
        </w:rPr>
        <w:t xml:space="preserve">means any debt securities, as such term is commonly understood, issued in any public offering or private placement in an aggregate principal amount of $100.0 million or more.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Development Property</w:t>
      </w:r>
      <w:r>
        <w:rPr>
          <w:color w:val="000000"/>
        </w:rPr>
        <w:t xml:space="preserve">” </w:t>
      </w:r>
      <w:r>
        <w:rPr>
          <w:rFonts w:ascii="Times New Roman;sans-serif" w:hAnsi="Times New Roman;sans-serif"/>
          <w:b w:val="false"/>
          <w:color w:val="000000"/>
          <w:sz w:val="20"/>
        </w:rPr>
        <w:t xml:space="preserve">means real property (a) acquired for, or currently under, development into an Income Property that, in accordance with GAAP, would be classified as an asset on the consolidated balance sheet of the Issuers and their Subsidiaries and (b) of the type described in clause (a) of this definition to be (but not yet) acquired by the Issuers or any of their Subsidiaries upon completion of construction pursuant to a contract in which the seller of such real property is required to build, develop or renovate prior to, and as a condition precedent to, such acquisition.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Fitch</w:t>
      </w:r>
      <w:r>
        <w:rPr>
          <w:color w:val="000000"/>
        </w:rPr>
        <w:t xml:space="preserve">” </w:t>
      </w:r>
      <w:r>
        <w:rPr>
          <w:rFonts w:ascii="Times New Roman;sans-serif" w:hAnsi="Times New Roman;sans-serif"/>
          <w:b w:val="false"/>
          <w:color w:val="000000"/>
          <w:sz w:val="20"/>
        </w:rPr>
        <w:t xml:space="preserve">means Fitch Ratings, Inc., doing business as Fitch Ratings, or any successor thereto. </w:t>
      </w:r>
    </w:p>
    <w:p>
      <w:pPr>
        <w:pStyle w:val="TextBody"/>
        <w:bidi w:val="0"/>
        <w:spacing w:lineRule="auto" w:line="268"/>
        <w:jc w:val="left"/>
        <w:rPr/>
      </w:pPr>
      <w:r>
        <w:rPr>
          <w:color w:val="000000"/>
        </w:rPr>
        <w:t>“</w:t>
      </w:r>
      <w:r>
        <w:rPr>
          <w:rFonts w:ascii="Times New Roman;sans-serif" w:hAnsi="Times New Roman;sans-serif"/>
          <w:b w:val="false"/>
          <w:i/>
          <w:color w:val="000000"/>
          <w:sz w:val="20"/>
        </w:rPr>
        <w:t>GAAP</w:t>
      </w:r>
      <w:r>
        <w:rPr>
          <w:color w:val="000000"/>
        </w:rPr>
        <w:t xml:space="preserve">” </w:t>
      </w:r>
      <w:r>
        <w:rPr>
          <w:rFonts w:ascii="Times New Roman;sans-serif" w:hAnsi="Times New Roman;sans-serif"/>
          <w:b w:val="false"/>
          <w:color w:val="000000"/>
          <w:sz w:val="20"/>
        </w:rPr>
        <w:t>means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 provided that with respect to the 2033 Notes, the 2032 Notes and the 2031 Notes, if, as of a particular date as of which compliance with the covenants contained in the indenture is being determined, there have been changes in generally accepted accounting principles from those that applied to the consolidated financial statements of either Issuer or the Guarantor for the year ended December 31, 2022, December 31, 2020 or December 31, 2019, respectively, the Issuers may, in their sole discretion, determine compliance with the covenants contained in the indenture using generally accepted accounting principles, consistently applied, as in effect as of the end of any fiscal quarter selected by the Issuers, in its sole discretion, that is on or after December 31, 2022, December 31, 2020 or December 31, 2019, respectively and prior to the date as of which compliance with the covenants in the indenture is being determined (“Fixed GAAP”), and, solely for purposes of calculating the covenants as of such date, “GAAP” shall mean Fixed GAAP; provided further that, and in the case of GAAP or Fixed GAAP with respect to the 2033 Notes, the 2032 Notes and the 2031 Notes, (1) any lease that is accounted for by any Person as an operating lease</w:t>
      </w:r>
      <w:r>
        <w:rPr>
          <w:color w:val="000000"/>
        </w:rPr>
        <w:t xml:space="preserve"> </w:t>
      </w:r>
      <w:r>
        <w:rPr>
          <w:rFonts w:ascii="Times New Roman;sans-serif" w:hAnsi="Times New Roman;sans-serif"/>
          <w:b w:val="false"/>
          <w:color w:val="000000"/>
          <w:sz w:val="20"/>
        </w:rPr>
        <w:t xml:space="preserve">as of the issue date for the applicable series of existing senior unsecured notes, (2) the Pinnacle Master Lease and (3) any similar lease to either lease referred to in clauses (1) and (2) and entered into after the issue date for the applicable series of existing senior unsecured notes by any Person may, in the sole discretion of the Operating Partnership, be accounted for as an operating lease for purposes of such notes and the indenture with respect to such notes (and shall not constitute a capitalized lease).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5"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Gaming Approval</w:t>
      </w:r>
      <w:r>
        <w:rPr>
          <w:color w:val="000000"/>
        </w:rPr>
        <w:t xml:space="preserve">” </w:t>
      </w:r>
      <w:r>
        <w:rPr>
          <w:rFonts w:ascii="Times New Roman;sans-serif" w:hAnsi="Times New Roman;sans-serif"/>
          <w:b w:val="false"/>
          <w:color w:val="000000"/>
          <w:sz w:val="20"/>
        </w:rPr>
        <w:t xml:space="preserve">means any and all approvals, licenses, authorizations, permits, consents, rulings, orders or directives (a) relating to any gaming business (including pari-mutuel betting) or enterprise, including to enable the Issuers or any of their Subsidiaries or affiliates to engage in or manage the casino, gambling, horse racing or gaming business or otherwise continue to conduct or manage such business substantially as is presently conducted or managed or contemplated to be conducted or managed or (b) required by any Gaming Law.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Gaming Authority</w:t>
      </w:r>
      <w:r>
        <w:rPr>
          <w:color w:val="000000"/>
        </w:rPr>
        <w:t xml:space="preserve">” </w:t>
      </w:r>
      <w:r>
        <w:rPr>
          <w:rFonts w:ascii="Times New Roman;sans-serif" w:hAnsi="Times New Roman;sans-serif"/>
          <w:b w:val="false"/>
          <w:color w:val="000000"/>
          <w:sz w:val="20"/>
        </w:rPr>
        <w:t xml:space="preserve">means any governmental agency, authority, board, bureau, commission, department, office or instrumentality with regulatory, licensing or permitting authority or jurisdiction over any gaming business or enterprise or any Gaming Facility, or with regulatory, licensing or permitting authority or jurisdiction over any gaming operation (or proposed gaming operation) owned, managed or operated by the Issuers or any of their Subsidiaries.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Gaming Facility</w:t>
      </w:r>
      <w:r>
        <w:rPr>
          <w:color w:val="000000"/>
        </w:rPr>
        <w:t xml:space="preserve">” </w:t>
      </w:r>
      <w:r>
        <w:rPr>
          <w:rFonts w:ascii="Times New Roman;sans-serif" w:hAnsi="Times New Roman;sans-serif"/>
          <w:b w:val="false"/>
          <w:color w:val="000000"/>
          <w:sz w:val="20"/>
        </w:rPr>
        <w:t xml:space="preserve">means any gaming or pari-mutuel wagering establishment, including any casino or “racino,” and other property or assets ancillary thereto or used in connection therewith, including any casinos, hotels, resorts, racetracks, off-track wagering sites, theaters, parking facilities, recreational vehicle parks, timeshare operations, retail shops, restaurants, other buildings, restaurants, theatres, related or ancillary businesses, land, golf courses and other recreation and entertainment facilities, marinas, vessels, barges, ships and equipment.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Gaming Laws</w:t>
      </w:r>
      <w:r>
        <w:rPr>
          <w:color w:val="000000"/>
        </w:rPr>
        <w:t xml:space="preserve">” </w:t>
      </w:r>
      <w:r>
        <w:rPr>
          <w:rFonts w:ascii="Times New Roman;sans-serif" w:hAnsi="Times New Roman;sans-serif"/>
          <w:b w:val="false"/>
          <w:color w:val="000000"/>
          <w:sz w:val="20"/>
        </w:rPr>
        <w:t xml:space="preserve">means all applicable provisions of all: (a) constitutions, treaties, statutes or laws governing Gaming Facilities (including card club casinos and pari-mutuel racetracks) and rules, regulations, codes and ordinances of, and all administrative or judicial orders or decrees or other laws pursuant to which, any Gaming Authority possesses regulatory, licensing or permit authority over gambling, gaming, racing or Gaming Facility activities conducted or managed by the Issuers or any of their Subsidiaries or affiliates within its jurisdiction; (b) Gaming Approvals; and (c) orders, decisions, determinations, judgments, awards and decrees of any Gaming Authority.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Income Property</w:t>
      </w:r>
      <w:r>
        <w:rPr>
          <w:color w:val="000000"/>
        </w:rPr>
        <w:t xml:space="preserve">” </w:t>
      </w:r>
      <w:r>
        <w:rPr>
          <w:rFonts w:ascii="Times New Roman;sans-serif" w:hAnsi="Times New Roman;sans-serif"/>
          <w:b w:val="false"/>
          <w:color w:val="000000"/>
          <w:sz w:val="20"/>
        </w:rPr>
        <w:t xml:space="preserve">means any real or personal property or assets or vessels (including any personal property ancillary thereto or used in connection therewith or in support thereof) owned, operated or leased or otherwise controlled by the Issuers or their Subsidiaries and earning, or intended to earn, current income whether from rent, lease payments, operations or otherwise. “Income Property” shall not include any Development Property, Redevelopment Property or undeveloped land during the period such property or assets or vessels are Development Properties, Redevelopment Properties or undeveloped land as reasonably determined by an Issuer.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Indebtedness</w:t>
      </w:r>
      <w:r>
        <w:rPr>
          <w:color w:val="000000"/>
        </w:rPr>
        <w:t xml:space="preserve">” </w:t>
      </w:r>
      <w:r>
        <w:rPr>
          <w:rFonts w:ascii="Times New Roman;sans-serif" w:hAnsi="Times New Roman;sans-serif"/>
          <w:b w:val="false"/>
          <w:color w:val="000000"/>
          <w:sz w:val="20"/>
        </w:rPr>
        <w:t>means, as of any date of determination, all indebtedness for borrowed money of the Issuers and their Subsidiaries that is included as a liability on the Consolidated Financial Statements of the Issuers in accordance with GAAP, excluding: (i) any indebtedness to the extent Discharged or to the extent secured by cash, cash equivalents or marketable securities (it being understood that cash collateral shall be deemed to include cash deposited with a trustee or other agent with respect to third party indebtedness), (ii) Intercompany Debt, (iii) all liabilities associated with customary exceptions to non-recourse indebtedness, such as for fraud, misapplication of funds, environmental indemnities, voluntary bankruptcy, collusive involuntary bankruptcy and other similar exceptions and (iv) any redeemable equity interest in the Issuers;</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Indebtedness of a Subsidiary of any of the Issuers that is not a wholly owned Subsidiary of the Issuers shall be reduced to reflect the Issuers’ proportionate interest therein.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Intercompany Debt</w:t>
      </w:r>
      <w:r>
        <w:rPr>
          <w:color w:val="000000"/>
        </w:rPr>
        <w:t xml:space="preserve">” </w:t>
      </w:r>
      <w:r>
        <w:rPr>
          <w:rFonts w:ascii="Times New Roman;sans-serif" w:hAnsi="Times New Roman;sans-serif"/>
          <w:b w:val="false"/>
          <w:color w:val="000000"/>
          <w:sz w:val="20"/>
        </w:rPr>
        <w:t>means, as of any date, Indebtedness to which the only parties are the Guarantor, the Issuers and any of their respective Subsidiaries as of such date;</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with respect to any such Indebtedness of which any of the Issuers is the borrower, such Indebtedness is subordinate in right of payment to the notes.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means, for any period of time, the aggregate amount of interest payable in cash on Indebtedness of the Issuers and their Subsidiaries, net of interest income and payments received under swap and other hedging agreements or arrangements relating to interest rates, and excluding (i) any commitment, upfront, arrangement or structuring fees or premiums (including redemption and prepayment premiums) or original issue discount, (ii) interest reserves funded from the proceeds of any Indebtedness, (iii) any cash costs associated with breakage in respect of hedging agreements for interest rates, (iv) all cash interest expense consisting of liquidated damages for failure to timely comply with registration rights obligations and financing fees, and (v) amortization of deferred financing costs;</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the components of Interest Expense relating to a Subsidiary of any of the Issuers that is not a wholly owned Subsidiary of the Issuers shall be reduced to reflect the Issuers’ proportionate interest therein.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Latest Completed Quarter</w:t>
      </w:r>
      <w:r>
        <w:rPr>
          <w:color w:val="000000"/>
        </w:rPr>
        <w:t xml:space="preserve">” </w:t>
      </w:r>
      <w:r>
        <w:rPr>
          <w:rFonts w:ascii="Times New Roman;sans-serif" w:hAnsi="Times New Roman;sans-serif"/>
          <w:b w:val="false"/>
          <w:color w:val="000000"/>
          <w:sz w:val="20"/>
        </w:rPr>
        <w:t xml:space="preserve">means, as of any date, the most recently ended fiscal quarter of the Issuers for which Consolidated Financial Statements of the Issuers (or the Guarantor or another parent guarantor, as applicable) have been completed, it being understood that at any time when the Issuers (or the Guarantor or another parent guarantor, as applicable) are subject to the informational requirements of the Exchange Act, and in accordance therewith file annual and quarterly reports with the SEC,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“Latest Completed Quarter” shall be deemed to refer to the fiscal quarter covered by the Issuers’ (or the Guarantor’s or another parent guarantor’s, as applicable) most recently filed Quarterly Report on Form 10-Q, or, in the case of the last fiscal quarter of the year, the Issuers’ (or the Guarantor’s or another parent guarantor’s, as applicable) Annual Report on Form 10-K.</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Lien</w:t>
      </w:r>
      <w:r>
        <w:rPr>
          <w:color w:val="000000"/>
        </w:rPr>
        <w:t xml:space="preserve">” </w:t>
      </w:r>
      <w:r>
        <w:rPr>
          <w:rFonts w:ascii="Times New Roman;sans-serif" w:hAnsi="Times New Roman;sans-serif"/>
          <w:b w:val="false"/>
          <w:color w:val="000000"/>
          <w:sz w:val="20"/>
        </w:rPr>
        <w:t>means, with respect to any asset (without duplication), any lien, security interest or other type of preferential arrangement for security, including, without limitation, the lien or retained security title of a conditional vendor;</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for purposes hereof, “Lien” shall not include any Lien related to Indebtedness that has been Discharged or otherwise satisfied by the Issuers or any of their Subsidiaries in accordance with the provisions thereof, including through the deposit of cash, cash equivalents or marketable securities (it being understood that cash collateral shall be deemed to include cash deposited with a trustee with respect to third party indebtedness).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Original Master Lease Properties</w:t>
      </w:r>
      <w:r>
        <w:rPr>
          <w:color w:val="000000"/>
        </w:rPr>
        <w:t xml:space="preserve">” </w:t>
      </w:r>
      <w:r>
        <w:rPr>
          <w:rFonts w:ascii="Times New Roman;sans-serif" w:hAnsi="Times New Roman;sans-serif"/>
          <w:b w:val="false"/>
          <w:color w:val="000000"/>
          <w:sz w:val="20"/>
        </w:rPr>
        <w:t>means the Penn Master Lease Properties as of the date of the Penn Master Lease.</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Ownership Share</w:t>
      </w:r>
      <w:r>
        <w:rPr>
          <w:color w:val="000000"/>
        </w:rPr>
        <w:t xml:space="preserve">” </w:t>
      </w:r>
      <w:r>
        <w:rPr>
          <w:rFonts w:ascii="Times New Roman;sans-serif" w:hAnsi="Times New Roman;sans-serif"/>
          <w:b w:val="false"/>
          <w:color w:val="000000"/>
          <w:sz w:val="20"/>
        </w:rPr>
        <w:t xml:space="preserve">means, with respect to any Subsidiary (other than a wholly owned Subsidiary of any of the Issuers) or any Unconsolidated Affiliate of the Issuers, the Issuers’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Penn</w:t>
      </w:r>
      <w:r>
        <w:rPr>
          <w:color w:val="000000"/>
        </w:rPr>
        <w:t xml:space="preserve">” </w:t>
      </w:r>
      <w:r>
        <w:rPr>
          <w:rFonts w:ascii="Times New Roman;sans-serif" w:hAnsi="Times New Roman;sans-serif"/>
          <w:b w:val="false"/>
          <w:color w:val="000000"/>
          <w:sz w:val="20"/>
        </w:rPr>
        <w:t xml:space="preserve">means Penn Entertainment, Inc., a Pennsylvania corporation.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Penn Master Lease</w:t>
      </w:r>
      <w:r>
        <w:rPr>
          <w:color w:val="000000"/>
        </w:rPr>
        <w:t xml:space="preserve">” </w:t>
      </w:r>
      <w:r>
        <w:rPr>
          <w:rFonts w:ascii="Times New Roman;sans-serif" w:hAnsi="Times New Roman;sans-serif"/>
          <w:b w:val="false"/>
          <w:color w:val="000000"/>
          <w:sz w:val="20"/>
        </w:rPr>
        <w:t xml:space="preserve">means that certain Master Lease, dated as of November 1, 2013, between the Operating Partnership (and any Subsidiaries of the Operating Partnership acting as landlord or co-landlord) and the Penn Tenant, as it may be amended, supplemented or modified from time to time.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Penn Master Lease Guaranty</w:t>
      </w:r>
      <w:r>
        <w:rPr>
          <w:color w:val="000000"/>
        </w:rPr>
        <w:t xml:space="preserve">” </w:t>
      </w:r>
      <w:r>
        <w:rPr>
          <w:rFonts w:ascii="Times New Roman;sans-serif" w:hAnsi="Times New Roman;sans-serif"/>
          <w:b w:val="false"/>
          <w:color w:val="000000"/>
          <w:sz w:val="20"/>
        </w:rPr>
        <w:t xml:space="preserve">means the Guaranty of the Penn Master Lease by Penn in favor of the Operating Partnership or a Subsidiary thereof.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Penn Master Lease Properties</w:t>
      </w:r>
      <w:r>
        <w:rPr>
          <w:color w:val="000000"/>
        </w:rPr>
        <w:t xml:space="preserve">” </w:t>
      </w:r>
      <w:r>
        <w:rPr>
          <w:rFonts w:ascii="Times New Roman;sans-serif" w:hAnsi="Times New Roman;sans-serif"/>
          <w:b w:val="false"/>
          <w:color w:val="000000"/>
          <w:sz w:val="20"/>
        </w:rPr>
        <w:t xml:space="preserve">means, as of any date of determination, the real properties that are leased to Penn Tenant pursuant to the Penn Master Lease.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Penn</w:t>
      </w:r>
      <w:r>
        <w:rPr>
          <w:color w:val="000000"/>
        </w:rPr>
        <w:t xml:space="preserve"> </w:t>
      </w:r>
      <w:r>
        <w:rPr>
          <w:rFonts w:ascii="Times New Roman;sans-serif" w:hAnsi="Times New Roman;sans-serif"/>
          <w:b w:val="false"/>
          <w:i/>
          <w:color w:val="000000"/>
          <w:sz w:val="20"/>
        </w:rPr>
        <w:t>Spin-Off</w:t>
      </w:r>
      <w:r>
        <w:rPr>
          <w:color w:val="000000"/>
        </w:rPr>
        <w:t xml:space="preserve">” </w:t>
      </w:r>
      <w:r>
        <w:rPr>
          <w:rFonts w:ascii="Times New Roman;sans-serif" w:hAnsi="Times New Roman;sans-serif"/>
          <w:b w:val="false"/>
          <w:color w:val="000000"/>
          <w:sz w:val="20"/>
        </w:rPr>
        <w:t xml:space="preserve">means the spin-off of the Guarantor from Penn to the shareholders of Penn in November 2013, which resulted in the Operating Partnership having title to substantially all of the real estate assets held by Penn prior to the spin-off, and including the entering into by the Penn Tenant and the Operating Partnership (or one or more Subsidiaries of the Operating Partnership acting as landlord or co-landlord) of the Penn Master Lease.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Penn Tenant</w:t>
      </w:r>
      <w:r>
        <w:rPr>
          <w:color w:val="000000"/>
        </w:rPr>
        <w:t xml:space="preserve">” </w:t>
      </w:r>
      <w:r>
        <w:rPr>
          <w:rFonts w:ascii="Times New Roman;sans-serif" w:hAnsi="Times New Roman;sans-serif"/>
          <w:b w:val="false"/>
          <w:color w:val="000000"/>
          <w:sz w:val="20"/>
        </w:rPr>
        <w:t xml:space="preserve">means Penn Tenant, LLC, a Pennsylvania limited liability company, in its capacity as tenant under the Penn Master Lease, and its successors in such capacity. </w:t>
      </w:r>
    </w:p>
    <w:p>
      <w:pPr>
        <w:pStyle w:val="TextBody"/>
        <w:bidi w:val="0"/>
        <w:spacing w:lineRule="auto" w:line="268" w:before="240" w:after="283"/>
        <w:jc w:val="left"/>
        <w:rPr/>
      </w:pPr>
      <w:r>
        <w:rPr>
          <w:color w:val="000000"/>
        </w:rPr>
        <w:t>“</w:t>
      </w:r>
      <w:r>
        <w:rPr>
          <w:rFonts w:ascii="Times New Roman;sans-serif" w:hAnsi="Times New Roman;sans-serif"/>
          <w:b w:val="false"/>
          <w:i/>
          <w:color w:val="000000"/>
          <w:sz w:val="20"/>
        </w:rPr>
        <w:t>Penn Transactions</w:t>
      </w:r>
      <w:r>
        <w:rPr>
          <w:color w:val="000000"/>
        </w:rPr>
        <w:t xml:space="preserve">” </w:t>
      </w:r>
      <w:r>
        <w:rPr>
          <w:rFonts w:ascii="Times New Roman;sans-serif" w:hAnsi="Times New Roman;sans-serif"/>
          <w:b w:val="false"/>
          <w:color w:val="000000"/>
          <w:sz w:val="20"/>
        </w:rPr>
        <w:t xml:space="preserve">means, collectively, (a) the Penn Spin-Off and the series of corporate restructurings and other transactions entered into in connection with the foregoing, the acquisition by the Guarantor of the GLPI Assets (as defined in the 2013 Offering Memorandum) and the entering into of the Penn Master Lease, (b) the issuance of the Issuers’ 5.375% Senior Notes due 2023 and the Issuers’ 4.375% Senior Notes due 2018, which have been redeemed in full as of the date hereof and the entering into of the Credit Agreement on October 28, 2013, (c) the payment of the earnings and profits purge described in the 2013 Offering Memorandum, (d) any other transactions defined as “Transactions” in the 2013 Offering Memorandum and (e) the payment of fees and expenses in connection with the foregoing.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Permitted Debt</w:t>
      </w:r>
      <w:r>
        <w:rPr>
          <w:color w:val="000000"/>
        </w:rPr>
        <w:t>” </w:t>
      </w:r>
      <w:r>
        <w:rPr>
          <w:rFonts w:ascii="Times New Roman;sans-serif" w:hAnsi="Times New Roman;sans-serif"/>
          <w:b w:val="false"/>
          <w:color w:val="000000"/>
          <w:sz w:val="20"/>
        </w:rPr>
        <w:t xml:space="preserve">means: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Indebtedness incurred under the Credit Facilities on or prior to the date of the indenture;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Indebtedness represented by the existing senior unsecured notes.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rPr>
        <w:t>Permitted Replacement Lease</w:t>
      </w:r>
      <w:r>
        <w:rPr>
          <w:color w:val="000000"/>
        </w:rPr>
        <w:t xml:space="preserve">” </w:t>
      </w:r>
      <w:r>
        <w:rPr>
          <w:rFonts w:ascii="Times New Roman;sans-serif" w:hAnsi="Times New Roman;sans-serif"/>
          <w:b w:val="false"/>
          <w:color w:val="000000"/>
          <w:sz w:val="20"/>
        </w:rPr>
        <w:t xml:space="preserve">means (a) any new lease entered into pursuant to Section 17.1(f) of the Penn Master Lease, (b) any new lease entered into with a Qualified Successor Tenant or (c) any assignment of the Penn Master Lease to a Qualified Successor Tenant, in each case, whether in respect of all or a portion of the gaming facilities subject to the Penn Master Lease.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Person</w:t>
      </w:r>
      <w:r>
        <w:rPr>
          <w:color w:val="000000"/>
        </w:rPr>
        <w:t xml:space="preserve">” </w:t>
      </w:r>
      <w:r>
        <w:rPr>
          <w:rFonts w:ascii="Times New Roman;sans-serif" w:hAnsi="Times New Roman;sans-serif"/>
          <w:b w:val="false"/>
          <w:color w:val="000000"/>
          <w:sz w:val="20"/>
        </w:rPr>
        <w:t xml:space="preserve">means any individual, corporation, partnership, joint venture, association, joint-stock company, trust, unincorporated organization, limited liability company or government or other entity.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7"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Pinnacle</w:t>
      </w:r>
      <w:r>
        <w:rPr>
          <w:color w:val="000000"/>
        </w:rPr>
        <w:t xml:space="preserve">” </w:t>
      </w:r>
      <w:r>
        <w:rPr>
          <w:rFonts w:ascii="Times New Roman;sans-serif" w:hAnsi="Times New Roman;sans-serif"/>
          <w:b w:val="false"/>
          <w:color w:val="000000"/>
          <w:sz w:val="20"/>
        </w:rPr>
        <w:t xml:space="preserve">means Pinnacle Entertainment, Inc., a Delaware corporation.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Pinnacle Master Lease</w:t>
      </w:r>
      <w:r>
        <w:rPr>
          <w:color w:val="000000"/>
        </w:rPr>
        <w:t xml:space="preserve">” </w:t>
      </w:r>
      <w:r>
        <w:rPr>
          <w:rFonts w:ascii="Times New Roman;sans-serif" w:hAnsi="Times New Roman;sans-serif"/>
          <w:b w:val="false"/>
          <w:color w:val="000000"/>
          <w:sz w:val="20"/>
        </w:rPr>
        <w:t xml:space="preserve">means that certain master lease, dated as of April 28, 2016, between, Pinnacle MLS, LLC, as tenant, and Gold Merger Sub, LLC (as successor to Pinnacle), as landlord, as such Master Lease may be amended, supplemented or modified from time to time.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pro forma basis</w:t>
      </w:r>
      <w:r>
        <w:rPr>
          <w:color w:val="000000"/>
        </w:rPr>
        <w:t xml:space="preserve">” </w:t>
      </w:r>
      <w:r>
        <w:rPr>
          <w:rFonts w:ascii="Times New Roman;sans-serif" w:hAnsi="Times New Roman;sans-serif"/>
          <w:b w:val="false"/>
          <w:color w:val="000000"/>
          <w:sz w:val="20"/>
        </w:rPr>
        <w:t xml:space="preserve">means: </w:t>
      </w:r>
    </w:p>
    <w:p>
      <w:pPr>
        <w:pStyle w:val="TextBody"/>
        <w:bidi w:val="0"/>
        <w:spacing w:before="24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(1)    For purposes of calculating the amount of Total Debt or Secured Debt or Unsecured Debt under “—Certain Covenants-Limitations on Incurrence of Indebtedness-Limitation on Total Debt” and “—Limitation on Secured Debt,” there shall be excluded Indebtedness to the extent secured by cash, cash equivalents or marketable securities (it being understood that cash collateral shall be deemed to include cash deposited with a trustee or other agent with respect to third party indebtedness) or which has been repaid, discharged, defeased (whether by covenant or legal defeasance), retired, repurchased or redeemed or otherwise satisfied on or prior to the date such calculation is being made or for which the Guarantor, the Issuers or any of their Subsidiaries has irrevocably made a deposit to repay, defease (whether by covenant or legal defeasance), discharge, repurchase, retire or redeem or otherwise satisfy or called for redemption, defeasance (whether by covenant or legal defeasance), discharge, repurchase or retirement, on or prior to the date such calculation is being made (collectively, “</w:t>
      </w:r>
      <w:r>
        <w:rPr>
          <w:rFonts w:ascii="Times New Roman;sans-serif" w:hAnsi="Times New Roman;sans-serif"/>
          <w:b w:val="false"/>
          <w:i/>
          <w:color w:val="000000"/>
          <w:sz w:val="20"/>
        </w:rPr>
        <w:t>Discharged</w:t>
      </w:r>
      <w:r>
        <w:rPr>
          <w:color w:val="000000"/>
        </w:rPr>
        <w:t>”</w:t>
      </w:r>
      <w:r>
        <w:rPr>
          <w:rFonts w:ascii="Times New Roman;sans-serif" w:hAnsi="Times New Roman;sans-serif"/>
          <w:b w:val="false"/>
          <w:color w:val="000000"/>
          <w:sz w:val="2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For purposes of calculating the Coverage Ratio: </w:t>
      </w:r>
    </w:p>
    <w:p>
      <w:pPr>
        <w:pStyle w:val="TextBody"/>
        <w:bidi w:val="0"/>
        <w:spacing w:lineRule="auto" w:line="288" w:before="120" w:after="283"/>
        <w:jc w:val="left"/>
        <w:rPr/>
      </w:pPr>
      <w:r>
        <w:rPr>
          <w:rFonts w:ascii="Times New Roman;sans-serif" w:hAnsi="Times New Roman;sans-serif"/>
          <w:b w:val="false"/>
          <w:color w:val="000000"/>
          <w:sz w:val="20"/>
        </w:rPr>
        <w:t>(a)    in the event that the Issuers or any of their Subsidiaries incurs, assumes, guarantees or Discharges any Indebtedness (other than ordinary working capital borrowings) subsequent to the commencement of the period for which the Coverage Ratio is being calculated and on or prior to the date such calculation is being made, then the Coverage Ratio will be calculated giving</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 xml:space="preserve">effect thereto, and the use of the proceeds therefrom (including any such transaction giving rise to the need to calculate the Coverage Ratio), in each case, as if the same had occurred at the beginning of the applicable four-quarter period and Interest Expense relating to any such Indebtedness that has been Discharged or to the extent secured by cash, cash equivalents or marketable securities (it being understood that cash collateral shall be deemed to include cash deposited with a trustee or other agent with respect to third party indebtedness) shall be excluded; </w:t>
      </w:r>
    </w:p>
    <w:p>
      <w:pPr>
        <w:pStyle w:val="TextBody"/>
        <w:bidi w:val="0"/>
        <w:spacing w:lineRule="auto" w:line="288" w:before="120" w:after="283"/>
        <w:jc w:val="left"/>
        <w:rPr/>
      </w:pPr>
      <w:r>
        <w:rPr>
          <w:rFonts w:ascii="Times New Roman;sans-serif" w:hAnsi="Times New Roman;sans-serif"/>
          <w:b w:val="false"/>
          <w:color w:val="000000"/>
          <w:sz w:val="20"/>
        </w:rPr>
        <w:t>(b)    acquisitions or investments that have been made by the Issuers or any of their Subsidiaries, including through mergers or consolidations and including any related financing transactions, during the four-quarter period or subsequent to such period and on or prior to the date such calculation is being made, and the change in Consolidated EBITDA resulting therefrom, will be given</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effect as if they had occurred on the first day of the four-quarter period, and Consolidated EBITDA for such period shall include the Consolidated EBITDA of the acquired entities or applicable to such investments, and related transactions, and shall otherwise be calculated on a</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i/>
          <w:color w:val="000000"/>
          <w:sz w:val="20"/>
        </w:rPr>
        <w:t>basis</w:t>
      </w:r>
      <w:r>
        <w:rPr>
          <w:rFonts w:ascii="Times New Roman;sans-serif" w:hAnsi="Times New Roman;sans-serif"/>
          <w:b w:val="false"/>
          <w:color w:val="000000"/>
          <w:sz w:val="2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(i) any Person that is a Subsidiary on the date such calculation is being made will be deemed to have been a Subsidiary at all times during the applicable four-quarter period, and (ii) any Person that is not a Subsidiary on the date such calculation is being made will be deemed not to have been a Subsidiary at any time during the applicable four-quarter reference period;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the Consolidated EBITDA attributable to discontinued operations, as determined in accordance with GAAP, and operations or businesses disposed of prior to the date such calculation is being made, will be excluded;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the Interest Expense attributable to discontinued operations, as determined in accordance with GAAP, and operations or businesses disposed of prior to the date such calculation is being made, will be excluded, but only to the extent that the obligations giving rise to such Interest Expense will not be obligations of the Issuers or any of their Subsidiaries following the date such calculation is being made;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as the Issuers may designate; and </w:t>
      </w:r>
    </w:p>
    <w:p>
      <w:pPr>
        <w:pStyle w:val="TextBody"/>
        <w:bidi w:val="0"/>
        <w:spacing w:lineRule="auto" w:line="268" w:before="240" w:after="283"/>
        <w:jc w:val="left"/>
        <w:rPr/>
      </w:pPr>
      <w:r>
        <w:rPr>
          <w:rFonts w:ascii="Times New Roman;sans-serif" w:hAnsi="Times New Roman;sans-serif"/>
          <w:b w:val="false"/>
          <w:color w:val="000000"/>
          <w:sz w:val="20"/>
        </w:rPr>
        <w:t>(g)    except with respect to tje 2033 Notes, the 2032 Notes and the 2031 Notes, for any period that includes any period of time occurring prior to October 30, 2013, the Penn Transactions shall be given</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 xml:space="preserve">effect as if the Penn Transactions had occurred at the beginning of such period.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Property EBITDA</w:t>
      </w:r>
      <w:r>
        <w:rPr>
          <w:color w:val="000000"/>
        </w:rPr>
        <w:t xml:space="preserve">” </w:t>
      </w:r>
      <w:r>
        <w:rPr>
          <w:rFonts w:ascii="Times New Roman;sans-serif" w:hAnsi="Times New Roman;sans-serif"/>
          <w:b w:val="false"/>
          <w:color w:val="000000"/>
          <w:sz w:val="20"/>
        </w:rPr>
        <w:t xml:space="preserve">means, for any period of time with respect to the Penn Master Lease Properties or any other group of related properties or any property (excluding any properties that are not Income Properties), the sum, with respect to the Penn Master Lease Properties or other group of related properties or property, of the net income (or net loss) derived from such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8" name="Frame1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for such period (excluding, without duplication, gains (or losses) from dispositions of depreciable real estate investments, property valuation losses and impairment charges); </w:t>
      </w:r>
    </w:p>
    <w:p>
      <w:pPr>
        <w:pStyle w:val="TextBody"/>
        <w:bidi w:val="0"/>
        <w:spacing w:lineRule="auto" w:line="288" w:before="120" w:after="283"/>
        <w:jc w:val="left"/>
        <w:rPr/>
      </w:pPr>
      <w:r>
        <w:rPr>
          <w:rFonts w:ascii="Times New Roman;sans-serif" w:hAnsi="Times New Roman;sans-serif"/>
          <w:b w:val="false"/>
          <w:color w:val="000000"/>
          <w:sz w:val="20"/>
        </w:rPr>
        <w:t>(1)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without duplication and solely to the extent already deducted (and not added back) in arriving at such net income (or net loss), the sum of the following amounts for such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interest expense (whether paid or accrued and whether or not capitalized);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income tax expense;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depreciation expense;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amortization expense;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extraordinary, non-recurring and unusual items, charges or expenses (including, without limitation, property valuation losses,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expenses and losses associated with hedging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    expenses and losses resulting from fluctuations in foreign exchange rates;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    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the amount of integration costs deducted (and not added back) in such period in computing the net income (or net loss);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    severance, relocation costs, signing costs, retention or completion bonuses, transition costs, curtailments or modifications to pension and post-retirement employee benefit plans (including any settlement of pension liabilities);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    to the extent not included in net income or, if otherwise excluded from Property EBITDA due to the operation of clause (2)(a) below, the amount of insurance proceeds received during such period, or after such period and on or prior to the date the calculation is made with respect to such period, attributable to such property; </w:t>
      </w:r>
    </w:p>
    <w:p>
      <w:pPr>
        <w:pStyle w:val="TextBody"/>
        <w:bidi w:val="0"/>
        <w:spacing w:lineRule="auto" w:line="288" w:before="120" w:after="283"/>
        <w:jc w:val="left"/>
        <w:rPr/>
      </w:pPr>
      <w:r>
        <w:rPr>
          <w:rFonts w:ascii="Times New Roman;sans-serif" w:hAnsi="Times New Roman;sans-serif"/>
          <w:b w:val="false"/>
          <w:color w:val="000000"/>
          <w:sz w:val="20"/>
        </w:rPr>
        <w:t>(2)    </w:t>
      </w:r>
      <w:r>
        <w:rPr>
          <w:rFonts w:ascii="Times New Roman;sans-serif" w:hAnsi="Times New Roman;sans-serif"/>
          <w:b w:val="false"/>
          <w:i/>
          <w:color w:val="000000"/>
          <w:sz w:val="20"/>
        </w:rPr>
        <w:t>minus</w:t>
      </w:r>
      <w:r>
        <w:rPr>
          <w:rFonts w:ascii="Times New Roman;sans-serif" w:hAnsi="Times New Roman;sans-serif"/>
          <w:b w:val="false"/>
          <w:color w:val="000000"/>
          <w:sz w:val="20"/>
        </w:rPr>
        <w:t xml:space="preserve">, without duplication and solely to the extent included in arriving at such net income (or net loss), the sum of the following amounts for such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extraordinary, non-recurring and unusual gains (other than insurance proceeds);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gains attributable to hedging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non-cash gains resulting from fluctuations in foreign exchange rates;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other non-cash gains increasing net income (or decreasing net loss) other than accruals in the ordinary course; </w:t>
      </w:r>
    </w:p>
    <w:p>
      <w:pPr>
        <w:pStyle w:val="TextBody"/>
        <w:bidi w:val="0"/>
        <w:spacing w:lineRule="auto" w:line="288" w:before="240" w:after="283"/>
        <w:jc w:val="left"/>
        <w:rPr/>
      </w:pP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to the extent any amounts referred to in this definition or deducted in calculating net income (or net loss) (including any costs or expenses included in calculating net income (or net loss)) are required to be paid by the Penn Tenant under the Penn Master Lease or any other Person that is a lessee or operator of any such property, such amounts will not be subtracted, and will be added back to Property EBITDA for the applicable property or group of properties. </w:t>
      </w:r>
    </w:p>
    <w:p>
      <w:pPr>
        <w:pStyle w:val="TextBody"/>
        <w:bidi w:val="0"/>
        <w:spacing w:lineRule="auto" w:line="288" w:before="240" w:after="283"/>
        <w:jc w:val="left"/>
        <w:rPr/>
      </w:pPr>
      <w:r>
        <w:rPr>
          <w:rFonts w:ascii="Times New Roman;sans-serif" w:hAnsi="Times New Roman;sans-serif"/>
          <w:b w:val="false"/>
          <w:color w:val="000000"/>
          <w:sz w:val="20"/>
        </w:rPr>
        <w:t>Property EBITDA will be adjusted, without duplication, to give</w:t>
      </w:r>
      <w:r>
        <w:rPr>
          <w:color w:val="000000"/>
        </w:rPr>
        <w:t> </w:t>
      </w:r>
      <w:r>
        <w:rPr>
          <w:rFonts w:ascii="Times New Roman;sans-serif" w:hAnsi="Times New Roman;sans-serif"/>
          <w:b w:val="false"/>
          <w:i/>
          <w:color w:val="000000"/>
          <w:sz w:val="20"/>
        </w:rPr>
        <w:t>pro forma</w:t>
      </w:r>
      <w:r>
        <w:rPr>
          <w:color w:val="000000"/>
        </w:rPr>
        <w:t> </w:t>
      </w:r>
      <w:r>
        <w:rPr>
          <w:rFonts w:ascii="Times New Roman;sans-serif" w:hAnsi="Times New Roman;sans-serif"/>
          <w:b w:val="false"/>
          <w:color w:val="000000"/>
          <w:sz w:val="20"/>
        </w:rPr>
        <w:t xml:space="preserve">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calculating Property EBITDA, all amounts shall be as determined reasonably by an Issuer, and in accordance with GAAP except to the extent that GAAP is not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9" name="Frame1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Qualified Successor Tenant</w:t>
      </w:r>
      <w:r>
        <w:rPr>
          <w:color w:val="000000"/>
        </w:rPr>
        <w:t xml:space="preserve">” </w:t>
      </w:r>
      <w:r>
        <w:rPr>
          <w:rFonts w:ascii="Times New Roman;sans-serif" w:hAnsi="Times New Roman;sans-serif"/>
          <w:b w:val="false"/>
          <w:color w:val="000000"/>
          <w:sz w:val="20"/>
        </w:rPr>
        <w:t xml:space="preserve">means a Person that: (a) in the reasonable judgment of an Issuer, has sufficient experience (directly or through one or more of its Subsidiaries) operating or managing casinos or is owned, controlled or managed by a Person with such experience, to operate properties subject to a Permitted Replacement Lease and (b) is licensed or certified by each gaming authority with jurisdiction over any gaming facility subject to the applicable Permitted Replacement Lease as of the initial date of the effectiveness of the applicable Permitted Replacement Lease.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Rating Agency</w:t>
      </w:r>
      <w:r>
        <w:rPr>
          <w:color w:val="000000"/>
        </w:rPr>
        <w:t xml:space="preserve">” </w:t>
      </w:r>
      <w:r>
        <w:rPr>
          <w:rFonts w:ascii="Times New Roman;sans-serif" w:hAnsi="Times New Roman;sans-serif"/>
          <w:b w:val="false"/>
          <w:color w:val="000000"/>
          <w:sz w:val="20"/>
        </w:rPr>
        <w:t xml:space="preserve">means (a) Fitch, Moody’s or S&amp;P in the case of the 2030 Notes and 2024 Notes and Moody’s or S&amp;P’s in the case of all of the other notes or (b) if any of Fitch, Moody’s or S&amp;P in the case of the 2030 Notes and 2024 Notes and Moody’s or S&amp;P’s in the case of all of the other notes shall not make a rating on the notes publicly available, a nationally recognized statistical rating agency or agencies, as the case may be, selected by the Issuers (as certified by a resolution of the Issuers’ Board of Directors) which shall be substituted for Fitch, Moody’s or S&amp;P, as the case may be.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Rating Category</w:t>
      </w:r>
      <w:r>
        <w:rPr>
          <w:color w:val="000000"/>
        </w:rPr>
        <w:t xml:space="preserve">” </w:t>
      </w:r>
      <w:r>
        <w:rPr>
          <w:rFonts w:ascii="Times New Roman;sans-serif" w:hAnsi="Times New Roman;sans-serif"/>
          <w:b w:val="false"/>
          <w:color w:val="000000"/>
          <w:sz w:val="20"/>
        </w:rPr>
        <w:t>means (a) with respect to Fitch or S&amp;P, any of the following categories: BB, B, CCC, CC, C and D (or equivalent successor categories); (b) with respect to Moody’s, any of the following categories: Ba, B, Caa, Ca, C and D (or equivalent successor categories); and (c) the equivalent of any such category of Fitch, S&amp;P or Moody’s used by another Rating Agency selected by the Issuers. In determining whether the rating of the notes has decreased by one or more gradations, gradations within Rating Categories ((i) + and - for S&amp;P and Fitch; (ii) 1, 2 and 3 for Moody’s; and (iii) the equivalent gradations for another Rating Agency selected by the Issuers) shall be taken into account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with respect to S&amp;P, a decline in a rating from BB+ to BB, or from BB- to B+, will constitute a decrease of one gradation).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rPr>
        <w:t>Rating Date</w:t>
      </w:r>
      <w:r>
        <w:rPr>
          <w:color w:val="000000"/>
        </w:rPr>
        <w:t xml:space="preserve">” </w:t>
      </w:r>
      <w:r>
        <w:rPr>
          <w:rFonts w:ascii="Times New Roman;sans-serif" w:hAnsi="Times New Roman;sans-serif"/>
          <w:b w:val="false"/>
          <w:color w:val="000000"/>
          <w:sz w:val="20"/>
        </w:rPr>
        <w:t xml:space="preserve">means the date which is 90 days prior to the earlier of (a) a Change of Control or (b) public notice of the occurrence of a Change of Control or of the intention by the Issuers to effect a Change of Control.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Rating Decline</w:t>
      </w:r>
      <w:r>
        <w:rPr>
          <w:color w:val="000000"/>
        </w:rPr>
        <w:t xml:space="preserve">” </w:t>
      </w:r>
      <w:r>
        <w:rPr>
          <w:rFonts w:ascii="Times New Roman;sans-serif" w:hAnsi="Times New Roman;sans-serif"/>
          <w:b w:val="false"/>
          <w:color w:val="000000"/>
          <w:sz w:val="20"/>
        </w:rPr>
        <w:t xml:space="preserve">with respect to a particular series of notes shall be deemed to occur if, within 90 days after public notice of the occurrence of a Change of Control (which period shall be extended in respect of a Rating Agency so long as the rating of the notes is under publicly announced consideration for possible downgrade by any such Rating Agency with respect to a Rating Category), the rating of such series of notes by at least two of the three Rating Agencies in the case of the 2030 Notes and 2024 Notes and each of the Rating Agencies in the case of all other notes shall be decreased by one or more gradations to or within a Rating Category (including gradations within Rating Categories as well as between Rating Categories) as compared to the rating of the notes on the Rating Date.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Redevelopment Property</w:t>
      </w:r>
      <w:r>
        <w:rPr>
          <w:color w:val="000000"/>
        </w:rPr>
        <w:t xml:space="preserve">” </w:t>
      </w:r>
      <w:r>
        <w:rPr>
          <w:rFonts w:ascii="Times New Roman;sans-serif" w:hAnsi="Times New Roman;sans-serif"/>
          <w:b w:val="false"/>
          <w:color w:val="000000"/>
          <w:sz w:val="20"/>
        </w:rPr>
        <w:t xml:space="preserve">means any real property owned by an Issuer or its Subsidiaries that operates or is intended to operate as an Income Property (a)(i) that has been acquired by an Issuer or any of its Subsidiaries with a view toward renovating or rehabilitating such real property at an aggregate anticipated cost of at least 10% of the acquisition cost thereof and such renovation or rehabilitation is expected to disrupt the occupancy of at least 30% of the square footage of such property or (x) that an Issuer or any of its Subsidiaries intends to renovate or rehabilitate at an aggregate anticipated cost in excess of (y) 10% of the Capitalized Value of such real property immediately prior to such renovation or rehabilitation and such renovation or rehabilitation is expected to temporarily reduce the Property EBITDA attributable to such property by at least 30% as compared to the immediately preceding comparable prior period and or (ii) with respect to which an Issuer or a Subsidiary thereof has entered into a binding construction contract or construction has commenced, (b) that does not qualify as a “Development Property” and (c) that an Issuer so desires to classify as a “Redevelopment Property” for purposes of the notes. </w:t>
      </w:r>
    </w:p>
    <w:p>
      <w:pPr>
        <w:pStyle w:val="TextBody"/>
        <w:bidi w:val="0"/>
        <w:spacing w:lineRule="auto" w:line="268" w:before="240" w:after="283"/>
        <w:jc w:val="left"/>
        <w:rPr/>
      </w:pPr>
      <w:r>
        <w:rPr>
          <w:color w:val="000000"/>
        </w:rPr>
        <w:t>“</w:t>
      </w:r>
      <w:r>
        <w:rPr>
          <w:rFonts w:ascii="Times New Roman;sans-serif" w:hAnsi="Times New Roman;sans-serif"/>
          <w:b w:val="false"/>
          <w:i/>
          <w:color w:val="000000"/>
          <w:sz w:val="20"/>
        </w:rPr>
        <w:t>Revolving Credit Agreement</w:t>
      </w:r>
      <w:r>
        <w:rPr>
          <w:color w:val="000000"/>
        </w:rPr>
        <w:t xml:space="preserve">” </w:t>
      </w:r>
      <w:r>
        <w:rPr>
          <w:rFonts w:ascii="Times New Roman;sans-serif" w:hAnsi="Times New Roman;sans-serif"/>
          <w:b w:val="false"/>
          <w:color w:val="000000"/>
          <w:sz w:val="20"/>
        </w:rPr>
        <w:t>means the Credit Agreement, dated as of May 13, 2022 and as amended on September 2, 2022, by and among the Operating Partnership, as borrower, Wells Fargo Bank, National Association, as administrative agent, and the other agents and lenders party thereto from time to time, including any related notes, guarantees, instruments and agreements executed in connection therewith, and in each case as amended through November 22, 2023 and as amended, modified, renewed, refunded, restructured, replaced or refinanced from time to time including increases in principal amount (whether the same are provided by the original agents and lenders under the Revolving Credit Facility or other agents or other lenders), that governs the Operating Partnership’s Revolving Credit Facility.</w:t>
      </w:r>
    </w:p>
    <w:p>
      <w:pPr>
        <w:pStyle w:val="TextBody"/>
        <w:bidi w:val="0"/>
        <w:spacing w:lineRule="auto" w:line="268" w:before="240" w:after="283"/>
        <w:jc w:val="left"/>
        <w:rPr/>
      </w:pPr>
      <w:r>
        <w:rPr>
          <w:color w:val="000000"/>
        </w:rPr>
        <w:t>“</w:t>
      </w:r>
      <w:r>
        <w:rPr>
          <w:rFonts w:ascii="Times New Roman;sans-serif" w:hAnsi="Times New Roman;sans-serif"/>
          <w:b w:val="false"/>
          <w:i/>
          <w:color w:val="000000"/>
          <w:sz w:val="20"/>
        </w:rPr>
        <w:t>Revolving Credit Facility</w:t>
      </w:r>
      <w:r>
        <w:rPr>
          <w:color w:val="000000"/>
        </w:rPr>
        <w:t xml:space="preserve">” </w:t>
      </w:r>
      <w:r>
        <w:rPr>
          <w:rFonts w:ascii="Times New Roman;sans-serif" w:hAnsi="Times New Roman;sans-serif"/>
          <w:b w:val="false"/>
          <w:color w:val="000000"/>
          <w:sz w:val="20"/>
        </w:rPr>
        <w:t>means the $1.750 billion revolving credit facility under the Revolving Credit Agreement</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Secured Debt</w:t>
      </w:r>
      <w:r>
        <w:rPr>
          <w:color w:val="000000"/>
        </w:rPr>
        <w:t xml:space="preserve">” </w:t>
      </w:r>
      <w:r>
        <w:rPr>
          <w:rFonts w:ascii="Times New Roman;sans-serif" w:hAnsi="Times New Roman;sans-serif"/>
          <w:b w:val="false"/>
          <w:color w:val="000000"/>
          <w:sz w:val="20"/>
        </w:rPr>
        <w:t xml:space="preserve">means, as of any date of determination, the portion of Total Debt as of such date that is secured by a Lien on property or assets of the Issuers or any of their Subsidiaries.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Significant Acquisition</w:t>
      </w:r>
      <w:r>
        <w:rPr>
          <w:color w:val="000000"/>
        </w:rPr>
        <w:t xml:space="preserve">” </w:t>
      </w:r>
      <w:r>
        <w:rPr>
          <w:rFonts w:ascii="Times New Roman;sans-serif" w:hAnsi="Times New Roman;sans-serif"/>
          <w:b w:val="false"/>
          <w:color w:val="000000"/>
          <w:sz w:val="20"/>
        </w:rPr>
        <w:t xml:space="preserve">means an acquisition in which the aggregate consideration (whether in the form of cash, securities, goodwill, or otherwise) with respect to such acquisition is not less than five percent (5%) of Total Asset Value immediately prior to such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1155"/>
                <wp:effectExtent l="0" t="0" r="0" b="0"/>
                <wp:wrapNone/>
                <wp:docPr id="150" name="Frame1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Significant Subsidiary</w:t>
      </w:r>
      <w:r>
        <w:rPr>
          <w:color w:val="000000"/>
        </w:rPr>
        <w:t xml:space="preserve">” </w:t>
      </w:r>
      <w:r>
        <w:rPr>
          <w:rFonts w:ascii="Times New Roman;sans-serif" w:hAnsi="Times New Roman;sans-serif"/>
          <w:b w:val="false"/>
          <w:color w:val="000000"/>
          <w:sz w:val="20"/>
        </w:rPr>
        <w:t xml:space="preserve">means any Subsidiary of an Issuer having (together with its Subsidiaries) assets that constitute five percent (5%) or more of Total Asset Value as of the end any of the most recently completed fiscal year of the Issuers for which Consolidated Financial Statements have been prepared prior to the date of determination.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rPr>
        <w:t>Statistical Release</w:t>
      </w:r>
      <w:r>
        <w:rPr>
          <w:color w:val="000000"/>
        </w:rPr>
        <w:t xml:space="preserve">” </w:t>
      </w:r>
      <w:r>
        <w:rPr>
          <w:rFonts w:ascii="Times New Roman;sans-serif" w:hAnsi="Times New Roman;sans-serif"/>
          <w:b w:val="false"/>
          <w:color w:val="000000"/>
          <w:sz w:val="20"/>
        </w:rPr>
        <w:t>means the statistical release designated “H.15” or any successor publication which is published weekly by the Federal Reserve System (or companion online data resource published by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designated by us.</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Subsidiary</w:t>
      </w:r>
      <w:r>
        <w:rPr>
          <w:color w:val="000000"/>
        </w:rPr>
        <w:t xml:space="preserve">” </w:t>
      </w:r>
      <w:r>
        <w:rPr>
          <w:rFonts w:ascii="Times New Roman;sans-serif" w:hAnsi="Times New Roman;sans-serif"/>
          <w:b w:val="false"/>
          <w:color w:val="000000"/>
          <w:sz w:val="20"/>
        </w:rPr>
        <w:t xml:space="preserve">means,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shall refer to a Subsidiary or Subsidiaries of an Issuer, and in the case of each of clauses (i) and (ii) which is required to be consolidated with such Person in accordance with GAAP. </w:t>
      </w:r>
    </w:p>
    <w:p>
      <w:pPr>
        <w:pStyle w:val="TextBody"/>
        <w:bidi w:val="0"/>
        <w:spacing w:lineRule="auto" w:line="268" w:before="240" w:after="283"/>
        <w:jc w:val="left"/>
        <w:rPr/>
      </w:pPr>
      <w:r>
        <w:rPr>
          <w:color w:val="000000"/>
        </w:rPr>
        <w:t>“</w:t>
      </w:r>
      <w:r>
        <w:rPr>
          <w:rFonts w:ascii="Times New Roman;sans-serif" w:hAnsi="Times New Roman;sans-serif"/>
          <w:b w:val="false"/>
          <w:i/>
          <w:color w:val="000000"/>
          <w:sz w:val="20"/>
        </w:rPr>
        <w:t>Term Loan Credit Agreement</w:t>
      </w:r>
      <w:r>
        <w:rPr>
          <w:color w:val="000000"/>
        </w:rPr>
        <w:t xml:space="preserve">” </w:t>
      </w:r>
      <w:r>
        <w:rPr>
          <w:rFonts w:ascii="Times New Roman;sans-serif" w:hAnsi="Times New Roman;sans-serif"/>
          <w:b w:val="false"/>
          <w:color w:val="000000"/>
          <w:sz w:val="20"/>
        </w:rPr>
        <w:t>refers to the Term Loan Credit Agreement, dated as of September 2, 2022, by and among the Operating Partnership, as borrower, Wells Fargo Bank, National Association, as administrative agent, and the lenders party thereto from time to time, including any related notes, guarantees, instruments and agreements executed in connection therewith, and in each case as amended through November 22, 2023 and as amended, modified, renewed, refunded, restructured, replaced or refinanced from time to time including increases in principal amount (whether the same are provided by the original agents and lenders under the Term Loan Credit Facility or other agents or other lenders) that governs the Operating Partnership’s Term Loan Credit Facility.</w:t>
      </w:r>
    </w:p>
    <w:p>
      <w:pPr>
        <w:pStyle w:val="TextBody"/>
        <w:bidi w:val="0"/>
        <w:spacing w:lineRule="auto" w:line="268" w:before="240" w:after="283"/>
        <w:jc w:val="left"/>
        <w:rPr/>
      </w:pPr>
      <w:r>
        <w:rPr>
          <w:color w:val="000000"/>
        </w:rPr>
        <w:t>“</w:t>
      </w:r>
      <w:r>
        <w:rPr>
          <w:rFonts w:ascii="Times New Roman;sans-serif" w:hAnsi="Times New Roman;sans-serif"/>
          <w:b w:val="false"/>
          <w:i/>
          <w:color w:val="000000"/>
          <w:sz w:val="20"/>
        </w:rPr>
        <w:t>Term Loan Credit Facility</w:t>
      </w:r>
      <w:r>
        <w:rPr>
          <w:color w:val="000000"/>
        </w:rPr>
        <w:t xml:space="preserve">” </w:t>
      </w:r>
      <w:r>
        <w:rPr>
          <w:rFonts w:ascii="Times New Roman;sans-serif" w:hAnsi="Times New Roman;sans-serif"/>
          <w:b w:val="false"/>
          <w:color w:val="000000"/>
          <w:sz w:val="20"/>
        </w:rPr>
        <w:t>refers to the $600.0 million delayed draw credit facility under the Term Loan Credit Agreement.</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Total Asset Value</w:t>
      </w:r>
      <w:r>
        <w:rPr>
          <w:color w:val="000000"/>
        </w:rPr>
        <w:t xml:space="preserve">” </w:t>
      </w:r>
      <w:r>
        <w:rPr>
          <w:rFonts w:ascii="Times New Roman;sans-serif" w:hAnsi="Times New Roman;sans-serif"/>
          <w:b w:val="false"/>
          <w:color w:val="000000"/>
          <w:sz w:val="20"/>
        </w:rPr>
        <w:t>means, as of any date, the sum of the following without duplication: (a) the sum of the Asset Values for all assets constituting Income Properties, Development Properties, Redevelopment Properties or undeveloped land owned by the Issuers or any of their Subsidiaries at such date,</w:t>
      </w:r>
      <w:r>
        <w:rPr>
          <w:color w:val="000000"/>
        </w:rPr>
        <w:t>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(b) an amount (but not less than zero) equal to all unrestricted cash and cash equivalents on hand of the Issuers and their Subsidiaries (including the proceeds of the Indebtedness to be incurred),</w:t>
      </w:r>
      <w:r>
        <w:rPr>
          <w:color w:val="000000"/>
        </w:rPr>
        <w:t>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(c) earnest money deposits associated with potential acquisitions as of such date,</w:t>
      </w:r>
      <w:r>
        <w:rPr>
          <w:color w:val="000000"/>
        </w:rPr>
        <w:t>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 xml:space="preserve">(d) the book value (determined in accordance with GAAP) (but determined without giving effect to any depreciation or amortization) of all other investments held by the Issuers and their Subsidiaries at such date (exclusive of accounts receivable and non-real estate intangible assets in the case of the 2033 Notes, the 2032 Notes and the 2031 Notes, accounts receivable and goodwill and other intangible assets in the case of the 2030 Notes and 2024 Notes and goodwill and other intangible assets in the case of all other notes). Total Asset Value shall be adjusted in the case of assets owned by Subsidiaries of the Issuers which are not wholly owned Subsidiaries of the Issuers to reflect the Issuers’ Ownership Share therein.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Total Debt</w:t>
      </w:r>
      <w:r>
        <w:rPr>
          <w:color w:val="000000"/>
        </w:rPr>
        <w:t xml:space="preserve">” </w:t>
      </w:r>
      <w:r>
        <w:rPr>
          <w:rFonts w:ascii="Times New Roman;sans-serif" w:hAnsi="Times New Roman;sans-serif"/>
          <w:b w:val="false"/>
          <w:color w:val="000000"/>
          <w:sz w:val="20"/>
        </w:rPr>
        <w:t>means, as of any date of determination, the aggregate principal amount of outstanding Indebtedness of the Issuers and their Subsidiaries as of such date;</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(a) Total Debt shall not include Indebtedness in respect of letters of credit, except to the extent of unreimbursed amounts thereunder, and (b) the amount of Total Debt, in the case of Indebtedness of a Subsidiary of the Issuers that is not a wholly owned Subsidiary of the Issuers, shall be reduced to reflect the Issuers’ proportionate interest therein.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Total Unencumbered Asset Value</w:t>
      </w:r>
      <w:r>
        <w:rPr>
          <w:color w:val="000000"/>
        </w:rPr>
        <w:t xml:space="preserve">” </w:t>
      </w:r>
      <w:r>
        <w:rPr>
          <w:rFonts w:ascii="Times New Roman;sans-serif" w:hAnsi="Times New Roman;sans-serif"/>
          <w:b w:val="false"/>
          <w:color w:val="000000"/>
          <w:sz w:val="20"/>
        </w:rPr>
        <w:t xml:space="preserve">means, as of any date of determination, the Total Asset Value for all assets owned by the Issuers or one of their Subsidiaries at such date that are not subject to any Lien which secures Indebtedness of the Issuers and their Subsidiaries; provided, however, that in the case of the 2033 Notes, the 2032 Notes, 2031 Notes, 2030 Notes and 2024 Notes all investments by the Issuers and their Subsidiaries in unconsolidated joint ventures, unconsolidated limited partnerships, unconsolidated limited liability companies and other unconsolidated entities shall be excluded from Total Unencumbered Asset Value to the extent such investments would have otherwise been included.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Unconsolidated Affiliate</w:t>
      </w:r>
      <w:r>
        <w:rPr>
          <w:color w:val="000000"/>
        </w:rPr>
        <w:t xml:space="preserve">” </w:t>
      </w:r>
      <w:r>
        <w:rPr>
          <w:rFonts w:ascii="Times New Roman;sans-serif" w:hAnsi="Times New Roman;sans-serif"/>
          <w:b w:val="false"/>
          <w:color w:val="000000"/>
          <w:sz w:val="20"/>
        </w:rPr>
        <w:t xml:space="preserve">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51" name="Frame1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Unsecured Debt</w:t>
      </w:r>
      <w:r>
        <w:rPr>
          <w:color w:val="000000"/>
        </w:rPr>
        <w:t xml:space="preserve">” </w:t>
      </w:r>
      <w:r>
        <w:rPr>
          <w:rFonts w:ascii="Times New Roman;sans-serif" w:hAnsi="Times New Roman;sans-serif"/>
          <w:b w:val="false"/>
          <w:color w:val="000000"/>
          <w:sz w:val="20"/>
        </w:rPr>
        <w:t xml:space="preserve">means, as of any date of determination, that portion of Total Debt as of that date that is not Secured Debt. </w:t>
      </w:r>
    </w:p>
    <w:p>
      <w:pPr>
        <w:pStyle w:val="TextBody"/>
        <w:bidi w:val="0"/>
        <w:spacing w:lineRule="auto" w:line="288" w:before="240" w:after="283"/>
        <w:jc w:val="left"/>
        <w:rPr/>
      </w:pPr>
      <w:r>
        <w:rPr>
          <w:color w:val="000000"/>
        </w:rPr>
        <w:t>“</w:t>
      </w:r>
      <w:r>
        <w:rPr>
          <w:rFonts w:ascii="Times New Roman;sans-serif" w:hAnsi="Times New Roman;sans-serif"/>
          <w:b w:val="false"/>
          <w:i/>
          <w:color w:val="000000"/>
          <w:sz w:val="20"/>
        </w:rPr>
        <w:t>Voting Stock</w:t>
      </w:r>
      <w:r>
        <w:rPr>
          <w:color w:val="000000"/>
        </w:rPr>
        <w:t xml:space="preserve">” </w:t>
      </w:r>
      <w:r>
        <w:rPr>
          <w:rFonts w:ascii="Times New Roman;sans-serif" w:hAnsi="Times New Roman;sans-serif"/>
          <w:b w:val="false"/>
          <w:color w:val="000000"/>
          <w:sz w:val="20"/>
        </w:rPr>
        <w:t xml:space="preserve">of any Person as of any date means the Capital Stock of such Person that is at the time entitled to vote in the election of the Board of Directors of such Person.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Events of Default </w:t>
      </w:r>
    </w:p>
    <w:p>
      <w:pPr>
        <w:pStyle w:val="TextBody"/>
        <w:bidi w:val="0"/>
        <w:spacing w:lineRule="auto" w:line="288" w:before="120" w:after="283"/>
        <w:jc w:val="left"/>
        <w:rPr/>
      </w:pPr>
      <w:r>
        <w:rPr>
          <w:rFonts w:ascii="Times New Roman;sans-serif" w:hAnsi="Times New Roman;sans-serif"/>
          <w:b w:val="false"/>
          <w:color w:val="000000"/>
          <w:sz w:val="20"/>
        </w:rPr>
        <w:t>The following are “</w:t>
      </w:r>
      <w:r>
        <w:rPr>
          <w:rFonts w:ascii="Times New Roman;sans-serif" w:hAnsi="Times New Roman;sans-serif"/>
          <w:b w:val="false"/>
          <w:i/>
          <w:color w:val="000000"/>
          <w:sz w:val="20"/>
        </w:rPr>
        <w:t>events of default</w:t>
      </w:r>
      <w:r>
        <w:rPr>
          <w:color w:val="000000"/>
        </w:rPr>
        <w:t xml:space="preserve">” </w:t>
      </w:r>
      <w:r>
        <w:rPr>
          <w:rFonts w:ascii="Times New Roman;sans-serif" w:hAnsi="Times New Roman;sans-serif"/>
          <w:b w:val="false"/>
          <w:color w:val="000000"/>
          <w:sz w:val="20"/>
        </w:rPr>
        <w:t xml:space="preserve">under the indenture with respect to debt securities of a particular series issued under the indenture, including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default for 30 days in the payment when due of interest on the debt securities of a particular series issued under the indenture, including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default in payment when due of the principal of or premium, if any, on the debt securities of a particular series issued under the indenture, including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failure by the Issuers or any of their Subsidiaries for 60 days after receipt of notice from the trustee or holders of at least 25% in principal amount of the notes then outstanding to comply with any of the covenants or agreements in the indenture (other than a covenant or agreement included in the indenture for the benefit of one or more series of debt securities other than the notes) or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certain specified events under bankruptcy, insolvency or other similar laws with respect to the Issuers or any of their Significant Subsidiaries; </w:t>
      </w:r>
    </w:p>
    <w:p>
      <w:pPr>
        <w:pStyle w:val="TextBody"/>
        <w:bidi w:val="0"/>
        <w:spacing w:lineRule="auto" w:line="288" w:before="120" w:after="283"/>
        <w:jc w:val="left"/>
        <w:rPr/>
      </w:pPr>
      <w:r>
        <w:rPr>
          <w:rFonts w:ascii="Times New Roman;sans-serif" w:hAnsi="Times New Roman;sans-serif"/>
          <w:b w:val="false"/>
          <w:color w:val="000000"/>
          <w:sz w:val="20"/>
        </w:rPr>
        <w:t>(5)    a default under any mortgage, indenture or instrument under which there may be issued or by which there may be secured or evidenced any of our recourse Indebtedness (or the payment of which we guarantee), whether such Indebtedness or guarantee now exists or is created after the date of the indenture, if that default: (i) is caused by a failure to pay principal of such Indebtedness at final maturity (a “</w:t>
      </w:r>
      <w:r>
        <w:rPr>
          <w:rFonts w:ascii="Times New Roman;sans-serif" w:hAnsi="Times New Roman;sans-serif"/>
          <w:b w:val="false"/>
          <w:i/>
          <w:color w:val="000000"/>
          <w:sz w:val="20"/>
        </w:rPr>
        <w:t>payment default</w:t>
      </w:r>
      <w:r>
        <w:rPr>
          <w:color w:val="000000"/>
        </w:rPr>
        <w:t>”</w:t>
      </w:r>
      <w:r>
        <w:rPr>
          <w:rFonts w:ascii="Times New Roman;sans-serif" w:hAnsi="Times New Roman;sans-serif"/>
          <w:b w:val="false"/>
          <w:color w:val="000000"/>
          <w:sz w:val="20"/>
        </w:rPr>
        <w:t xml:space="preserve">); or (ii) results in the acceleration of such Indebtedness prior to its express maturity (which, in the case of the 2033 Notes, the 2032 Notes and the 2031 Notes, such Indebtedness has not been Discharged or, in the case of any of the notes, acceleration has not been rescinded, annulled or cured within 20 business days after receipt by us of notice from the trustee or holders of at least 25% in principal amount of the notes then outstanding specifying such default), and, in each case, the due and payable principal amount of any such Indebtedness, together with the due and payable principal amount of any other such Indebtedness under which there has been a payment default or the maturity of which has been so accelerated, aggregates $100.0 million or more; and </w:t>
      </w:r>
    </w:p>
    <w:p>
      <w:pPr>
        <w:pStyle w:val="TextBody"/>
        <w:bidi w:val="0"/>
        <w:spacing w:lineRule="auto" w:line="288" w:before="120" w:after="283"/>
        <w:jc w:val="left"/>
        <w:rPr/>
      </w:pPr>
      <w:r>
        <w:rPr>
          <w:rFonts w:ascii="Times New Roman;sans-serif" w:hAnsi="Times New Roman;sans-serif"/>
          <w:b w:val="false"/>
          <w:color w:val="000000"/>
          <w:sz w:val="20"/>
        </w:rPr>
        <w:t>(6)    except with respect to the 2033 Notes, the 2032 Notes and the 2031 Notes, other than in connection with any transaction not prohibited by “-Certain Covenants-Penn Master Lease,” the Penn Master Lease shall have terminated or the Penn Master Lease Guaranty shall have terminated (other than in accordance with the terms of the Penn Master Lease);</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such termination shall not constitute an event of default if within 90 days after such termination the Operating Partnership has entered into one or more Permitted Replacement Leases (or in the case of the Penn Master Lease Guaranty, a replacement guaranty is entered into in accordance with the Penn Master Lease).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an event of default arising under clause (4) of the immediately preceding paragraph with respect to the Issuers, all notes then outstanding will become due and payable immediately without further action or notice. If any other event of default occurs and is continuing, the trustee or the holders of at least 25% in principal amount of then outstanding notes (or then outstanding debt securities of a particular series in case of an event of default specific to such series) may declare all the debt securities outstanding under the indenture (or all of the notes of such series, as applicable) to be due and payable immediately.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notes may not enforce the indenture or the notes except as provided in the indenture. Subject to certain limitations, holders of a majority in principal amount of then outstanding notes may direct the trustee, in writing,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w:t>
      </w:r>
    </w:p>
    <w:p>
      <w:pPr>
        <w:pStyle w:val="TextBody"/>
        <w:bidi w:val="0"/>
        <w:spacing w:lineRule="auto" w:line="288" w:before="240" w:after="283"/>
        <w:jc w:val="left"/>
        <w:rPr/>
      </w:pPr>
      <w:r>
        <w:rPr>
          <w:rFonts w:ascii="Times New Roman;sans-serif" w:hAnsi="Times New Roman;sans-serif"/>
          <w:b w:val="false"/>
          <w:color w:val="000000"/>
          <w:sz w:val="20"/>
        </w:rPr>
        <w:t>The holders of a majority in aggregate principal amount of the notes then outstanding by written notice to the trustee may on behalf of the holders of all of the notes waive any existing default or event of default with respect to the notes and its consequences under the indenture (or in the case of an event of default specific to a series of debt securities outstanding under the indenture, including the notes, holders of a majority in aggregate principal amount of the debt securities of such series then outstanding by written notice to the trustee may on behalf of the holders of all of such series waive any existing default or event of default with respect to the debt securities of such series and its consequences under the indenture), in each case, except a continuing default or event of default in the payment of interest on, or the principal of, such debt securities, including the notes;</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the holders of a majority in aggregate principal amount of such debt securities (or of the debt securities of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1155"/>
                <wp:effectExtent l="0" t="0" r="0" b="0"/>
                <wp:wrapNone/>
                <wp:docPr id="152" name="Frame1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series, respectively) then outstanding may rescind an acceleration of the debt securities (or the debt securities of such series) and waive the payment default that resulted from such acceleration.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are required to deliver to the trustee annually a statement regarding compliance with the indenture. Upon becoming aware of any default or event of default, the Issuers are required to deliver to the trustee, a statement specifying such default or event of default.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Notwithstanding clause (3) of the first paragraph above or any other provision of the indenture, except as provided in the final sentence of this paragraph, the sole remedy for any failure to comply by the Issuers with the covenant described under the caption “—Certain Covenants-Reports” shall be the payment of liquidated damages as described in the following sentence, such failure to comply shall not constitute an event of default, and holders of the notes shall not have any right under the indenture or the notes to accelerate the maturity of the notes as a result of any such failure to comply. If a failure to comply by the Issuers with the covenant described under the caption “—Certain Covenants-Reports” continues for 60 days after the Issuers receives notice of such failure to comply in accordance with clause (3) of the first paragraph above (such notice, the “</w:t>
      </w:r>
      <w:r>
        <w:rPr>
          <w:rFonts w:ascii="Times New Roman;sans-serif" w:hAnsi="Times New Roman;sans-serif"/>
          <w:b w:val="false"/>
          <w:i/>
          <w:color w:val="000000"/>
          <w:sz w:val="20"/>
        </w:rPr>
        <w:t>Reports Default Notice</w:t>
      </w:r>
      <w:r>
        <w:rPr>
          <w:color w:val="000000"/>
        </w:rPr>
        <w:t>”</w:t>
      </w:r>
      <w:r>
        <w:rPr>
          <w:rFonts w:ascii="Times New Roman;sans-serif" w:hAnsi="Times New Roman;sans-serif"/>
          <w:b w:val="false"/>
          <w:color w:val="000000"/>
          <w:sz w:val="20"/>
        </w:rPr>
        <w:t>), and is continuing on the 60th day following the Issuers’ receipt of the Reports Default Notice, the Issuers will pay liquidated damages to all holders of notes at a rate per annum equal to 0.25% of the principal amount of the notes from the 60th day following the Issuers’ receipt of the Reports Default Notice to but not including the earlier of (x) the 121st day following the Issuers’ receipt of the Reports Default Notice and (y) the date on which the failure to comply by the Issuers with the covenant described under the caption “—Certain Covenants-Reports” shall have been cured or waived. On the earlier of the date specified in the immediately preceding clauses (x) and (y), such liquidated damages will cease to accrue. If the failure to comply by the Issuers with the covenant described under the caption “—Certain Covenants-Reports” shall not have been cured or waived on or before the 121st day following the Issuers’ receipt of the Reports Default Notice, then the failure to comply by the Issuers with the covenant described under the caption “—Certain Covenants-Reports” shall on such 121st day constitute an event of default. A failure to comply with the covenant described under the caption “—Certain Covenants-Reports” automatically shall cease to be continuing and shall be deemed cured at such time as the Issuers (or the Guarantor or other parent guarantor of the Issuers, as applicable) furnishes to the trustee the applicable information or report (it being understood that the availability of such information or report on the SEC’s EDGAR service (or any successor thereto) shall be deemed to satisfy the Issuers’ obligation to furnish such information or report to the trustee);</w:t>
      </w:r>
      <w:r>
        <w:rPr>
          <w:color w:val="000000"/>
        </w:rPr>
        <w: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trustee shall have no obligation whatsoever to determine whether or not such information, documents or reports have been filed pursuant to the “EDGAR” system (or its successor).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Amendment, Supplement and Waiver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provided in the next three succeeding paragraphs, the notes and the indenture may be amended or supplemented with the consent of the holders of a majority in principal amount of the notes of a series then outstanding (including consents obtained in connection with a purchase of, or tender offer or exchange offer for, notes), and any existing default or compliance with the notes of a series or any provision of the indenture as it relates to the notes of a series may be waived with the consent of the holders of a majority in principal amount of the notes of such series then outstanding (including consents obtained in connection with a purchase of, or tender offer or exchange offer for, notes).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Without the consent of each holder of notes affected, an amendment or waiver may not (with respect to any notes held by a non-consenting holder):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reduce the principal amount of notes whose holders must consent to an amendment, supplement or waiver;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reduce the principal of or change the fixed maturity of any note or alter the provisions with respect to the redemption of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reduce the rate of or change the time for payment of interest on any note;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make any note payable in money other than that stated in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make any change in the provisions of the indenture relating to waivers of past defaults or the rights of holders of notes to receive payments of principal of or interest or premium on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    waive a redemption payment with respect to any note;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    make any change in the preceding amendment and waiver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1155"/>
                <wp:effectExtent l="0" t="0" r="0" b="0"/>
                <wp:wrapNone/>
                <wp:docPr id="153" name="Frame1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preceding, without the consent of any holder of notes, the Issuers and the trustee may amend or supplement the indenture or the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to cure any ambiguity, defect, mistake or inconsistency;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to provide for uncertificated notes in addition to or in place of certificated notes;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to provide for the assumption of the Issuers’ obligations to holders of notes in the case of a merger or consolidation or sale of all or substantially all of the Issuers’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to comply with the rules of any applicable securities depository;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to comply with applicable Gaming Laws, to the extent that such amendment or supplement is not materially adverse to the holders of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to provide for the issuance of additional notes or additional debt securities of any series in accordance with the limitations set forth in the indenture;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    to make any change that would provide any additional rights or benefits to the holders of notes (including to provide for any guarantees of the notes or any collateral securing the notes or any guarantees of the notes) or that does not materially adversely affect the legal rights under the indenture of any such holder;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    to comply with requirements of the SEC in order to effect or maintain the qualification of the indenture under the TIA; 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    to conform the text of the indenture or the notes to any provision of the Description of Notes contained in the 2013 Offering Memorandum or this prospectus supplement as set forth in an officer’s certificate.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Legal Defeasance and Covenant Defeasance </w:t>
      </w:r>
    </w:p>
    <w:p>
      <w:pPr>
        <w:pStyle w:val="TextBody"/>
        <w:bidi w:val="0"/>
        <w:spacing w:lineRule="auto" w:line="288" w:before="120" w:after="283"/>
        <w:jc w:val="left"/>
        <w:rPr/>
      </w:pPr>
      <w:r>
        <w:rPr>
          <w:rFonts w:ascii="Times New Roman;sans-serif" w:hAnsi="Times New Roman;sans-serif"/>
          <w:b w:val="false"/>
          <w:color w:val="000000"/>
          <w:sz w:val="20"/>
        </w:rPr>
        <w:t>The Issuers may, at their option and at any time, elect to have all of their obligations discharged with respect to any series of the outstanding notes (“</w:t>
      </w:r>
      <w:r>
        <w:rPr>
          <w:rFonts w:ascii="Times New Roman;sans-serif" w:hAnsi="Times New Roman;sans-serif"/>
          <w:b w:val="false"/>
          <w:i/>
          <w:color w:val="000000"/>
          <w:sz w:val="20"/>
        </w:rPr>
        <w:t>Legal Defeasance</w:t>
      </w:r>
      <w:r>
        <w:rPr>
          <w:color w:val="000000"/>
        </w:rPr>
        <w:t>”</w:t>
      </w:r>
      <w:r>
        <w:rPr>
          <w:rFonts w:ascii="Times New Roman;sans-serif" w:hAnsi="Times New Roman;sans-serif"/>
          <w:b w:val="false"/>
          <w:color w:val="000000"/>
          <w:sz w:val="20"/>
        </w:rPr>
        <w:t xml:space="preserve">) except for: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rights of holders of outstanding notes to receive payments in respect of the principal of or interest or premium on such notes when such payments are due from the trust referred to below;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Issuers’ obligations with respect to the notes concerning issuing temporary notes, the replacement of mutilated, destroyed, lost or stolen notes and the maintenance of an office or agency for payment and money for security payments held in trust;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the rights, powers, trusts, duties and immunities of the trustee, and the Issuers’ obligations in connection therewith;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Legal Defeasance provisions of the indenture. </w:t>
      </w:r>
    </w:p>
    <w:p>
      <w:pPr>
        <w:pStyle w:val="TextBody"/>
        <w:bidi w:val="0"/>
        <w:spacing w:lineRule="auto" w:line="288" w:before="240" w:after="283"/>
        <w:jc w:val="left"/>
        <w:rPr/>
      </w:pPr>
      <w:r>
        <w:rPr>
          <w:rFonts w:ascii="Times New Roman;sans-serif" w:hAnsi="Times New Roman;sans-serif"/>
          <w:b w:val="false"/>
          <w:color w:val="000000"/>
          <w:sz w:val="20"/>
        </w:rPr>
        <w:t>In addition, the Issuers may, at their option and at any time, elect to have the obligations of the Issuers released with respect to certain covenants that are described in the indenture (“</w:t>
      </w:r>
      <w:r>
        <w:rPr>
          <w:rFonts w:ascii="Times New Roman;sans-serif" w:hAnsi="Times New Roman;sans-serif"/>
          <w:b w:val="false"/>
          <w:i/>
          <w:color w:val="000000"/>
          <w:sz w:val="20"/>
        </w:rPr>
        <w:t>Covenant Defeasance</w:t>
      </w:r>
      <w:r>
        <w:rPr>
          <w:color w:val="000000"/>
        </w:rPr>
        <w:t>”</w:t>
      </w:r>
      <w:r>
        <w:rPr>
          <w:rFonts w:ascii="Times New Roman;sans-serif" w:hAnsi="Times New Roman;sans-serif"/>
          <w:b w:val="false"/>
          <w:color w:val="000000"/>
          <w:sz w:val="20"/>
        </w:rPr>
        <w:t xml:space="preserve">) and thereafter any omission to comply with those covenants will not constitute a default or event of default with respect to the notes. In the event Covenant Defeasance occurs, certain events (not including the events described in clauses (1), (2), or (4) under the caption “Events of Default” above pertaining to the Issuers) described under the caption “Events of Default” above will no longer constitute an event of default with respect to the notes. The Issuers may exercise Legal Defeasance regardless of whether they previously have exercised Covenant Defeasance.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exercise either Legal Defeasance or Covenant Defeasance: </w:t>
      </w:r>
    </w:p>
    <w:p>
      <w:pPr>
        <w:pStyle w:val="TextBody"/>
        <w:bidi w:val="0"/>
        <w:spacing w:lineRule="auto" w:line="288" w:before="120" w:after="283"/>
        <w:jc w:val="left"/>
        <w:rPr/>
      </w:pPr>
      <w:r>
        <w:rPr>
          <w:rFonts w:ascii="Times New Roman;sans-serif" w:hAnsi="Times New Roman;sans-serif"/>
          <w:b w:val="false"/>
          <w:color w:val="000000"/>
          <w:sz w:val="20"/>
        </w:rPr>
        <w:t>(1)    the Issuers must irrevocably deposit with the trustee, in trust, for the benefit of the holders of the series of notes to be defeased, cash in U.S. dollars, non-callable government securities, or a combination of cash in U.S. dollars and non-callable government securities, in amounts as will be sufficient, in the opinion or based on the report of a nationally recognized firm of independent public accountants, investment bank or appraisal firm, to pay the principal of, premium, if any, on and accrued and unpaid interest on the outstanding notes to be defeased on the stated maturity or on a redemption date, as the case may be, and the Issuers must specify whether the notes are being defeased to maturity or to a particular redemption date;</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 xml:space="preserve">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2033 Notes, the 2032 Notes and the 2031 Notes) as of the third business date preceding the date of such deposit with the trustee (or the Deposit Date in the case of the 2033 Notes, the 2032 Notes and the 2031 Notes);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1155"/>
                <wp:effectExtent l="0" t="0" r="0" b="0"/>
                <wp:wrapNone/>
                <wp:docPr id="154" name="Frame1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in the case of Legal Defeasance, the Issuers must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in the case of Covenant Defeasance, the Issuers must have delivered to the trustee an opinion of counsel reasonably acceptable to the trustee confirming that the holders of the outstanding notes will not recognize income, gain or loss for United States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no default or event of default has occurred and is continuing on the date of such deposit (other than a default or event of default resulting from transactions occurring contemporaneously with the borrowing of funds, or the borrowing of funds, to be applied to such deposit or other Indebtedness which is being Discharged and, in each case, the granting of Liens in connection therewith);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such Legal Defeasance or Covenant Defeasance will not result in a breach or violation of, or constitute a default under any material agreement or instrument (other than the indenture or any agreement or instrument governing any other Indebtedness which is being Discharged) to which the Issuers are a party or by which the Issuers are bound;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the Issuers must deliver to the trustee an officer’s certificate stating that the deposit was not made by the Issuers with the intent of preferring the holders of notes over the other creditors of the Issuers or with the intent of defeating, hindering, delaying or defrauding creditors of the Issuers or others; 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    the Issuers must deliver to the trustee an officer’s certificate and an opinion of counsel, each stating that all conditions precedent relating to the Legal Defeasance or the Covenant Defeasance have been complied with.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Legal Defeasance or Covenant Defeasance will be effective on the day on which all the applicable conditions above have been satisfied. Upon compliance with the foregoing, the trustee shall execute proper instrument(s) acknowledging such Legal Defeasance or Covenant Defeasance.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Satisfaction and Discharge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will be discharged and will cease to be of further effect as to all notes issued thereunder, when: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either: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notes that have been authenticated, except lost, stolen or destroyed notes that have been replaced or paid and notes for whose payment money has been deposited in trust and, if provided for in the indenture, thereafter repaid to the Issuers, have been delivered to the trustee for cancellation; or </w:t>
      </w:r>
    </w:p>
    <w:p>
      <w:pPr>
        <w:pStyle w:val="TextBody"/>
        <w:bidi w:val="0"/>
        <w:spacing w:lineRule="auto" w:line="288" w:before="120" w:after="283"/>
        <w:jc w:val="left"/>
        <w:rPr/>
      </w:pPr>
      <w:r>
        <w:rPr>
          <w:rFonts w:ascii="Times New Roman;sans-serif" w:hAnsi="Times New Roman;sans-serif"/>
          <w:b w:val="false"/>
          <w:color w:val="000000"/>
          <w:sz w:val="20"/>
        </w:rPr>
        <w:t>(b)    all notes that have not been delivered to the trustee for cancellation have become due and payable by reason of the mailing of a notice of redemption or otherwise or will become due and payable within one year and the Issuers have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and unpaid interest to, but not including, the date of maturity or redemption;</w:t>
      </w:r>
      <w:r>
        <w:rPr>
          <w:color w:val="000000"/>
        </w:rPr>
        <w:t>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in the case of the 2033 Notes, the 2032 Notes, 2031 Notes, 2030 Notes and 2024 Notes, in the event that any portion of the trust funds so deposited consist of non-callable government securities, the sufficiency of such trust funds shall be determined based upon the opinion or the report of a nationally recognized firm of independent public accountants, investment bank or appraisal firm;</w:t>
      </w:r>
      <w:r>
        <w:rPr>
          <w:color w:val="000000"/>
        </w:rPr>
        <w:t> </w:t>
      </w:r>
      <w:r>
        <w:rPr>
          <w:rFonts w:ascii="Times New Roman;sans-serif" w:hAnsi="Times New Roman;sans-serif"/>
          <w:b w:val="false"/>
          <w:i/>
          <w:color w:val="000000"/>
          <w:sz w:val="20"/>
        </w:rPr>
        <w:t xml:space="preserve">provided further </w:t>
      </w:r>
      <w:r>
        <w:rPr>
          <w:rFonts w:ascii="Times New Roman;sans-serif" w:hAnsi="Times New Roman;sans-serif"/>
          <w:b w:val="false"/>
          <w:color w:val="000000"/>
          <w:sz w:val="20"/>
        </w:rPr>
        <w:t>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2033 Notes, the 2032 Notes and the 2031 Notes) as of the third business date preceding the date of such deposit with the trustee (or the date of such deposit with the trustee, including any such deposit in connection with a Legal or Covenant Defeasance described above under “—Legal Defeasance and Covenant Defeasance” in the case of the 2033 Notes, the 2032 Notes and the 2031 Notes) (the date of any such deposit, a “</w:t>
      </w:r>
      <w:r>
        <w:rPr>
          <w:rFonts w:ascii="Times New Roman;sans-serif" w:hAnsi="Times New Roman;sans-serif"/>
          <w:b w:val="false"/>
          <w:i/>
          <w:color w:val="000000"/>
          <w:sz w:val="20"/>
        </w:rPr>
        <w:t>Deposit Date</w:t>
      </w:r>
      <w:r>
        <w:rPr>
          <w:color w:val="000000"/>
        </w:rPr>
        <w:t>”</w:t>
      </w:r>
      <w:r>
        <w:rPr>
          <w:rFonts w:ascii="Times New Roman;sans-serif" w:hAnsi="Times New Roman;sans-serif"/>
          <w:b w:val="false"/>
          <w:color w:val="000000"/>
          <w:sz w:val="2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Issuers have paid or caused to be paid all other sums then payable by it under the indenture; and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1155"/>
                <wp:effectExtent l="0" t="0" r="0" b="0"/>
                <wp:wrapNone/>
                <wp:docPr id="155" name="Frame1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the Issuers have delivered irrevocable written instructions to the trustee under the indenture to apply the deposited money toward the payment of the notes at maturity or the redemption date, as the case may be.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Issuers must deliver an officer’s certificate and an opinion of counsel to the trustee stating that all conditions precedent to satisfaction and discharge have been satisfied.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compliance with the foregoing, the trustee shall execute proper instrument(s) acknowledging the satisfaction and discharge of all of the Issuers’ obligations under the notes and the indenture.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 Personal Liability of Directors, Officers, Employees and Stockholders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director, officer, employee, incorporator or direct or indirect partner, member or stockholder, past, present or future, of the Issuers, the Guarantor or any successor entity, as such, will have any liability for any obligations of the Issuers or the Guarantor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Forms and Denomination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issued as permanent global securities in the name of a nominee of DTC. The notes are issued in fully registered form without coupons and are available for purchase only in denominations of $2,000 and in integral multiples of $1,000 in excess thereof.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Governing Law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and the notes will be governed by and construed in accordance with the laws of the State of New York.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Concerning the Trustee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trustee becomes a creditor of the Issuers or the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in principal amount of then outstanding applicable series of notes will have the right to direct the time, method and place of conducting any proceeding for exercising any remedy available to the trustee with respect to such series of notes, subject to certain exceptions. The indenture provides that in case an event of default occurs and is continuing,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the of the 2033, 2032 Notes, 2031 Notes, 2030 Notes and 2024 Notes, the trustee shall be entitled to make a deduction or withholding from any payment which it makes under the indenture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notes,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 In connection with any proposed exchange of a certificated note for a global note interest, the Issuers or DTC shall be required to use commercially reasonable efforts to provide or cause to be provided to the trustee all information reasonably requested by the trustee that is necessary to allow the trustee to comply with any applicable tax reporting obligations, including, in the case of the 2033 Notes, the 2032 Notes, 2031 Notes, 2030 Notes and 2024 Notes, without limitation, any cost basis reporting obligations under Section 6045 of the Code. The trustee shall be entitled to rely on the information provided to it and shall have no responsibility to verify or ensure the accuracy of such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1155"/>
                <wp:effectExtent l="0" t="0" r="0" b="0"/>
                <wp:wrapNone/>
                <wp:docPr id="156" name="Frame1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Certain Provisions of Pennsylvania Law and GLPI’s Articles of Incorporation and Bylaws and Other Governance Documents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Size of Board and Vacancies; Removal of Directors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GLPI’s Articles of Incorporation, each member of GLPI’s board of directors is elected until the next annual meeting of shareholders and until his or her successor is elected or until his or her earlier death, resignation or removal. At any meeting of shareholders for the uncontested election of directors at which a quorum is present, the election will be determined by a majority of the votes cast by the shareholders entitled to vote in the election.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 (ii) 75% of the votes cast by the holders of shares entitled to vote generally in the election of directors. In addition, under Section 1726(c) of the Pennsylvania Business Corporation Law, or the PBCL, a court may remove a director upon application in a derivative suit in cases of fraudulent or dishonest acts, gross abuse of authority or discretion, or for any other proper cause. Section 1726(a)(4) of the PBCL also provides that the board of directors may be removed at any time with or without cause by the unanimous vote or written consents of the shareholders entitled to vote thereon.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Pennsylvania State Takeover Statutes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 and any person, or group of persons, that is acting jointly or in concert with the interested shareholder, and affiliates of the interested shareholder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 </w:t>
      </w:r>
    </w:p>
    <w:p>
      <w:pPr>
        <w:pStyle w:val="TextBody"/>
        <w:bidi w:val="0"/>
        <w:spacing w:lineRule="auto" w:line="268" w:before="240" w:after="283"/>
        <w:jc w:val="left"/>
        <w:rPr/>
      </w:pPr>
      <w:r>
        <w:rPr>
          <w:rFonts w:ascii="Times New Roman;sans-serif" w:hAnsi="Times New Roman;sans-serif"/>
          <w:b w:val="false"/>
          <w:color w:val="000000"/>
          <w:sz w:val="20"/>
        </w:rPr>
        <w:t>Subchapter 25G of the PBCL provides that “control shares” lose voting rights unless such rights are restored by the affirmative vote of a majority of (i) the disinterested shares (generally, shares held by persons other than the acquiror, executive officers of the corporation, directors of the corporation who are also officers of the corporation (including executive officers),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w:t>
      </w:r>
      <w:r>
        <w:rPr>
          <w:color w:val="000000"/>
        </w:rPr>
        <w:t xml:space="preserve"> </w:t>
      </w:r>
      <w:r>
        <w:rPr>
          <w:rFonts w:ascii="Times New Roman;sans-serif" w:hAnsi="Times New Roman;sans-serif"/>
          <w:b w:val="false"/>
          <w:color w:val="000000"/>
          <w:sz w:val="20"/>
        </w:rPr>
        <w:t xml:space="preserve">or the voting rights of such control shares are not restored or voting rights lapse pursuant to Subchapter 25G. Among other exceptions, Subchapter 25G does not apply to a merger, consolidation or a share exchange if the corporation is a party to the transaction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1155"/>
                <wp:effectExtent l="0" t="0" r="0" b="0"/>
                <wp:wrapNone/>
                <wp:docPr id="157" name="Frame1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shareholders approve a control share acquisition under Subchapter 25G, the corporation is also subject to Subchapters 25I and 25J of the PBCL. Subchapter 25I provides for a minimum severance payment to certain employees terminated within 90 days before the approval if such termination was pursuant to an agreement with the acquiring person whose control shares were accorded voting rights in connection with such control-share approval or two years after the approval. Subchapter 25J prohibits the abrogation of certain labor contracts as a result of a business combination prior to their stated date of expiration.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Amendments to GLPI’s Articles of Incorporation and Bylaws and Approval of Extraordinary Actions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and the Articles of Incorporation permit GLPI’s shareholders to propose amendments to the Articles of Incorporation by petition of shareholders entitled to cast at least 10% of the votes that all shareholders are entitled to cast thereon, setting forth the proposed amendment, which petition shall be directed to the board of directors and filed with the secretary of the corporation. Pennsylvania law provides that GLPI’s shareholders are generally not entitled by statute to call special meetings of shareholders.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Shareholder Meetings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PBCL, shareholders generally will be not entitled to call special meetings of shareholders. Only the chairman of the board of directors or a majority of the directors then in office may call such meetings pursuant to the Bylaws.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Shareholder Action by Written Consent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PBCL, unless otherwise permitted in the articles of incorporation, any action required to be taken or which may be taken at any annual or special meeting of the shareholders may be taken without a meeting if, and only if, prior to the taking of such action, all shareholders entitled to vote thereon consent in writing to such action being taken.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Requirements for Advance Notification of Shareholder Nominations and Proposals and Proxy Access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Bylaws contain advance notice procedures with respect to shareholder proposals and recommendations of candidates for election as directors other than nominations made by or at the direction of the board of directors or a committee of the board of 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or shareholder groups who desire to nominate directly and include candidates for election to the board of directors must own 3% or more of the outstanding GLPI common stock for a continuous period of not less than three years, may nominate only up to a maximum of the greater of (x) two) and (y) twenty percent (20%) of GLPI’s board members and must satisfy certain procedural, eligibility and disclosure requirements set forth in the Bylaws, including, but not limited to, a requirement that a notice of proxy access nomination must be received at GLPI’s principal executive office not less than 120 nor more than 150 days prior to the anniversary date of the immediately preceding annual meeting of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1155"/>
                <wp:effectExtent l="0" t="0" r="0" b="0"/>
                <wp:wrapNone/>
                <wp:docPr id="158" name="Frame1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Effect of Certain Provisions of Pennsylvania Law and of the Articles of Incorporation and Bylaws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 effect of delaying, deferring or preventing a change in control or other transaction.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Shareholders Rights Plan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PBCL authorizes a corporation to adopt a shareholder rights plan, GLPI does not have a shareholder rights plan currently in effect.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Limitation on Liability of Directors and Officers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a representative of a business corporation has been successful on the merits or otherwise in defense of a third-party action, derivative action, or corporate action, he or she must be indemnified against expenses (including attorneys’ fees) actually and reasonably incurred by him or her in connection therewith.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Pennsylvania law permits a corporation to purchase and maintain insurance for a director or officer against any liability asserted against him or her, and incurred in his or her capacity as a director or officer or arising out of his or her position, whether or not the corporation would have the power to indemnify him or her against such liability under Pennsylvania law.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1155"/>
                <wp:effectExtent l="0" t="0" r="0" b="0"/>
                <wp:wrapNone/>
                <wp:docPr id="159" name="Frame1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22.1</w:t>
      </w:r>
    </w:p>
    <w:p>
      <w:pPr>
        <w:pStyle w:val="TextBody"/>
        <w:bidi w:val="0"/>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List of Subsidiary Issuers of Guaranteed Securities</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subsidiaries of Gaming and Leisure Properties, Inc. (the “Company”) were, as of December 31, 2023, issuers of the (i) $400 million 3.35% senior unsecured notes due September 2024, (ii) $850 million 5.25% senior unsecured notes due June 2025, (iii) $975 million 5.375% senior unsecured notes due April 2026, (iv) $500 million 5.75% senior unsecured notes due June 2028, (v) $750 million 5.30% senior unsecured notes due January 2029, (vi) $700 million 4.00% senior unsecured notes due January 2030, (vii) $700 million 4.000% senior unsecured notes due January 2031, (viii) $800 million 3.25% senior unsecured notes due January 2032, (ix) $400 million 6.75% senior unsecured notes due November 2033 each guaranteed by the Company:</w:t>
      </w:r>
    </w:p>
    <w:tbl>
      <w:tblPr>
        <w:tblW w:w="6793" w:type="dxa"/>
        <w:jc w:val="left"/>
        <w:tblInd w:w="0" w:type="dxa"/>
        <w:tblLayout w:type="fixed"/>
        <w:tblCellMar>
          <w:top w:w="28" w:type="dxa"/>
          <w:left w:w="28" w:type="dxa"/>
          <w:bottom w:w="28" w:type="dxa"/>
          <w:right w:w="28" w:type="dxa"/>
        </w:tblCellMar>
      </w:tblPr>
      <w:tblGrid>
        <w:gridCol w:w="826"/>
        <w:gridCol w:w="724"/>
        <w:gridCol w:w="729"/>
        <w:gridCol w:w="1320"/>
        <w:gridCol w:w="1320"/>
        <w:gridCol w:w="187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Entity</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Jurisdiction of Incorporation or Formation</w:t>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following Registration Statements of our reports dated February 27, 2024, relating to the financial statements of Gaming and Leisure Properties, Inc. and the effectiveness of Gaming and Leisure Properties, Inc.'s internal control over financial reporting appearing in this Annual Report on Form 10-K for the year ended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No. 333-266814 on Form S-3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No. 333-192017 on Form S-8</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No. 333-249523 on Form S-8</w:t>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New York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Peter M. Carlino,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19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01"/>
        <w:gridCol w:w="601"/>
        <w:gridCol w:w="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Desiree A. Burke,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86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82"/>
        <w:gridCol w:w="1382"/>
        <w:gridCol w:w="19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Gaming and Leisure Properties, Inc. (the “Company”) on Form 10-K for the year ended December 31, 2023, as filed with the Securities and Exchange Commission on the date hereof (the “Report”), I, Peter M. Carlino, Chief Executive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655" w:type="dxa"/>
        <w:jc w:val="left"/>
        <w:tblInd w:w="0" w:type="dxa"/>
        <w:tblLayout w:type="fixed"/>
        <w:tblCellMar>
          <w:top w:w="28" w:type="dxa"/>
          <w:left w:w="28" w:type="dxa"/>
          <w:bottom w:w="28" w:type="dxa"/>
          <w:right w:w="28" w:type="dxa"/>
        </w:tblCellMar>
      </w:tblPr>
      <w:tblGrid>
        <w:gridCol w:w="200"/>
        <w:gridCol w:w="177"/>
        <w:gridCol w:w="178"/>
        <w:gridCol w:w="614"/>
        <w:gridCol w:w="614"/>
        <w:gridCol w:w="87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Gaming and Leisure Properties, Inc. (the “Company”) on Form 10-K for the year ended December 31, 2023, as filed with the Securities and Exchange Commission on the date hereof (the “Report”), I, Desiree A. Burke, Chief Financial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040" w:type="dxa"/>
        <w:jc w:val="left"/>
        <w:tblInd w:w="0" w:type="dxa"/>
        <w:tblLayout w:type="fixed"/>
        <w:tblCellMar>
          <w:top w:w="28" w:type="dxa"/>
          <w:left w:w="28" w:type="dxa"/>
          <w:bottom w:w="28" w:type="dxa"/>
          <w:right w:w="28" w:type="dxa"/>
        </w:tblCellMar>
      </w:tblPr>
      <w:tblGrid>
        <w:gridCol w:w="200"/>
        <w:gridCol w:w="177"/>
        <w:gridCol w:w="178"/>
        <w:gridCol w:w="1312"/>
        <w:gridCol w:w="1312"/>
        <w:gridCol w:w="1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Gaming and Leisure Properties,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Policy Regarding the Mandatory Recovery of Compensation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Effective October 26, 2023</w:t>
      </w:r>
    </w:p>
    <w:p>
      <w:pPr>
        <w:pStyle w:val="TextBody"/>
        <w:bidi w:val="0"/>
        <w:spacing w:lineRule="auto" w:line="240" w:before="0" w:after="240"/>
        <w:ind w:left="0" w:right="0" w:hanging="360"/>
        <w:jc w:val="both"/>
        <w:rPr/>
      </w:pPr>
      <w:r>
        <w:rPr>
          <w:rFonts w:ascii="Times New Roman;sans-serif" w:hAnsi="Times New Roman;sans-serif"/>
          <w:b/>
          <w:color w:val="000000"/>
          <w:sz w:val="24"/>
        </w:rPr>
        <w:t>I.    Applicability</w:t>
      </w:r>
      <w:r>
        <w:rPr>
          <w:rFonts w:ascii="Times New Roman;sans-serif" w:hAnsi="Times New Roman;sans-serif"/>
          <w:b w:val="false"/>
          <w:color w:val="000000"/>
          <w:sz w:val="24"/>
        </w:rPr>
        <w:t>. This Policy Regarding the Mandatory Recovery of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applies to any Incentive Compensation paid to Gaming and Leisure Properties Inc.’s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Executive Officers. The Policy is intended to comply with and be interpreted in accordance with the requirements of Listing Rule 5608 (“</w:t>
      </w:r>
      <w:r>
        <w:rPr>
          <w:rFonts w:ascii="Times New Roman;sans-serif" w:hAnsi="Times New Roman;sans-serif"/>
          <w:b/>
          <w:i/>
          <w:color w:val="000000"/>
          <w:sz w:val="24"/>
        </w:rPr>
        <w:t>Listing Rule 5608</w:t>
      </w:r>
      <w:r>
        <w:rPr>
          <w:color w:val="000000"/>
        </w:rPr>
        <w:t>”</w:t>
      </w:r>
      <w:r>
        <w:rPr>
          <w:rFonts w:ascii="Times New Roman;sans-serif" w:hAnsi="Times New Roman;sans-serif"/>
          <w:b w:val="false"/>
          <w:color w:val="000000"/>
          <w:sz w:val="24"/>
        </w:rPr>
        <w:t>) of The Nasdaq Stock Market LLC (“</w:t>
      </w:r>
      <w:r>
        <w:rPr>
          <w:rFonts w:ascii="Times New Roman;sans-serif" w:hAnsi="Times New Roman;sans-serif"/>
          <w:b/>
          <w:i/>
          <w:color w:val="000000"/>
          <w:sz w:val="24"/>
        </w:rPr>
        <w:t>Nasdaq</w:t>
      </w:r>
      <w:r>
        <w:rPr>
          <w:color w:val="000000"/>
        </w:rPr>
        <w:t>”</w:t>
      </w:r>
      <w:r>
        <w:rPr>
          <w:rFonts w:ascii="Times New Roman;sans-serif" w:hAnsi="Times New Roman;sans-serif"/>
          <w:b w:val="false"/>
          <w:color w:val="000000"/>
          <w:sz w:val="24"/>
        </w:rPr>
        <w:t>) and Rule 10D-1 of the Securities Exchange Act of 1934, as amended. The provisions of Listing Rule 5608 shall prevail in the event of any conflict between the text of this Policy and such listing rule. Certain capitalized terms not otherwise defined herein are defined in Section IV hereof.</w:t>
      </w:r>
    </w:p>
    <w:p>
      <w:pPr>
        <w:pStyle w:val="TextBody"/>
        <w:bidi w:val="0"/>
        <w:spacing w:lineRule="auto" w:line="240" w:before="0" w:after="240"/>
        <w:ind w:left="0" w:right="0" w:hanging="360"/>
        <w:jc w:val="both"/>
        <w:rPr/>
      </w:pPr>
      <w:r>
        <w:rPr>
          <w:rFonts w:ascii="Times New Roman;sans-serif" w:hAnsi="Times New Roman;sans-serif"/>
          <w:b/>
          <w:color w:val="000000"/>
          <w:sz w:val="24"/>
        </w:rPr>
        <w:t>II.    Recovery</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Triggering Event</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Except as provided herein and subject to Section II(b) below, in the event that the Company is required to prepare a Financial Restatement, the Company shall recover any Recoverable Amount (as defined in Section II(d) below) of any Incentive Compensation received by a current or former Executive Officer during the Look-Back Period. The Recoverable Amount shall be repaid to the Company within a reasonably prompt time after the current or former Executive Officer is notified in writing of the Recoverable Amount as set forth in Section II(c) below, accompanied by a reasonably detailed computation thereof. For the sake of clarity, the recovery rule in this Section II(a) shall apply regardless of any misconduct, fault, or illegal activity of the Company, any Executive Officer, or Company’s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or any committee thereof.</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Compensation Subject to Recovery</w:t>
      </w:r>
      <w:r>
        <w:rPr>
          <w:rFonts w:ascii="Times New Roman;sans-serif" w:hAnsi="Times New Roman;sans-serif"/>
          <w:b w:val="false"/>
          <w:color w:val="000000"/>
          <w:sz w:val="24"/>
        </w:rPr>
        <w:t>.</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Incentive Compensation subject to mandatory recovery under Section II(a) includes any Incentive Compensation received by an Executive Officer: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    After beginning service as an Executive Officer;</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Who served as an Executive Officer at any time during the performance period for that Incentive Compensation;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    While the Company has a class of securities listed on a national securities exchange or a national securities association; and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    During the Look-Back Period.</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ii.    As used in this Section II(b), Incentive Compensation is deemed “received” in the fiscal period that the Financial Reporting Measure specified in the applicable Incentive Compensation award is attained, even if the payment or grant of the Incentive Compensation occurs after the end of that period. This Section II(b) will only apply to Incentive Compensation received in any fiscal period ending on or after October 2, 2023.</w:t>
      </w:r>
    </w:p>
    <w:p>
      <w:pPr>
        <w:pStyle w:val="TextBody"/>
        <w:bidi w:val="0"/>
        <w:spacing w:before="0" w:after="24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Recoupment</w:t>
      </w:r>
      <w:r>
        <w:rPr>
          <w:rFonts w:ascii="Times New Roman;sans-serif" w:hAnsi="Times New Roman;sans-serif"/>
          <w:b w:val="false"/>
          <w:color w:val="000000"/>
          <w:sz w:val="24"/>
        </w:rPr>
        <w:t>.</w:t>
      </w:r>
    </w:p>
    <w:p>
      <w:pPr>
        <w:pStyle w:val="TextBody"/>
        <w:bidi w:val="0"/>
        <w:spacing w:lineRule="auto" w:line="240" w:before="0" w:after="240"/>
        <w:ind w:left="0" w:right="0" w:hanging="180"/>
        <w:jc w:val="both"/>
        <w:rPr/>
      </w:pPr>
      <w:r>
        <w:rPr>
          <w:rFonts w:ascii="Times New Roman;sans-serif" w:hAnsi="Times New Roman;sans-serif"/>
          <w:b w:val="false"/>
          <w:color w:val="000000"/>
          <w:sz w:val="24"/>
        </w:rPr>
        <w:t>i.    The Compensation Committee of the Board (the “</w:t>
      </w:r>
      <w:r>
        <w:rPr>
          <w:rFonts w:ascii="Times New Roman;sans-serif" w:hAnsi="Times New Roman;sans-serif"/>
          <w:b/>
          <w:i/>
          <w:color w:val="000000"/>
          <w:sz w:val="24"/>
        </w:rPr>
        <w:t>Compensation Committee</w:t>
      </w:r>
      <w:r>
        <w:rPr>
          <w:color w:val="000000"/>
        </w:rPr>
        <w:t>”</w:t>
      </w:r>
      <w:r>
        <w:rPr>
          <w:rFonts w:ascii="Times New Roman;sans-serif" w:hAnsi="Times New Roman;sans-serif"/>
          <w:b w:val="false"/>
          <w:color w:val="000000"/>
          <w:sz w:val="24"/>
        </w:rPr>
        <w:t xml:space="preserve">) shall determine, at its sole discretion, the method for recouping Incentive Compensation, which may include (A) requiring reimbursement of Incentive Compensation previously paid; (B) seeking recovery of any gain realized on the vesting, exercise, settlement, sale, transfer, or other disposition of any equity-based awards; (C) deducting the amount to be recouped from any compensation otherwise owed by the Company to the Executive Officer; and/or (D) taking any other remedial and recovery action permitted by law, as determined by the Compensation Committee.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 xml:space="preserve">d.     </w:t>
      </w:r>
      <w:r>
        <w:rPr>
          <w:rFonts w:ascii="Times New Roman;sans-serif" w:hAnsi="Times New Roman;sans-serif"/>
          <w:b w:val="false"/>
          <w:i/>
          <w:color w:val="000000"/>
          <w:sz w:val="24"/>
        </w:rPr>
        <w:t>Recoverable Amount</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    The Recoverable Amount is equal to the amount of Incentive Compensation received in excess of the amount of Incentive Compensation that would have been received had it been determined based on the restated amounts in the Financial Restatement, without regard to taxes paid by the Company or the Executive Officer.</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    In the event the Incentive Compensation is based on a measurement that is not subject to mathematical recalculation, the Recoverable Amount shall be based on a reasonable estimate of the effect of the Financial Restatement, as determined by the Compensation Committee, which shall be set forth in writing. For example, in the case of Incentive Compensation based on stock price or total shareholder return, the Recoverable Amount shall be based on a reasonable estimate of the effect of the Financial Restatement on the stock price or total shareholder return.</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    </w:t>
      </w:r>
      <w:r>
        <w:rPr>
          <w:rFonts w:ascii="Times New Roman;sans-serif" w:hAnsi="Times New Roman;sans-serif"/>
          <w:b w:val="false"/>
          <w:i/>
          <w:color w:val="000000"/>
          <w:sz w:val="24"/>
        </w:rPr>
        <w:t>Exceptions to Applicability</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must recover the Recoverable Amount of Incentive Compensation as stated above in Section II(a) unless the Compensation Committee makes a determination that recovery would be impracticable, and at least one of the following applies: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    The direct expense paid to a third party to assist in enforcing recovery would exceed the Recoverable Amount, and a reasonable attempt to recover the Recoverable Amount has already been made and documented;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    Recovery of the Recoverable Amount would violate home country law (provided such law was adopted prior to November 28, 2022 and that an opinion of counsel in such country is obtained stating that recoupment would result in such violation); or</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    Recovery would likely cause an otherwise tax-qualified retirement plan, under which benefits are broadly available to employees of the Company and its subsidiaries, to fail to meet the requirements of 26 U.S.C. 401(a)(13) or 26 U.S.C. 411(a) and regulations thereunder.</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III.    Miscellaneous.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Board or Compensation Committee may require that any incentive plan, employment agreement, equity award agreement, or similar agreement entered into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or after the date hereof shall, as a condition to the grant of any benefit thereunder, require an Executive Officer to agree to abide by the terms of this Policy, including the repayment of the Recoverable Amount of erroneously awarded Incentive Compensation.</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shall not indemnify any Executive Officer or other individual against the loss of any incorrectly awarded or otherwise recouped Incentive Compensation or any claims relating to the Company’s enforcement of its rights under the Policy.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    The Company shall comply with applicable compensation recovery policy disclosure rules of the Securities and Exchange Commission (the “</w:t>
      </w:r>
      <w:r>
        <w:rPr>
          <w:rFonts w:ascii="Times New Roman;sans-serif" w:hAnsi="Times New Roman;sans-serif"/>
          <w:b/>
          <w:i/>
          <w:color w:val="000000"/>
          <w:sz w:val="24"/>
        </w:rPr>
        <w:t>Commission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360"/>
        <w:jc w:val="both"/>
        <w:rPr/>
      </w:pPr>
      <w:r>
        <w:rPr>
          <w:rFonts w:ascii="Times New Roman;sans-serif" w:hAnsi="Times New Roman;sans-serif"/>
          <w:b/>
          <w:color w:val="000000"/>
          <w:sz w:val="24"/>
        </w:rPr>
        <w:t>IV.    Definitions</w:t>
      </w:r>
      <w:r>
        <w:rPr>
          <w:rFonts w:ascii="Times New Roman;sans-serif" w:hAnsi="Times New Roman;sans-serif"/>
          <w:b w:val="false"/>
          <w:color w:val="000000"/>
          <w:sz w:val="24"/>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Incentive Compensation</w:t>
      </w:r>
      <w:r>
        <w:rPr>
          <w:rFonts w:ascii="Times New Roman;sans-serif" w:hAnsi="Times New Roman;sans-serif"/>
          <w:b w:val="false"/>
          <w:color w:val="000000"/>
          <w:sz w:val="24"/>
        </w:rPr>
        <w:t>. “</w:t>
      </w:r>
      <w:r>
        <w:rPr>
          <w:rFonts w:ascii="Times New Roman;sans-serif" w:hAnsi="Times New Roman;sans-serif"/>
          <w:b/>
          <w:i/>
          <w:color w:val="000000"/>
          <w:sz w:val="24"/>
        </w:rPr>
        <w:t>Incentive Compensation</w:t>
      </w:r>
      <w:r>
        <w:rPr>
          <w:color w:val="000000"/>
        </w:rPr>
        <w:t xml:space="preserve">” </w:t>
      </w:r>
      <w:r>
        <w:rPr>
          <w:rFonts w:ascii="Times New Roman;sans-serif" w:hAnsi="Times New Roman;sans-serif"/>
          <w:b w:val="false"/>
          <w:color w:val="000000"/>
          <w:sz w:val="24"/>
        </w:rPr>
        <w:t xml:space="preserve">means any compensation that is granted, earned, or vests based wholly or in part upon the attainment of a Financial Reporting Measure, but does not include awards that are earned or vest based solely on the continued provision of services for a period of time.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Financial Reporting Measure</w:t>
      </w:r>
      <w:r>
        <w:rPr>
          <w:rFonts w:ascii="Times New Roman;sans-serif" w:hAnsi="Times New Roman;sans-serif"/>
          <w:b w:val="false"/>
          <w:color w:val="000000"/>
          <w:sz w:val="24"/>
        </w:rPr>
        <w:t>. “</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means any reporting measure that is determined and presented in accordance with the accounting principles used in preparing the Company’s financial statements, and any measures that are derived wholly or in part from such measures. Stock price and total shareholder return are considered to be Financial Reporting Measures for purposes of this Policy. A financial reporting measure need not be presented within the financial statements or included in a filing with the Commission.</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Financial Restatement</w:t>
      </w:r>
      <w:r>
        <w:rPr>
          <w:rFonts w:ascii="Times New Roman;sans-serif" w:hAnsi="Times New Roman;sans-serif"/>
          <w:b w:val="false"/>
          <w:color w:val="000000"/>
          <w:sz w:val="24"/>
        </w:rPr>
        <w:t>. A “</w:t>
      </w:r>
      <w:r>
        <w:rPr>
          <w:rFonts w:ascii="Times New Roman;sans-serif" w:hAnsi="Times New Roman;sans-serif"/>
          <w:b/>
          <w:i/>
          <w:color w:val="000000"/>
          <w:sz w:val="24"/>
        </w:rPr>
        <w:t>Financial Restatement</w:t>
      </w:r>
      <w:r>
        <w:rPr>
          <w:color w:val="000000"/>
        </w:rPr>
        <w:t xml:space="preserve">” </w:t>
      </w:r>
      <w:r>
        <w:rPr>
          <w:rFonts w:ascii="Times New Roman;sans-serif" w:hAnsi="Times New Roman;sans-serif"/>
          <w:b w:val="false"/>
          <w:color w:val="000000"/>
          <w:sz w:val="24"/>
        </w:rPr>
        <w:t>means any accounting restatement due to the material noncompliance of the Company with any financial reporting requirement under applicable securities laws, including any required accounting restatement to correct an error in previously issued financial statements that (i) is material to the previously issued financial statements (commonly referred to as a “Big R” restatement), or (ii) is not material to previously issued financial statements, but would result in a material misstatement if the error was left uncorrected in the current period or the error correction were recognized in the current period (commonly referred to as a “little r” restatement). For purposes of this Policy, the date of a Financial Restatement will be deemed to be the earlier of (i) the date the Board, a committee of the Board, or officers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    </w:t>
      </w:r>
      <w:r>
        <w:rPr>
          <w:rFonts w:ascii="Times New Roman;sans-serif" w:hAnsi="Times New Roman;sans-serif"/>
          <w:b w:val="false"/>
          <w:i/>
          <w:color w:val="000000"/>
          <w:sz w:val="24"/>
        </w:rPr>
        <w:t>Executive Officer</w:t>
      </w:r>
      <w:r>
        <w:rPr>
          <w:rFonts w:ascii="Times New Roman;sans-serif" w:hAnsi="Times New Roman;sans-serif"/>
          <w:b w:val="false"/>
          <w:color w:val="000000"/>
          <w:sz w:val="24"/>
        </w:rPr>
        <w:t>. “</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shall mean the Company’s Chief Executive Officer, President, Chief Financial Officer, or principal accounting officer (or, if there is no such accounting officer, the Controller), any vice-president of the Company in charge of a principal business unit, division or function (such as sales, administration or finance), and any other officer or person who performs a significant policy-making function for the Company, whether such person is employed by the Company or a subsidiary thereof. For the sake of clarity, ”Executive Officer” includes at a minimum executive officers identified by the Board pursuant to 17 CFR 229.401(b).</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    </w:t>
      </w:r>
      <w:r>
        <w:rPr>
          <w:rFonts w:ascii="Times New Roman;sans-serif" w:hAnsi="Times New Roman;sans-serif"/>
          <w:b w:val="false"/>
          <w:i/>
          <w:color w:val="000000"/>
          <w:sz w:val="24"/>
        </w:rPr>
        <w:t>Look-Back Period</w:t>
      </w:r>
      <w:r>
        <w:rPr>
          <w:rFonts w:ascii="Times New Roman;sans-serif" w:hAnsi="Times New Roman;sans-serif"/>
          <w:b w:val="false"/>
          <w:color w:val="000000"/>
          <w:sz w:val="24"/>
        </w:rPr>
        <w:t>. The “</w:t>
      </w:r>
      <w:r>
        <w:rPr>
          <w:rFonts w:ascii="Times New Roman;sans-serif" w:hAnsi="Times New Roman;sans-serif"/>
          <w:b/>
          <w:i/>
          <w:color w:val="000000"/>
          <w:sz w:val="24"/>
        </w:rPr>
        <w:t>Look-Back Period</w:t>
      </w:r>
      <w:r>
        <w:rPr>
          <w:color w:val="000000"/>
        </w:rPr>
        <w:t xml:space="preserve">” </w:t>
      </w:r>
      <w:r>
        <w:rPr>
          <w:rFonts w:ascii="Times New Roman;sans-serif" w:hAnsi="Times New Roman;sans-serif"/>
          <w:b w:val="false"/>
          <w:color w:val="000000"/>
          <w:sz w:val="24"/>
        </w:rPr>
        <w:t>means the three completed fiscal years immediately preceding the date of a Financial Restatement and any transition period as set forth in Listing Rule 5608.</w:t>
      </w:r>
    </w:p>
    <w:p>
      <w:pPr>
        <w:pStyle w:val="TextBody"/>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75965/000110465913082396/a13-23794_2ex2d1.htm" TargetMode="External"/><Relationship Id="rId3" Type="http://schemas.openxmlformats.org/officeDocument/2006/relationships/hyperlink" Target="http://www.sec.gov/Archives/edgar/data/1575965/000119312516564256/d169218dex24.htm" TargetMode="External"/><Relationship Id="rId4" Type="http://schemas.openxmlformats.org/officeDocument/2006/relationships/hyperlink" Target="http://www.sec.gov/Archives/edgar/data/1575965/000157596518000016/glpiexhibit31amendedandres.htm" TargetMode="External"/><Relationship Id="rId5" Type="http://schemas.openxmlformats.org/officeDocument/2006/relationships/hyperlink" Target="https://www.sec.gov/Archives/edgar/data/1575965/000157596523000042/secondamendedandrestatedby.htm" TargetMode="External"/><Relationship Id="rId6" Type="http://schemas.openxmlformats.org/officeDocument/2006/relationships/hyperlink" Target="http://www.sec.gov/Archives/edgar/data/1575965/000110465913080098/a13-22016_6ex4d1.htm" TargetMode="External"/><Relationship Id="rId7" Type="http://schemas.openxmlformats.org/officeDocument/2006/relationships/hyperlink" Target="http://www.sec.gov/Archives/edgar/data/1575965/000119312516519802/d155565dex41.htm" TargetMode="External"/><Relationship Id="rId8" Type="http://schemas.openxmlformats.org/officeDocument/2006/relationships/hyperlink" Target="http://www.sec.gov/Archives/edgar/data/1575965/000119312516564256/d169218dex43.htm" TargetMode="External"/><Relationship Id="rId9" Type="http://schemas.openxmlformats.org/officeDocument/2006/relationships/hyperlink" Target="http://www.sec.gov/Archives/edgar/data/1575965/000119312516564256/d169218dex44.htm" TargetMode="External"/><Relationship Id="rId10" Type="http://schemas.openxmlformats.org/officeDocument/2006/relationships/hyperlink" Target="http://www.sec.gov/Archives/edgar/data/1575965/000119312518170967/d584186dex43.htm" TargetMode="External"/><Relationship Id="rId11" Type="http://schemas.openxmlformats.org/officeDocument/2006/relationships/hyperlink" Target="http://www.sec.gov/Archives/edgar/data/1575965/000119312518170967/d584186dex44.htm" TargetMode="External"/><Relationship Id="rId12" Type="http://schemas.openxmlformats.org/officeDocument/2006/relationships/hyperlink" Target="http://www.sec.gov/Archives/edgar/data/1575965/000119312518170967/d584186dex45.htm" TargetMode="External"/><Relationship Id="rId13" Type="http://schemas.openxmlformats.org/officeDocument/2006/relationships/hyperlink" Target="http://www.sec.gov/Archives/edgar/data/1575965/000119312518284105/d596721dex44.htm" TargetMode="External"/><Relationship Id="rId14" Type="http://schemas.openxmlformats.org/officeDocument/2006/relationships/hyperlink" Target="http://www.sec.gov/Archives/edgar/data/1575965/000119312519238989/d796187dex43.htm" TargetMode="External"/><Relationship Id="rId15" Type="http://schemas.openxmlformats.org/officeDocument/2006/relationships/hyperlink" Target="http://www.sec.gov/Archives/edgar/data/1575965/000119312519238989/d796187dex44.htm" TargetMode="External"/><Relationship Id="rId16" Type="http://schemas.openxmlformats.org/officeDocument/2006/relationships/hyperlink" Target="http://www.sec.gov/Archives/edgar/data/1575965/000119312520184548/d911884dex43.htm" TargetMode="External"/><Relationship Id="rId17" Type="http://schemas.openxmlformats.org/officeDocument/2006/relationships/hyperlink" Target="https://www.sec.gov/Archives/edgar/data/1575965/000119312521359808/d258688dex43.htm" TargetMode="External"/><Relationship Id="rId18" Type="http://schemas.openxmlformats.org/officeDocument/2006/relationships/hyperlink" Target="https://www.sec.gov/Archives/edgar/data/1575965/000119312523284275/d906744dex43.htm" TargetMode="External"/><Relationship Id="rId19" Type="http://schemas.openxmlformats.org/officeDocument/2006/relationships/hyperlink" Target="http://www.sec.gov/Archives/edgar/data/1575965/000119312516564256/d169218dex44.htm" TargetMode="External"/><Relationship Id="rId20" Type="http://schemas.openxmlformats.org/officeDocument/2006/relationships/hyperlink" Target="http://www.sec.gov/Archives/edgar/data/1575965/000119312518170967/d584186dex44.htm" TargetMode="External"/><Relationship Id="rId21" Type="http://schemas.openxmlformats.org/officeDocument/2006/relationships/hyperlink" Target="http://www.sec.gov/Archives/edgar/data/1575965/000119312518170967/d584186dex45.htm" TargetMode="External"/><Relationship Id="rId22" Type="http://schemas.openxmlformats.org/officeDocument/2006/relationships/hyperlink" Target="http://www.sec.gov/Archives/edgar/data/1575965/000119312518284105/d596721dex44.htm" TargetMode="External"/><Relationship Id="rId23" Type="http://schemas.openxmlformats.org/officeDocument/2006/relationships/hyperlink" Target="http://www.sec.gov/Archives/edgar/data/1575965/000119312519238989/d796187dex43.htm" TargetMode="External"/><Relationship Id="rId24" Type="http://schemas.openxmlformats.org/officeDocument/2006/relationships/hyperlink" Target="http://www.sec.gov/Archives/edgar/data/1575965/000119312519238989/d796187dex44.htm" TargetMode="External"/><Relationship Id="rId25" Type="http://schemas.openxmlformats.org/officeDocument/2006/relationships/hyperlink" Target="https://www.sec.gov/Archives/edgar/data/1575965/000119312520184548/d911884dex43.htm" TargetMode="External"/><Relationship Id="rId26" Type="http://schemas.openxmlformats.org/officeDocument/2006/relationships/hyperlink" Target="https://www.sec.gov/Archives/edgar/data/0001575965/000119312521359808/d258688dex43.htm" TargetMode="External"/><Relationship Id="rId27" Type="http://schemas.openxmlformats.org/officeDocument/2006/relationships/hyperlink" Target="https://www.sec.gov/Archives/edgar/data/0001575965/000119312521359808/d258688dex43.htm" TargetMode="External"/><Relationship Id="rId28" Type="http://schemas.openxmlformats.org/officeDocument/2006/relationships/hyperlink" Target="https://www.sec.gov/Archives/edgar/data/0001575965/000119312521359808/d258688dex43.htm" TargetMode="External"/><Relationship Id="rId29" Type="http://schemas.openxmlformats.org/officeDocument/2006/relationships/hyperlink" Target="https://www.sec.gov/Archives/edgar/data/1575965/000119312523284275/d906744dex43.htm" TargetMode="External"/><Relationship Id="rId30" Type="http://schemas.openxmlformats.org/officeDocument/2006/relationships/hyperlink" Target="http://www.sec.gov/Archives/edgar/data/1575965/000110465913080098/a13-22016_6ex10d4.htm" TargetMode="External"/><Relationship Id="rId31" Type="http://schemas.openxmlformats.org/officeDocument/2006/relationships/hyperlink" Target="http://www.sec.gov/Archives/edgar/data/1575965/000119312515306851/d18100dex102.htm" TargetMode="External"/><Relationship Id="rId32" Type="http://schemas.openxmlformats.org/officeDocument/2006/relationships/hyperlink" Target="http://www.sec.gov/Archives/edgar/data/1575965/000157596516000098/exhibit101amendmenttocredi.htm" TargetMode="External"/><Relationship Id="rId33" Type="http://schemas.openxmlformats.org/officeDocument/2006/relationships/hyperlink" Target="http://www.sec.gov/Archives/edgar/data/1575965/000119312518170967/d584186dex101.htm" TargetMode="External"/><Relationship Id="rId34" Type="http://schemas.openxmlformats.org/officeDocument/2006/relationships/hyperlink" Target="http://www.sec.gov/Archives/edgar/data/1575965/000157596518000024/glpi-2018930exhibit105.htm" TargetMode="External"/><Relationship Id="rId35" Type="http://schemas.openxmlformats.org/officeDocument/2006/relationships/hyperlink" Target="http://www.sec.gov/Archives/edgar/data/1575965/000157596520000026/glpi-2020331exhibit41.htm" TargetMode="External"/><Relationship Id="rId36" Type="http://schemas.openxmlformats.org/officeDocument/2006/relationships/hyperlink" Target="http://www.sec.gov/Archives/edgar/data/1575965/000119312520184548/d911884dex101.htm" TargetMode="External"/><Relationship Id="rId37" Type="http://schemas.openxmlformats.org/officeDocument/2006/relationships/hyperlink" Target="http://www.sec.gov/Archives/edgar/data/1575965/000110465913082396/a13-23794_2ex10d1.htm" TargetMode="External"/><Relationship Id="rId38" Type="http://schemas.openxmlformats.org/officeDocument/2006/relationships/hyperlink" Target="http://www.sec.gov/Archives/edgar/data/1575965/000110465914037525/a14-12326_1ex10d1.htm" TargetMode="External"/><Relationship Id="rId39" Type="http://schemas.openxmlformats.org/officeDocument/2006/relationships/hyperlink" Target="http://www.sec.gov/Archives/edgar/data/1575965/000110465914055690/a14-14237_1ex10d1.htm" TargetMode="External"/><Relationship Id="rId40" Type="http://schemas.openxmlformats.org/officeDocument/2006/relationships/hyperlink" Target="http://www.sec.gov/Archives/edgar/data/1575965/000157596516000134/glpi-2016930exhibit102.htm" TargetMode="External"/><Relationship Id="rId41" Type="http://schemas.openxmlformats.org/officeDocument/2006/relationships/hyperlink" Target="http://www.sec.gov/Archives/edgar/data/1575965/000157596517000022/glpi-2017331exhibit102.htm" TargetMode="External"/><Relationship Id="rId42" Type="http://schemas.openxmlformats.org/officeDocument/2006/relationships/hyperlink" Target="http://www.sec.gov/Archives/edgar/data/1575965/000157596518000019/glpi-2018630exhibit103.htm" TargetMode="External"/><Relationship Id="rId43" Type="http://schemas.openxmlformats.org/officeDocument/2006/relationships/hyperlink" Target="http://www.sec.gov/Archives/edgar/data/1575965/000157596518000024/glpi-2018930exhibit101.htm" TargetMode="External"/><Relationship Id="rId44" Type="http://schemas.openxmlformats.org/officeDocument/2006/relationships/hyperlink" Target="http://www.sec.gov/Archives/edgar/data/1575965/000157596519000005/glpi-20181231exhibit1016.htm" TargetMode="External"/><Relationship Id="rId45" Type="http://schemas.openxmlformats.org/officeDocument/2006/relationships/hyperlink" Target="http://www.sec.gov/Archives/edgar/data/1575965/000157596519000005/glpi-20181231exhibit1017.htm" TargetMode="External"/><Relationship Id="rId46" Type="http://schemas.openxmlformats.org/officeDocument/2006/relationships/hyperlink" Target="https://www.sec.gov/Archives/edgar/data/1575965/000157596523000007/ninthamendmenttopennmaster.htm" TargetMode="External"/><Relationship Id="rId47" Type="http://schemas.openxmlformats.org/officeDocument/2006/relationships/hyperlink" Target="https://www.sec.gov/Archives/edgar/data/1575965/000157596523000007/ninthamendmenttopennmaster.htm" TargetMode="External"/><Relationship Id="rId48" Type="http://schemas.openxmlformats.org/officeDocument/2006/relationships/hyperlink" Target="https://www.sec.gov/Archives/edgar/data/1575965/000157596523000007/ninthamendmenttopennmaster.htm" TargetMode="External"/><Relationship Id="rId49" Type="http://schemas.openxmlformats.org/officeDocument/2006/relationships/hyperlink" Target="https://www.sec.gov/Archives/edgar/data/1575965/000157596523000007/ninthamendmenttopennmaster.htm" TargetMode="External"/><Relationship Id="rId50" Type="http://schemas.openxmlformats.org/officeDocument/2006/relationships/hyperlink" Target="https://www.sec.gov/Archives/edgar/data/1575965/000157596523000007/penn-armasterleaseexecutio.htm" TargetMode="External"/><Relationship Id="rId51" Type="http://schemas.openxmlformats.org/officeDocument/2006/relationships/hyperlink" Target="https://www.sec.gov/Archives/edgar/data/1575965/000157596523000007/penn-armasterleaseexecutio.htm" TargetMode="External"/><Relationship Id="rId52" Type="http://schemas.openxmlformats.org/officeDocument/2006/relationships/hyperlink" Target="https://www.sec.gov/Archives/edgar/data/1575965/000157596523000007/penn-armasterleaseexecutio.htm" TargetMode="External"/><Relationship Id="rId53" Type="http://schemas.openxmlformats.org/officeDocument/2006/relationships/hyperlink" Target="https://www.sec.gov/Archives/edgar/data/1575965/000157596523000007/penn-armasterleaseexecutio.htm" TargetMode="External"/><Relationship Id="rId54" Type="http://schemas.openxmlformats.org/officeDocument/2006/relationships/hyperlink" Target="https://www.sec.gov/Archives/edgar/data/1575965/000157596523000007/penn-newmasterlease7proper.htm" TargetMode="External"/><Relationship Id="rId55" Type="http://schemas.openxmlformats.org/officeDocument/2006/relationships/hyperlink" Target="http://www.sec.gov/Archives/edgar/data/1575965/000119312516564256/d169218dex23.htm" TargetMode="External"/><Relationship Id="rId56" Type="http://schemas.openxmlformats.org/officeDocument/2006/relationships/hyperlink" Target="http://www.sec.gov/Archives/edgar/data/1575965/000157596516000134/glpi-2016930exhibit101.htm" TargetMode="External"/><Relationship Id="rId57" Type="http://schemas.openxmlformats.org/officeDocument/2006/relationships/hyperlink" Target="http://www.sec.gov/Archives/edgar/data/1575965/000157596517000006/glpi-20161231exhibit1013.htm" TargetMode="External"/><Relationship Id="rId58" Type="http://schemas.openxmlformats.org/officeDocument/2006/relationships/hyperlink" Target="http://www.sec.gov/Archives/edgar/data/1575965/000157596517000022/glpi-2017331exhibit101.htm" TargetMode="External"/><Relationship Id="rId59" Type="http://schemas.openxmlformats.org/officeDocument/2006/relationships/hyperlink" Target="http://www.sec.gov/Archives/edgar/data/1575965/000119312518299507/d621785dex101.htm" TargetMode="External"/><Relationship Id="rId60" Type="http://schemas.openxmlformats.org/officeDocument/2006/relationships/hyperlink" Target="https://www.sec.gov/Archives/edgar/data/1575965/000157596523000007/fifthamendmenttopinnaclema.htm" TargetMode="External"/><Relationship Id="rId61" Type="http://schemas.openxmlformats.org/officeDocument/2006/relationships/hyperlink" Target="http://www.sec.gov/Archives/edgar/data/1575965/000119312518299507/d621785dex102.htm" TargetMode="External"/><Relationship Id="rId62" Type="http://schemas.openxmlformats.org/officeDocument/2006/relationships/hyperlink" Target="http://www.sec.gov/Archives/edgar/data/1575965/000110465913082396/a13-23794_2ex10d2.htm" TargetMode="External"/><Relationship Id="rId63" Type="http://schemas.openxmlformats.org/officeDocument/2006/relationships/hyperlink" Target="http://www.sec.gov/Archives/edgar/data/1575965/000157596515000036/glpi72215exhibit101.htm" TargetMode="External"/><Relationship Id="rId64" Type="http://schemas.openxmlformats.org/officeDocument/2006/relationships/hyperlink" Target="http://www.sec.gov/Archives/edgar/data/1575965/000114036120010098/nc100007829x1_def14a.htm" TargetMode="External"/><Relationship Id="rId65" Type="http://schemas.openxmlformats.org/officeDocument/2006/relationships/hyperlink" Target="https://www.sec.gov/Archives/edgar/data/1575965/000157596522000005/glpirsaex-1030.htm" TargetMode="External"/><Relationship Id="rId66" Type="http://schemas.openxmlformats.org/officeDocument/2006/relationships/hyperlink" Target="https://www.sec.gov/Archives/edgar/data/1575965/000157596522000005/glpirsaex-1031.htm" TargetMode="External"/><Relationship Id="rId67" Type="http://schemas.openxmlformats.org/officeDocument/2006/relationships/hyperlink" Target="https://www.sec.gov/Archives/edgar/data/1575965/000157596522000005/glpisaquarterlyex-1032.htm" TargetMode="External"/><Relationship Id="rId68" Type="http://schemas.openxmlformats.org/officeDocument/2006/relationships/hyperlink" Target="https://www.sec.gov/Archives/edgar/data/1575965/000157596522000005/glpirsaex-1033.htm" TargetMode="External"/><Relationship Id="rId69" Type="http://schemas.openxmlformats.org/officeDocument/2006/relationships/hyperlink" Target="https://www.sec.gov/Archives/edgar/data/1575965/000157596522000005/glpirsaperf2020ex-1034.htm" TargetMode="External"/><Relationship Id="rId70" Type="http://schemas.openxmlformats.org/officeDocument/2006/relationships/hyperlink" Target="https://www.sec.gov/Archives/edgar/data/1575965/000157596522000005/glpirsaperf2021exhibit1035.htm" TargetMode="External"/><Relationship Id="rId71" Type="http://schemas.openxmlformats.org/officeDocument/2006/relationships/hyperlink" Target="https://www.sec.gov/Archives/edgar/data/1575965/000157596522000005/glpirsa2020ex-1036.htm" TargetMode="External"/><Relationship Id="rId72" Type="http://schemas.openxmlformats.org/officeDocument/2006/relationships/hyperlink" Target="https://www.sec.gov/Archives/edgar/data/1575965/000157596522000005/glpirsaperf2021ex-1037.htm" TargetMode="External"/><Relationship Id="rId73" Type="http://schemas.openxmlformats.org/officeDocument/2006/relationships/hyperlink" Target="https://www.sec.gov/Archives/edgar/data/1575965/000157596522000005/glpisaperfex-1038.htm" TargetMode="External"/><Relationship Id="rId74" Type="http://schemas.openxmlformats.org/officeDocument/2006/relationships/hyperlink" Target="http://www.sec.gov/Archives/edgar/data/1575965/000157596519000002/glpiexhibit101executivecha.htm" TargetMode="External"/><Relationship Id="rId75" Type="http://schemas.openxmlformats.org/officeDocument/2006/relationships/hyperlink" Target="https://www.sec.gov/Archives/edgar/data/1575965/000157596522000005/tropicana-secondarmasterle.htm" TargetMode="External"/><Relationship Id="rId76" Type="http://schemas.openxmlformats.org/officeDocument/2006/relationships/hyperlink" Target="http://www.sec.gov/Archives/edgar/data/1575965/000119312520201915/d43959dex101.htm" TargetMode="External"/><Relationship Id="rId77" Type="http://schemas.openxmlformats.org/officeDocument/2006/relationships/hyperlink" Target="https://www.sec.gov/Archives/edgar/data/1575965/000119312521369126/d230824dex101.htm" TargetMode="External"/><Relationship Id="rId78" Type="http://schemas.openxmlformats.org/officeDocument/2006/relationships/hyperlink" Target="https://www.sec.gov/Archives/edgar/data/1575965/000157596522000021/glpi-creditagreementwithsi.htm" TargetMode="External"/><Relationship Id="rId79" Type="http://schemas.openxmlformats.org/officeDocument/2006/relationships/hyperlink" Target="https://www.sec.gov/Archives/edgar/data/1575965/000119312522241046/d358207dex101.htm" TargetMode="External"/><Relationship Id="rId80" Type="http://schemas.openxmlformats.org/officeDocument/2006/relationships/hyperlink" Target="https://www.sec.gov/Archives/edgar/data/1575965/000119312522241046/d358207dex102.htm" TargetMode="External"/><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112425</Words>
  <Characters>594908</Characters>
  <CharactersWithSpaces>706495</CharactersWithSpaces>
  <Paragraphs>6035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