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292735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251460</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26"/>
          <w:szCs w:val="26"/>
          <w:b w:val="1"/>
          <w:bCs w:val="1"/>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400" w:hanging="379"/>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3"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9" w:lineRule="exact"/>
        <w:rPr>
          <w:sz w:val="24"/>
          <w:szCs w:val="24"/>
          <w:color w:val="auto"/>
        </w:rPr>
      </w:pPr>
    </w:p>
    <w:p>
      <w:pPr>
        <w:ind w:left="4020"/>
        <w:spacing w:after="0"/>
        <w:tabs>
          <w:tab w:leader="none" w:pos="66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1" w:lineRule="exact"/>
        <w:rPr>
          <w:sz w:val="24"/>
          <w:szCs w:val="24"/>
          <w:color w:val="auto"/>
        </w:rPr>
      </w:pPr>
    </w:p>
    <w:p>
      <w:pPr>
        <w:ind w:left="4220"/>
        <w:spacing w:after="0"/>
        <w:rPr>
          <w:sz w:val="20"/>
          <w:szCs w:val="20"/>
          <w:color w:val="auto"/>
        </w:rPr>
      </w:pPr>
      <w:r>
        <w:rPr>
          <w:rFonts w:ascii="Arial" w:cs="Arial" w:eastAsia="Arial" w:hAnsi="Arial"/>
          <w:sz w:val="17"/>
          <w:szCs w:val="17"/>
          <w:b w:val="1"/>
          <w:bCs w:val="1"/>
          <w:color w:val="auto"/>
        </w:rPr>
        <w:t>Commission File Number: 001-36124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Gaming and Leisure Properties, Inc.</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31"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Pennsylvania</w:t>
      </w:r>
    </w:p>
    <w:p>
      <w:pPr>
        <w:spacing w:after="0" w:line="31"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36"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46-2116489</w:t>
      </w:r>
    </w:p>
    <w:p>
      <w:pPr>
        <w:spacing w:after="0" w:line="31" w:lineRule="exact"/>
        <w:rPr>
          <w:sz w:val="24"/>
          <w:szCs w:val="24"/>
          <w:color w:val="auto"/>
        </w:rPr>
      </w:pPr>
    </w:p>
    <w:p>
      <w:pPr>
        <w:jc w:val="center"/>
        <w:ind w:right="2220"/>
        <w:spacing w:after="0"/>
        <w:rPr>
          <w:sz w:val="20"/>
          <w:szCs w:val="20"/>
          <w:color w:val="auto"/>
        </w:rPr>
      </w:pPr>
      <w:r>
        <w:rPr>
          <w:rFonts w:ascii="Arial" w:cs="Arial" w:eastAsia="Arial" w:hAnsi="Arial"/>
          <w:sz w:val="17"/>
          <w:szCs w:val="17"/>
          <w:color w:val="auto"/>
        </w:rPr>
        <w:t>(I.R.S. Employer</w:t>
      </w:r>
    </w:p>
    <w:p>
      <w:pPr>
        <w:spacing w:after="0" w:line="25"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Identification No.)</w:t>
      </w:r>
    </w:p>
    <w:p>
      <w:pPr>
        <w:spacing w:after="0" w:line="118" w:lineRule="exact"/>
        <w:rPr>
          <w:sz w:val="24"/>
          <w:szCs w:val="24"/>
          <w:color w:val="auto"/>
        </w:rPr>
      </w:pPr>
    </w:p>
    <w:p>
      <w:pPr>
        <w:sectPr>
          <w:pgSz w:w="11900" w:h="16838" w:orient="portrait"/>
          <w:cols w:equalWidth="0" w:num="2">
            <w:col w:w="7020" w:space="720"/>
            <w:col w:w="3500"/>
          </w:cols>
          <w:pgMar w:left="320" w:top="233"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845 Berkshire Blvd., Suite 200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Wyomissing, PA 19610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(Zip Code)</w:t>
      </w:r>
    </w:p>
    <w:p>
      <w:pPr>
        <w:sectPr>
          <w:pgSz w:w="11900" w:h="16838" w:orient="portrait"/>
          <w:cols w:equalWidth="0" w:num="1">
            <w:col w:w="11240"/>
          </w:cols>
          <w:pgMar w:left="320" w:top="233" w:right="339" w:bottom="1440" w:gutter="0" w:footer="0" w:header="0"/>
          <w:type w:val="continuous"/>
        </w:sect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610-401-2900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87"/>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164" w:lineRule="exact"/>
        <w:rPr>
          <w:sz w:val="24"/>
          <w:szCs w:val="24"/>
          <w:color w:val="auto"/>
        </w:rPr>
      </w:pPr>
    </w:p>
    <w:p>
      <w:pPr>
        <w:jc w:val="both"/>
        <w:ind w:right="240" w:firstLine="311"/>
        <w:spacing w:after="0" w:line="21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right="60" w:firstLine="311"/>
        <w:spacing w:after="0" w:line="21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240" w:firstLine="311"/>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120" w:type="dxa"/>
        <w:tblCellMar>
          <w:top w:w="0" w:type="dxa"/>
          <w:left w:w="0" w:type="dxa"/>
          <w:bottom w:w="0" w:type="dxa"/>
          <w:right w:w="0" w:type="dxa"/>
        </w:tblCellMar>
      </w:tblPr>
      <w:tr>
        <w:trPr>
          <w:trHeight w:val="220"/>
        </w:trPr>
        <w:tc>
          <w:tcPr>
            <w:tcW w:w="2080" w:type="dxa"/>
            <w:vAlign w:val="bottom"/>
          </w:tcPr>
          <w:p>
            <w:pPr>
              <w:jc w:val="center"/>
              <w:ind w:right="454"/>
              <w:spacing w:after="0"/>
              <w:rPr>
                <w:sz w:val="20"/>
                <w:szCs w:val="20"/>
                <w:color w:val="auto"/>
              </w:rPr>
            </w:pPr>
            <w:r>
              <w:rPr>
                <w:rFonts w:ascii="Arial" w:cs="Arial" w:eastAsia="Arial" w:hAnsi="Arial"/>
                <w:sz w:val="17"/>
                <w:szCs w:val="17"/>
                <w:color w:val="auto"/>
                <w:w w:val="91"/>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Arial" w:cs="Arial" w:eastAsia="Arial" w:hAnsi="Arial"/>
                <w:sz w:val="17"/>
                <w:szCs w:val="17"/>
                <w:color w:val="auto"/>
                <w:w w:val="95"/>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080" w:type="dxa"/>
            <w:vAlign w:val="bottom"/>
          </w:tcPr>
          <w:p>
            <w:pPr>
              <w:jc w:val="center"/>
              <w:ind w:right="414"/>
              <w:spacing w:after="0"/>
              <w:rPr>
                <w:sz w:val="20"/>
                <w:szCs w:val="20"/>
                <w:color w:val="auto"/>
              </w:rPr>
            </w:pPr>
            <w:r>
              <w:rPr>
                <w:rFonts w:ascii="Arial" w:cs="Arial" w:eastAsia="Arial" w:hAnsi="Arial"/>
                <w:sz w:val="17"/>
                <w:szCs w:val="17"/>
                <w:color w:val="auto"/>
                <w:w w:val="93"/>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Arial" w:cs="Arial" w:eastAsia="Arial" w:hAnsi="Arial"/>
                <w:sz w:val="17"/>
                <w:szCs w:val="17"/>
                <w:color w:val="auto"/>
                <w:w w:val="92"/>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2"/>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2" w:lineRule="exact"/>
        <w:rPr>
          <w:sz w:val="24"/>
          <w:szCs w:val="24"/>
          <w:color w:val="auto"/>
        </w:rPr>
      </w:pPr>
    </w:p>
    <w:p>
      <w:pPr>
        <w:ind w:right="140" w:firstLine="311"/>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jc w:val="both"/>
        <w:ind w:left="320" w:right="2460"/>
        <w:spacing w:after="0" w:line="23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5"/>
          <w:szCs w:val="15"/>
          <w:color w:val="auto"/>
        </w:rPr>
        <w:t>Indicate the number of shares outstanding of each of the issuer’s classes of common stock, as of the latest practicable date.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5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Title</w:t>
            </w:r>
          </w:p>
        </w:tc>
        <w:tc>
          <w:tcPr>
            <w:tcW w:w="5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October 24, 2022</w:t>
            </w:r>
          </w:p>
        </w:tc>
      </w:tr>
      <w:tr>
        <w:trPr>
          <w:trHeight w:val="25"/>
        </w:trPr>
        <w:tc>
          <w:tcPr>
            <w:tcW w:w="5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168"/>
        </w:trPr>
        <w:tc>
          <w:tcPr>
            <w:tcW w:w="5100" w:type="dxa"/>
            <w:vAlign w:val="bottom"/>
          </w:tcPr>
          <w:p>
            <w:pPr>
              <w:jc w:val="center"/>
              <w:spacing w:after="0"/>
              <w:rPr>
                <w:sz w:val="20"/>
                <w:szCs w:val="20"/>
                <w:color w:val="auto"/>
              </w:rPr>
            </w:pPr>
            <w:r>
              <w:rPr>
                <w:rFonts w:ascii="Arial" w:cs="Arial" w:eastAsia="Arial" w:hAnsi="Arial"/>
                <w:sz w:val="14"/>
                <w:szCs w:val="14"/>
                <w:color w:val="auto"/>
                <w:w w:val="88"/>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Arial" w:cs="Arial" w:eastAsia="Arial" w:hAnsi="Arial"/>
                <w:sz w:val="14"/>
                <w:szCs w:val="14"/>
                <w:color w:val="auto"/>
              </w:rPr>
              <w:t>257,516,925</w:t>
            </w:r>
          </w:p>
        </w:tc>
        <w:tc>
          <w:tcPr>
            <w:tcW w:w="600" w:type="dxa"/>
            <w:vAlign w:val="bottom"/>
          </w:tcPr>
          <w:p>
            <w:pPr>
              <w:spacing w:after="0"/>
              <w:rPr>
                <w:sz w:val="14"/>
                <w:szCs w:val="14"/>
                <w:color w:val="auto"/>
              </w:rPr>
            </w:pPr>
          </w:p>
        </w:tc>
      </w:tr>
      <w:tr>
        <w:trPr>
          <w:trHeight w:val="764"/>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7"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42" w:lineRule="exact"/>
        <w:rPr>
          <w:sz w:val="20"/>
          <w:szCs w:val="20"/>
          <w:color w:val="auto"/>
        </w:rPr>
      </w:pPr>
    </w:p>
    <w:p>
      <w:pPr>
        <w:ind w:left="620" w:hanging="305"/>
        <w:spacing w:after="0" w:line="234"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impact that higher inflation rates and uncertainty with respect to the future state of the economy could have on discretionary consumer spending, including the casino operations of our tenants;</w:t>
      </w:r>
    </w:p>
    <w:p>
      <w:pPr>
        <w:spacing w:after="0" w:line="222" w:lineRule="exact"/>
        <w:rPr>
          <w:rFonts w:ascii="Arial" w:cs="Arial" w:eastAsia="Arial" w:hAnsi="Arial"/>
          <w:sz w:val="21"/>
          <w:szCs w:val="21"/>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rising interest rates, inflation, and the impact of our recent transition to the Secured Overnight Financing Rate ("SOFR");</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consequences related to United States government monetary policies and stimulus packages on inflation rates and economic growth;</w:t>
      </w:r>
    </w:p>
    <w:p>
      <w:pPr>
        <w:spacing w:after="0" w:line="256" w:lineRule="exact"/>
        <w:rPr>
          <w:rFonts w:ascii="Arial" w:cs="Arial" w:eastAsia="Arial" w:hAnsi="Arial"/>
          <w:sz w:val="16"/>
          <w:szCs w:val="16"/>
          <w:color w:val="auto"/>
        </w:rPr>
      </w:pPr>
    </w:p>
    <w:p>
      <w:pPr>
        <w:ind w:left="620" w:hanging="305"/>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COVID-19 (including variants thereof, "COVID-19") had, and may continue to have, a significant impact on our tenants' financial conditions and operations;</w:t>
      </w:r>
    </w:p>
    <w:p>
      <w:pPr>
        <w:spacing w:after="0" w:line="185" w:lineRule="exact"/>
        <w:rPr>
          <w:rFonts w:ascii="Arial" w:cs="Arial" w:eastAsia="Arial" w:hAnsi="Arial"/>
          <w:sz w:val="17"/>
          <w:szCs w:val="17"/>
          <w:color w:val="auto"/>
        </w:rPr>
      </w:pPr>
    </w:p>
    <w:p>
      <w:pPr>
        <w:jc w:val="both"/>
        <w:ind w:left="620" w:hanging="305"/>
        <w:spacing w:after="0" w:line="26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current and uncertain future impact of the COVID-19 outbreak or a new pandemic, including its effect on the ability or desire of people to gather in large groups (including in casinos), which could continue to impact our financial results, operations, outlooks, plans, goals, growth, cash flows, liquidity, and stock price;</w:t>
      </w:r>
    </w:p>
    <w:p>
      <w:pPr>
        <w:spacing w:after="0" w:line="198" w:lineRule="exact"/>
        <w:rPr>
          <w:rFonts w:ascii="Arial" w:cs="Arial" w:eastAsia="Arial" w:hAnsi="Arial"/>
          <w:sz w:val="17"/>
          <w:szCs w:val="17"/>
          <w:color w:val="auto"/>
        </w:rPr>
      </w:pPr>
    </w:p>
    <w:p>
      <w:pPr>
        <w:jc w:val="both"/>
        <w:ind w:left="620" w:hanging="305"/>
        <w:spacing w:after="0" w:line="26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GLPI's ability to successfully consummate its announced transactions with Bally's and PENN Entertainment, Inc., formerly known as Penn National Gaming, Inc. ("PENN"), including the ability of the parties to satisfy the various conditions to closing, including receipt of all required regulatory approvals, or other delays or impediments to completing the proposed transactions;</w:t>
      </w:r>
    </w:p>
    <w:p>
      <w:pPr>
        <w:spacing w:after="0" w:line="237" w:lineRule="exact"/>
        <w:rPr>
          <w:rFonts w:ascii="Arial" w:cs="Arial" w:eastAsia="Arial" w:hAnsi="Arial"/>
          <w:sz w:val="17"/>
          <w:szCs w:val="17"/>
          <w:color w:val="auto"/>
        </w:rPr>
      </w:pPr>
    </w:p>
    <w:p>
      <w:pPr>
        <w:ind w:left="620" w:hanging="305"/>
        <w:spacing w:after="0" w:line="234"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22" w:lineRule="exact"/>
        <w:rPr>
          <w:rFonts w:ascii="Arial" w:cs="Arial" w:eastAsia="Arial" w:hAnsi="Arial"/>
          <w:sz w:val="21"/>
          <w:szCs w:val="21"/>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degree and nature of our competition;</w:t>
      </w:r>
    </w:p>
    <w:p>
      <w:pPr>
        <w:spacing w:after="0" w:line="24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85" w:lineRule="exact"/>
        <w:rPr>
          <w:rFonts w:ascii="Arial" w:cs="Arial" w:eastAsia="Arial" w:hAnsi="Arial"/>
          <w:sz w:val="17"/>
          <w:szCs w:val="17"/>
          <w:color w:val="auto"/>
        </w:rPr>
      </w:pPr>
    </w:p>
    <w:p>
      <w:pPr>
        <w:jc w:val="both"/>
        <w:ind w:left="620" w:hanging="305"/>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3"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satisfaction of certain asset, income, organizational, distribution, shareholder ownership and other requirements on a continuing basis in order for the Company to maintain its REIT status;</w:t>
      </w:r>
    </w:p>
    <w:p>
      <w:pPr>
        <w:spacing w:after="0" w:line="185" w:lineRule="exact"/>
        <w:rPr>
          <w:rFonts w:ascii="Arial" w:cs="Arial" w:eastAsia="Arial" w:hAnsi="Arial"/>
          <w:sz w:val="17"/>
          <w:szCs w:val="17"/>
          <w:color w:val="auto"/>
        </w:rPr>
      </w:pPr>
    </w:p>
    <w:p>
      <w:pPr>
        <w:jc w:val="both"/>
        <w:ind w:left="620" w:hanging="305"/>
        <w:spacing w:after="0" w:line="26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8"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hanging="305"/>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generate sufficient cash flows to service our outstanding indebtedness;</w:t>
      </w:r>
    </w:p>
    <w:p>
      <w:pPr>
        <w:spacing w:after="0" w:line="24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access capital through debt and equity markets in amounts and at rates and costs acceptable to GLPI, including for acquisitions or refinancings due to maturities;</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our credit rating;</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global or regional economic conditions;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qualified personnel and our ability to retain our key management personnel;</w:t>
      </w:r>
    </w:p>
    <w:p>
      <w:pPr>
        <w:spacing w:after="0" w:line="24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United States tax law and other federal, state or local laws, whether or not specific to real estate, REITs or the gaming, lodging or hospitality industries;</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standards;</w:t>
      </w:r>
    </w:p>
    <w:p>
      <w:pPr>
        <w:spacing w:after="0" w:line="24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or climate events or conditions, natural disasters, acts of terrorism and other international hostilities, war (including the current conflict between Russia and Ukraine) or political instability;</w:t>
      </w:r>
    </w:p>
    <w:p>
      <w:pPr>
        <w:spacing w:after="0" w:line="18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historical financing statements included herein do not reflect what the business, financial position or results of operations of GLPI may be in the future;</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risks inherent in the real estate business, including potential liability relating to environmental matters and illiquidity of real estate investments; and</w:t>
      </w:r>
    </w:p>
    <w:p>
      <w:pPr>
        <w:spacing w:after="0" w:line="268" w:lineRule="exact"/>
        <w:rPr>
          <w:rFonts w:ascii="Arial" w:cs="Arial" w:eastAsia="Arial" w:hAnsi="Arial"/>
          <w:sz w:val="15"/>
          <w:szCs w:val="15"/>
          <w:color w:val="auto"/>
        </w:rPr>
      </w:pPr>
    </w:p>
    <w:p>
      <w:pPr>
        <w:ind w:left="620" w:hanging="305"/>
        <w:spacing w:after="0" w:line="317"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2021 (the "Annual Report"), in this Quarterly Report on Form 10-Q and Current Reports on Form 8-K as filed with the United States Securities and Exchange Commission.</w:t>
      </w:r>
    </w:p>
    <w:p>
      <w:pPr>
        <w:spacing w:after="0" w:line="136"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72" w:lineRule="exact"/>
        <w:rPr>
          <w:sz w:val="20"/>
          <w:szCs w:val="20"/>
          <w:color w:val="auto"/>
        </w:rPr>
      </w:pPr>
    </w:p>
    <w:p>
      <w:pPr>
        <w:jc w:val="both"/>
        <w:ind w:firstLine="622"/>
        <w:spacing w:after="0" w:line="310" w:lineRule="auto"/>
        <w:rPr>
          <w:sz w:val="20"/>
          <w:szCs w:val="20"/>
          <w:color w:val="auto"/>
        </w:rPr>
      </w:pPr>
      <w:r>
        <w:rPr>
          <w:rFonts w:ascii="Arial" w:cs="Arial" w:eastAsia="Arial" w:hAnsi="Arial"/>
          <w:sz w:val="15"/>
          <w:szCs w:val="15"/>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14"/>
          </w:tcPr>
          <w:p>
            <w:pPr>
              <w:jc w:val="center"/>
              <w:ind w:right="2080"/>
              <w:spacing w:after="0"/>
              <w:rPr>
                <w:sz w:val="20"/>
                <w:szCs w:val="20"/>
                <w:color w:val="auto"/>
              </w:rPr>
            </w:pPr>
            <w:r>
              <w:rPr>
                <w:rFonts w:ascii="Arial" w:cs="Arial" w:eastAsia="Arial" w:hAnsi="Arial"/>
                <w:sz w:val="17"/>
                <w:szCs w:val="17"/>
                <w:b w:val="1"/>
                <w:bCs w:val="1"/>
                <w:color w:val="auto"/>
              </w:rPr>
              <w:t>GAMING AND LEISURE PROPERTIES, INC. AND SUBSIDIARIES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5"/>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10"/>
          </w:tcPr>
          <w:p>
            <w:pPr>
              <w:jc w:val="center"/>
              <w:ind w:right="3380"/>
              <w:spacing w:after="0"/>
              <w:rPr>
                <w:sz w:val="20"/>
                <w:szCs w:val="20"/>
                <w:color w:val="auto"/>
              </w:rPr>
            </w:pPr>
            <w:r>
              <w:rPr>
                <w:rFonts w:ascii="Arial" w:cs="Arial" w:eastAsia="Arial" w:hAnsi="Arial"/>
                <w:sz w:val="17"/>
                <w:szCs w:val="17"/>
                <w:b w:val="1"/>
                <w:bCs w:val="1"/>
                <w:color w:val="auto"/>
              </w:rPr>
              <w:t>TABLE OF CONTENTS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5"/>
        </w:trPr>
        <w:tc>
          <w:tcPr>
            <w:tcW w:w="560" w:type="dxa"/>
            <w:vAlign w:val="bottom"/>
          </w:tcPr>
          <w:p>
            <w:pPr>
              <w:spacing w:after="0"/>
              <w:rPr>
                <w:sz w:val="20"/>
                <w:szCs w:val="20"/>
                <w:color w:val="auto"/>
              </w:rPr>
            </w:pPr>
            <w:r>
              <w:rPr>
                <w:rFonts w:ascii="Arial" w:cs="Arial" w:eastAsia="Arial" w:hAnsi="Arial"/>
                <w:sz w:val="17"/>
                <w:szCs w:val="17"/>
                <w:color w:val="0000FF"/>
                <w:w w:val="87"/>
              </w:rPr>
              <w:t>PART I.</w:t>
            </w:r>
          </w:p>
        </w:tc>
        <w:tc>
          <w:tcPr>
            <w:tcW w:w="1200" w:type="dxa"/>
            <w:vAlign w:val="bottom"/>
            <w:gridSpan w:val="4"/>
          </w:tcPr>
          <w:p>
            <w:pPr>
              <w:spacing w:after="0"/>
              <w:rPr>
                <w:sz w:val="24"/>
                <w:szCs w:val="24"/>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rPr>
              <w:t>UNAUDITED FINANCIAL INFORMATION</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rPr>
              <w:t>4</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560" w:type="dxa"/>
            <w:vAlign w:val="bottom"/>
          </w:tcPr>
          <w:p>
            <w:pPr>
              <w:spacing w:after="0"/>
              <w:rPr>
                <w:sz w:val="20"/>
                <w:szCs w:val="20"/>
                <w:color w:val="auto"/>
              </w:rPr>
            </w:pPr>
            <w:r>
              <w:rPr>
                <w:rFonts w:ascii="Arial" w:cs="Arial" w:eastAsia="Arial" w:hAnsi="Arial"/>
                <w:sz w:val="17"/>
                <w:szCs w:val="17"/>
                <w:color w:val="0000FF"/>
                <w:w w:val="87"/>
              </w:rPr>
              <w:t>ITEM 1.</w:t>
            </w:r>
          </w:p>
        </w:tc>
        <w:tc>
          <w:tcPr>
            <w:tcW w:w="1200" w:type="dxa"/>
            <w:vAlign w:val="bottom"/>
            <w:gridSpan w:val="4"/>
          </w:tcPr>
          <w:p>
            <w:pPr>
              <w:spacing w:after="0"/>
              <w:rPr>
                <w:sz w:val="24"/>
                <w:szCs w:val="24"/>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rPr>
              <w:t>UNAUDITED FINANCIAL STATEMENTS</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rPr>
              <w:t>4</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4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Condensed Consolidated Balance Sheets - September 30, 2022 and December 31, 2021</w:t>
            </w:r>
          </w:p>
        </w:tc>
        <w:tc>
          <w:tcPr>
            <w:tcW w:w="14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7"/>
                <w:szCs w:val="17"/>
                <w:color w:val="auto"/>
              </w:rPr>
            </w:pP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9"/>
              </w:rPr>
              <w:t>Condensed Consolidated Statements of Income - Three and Nine Months Ended September 30, 2022 and 2021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7"/>
                <w:szCs w:val="17"/>
                <w:color w:val="auto"/>
              </w:rPr>
            </w:pP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w w:val="92"/>
              </w:rPr>
              <w:t>Condensed Consolidated Statements of Changes in Equity - Three and Nine Months Ended September 30, 2022 and 2021</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rPr>
              <w:t>6</w:t>
            </w: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w w:val="90"/>
              </w:rPr>
              <w:t>Condensed Consolidated Statements of Cash Flows - Nine Months Ended September 30, 2022 and 2021</w:t>
            </w:r>
          </w:p>
        </w:tc>
        <w:tc>
          <w:tcPr>
            <w:tcW w:w="1200" w:type="dxa"/>
            <w:vAlign w:val="bottom"/>
            <w:tcBorders>
              <w:top w:val="single" w:sz="8" w:color="0000FF"/>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40" w:type="dxa"/>
            <w:vAlign w:val="bottom"/>
          </w:tcPr>
          <w:p>
            <w:pPr>
              <w:spacing w:after="0"/>
              <w:rPr>
                <w:sz w:val="17"/>
                <w:szCs w:val="17"/>
                <w:color w:val="auto"/>
              </w:rPr>
            </w:pP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10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0"/>
              </w:rPr>
              <w:t>Notes to the Condensed Consolidated Financial Statements</w:t>
            </w:r>
          </w:p>
        </w:tc>
        <w:tc>
          <w:tcPr>
            <w:tcW w:w="446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9</w:t>
            </w:r>
          </w:p>
        </w:tc>
        <w:tc>
          <w:tcPr>
            <w:tcW w:w="40" w:type="dxa"/>
            <w:vAlign w:val="bottom"/>
          </w:tcPr>
          <w:p>
            <w:pPr>
              <w:spacing w:after="0"/>
              <w:rPr>
                <w:sz w:val="17"/>
                <w:szCs w:val="17"/>
                <w:color w:val="auto"/>
              </w:rPr>
            </w:pPr>
          </w:p>
        </w:tc>
      </w:tr>
      <w:tr>
        <w:trPr>
          <w:trHeight w:val="42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2.</w:t>
            </w:r>
          </w:p>
        </w:tc>
        <w:tc>
          <w:tcPr>
            <w:tcW w:w="1200" w:type="dxa"/>
            <w:vAlign w:val="bottom"/>
            <w:gridSpan w:val="4"/>
          </w:tcPr>
          <w:p>
            <w:pPr>
              <w:spacing w:after="0"/>
              <w:rPr>
                <w:sz w:val="24"/>
                <w:szCs w:val="24"/>
                <w:color w:val="auto"/>
              </w:rPr>
            </w:pPr>
          </w:p>
        </w:tc>
        <w:tc>
          <w:tcPr>
            <w:tcW w:w="85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8"/>
              </w:rPr>
              <w:t>MANAGEMENT’S DISCUSSION AND ANALYSIS OF FINANCIAL CONDITION AND RESULTS OF OPERATIONS</w:t>
            </w:r>
          </w:p>
        </w:tc>
        <w:tc>
          <w:tcPr>
            <w:tcW w:w="4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38</w:t>
            </w:r>
          </w:p>
        </w:tc>
      </w:tr>
      <w:tr>
        <w:trPr>
          <w:trHeight w:val="42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3.</w:t>
            </w:r>
          </w:p>
        </w:tc>
        <w:tc>
          <w:tcPr>
            <w:tcW w:w="1200" w:type="dxa"/>
            <w:vAlign w:val="bottom"/>
            <w:gridSpan w:val="4"/>
          </w:tcPr>
          <w:p>
            <w:pPr>
              <w:spacing w:after="0"/>
              <w:rPr>
                <w:sz w:val="24"/>
                <w:szCs w:val="24"/>
                <w:color w:val="auto"/>
              </w:rPr>
            </w:pPr>
          </w:p>
        </w:tc>
        <w:tc>
          <w:tcPr>
            <w:tcW w:w="59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9"/>
              </w:rPr>
              <w:t>QUANTITATIVE AND QUALITATIVE DISCLOSURES ABOUT MARKET RISK</w:t>
            </w:r>
          </w:p>
        </w:tc>
        <w:tc>
          <w:tcPr>
            <w:tcW w:w="266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58</w:t>
            </w:r>
          </w:p>
        </w:tc>
      </w:tr>
      <w:tr>
        <w:trPr>
          <w:trHeight w:val="421"/>
        </w:trPr>
        <w:tc>
          <w:tcPr>
            <w:tcW w:w="560" w:type="dxa"/>
            <w:vAlign w:val="bottom"/>
          </w:tcPr>
          <w:p>
            <w:pPr>
              <w:spacing w:after="0"/>
              <w:rPr>
                <w:sz w:val="20"/>
                <w:szCs w:val="20"/>
                <w:color w:val="auto"/>
              </w:rPr>
            </w:pPr>
            <w:r>
              <w:rPr>
                <w:rFonts w:ascii="Arial" w:cs="Arial" w:eastAsia="Arial" w:hAnsi="Arial"/>
                <w:sz w:val="17"/>
                <w:szCs w:val="17"/>
                <w:color w:val="0000FF"/>
                <w:w w:val="87"/>
              </w:rPr>
              <w:t>ITEM 4.</w:t>
            </w:r>
          </w:p>
        </w:tc>
        <w:tc>
          <w:tcPr>
            <w:tcW w:w="1200" w:type="dxa"/>
            <w:vAlign w:val="bottom"/>
            <w:gridSpan w:val="4"/>
          </w:tcPr>
          <w:p>
            <w:pPr>
              <w:spacing w:after="0"/>
              <w:rPr>
                <w:sz w:val="24"/>
                <w:szCs w:val="24"/>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rPr>
              <w:t>CONTROLS AND PROCEDURES</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w w:val="94"/>
              </w:rPr>
              <w:t>59</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21"/>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3"/>
              </w:rPr>
              <w:t>PART II.</w:t>
            </w:r>
          </w:p>
        </w:tc>
        <w:tc>
          <w:tcPr>
            <w:tcW w:w="1140" w:type="dxa"/>
            <w:vAlign w:val="bottom"/>
            <w:gridSpan w:val="3"/>
          </w:tcPr>
          <w:p>
            <w:pPr>
              <w:spacing w:after="0"/>
              <w:rPr>
                <w:sz w:val="24"/>
                <w:szCs w:val="24"/>
                <w:color w:val="auto"/>
              </w:rPr>
            </w:pPr>
          </w:p>
        </w:tc>
        <w:tc>
          <w:tcPr>
            <w:tcW w:w="18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OTHER INFORMATION</w:t>
            </w:r>
          </w:p>
        </w:tc>
        <w:tc>
          <w:tcPr>
            <w:tcW w:w="674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60</w:t>
            </w:r>
          </w:p>
        </w:tc>
      </w:tr>
      <w:tr>
        <w:trPr>
          <w:trHeight w:val="421"/>
        </w:trPr>
        <w:tc>
          <w:tcPr>
            <w:tcW w:w="560" w:type="dxa"/>
            <w:vAlign w:val="bottom"/>
          </w:tcPr>
          <w:p>
            <w:pPr>
              <w:spacing w:after="0"/>
              <w:rPr>
                <w:sz w:val="20"/>
                <w:szCs w:val="20"/>
                <w:color w:val="auto"/>
              </w:rPr>
            </w:pPr>
            <w:r>
              <w:rPr>
                <w:rFonts w:ascii="Arial" w:cs="Arial" w:eastAsia="Arial" w:hAnsi="Arial"/>
                <w:sz w:val="17"/>
                <w:szCs w:val="17"/>
                <w:color w:val="0000FF"/>
                <w:w w:val="87"/>
              </w:rPr>
              <w:t>ITEM 1.</w:t>
            </w:r>
          </w:p>
        </w:tc>
        <w:tc>
          <w:tcPr>
            <w:tcW w:w="1200" w:type="dxa"/>
            <w:vAlign w:val="bottom"/>
            <w:gridSpan w:val="4"/>
          </w:tcPr>
          <w:p>
            <w:pPr>
              <w:spacing w:after="0"/>
              <w:rPr>
                <w:sz w:val="24"/>
                <w:szCs w:val="24"/>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rPr>
              <w:t>LEGAL PROCEEDINGS</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w w:val="94"/>
              </w:rPr>
              <w:t>60</w:t>
            </w:r>
          </w:p>
        </w:tc>
      </w:tr>
      <w:tr>
        <w:trPr>
          <w:trHeight w:val="20"/>
        </w:trPr>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21"/>
        </w:trPr>
        <w:tc>
          <w:tcPr>
            <w:tcW w:w="1760" w:type="dxa"/>
            <w:vAlign w:val="bottom"/>
            <w:gridSpan w:val="5"/>
          </w:tcPr>
          <w:p>
            <w:pPr>
              <w:spacing w:after="0"/>
              <w:rPr>
                <w:sz w:val="20"/>
                <w:szCs w:val="20"/>
                <w:color w:val="auto"/>
              </w:rPr>
            </w:pPr>
            <w:r>
              <w:rPr>
                <w:rFonts w:ascii="Arial" w:cs="Arial" w:eastAsia="Arial" w:hAnsi="Arial"/>
                <w:sz w:val="17"/>
                <w:szCs w:val="17"/>
                <w:color w:val="0000FF"/>
              </w:rPr>
              <w:t>ITEM 1A.</w:t>
            </w:r>
          </w:p>
        </w:tc>
        <w:tc>
          <w:tcPr>
            <w:tcW w:w="8560" w:type="dxa"/>
            <w:vAlign w:val="bottom"/>
            <w:gridSpan w:val="16"/>
          </w:tcPr>
          <w:p>
            <w:pPr>
              <w:spacing w:after="0"/>
              <w:rPr>
                <w:sz w:val="20"/>
                <w:szCs w:val="20"/>
                <w:color w:val="auto"/>
              </w:rPr>
            </w:pPr>
            <w:r>
              <w:rPr>
                <w:rFonts w:ascii="Arial" w:cs="Arial" w:eastAsia="Arial" w:hAnsi="Arial"/>
                <w:sz w:val="17"/>
                <w:szCs w:val="17"/>
                <w:color w:val="0000FF"/>
              </w:rPr>
              <w:t>RISK FACTORS</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w w:val="94"/>
              </w:rPr>
              <w:t>60</w:t>
            </w: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2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2.</w:t>
            </w:r>
          </w:p>
        </w:tc>
        <w:tc>
          <w:tcPr>
            <w:tcW w:w="16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58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5"/>
              </w:rPr>
              <w:t>UNREGISTERED SALES OF EQUITY SECURITIES AND USE OF PROCEEDS</w:t>
            </w:r>
          </w:p>
        </w:tc>
        <w:tc>
          <w:tcPr>
            <w:tcW w:w="272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60</w:t>
            </w:r>
          </w:p>
        </w:tc>
      </w:tr>
      <w:tr>
        <w:trPr>
          <w:trHeight w:val="421"/>
        </w:trPr>
        <w:tc>
          <w:tcPr>
            <w:tcW w:w="560" w:type="dxa"/>
            <w:vAlign w:val="bottom"/>
          </w:tcPr>
          <w:p>
            <w:pPr>
              <w:spacing w:after="0"/>
              <w:rPr>
                <w:sz w:val="20"/>
                <w:szCs w:val="20"/>
                <w:color w:val="auto"/>
              </w:rPr>
            </w:pPr>
            <w:r>
              <w:rPr>
                <w:rFonts w:ascii="Arial" w:cs="Arial" w:eastAsia="Arial" w:hAnsi="Arial"/>
                <w:sz w:val="17"/>
                <w:szCs w:val="17"/>
                <w:color w:val="0000FF"/>
                <w:w w:val="87"/>
              </w:rPr>
              <w:t>ITEM 3.</w:t>
            </w:r>
          </w:p>
        </w:tc>
        <w:tc>
          <w:tcPr>
            <w:tcW w:w="1200" w:type="dxa"/>
            <w:vAlign w:val="bottom"/>
            <w:gridSpan w:val="4"/>
          </w:tcPr>
          <w:p>
            <w:pPr>
              <w:spacing w:after="0"/>
              <w:rPr>
                <w:sz w:val="24"/>
                <w:szCs w:val="24"/>
                <w:color w:val="auto"/>
              </w:rPr>
            </w:pPr>
          </w:p>
        </w:tc>
        <w:tc>
          <w:tcPr>
            <w:tcW w:w="8560" w:type="dxa"/>
            <w:vAlign w:val="bottom"/>
            <w:gridSpan w:val="16"/>
          </w:tcPr>
          <w:p>
            <w:pPr>
              <w:spacing w:after="0"/>
              <w:rPr>
                <w:sz w:val="20"/>
                <w:szCs w:val="20"/>
                <w:color w:val="auto"/>
              </w:rPr>
            </w:pPr>
            <w:r>
              <w:rPr>
                <w:rFonts w:ascii="Arial" w:cs="Arial" w:eastAsia="Arial" w:hAnsi="Arial"/>
                <w:sz w:val="17"/>
                <w:szCs w:val="17"/>
                <w:color w:val="0000FF"/>
              </w:rPr>
              <w:t>DEFAULTS UPON SENIOR SECURITIES</w:t>
            </w: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w w:val="94"/>
              </w:rPr>
              <w:t>60</w:t>
            </w:r>
          </w:p>
        </w:tc>
      </w:tr>
      <w:tr>
        <w:trPr>
          <w:trHeight w:val="421"/>
        </w:trPr>
        <w:tc>
          <w:tcPr>
            <w:tcW w:w="56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87"/>
              </w:rPr>
              <w:t>ITEM 4.</w:t>
            </w:r>
          </w:p>
        </w:tc>
        <w:tc>
          <w:tcPr>
            <w:tcW w:w="1200" w:type="dxa"/>
            <w:vAlign w:val="bottom"/>
            <w:gridSpan w:val="4"/>
          </w:tcPr>
          <w:p>
            <w:pPr>
              <w:spacing w:after="0"/>
              <w:rPr>
                <w:sz w:val="24"/>
                <w:szCs w:val="24"/>
                <w:color w:val="auto"/>
              </w:rPr>
            </w:pPr>
          </w:p>
        </w:tc>
        <w:tc>
          <w:tcPr>
            <w:tcW w:w="312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MINE SAFETY DISCLOSURES</w:t>
            </w:r>
          </w:p>
        </w:tc>
        <w:tc>
          <w:tcPr>
            <w:tcW w:w="544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60</w:t>
            </w:r>
          </w:p>
        </w:tc>
      </w:tr>
      <w:tr>
        <w:trPr>
          <w:trHeight w:val="421"/>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7"/>
              </w:rPr>
              <w:t>ITEM 5.</w:t>
            </w:r>
          </w:p>
        </w:tc>
        <w:tc>
          <w:tcPr>
            <w:tcW w:w="1200" w:type="dxa"/>
            <w:vAlign w:val="bottom"/>
            <w:gridSpan w:val="4"/>
          </w:tcPr>
          <w:p>
            <w:pPr>
              <w:spacing w:after="0"/>
              <w:rPr>
                <w:sz w:val="24"/>
                <w:szCs w:val="24"/>
                <w:color w:val="auto"/>
              </w:rPr>
            </w:pPr>
          </w:p>
        </w:tc>
        <w:tc>
          <w:tcPr>
            <w:tcW w:w="18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8"/>
              </w:rPr>
              <w:t>OTHER INFORMATION</w:t>
            </w:r>
          </w:p>
        </w:tc>
        <w:tc>
          <w:tcPr>
            <w:tcW w:w="520" w:type="dxa"/>
            <w:vAlign w:val="bottom"/>
            <w:tcBorders>
              <w:top w:val="single" w:sz="8" w:color="0000FF"/>
            </w:tcBorders>
          </w:tcPr>
          <w:p>
            <w:pPr>
              <w:spacing w:after="0"/>
              <w:rPr>
                <w:sz w:val="24"/>
                <w:szCs w:val="24"/>
                <w:color w:val="auto"/>
              </w:rPr>
            </w:pPr>
          </w:p>
        </w:tc>
        <w:tc>
          <w:tcPr>
            <w:tcW w:w="622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60</w:t>
            </w:r>
          </w:p>
        </w:tc>
      </w:tr>
      <w:tr>
        <w:trPr>
          <w:trHeight w:val="42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6.</w:t>
            </w:r>
          </w:p>
        </w:tc>
        <w:tc>
          <w:tcPr>
            <w:tcW w:w="1200" w:type="dxa"/>
            <w:vAlign w:val="bottom"/>
            <w:gridSpan w:val="4"/>
          </w:tcPr>
          <w:p>
            <w:pPr>
              <w:spacing w:after="0"/>
              <w:rPr>
                <w:sz w:val="24"/>
                <w:szCs w:val="24"/>
                <w:color w:val="auto"/>
              </w:rPr>
            </w:pPr>
          </w:p>
        </w:tc>
        <w:tc>
          <w:tcPr>
            <w:tcW w:w="8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EXHIBITS</w:t>
            </w:r>
          </w:p>
        </w:tc>
        <w:tc>
          <w:tcPr>
            <w:tcW w:w="776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61</w:t>
            </w:r>
          </w:p>
        </w:tc>
      </w:tr>
      <w:tr>
        <w:trPr>
          <w:trHeight w:val="421"/>
        </w:trPr>
        <w:tc>
          <w:tcPr>
            <w:tcW w:w="1760" w:type="dxa"/>
            <w:vAlign w:val="bottom"/>
            <w:gridSpan w:val="5"/>
          </w:tcPr>
          <w:p>
            <w:pPr>
              <w:spacing w:after="0"/>
              <w:rPr>
                <w:sz w:val="20"/>
                <w:szCs w:val="20"/>
                <w:color w:val="auto"/>
              </w:rPr>
            </w:pPr>
            <w:r>
              <w:rPr>
                <w:rFonts w:ascii="Arial" w:cs="Arial" w:eastAsia="Arial" w:hAnsi="Arial"/>
                <w:sz w:val="17"/>
                <w:szCs w:val="17"/>
                <w:color w:val="0000FF"/>
              </w:rPr>
              <w:t>SIGNATURE</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center"/>
              <w:ind w:left="314"/>
              <w:spacing w:after="0"/>
              <w:rPr>
                <w:sz w:val="20"/>
                <w:szCs w:val="20"/>
                <w:color w:val="auto"/>
              </w:rPr>
            </w:pPr>
            <w:r>
              <w:rPr>
                <w:rFonts w:ascii="Arial" w:cs="Arial" w:eastAsia="Arial" w:hAnsi="Arial"/>
                <w:sz w:val="17"/>
                <w:szCs w:val="17"/>
                <w:color w:val="0000FF"/>
                <w:w w:val="94"/>
              </w:rPr>
              <w:t>62</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20"/>
          </w:cols>
          <w:pgMar w:left="320" w:top="129" w:right="6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Real estate investments, net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7,759,704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7,777,551</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leases, financing receivables,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1,201,670</w:t>
            </w: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Assets held for sale</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77,728</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assets and land rights,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851,819</w:t>
            </w: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724,595</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243,326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57,086</w:t>
            </w:r>
          </w:p>
        </w:tc>
      </w:tr>
      <w:tr>
        <w:trPr>
          <w:trHeight w:val="213"/>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10,775,736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10,690,449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 dividend payable and accrued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63,543</w:t>
            </w: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Accrued interest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86,657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71,810</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salaries and wages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6,798</w:t>
            </w: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183,945</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Financing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53,309</w:t>
            </w:r>
          </w:p>
        </w:tc>
      </w:tr>
      <w:tr>
        <w:trPr>
          <w:trHeight w:val="220"/>
        </w:trPr>
        <w:tc>
          <w:tcPr>
            <w:tcW w:w="8260" w:type="dxa"/>
            <w:vAlign w:val="bottom"/>
          </w:tcPr>
          <w:p>
            <w:pPr>
              <w:ind w:left="140"/>
              <w:spacing w:after="0"/>
              <w:rPr>
                <w:sz w:val="20"/>
                <w:szCs w:val="20"/>
                <w:color w:val="auto"/>
              </w:rPr>
            </w:pPr>
            <w:r>
              <w:rPr>
                <w:rFonts w:ascii="Arial" w:cs="Arial" w:eastAsia="Arial" w:hAnsi="Arial"/>
                <w:sz w:val="17"/>
                <w:szCs w:val="17"/>
                <w:color w:val="auto"/>
              </w:rPr>
              <w:t>Long-term debt, net of unamortized debt issuance costs, bond premiums and original issuance discounts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6,126,143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6,552,372</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rental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329,068</w:t>
            </w:r>
          </w:p>
        </w:tc>
      </w:tr>
      <w:tr>
        <w:trPr>
          <w:trHeight w:val="22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39,464</w:t>
            </w:r>
          </w:p>
        </w:tc>
      </w:tr>
      <w:tr>
        <w:trPr>
          <w:trHeight w:val="213"/>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6,828,389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7,300,309</w:t>
            </w:r>
          </w:p>
        </w:tc>
      </w:tr>
      <w:tr>
        <w:trPr>
          <w:trHeight w:val="187"/>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7"/>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7"/>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69"/>
        </w:trPr>
        <w:tc>
          <w:tcPr>
            <w:tcW w:w="82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0"/>
              </w:rPr>
              <w:t>Preferred stock ($.01 par value, 50,000,000 shares authorized, no shares issued or outstanding at September 30, 2022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December 31, 2021)</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9"/>
        </w:trPr>
        <w:tc>
          <w:tcPr>
            <w:tcW w:w="8260" w:type="dxa"/>
            <w:vAlign w:val="bottom"/>
          </w:tcPr>
          <w:p>
            <w:pPr>
              <w:ind w:left="140"/>
              <w:spacing w:after="0" w:line="169" w:lineRule="exact"/>
              <w:rPr>
                <w:sz w:val="20"/>
                <w:szCs w:val="20"/>
                <w:color w:val="auto"/>
              </w:rPr>
            </w:pPr>
            <w:r>
              <w:rPr>
                <w:rFonts w:ascii="Arial" w:cs="Arial" w:eastAsia="Arial" w:hAnsi="Arial"/>
                <w:sz w:val="17"/>
                <w:szCs w:val="17"/>
                <w:color w:val="auto"/>
                <w:w w:val="94"/>
              </w:rPr>
              <w:t>Common stock ($.01 par value, 500,000,000 shares authorized, 257,516,925 and 247,206,937 shares issued and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3"/>
        </w:trPr>
        <w:tc>
          <w:tcPr>
            <w:tcW w:w="8260" w:type="dxa"/>
            <w:vAlign w:val="bottom"/>
          </w:tcPr>
          <w:p>
            <w:pPr>
              <w:ind w:left="140"/>
              <w:spacing w:after="0"/>
              <w:rPr>
                <w:sz w:val="20"/>
                <w:szCs w:val="20"/>
                <w:color w:val="auto"/>
              </w:rPr>
            </w:pPr>
            <w:r>
              <w:rPr>
                <w:rFonts w:ascii="Arial" w:cs="Arial" w:eastAsia="Arial" w:hAnsi="Arial"/>
                <w:sz w:val="17"/>
                <w:szCs w:val="17"/>
                <w:color w:val="auto"/>
              </w:rPr>
              <w:t>outstanding at September 30, 2022 and December 31, 2021, respectively)</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2,472</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5,413,256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4,953,943</w:t>
            </w:r>
          </w:p>
        </w:tc>
      </w:tr>
      <w:tr>
        <w:trPr>
          <w:trHeight w:val="22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(1,808,346)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(1,771,402)</w:t>
            </w:r>
          </w:p>
        </w:tc>
      </w:tr>
      <w:tr>
        <w:trPr>
          <w:trHeight w:val="213"/>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equity attributable to Gaming and Leisure Properties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3,185,013</w:t>
            </w:r>
          </w:p>
        </w:tc>
      </w:tr>
      <w:tr>
        <w:trPr>
          <w:trHeight w:val="169"/>
        </w:trPr>
        <w:tc>
          <w:tcPr>
            <w:tcW w:w="8260" w:type="dxa"/>
            <w:vAlign w:val="bottom"/>
          </w:tcPr>
          <w:p>
            <w:pPr>
              <w:ind w:left="360"/>
              <w:spacing w:after="0" w:line="169" w:lineRule="exact"/>
              <w:rPr>
                <w:sz w:val="20"/>
                <w:szCs w:val="20"/>
                <w:color w:val="auto"/>
              </w:rPr>
            </w:pPr>
            <w:r>
              <w:rPr>
                <w:rFonts w:ascii="Arial" w:cs="Arial" w:eastAsia="Arial" w:hAnsi="Arial"/>
                <w:sz w:val="17"/>
                <w:szCs w:val="17"/>
                <w:color w:val="auto"/>
                <w:w w:val="96"/>
              </w:rPr>
              <w:t>Noncontrolling interests in GLPI's Operating Partnership (7,366,683 units and 4,348,774 units outstanding at</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3"/>
        </w:trPr>
        <w:tc>
          <w:tcPr>
            <w:tcW w:w="8260" w:type="dxa"/>
            <w:vAlign w:val="bottom"/>
            <w:tcBorders>
              <w:bottom w:val="single" w:sz="8" w:color="CCEEFF"/>
            </w:tcBorders>
          </w:tcPr>
          <w:p>
            <w:pPr>
              <w:ind w:left="2100"/>
              <w:spacing w:after="0"/>
              <w:rPr>
                <w:sz w:val="20"/>
                <w:szCs w:val="20"/>
                <w:color w:val="auto"/>
              </w:rPr>
            </w:pPr>
            <w:r>
              <w:rPr>
                <w:rFonts w:ascii="Arial" w:cs="Arial" w:eastAsia="Arial" w:hAnsi="Arial"/>
                <w:sz w:val="17"/>
                <w:szCs w:val="17"/>
                <w:color w:val="auto"/>
              </w:rPr>
              <w:t>September 30, 2022 and December 31, 2021, respectively)</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339,862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205,127</w:t>
            </w:r>
          </w:p>
        </w:tc>
      </w:tr>
      <w:tr>
        <w:trPr>
          <w:trHeight w:val="213"/>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3,947,347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3,390,140</w:t>
            </w:r>
          </w:p>
        </w:tc>
      </w:tr>
      <w:tr>
        <w:trPr>
          <w:trHeight w:val="213"/>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10,775,736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10,690,449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5"/>
        </w:trPr>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0"/>
        </w:trPr>
        <w:tc>
          <w:tcPr>
            <w:tcW w:w="5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07"/>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Rental income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296,779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283,253</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874,130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821,197</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 from investment in leases, financing receivables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600" w:type="dxa"/>
            <w:vAlign w:val="bottom"/>
          </w:tcPr>
          <w:p>
            <w:pPr>
              <w:ind w:left="20"/>
              <w:spacing w:after="0"/>
              <w:rPr>
                <w:sz w:val="20"/>
                <w:szCs w:val="20"/>
                <w:color w:val="auto"/>
              </w:rPr>
            </w:pPr>
            <w:r>
              <w:rPr>
                <w:rFonts w:ascii="Arial" w:cs="Arial" w:eastAsia="Arial" w:hAnsi="Arial"/>
                <w:sz w:val="17"/>
                <w:szCs w:val="17"/>
                <w:color w:val="auto"/>
              </w:rPr>
              <w:t>Total income from real estate</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283,253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975,297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821,197</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Gaming, food, beverage and other</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96,819</w:t>
            </w:r>
          </w:p>
        </w:tc>
      </w:tr>
      <w:tr>
        <w:trPr>
          <w:trHeight w:val="213"/>
        </w:trPr>
        <w:tc>
          <w:tcPr>
            <w:tcW w:w="560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298,712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975,297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918,016</w:t>
            </w:r>
          </w:p>
        </w:tc>
      </w:tr>
      <w:tr>
        <w:trPr>
          <w:trHeight w:val="207"/>
        </w:trPr>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Gaming, food, beverage and other</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48,074</w:t>
            </w: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Land rights and ground lease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24,338</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45,969</w:t>
            </w: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Gains from dispositions of property</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(14,722)</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charge on land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177,033</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(benefit) for credit losses,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16,252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73,613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220,838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280,692</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317,566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754,459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637,324</w:t>
            </w:r>
          </w:p>
        </w:tc>
      </w:tr>
      <w:tr>
        <w:trPr>
          <w:trHeight w:val="187"/>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(232,753)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(211,258)</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Losses on debt extinguishment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(76,086)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(234,330)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(211,074)</w:t>
            </w:r>
          </w:p>
        </w:tc>
      </w:tr>
      <w:tr>
        <w:trPr>
          <w:trHeight w:val="226"/>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426,250</w:t>
            </w:r>
          </w:p>
        </w:tc>
      </w:tr>
      <w:tr>
        <w:trPr>
          <w:trHeight w:val="22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11,791</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414,459</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w w:val="94"/>
              </w:rPr>
              <w:t>Net income attributable to non-controlling interest in the Operating Partnership</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common shareholders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414,459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Basic earnings attributable to common shareholders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attributable to common shareholders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4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4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Interest Operating</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Partnership</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247,206,937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4,953,943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3,390,140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w w:val="98"/>
              </w:rPr>
              <w:t>Issuance of common stock, net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costs</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w w:val="94"/>
              </w:rPr>
              <w:t>Dividends paid ($0.69 per common</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share)</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(171,005)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9"/>
              </w:rPr>
              <w:t>Issuance of operating partnership</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units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rPr>
              <w:t>Distributions to non-controlling</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interest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(5,083)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121,692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Balance, March 31, 2022</w:t>
            </w:r>
          </w:p>
        </w:tc>
        <w:tc>
          <w:tcPr>
            <w:tcW w:w="1180" w:type="dxa"/>
            <w:vAlign w:val="bottom"/>
          </w:tcPr>
          <w:p>
            <w:pPr>
              <w:jc w:val="right"/>
              <w:spacing w:after="0"/>
              <w:rPr>
                <w:sz w:val="20"/>
                <w:szCs w:val="20"/>
                <w:color w:val="auto"/>
              </w:rPr>
            </w:pPr>
            <w:r>
              <w:rPr>
                <w:rFonts w:ascii="Arial" w:cs="Arial" w:eastAsia="Arial" w:hAnsi="Arial"/>
                <w:sz w:val="17"/>
                <w:szCs w:val="17"/>
                <w:color w:val="auto"/>
              </w:rPr>
              <w:t>247,544,343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2,475</w:t>
            </w: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4,949,638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(1,823,139)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339,511</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3,468,485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rPr>
              <w:t>Dividends paid ($0.705 per</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common share)</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(174,724)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(174,724)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Distributions to non-controlling</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155,787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Balance, June 30, 2022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247,544,343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4,953,946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3,448,662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w w:val="98"/>
              </w:rPr>
              <w:t>Issuance of common stock, net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costs</w:t>
            </w:r>
          </w:p>
        </w:tc>
        <w:tc>
          <w:tcPr>
            <w:tcW w:w="1180" w:type="dxa"/>
            <w:vAlign w:val="bottom"/>
          </w:tcPr>
          <w:p>
            <w:pPr>
              <w:jc w:val="right"/>
              <w:spacing w:after="0"/>
              <w:rPr>
                <w:sz w:val="20"/>
                <w:szCs w:val="20"/>
                <w:color w:val="auto"/>
              </w:rPr>
            </w:pPr>
            <w:r>
              <w:rPr>
                <w:rFonts w:ascii="Arial" w:cs="Arial" w:eastAsia="Arial" w:hAnsi="Arial"/>
                <w:sz w:val="17"/>
                <w:szCs w:val="17"/>
                <w:color w:val="auto"/>
              </w:rPr>
              <w:t>9,969,723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455,033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455,133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tcPr>
          <w:p>
            <w:pPr>
              <w:ind w:left="160"/>
              <w:spacing w:after="0" w:line="169" w:lineRule="exact"/>
              <w:rPr>
                <w:sz w:val="20"/>
                <w:szCs w:val="20"/>
                <w:color w:val="auto"/>
              </w:rPr>
            </w:pPr>
            <w:r>
              <w:rPr>
                <w:rFonts w:ascii="Arial" w:cs="Arial" w:eastAsia="Arial" w:hAnsi="Arial"/>
                <w:sz w:val="17"/>
                <w:szCs w:val="17"/>
                <w:color w:val="auto"/>
              </w:rPr>
              <w:t>Dividends paid ($0.705 per</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common share)</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(181,751)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(181,751)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Distributions to non-controlling</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6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226,219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September 30,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257,516,925</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3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5,413,256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(1,808,346)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339,862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3,947,347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6</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2720" w:type="dxa"/>
            <w:vAlign w:val="bottom"/>
          </w:tcPr>
          <w:p>
            <w:pPr>
              <w:spacing w:after="0"/>
              <w:rPr>
                <w:sz w:val="15"/>
                <w:szCs w:val="15"/>
                <w:color w:val="auto"/>
              </w:rPr>
            </w:pPr>
          </w:p>
        </w:tc>
        <w:tc>
          <w:tcPr>
            <w:tcW w:w="2580" w:type="dxa"/>
            <w:vAlign w:val="bottom"/>
            <w:gridSpan w:val="5"/>
          </w:tcPr>
          <w:p>
            <w:pPr>
              <w:ind w:left="8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2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Partnership</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232,452,220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2,675,018</w:t>
            </w:r>
          </w:p>
        </w:tc>
        <w:tc>
          <w:tcPr>
            <w:tcW w:w="0" w:type="dxa"/>
            <w:vAlign w:val="bottom"/>
          </w:tcPr>
          <w:p>
            <w:pPr>
              <w:spacing w:after="0"/>
              <w:rPr>
                <w:sz w:val="1"/>
                <w:szCs w:val="1"/>
                <w:color w:val="auto"/>
              </w:rPr>
            </w:pPr>
          </w:p>
        </w:tc>
      </w:tr>
      <w:tr>
        <w:trPr>
          <w:trHeight w:val="169"/>
        </w:trPr>
        <w:tc>
          <w:tcPr>
            <w:tcW w:w="2720" w:type="dxa"/>
            <w:vAlign w:val="bottom"/>
          </w:tcPr>
          <w:p>
            <w:pPr>
              <w:ind w:left="180"/>
              <w:spacing w:after="0" w:line="169" w:lineRule="exact"/>
              <w:rPr>
                <w:sz w:val="20"/>
                <w:szCs w:val="20"/>
                <w:color w:val="auto"/>
              </w:rPr>
            </w:pPr>
            <w:r>
              <w:rPr>
                <w:rFonts w:ascii="Arial" w:cs="Arial" w:eastAsia="Arial" w:hAnsi="Arial"/>
                <w:sz w:val="17"/>
                <w:szCs w:val="17"/>
                <w:color w:val="auto"/>
                <w:w w:val="99"/>
              </w:rPr>
              <w:t>Issuance of common stock, net of</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Arial" w:cs="Arial" w:eastAsia="Arial" w:hAnsi="Arial"/>
                <w:sz w:val="17"/>
                <w:szCs w:val="17"/>
                <w:color w:val="auto"/>
              </w:rPr>
              <w:t>costs</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activity</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0" w:type="dxa"/>
            <w:vAlign w:val="bottom"/>
          </w:tcPr>
          <w:p>
            <w:pPr>
              <w:spacing w:after="0"/>
              <w:rPr>
                <w:sz w:val="1"/>
                <w:szCs w:val="1"/>
                <w:color w:val="auto"/>
              </w:rPr>
            </w:pPr>
          </w:p>
        </w:tc>
      </w:tr>
      <w:tr>
        <w:trPr>
          <w:trHeight w:val="169"/>
        </w:trPr>
        <w:tc>
          <w:tcPr>
            <w:tcW w:w="2720" w:type="dxa"/>
            <w:vAlign w:val="bottom"/>
          </w:tcPr>
          <w:p>
            <w:pPr>
              <w:ind w:left="180"/>
              <w:spacing w:after="0" w:line="169" w:lineRule="exact"/>
              <w:rPr>
                <w:sz w:val="20"/>
                <w:szCs w:val="20"/>
                <w:color w:val="auto"/>
              </w:rPr>
            </w:pPr>
            <w:r>
              <w:rPr>
                <w:rFonts w:ascii="Arial" w:cs="Arial" w:eastAsia="Arial" w:hAnsi="Arial"/>
                <w:sz w:val="17"/>
                <w:szCs w:val="17"/>
                <w:color w:val="auto"/>
                <w:w w:val="95"/>
              </w:rPr>
              <w:t>Dividends paid ($0.65 per common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(151,496)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(151,496)</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127,184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7"/>
                <w:szCs w:val="17"/>
                <w:color w:val="auto"/>
              </w:rPr>
              <w:t>Balance, March 31, 2021</w:t>
            </w:r>
          </w:p>
        </w:tc>
        <w:tc>
          <w:tcPr>
            <w:tcW w:w="1220" w:type="dxa"/>
            <w:vAlign w:val="bottom"/>
          </w:tcPr>
          <w:p>
            <w:pPr>
              <w:jc w:val="right"/>
              <w:spacing w:after="0"/>
              <w:rPr>
                <w:sz w:val="20"/>
                <w:szCs w:val="20"/>
                <w:color w:val="auto"/>
              </w:rPr>
            </w:pPr>
            <w:r>
              <w:rPr>
                <w:rFonts w:ascii="Arial" w:cs="Arial" w:eastAsia="Arial" w:hAnsi="Arial"/>
                <w:sz w:val="17"/>
                <w:szCs w:val="17"/>
                <w:color w:val="auto"/>
              </w:rPr>
              <w:t>232,781,653</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2,328</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4,280,723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(1,636,408)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2,646,643</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9"/>
              </w:rPr>
              <w:t>Issuance of common stock, net of</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1,498,420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70,323</w:t>
            </w:r>
          </w:p>
        </w:tc>
        <w:tc>
          <w:tcPr>
            <w:tcW w:w="0" w:type="dxa"/>
            <w:vAlign w:val="bottom"/>
          </w:tcPr>
          <w:p>
            <w:pPr>
              <w:spacing w:after="0"/>
              <w:rPr>
                <w:sz w:val="1"/>
                <w:szCs w:val="1"/>
                <w:color w:val="auto"/>
              </w:rPr>
            </w:pPr>
          </w:p>
        </w:tc>
      </w:tr>
      <w:tr>
        <w:trPr>
          <w:trHeight w:val="220"/>
        </w:trPr>
        <w:tc>
          <w:tcPr>
            <w:tcW w:w="2720" w:type="dxa"/>
            <w:vAlign w:val="bottom"/>
          </w:tcPr>
          <w:p>
            <w:pPr>
              <w:ind w:left="180"/>
              <w:spacing w:after="0"/>
              <w:rPr>
                <w:sz w:val="20"/>
                <w:szCs w:val="20"/>
                <w:color w:val="auto"/>
              </w:rPr>
            </w:pPr>
            <w:r>
              <w:rPr>
                <w:rFonts w:ascii="Arial" w:cs="Arial" w:eastAsia="Arial" w:hAnsi="Arial"/>
                <w:sz w:val="17"/>
                <w:szCs w:val="17"/>
                <w:color w:val="auto"/>
              </w:rPr>
              <w:t>Restricted stock activity</w:t>
            </w:r>
          </w:p>
        </w:tc>
        <w:tc>
          <w:tcPr>
            <w:tcW w:w="1220" w:type="dxa"/>
            <w:vAlign w:val="bottom"/>
          </w:tcPr>
          <w:p>
            <w:pPr>
              <w:jc w:val="right"/>
              <w:spacing w:after="0"/>
              <w:rPr>
                <w:sz w:val="20"/>
                <w:szCs w:val="20"/>
                <w:color w:val="auto"/>
              </w:rPr>
            </w:pPr>
            <w:r>
              <w:rPr>
                <w:rFonts w:ascii="Arial" w:cs="Arial" w:eastAsia="Arial" w:hAnsi="Arial"/>
                <w:sz w:val="17"/>
                <w:szCs w:val="17"/>
                <w:color w:val="auto"/>
              </w:rPr>
              <w:t>8,736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3,612</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Dividends paid ($0.67 per common</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(157,063)</w:t>
            </w:r>
          </w:p>
        </w:tc>
        <w:tc>
          <w:tcPr>
            <w:tcW w:w="0" w:type="dxa"/>
            <w:vAlign w:val="bottom"/>
          </w:tcPr>
          <w:p>
            <w:pPr>
              <w:spacing w:after="0"/>
              <w:rPr>
                <w:sz w:val="1"/>
                <w:szCs w:val="1"/>
                <w:color w:val="auto"/>
              </w:rPr>
            </w:pPr>
          </w:p>
        </w:tc>
      </w:tr>
      <w:tr>
        <w:trPr>
          <w:trHeight w:val="220"/>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138,216</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June 30, 2021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234,288,809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2,701,731</w:t>
            </w:r>
          </w:p>
        </w:tc>
        <w:tc>
          <w:tcPr>
            <w:tcW w:w="0" w:type="dxa"/>
            <w:vAlign w:val="bottom"/>
          </w:tcPr>
          <w:p>
            <w:pPr>
              <w:spacing w:after="0"/>
              <w:rPr>
                <w:sz w:val="1"/>
                <w:szCs w:val="1"/>
                <w:color w:val="auto"/>
              </w:rPr>
            </w:pPr>
          </w:p>
        </w:tc>
      </w:tr>
      <w:tr>
        <w:trPr>
          <w:trHeight w:val="169"/>
        </w:trPr>
        <w:tc>
          <w:tcPr>
            <w:tcW w:w="2720" w:type="dxa"/>
            <w:vAlign w:val="bottom"/>
          </w:tcPr>
          <w:p>
            <w:pPr>
              <w:ind w:left="180"/>
              <w:spacing w:after="0" w:line="169" w:lineRule="exact"/>
              <w:rPr>
                <w:sz w:val="20"/>
                <w:szCs w:val="20"/>
                <w:color w:val="auto"/>
              </w:rPr>
            </w:pPr>
            <w:r>
              <w:rPr>
                <w:rFonts w:ascii="Arial" w:cs="Arial" w:eastAsia="Arial" w:hAnsi="Arial"/>
                <w:sz w:val="17"/>
                <w:szCs w:val="17"/>
                <w:color w:val="auto"/>
                <w:w w:val="99"/>
              </w:rPr>
              <w:t>Issuance of common stock, net of</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Arial" w:cs="Arial" w:eastAsia="Arial" w:hAnsi="Arial"/>
                <w:sz w:val="17"/>
                <w:szCs w:val="17"/>
                <w:color w:val="auto"/>
              </w:rPr>
              <w:t>costs</w:t>
            </w:r>
          </w:p>
        </w:tc>
        <w:tc>
          <w:tcPr>
            <w:tcW w:w="1220" w:type="dxa"/>
            <w:vAlign w:val="bottom"/>
          </w:tcPr>
          <w:p>
            <w:pPr>
              <w:jc w:val="right"/>
              <w:spacing w:after="0"/>
              <w:rPr>
                <w:sz w:val="20"/>
                <w:szCs w:val="20"/>
                <w:color w:val="auto"/>
              </w:rPr>
            </w:pPr>
            <w:r>
              <w:rPr>
                <w:rFonts w:ascii="Arial" w:cs="Arial" w:eastAsia="Arial" w:hAnsi="Arial"/>
                <w:sz w:val="17"/>
                <w:szCs w:val="17"/>
                <w:color w:val="auto"/>
              </w:rPr>
              <w:t>3,675,067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182,811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182,848</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activity</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w:t>
            </w:r>
          </w:p>
        </w:tc>
        <w:tc>
          <w:tcPr>
            <w:tcW w:w="0" w:type="dxa"/>
            <w:vAlign w:val="bottom"/>
          </w:tcPr>
          <w:p>
            <w:pPr>
              <w:spacing w:after="0"/>
              <w:rPr>
                <w:sz w:val="1"/>
                <w:szCs w:val="1"/>
                <w:color w:val="auto"/>
              </w:rPr>
            </w:pPr>
          </w:p>
        </w:tc>
      </w:tr>
      <w:tr>
        <w:trPr>
          <w:trHeight w:val="169"/>
        </w:trPr>
        <w:tc>
          <w:tcPr>
            <w:tcW w:w="2720" w:type="dxa"/>
            <w:vAlign w:val="bottom"/>
          </w:tcPr>
          <w:p>
            <w:pPr>
              <w:ind w:left="180"/>
              <w:spacing w:after="0" w:line="169" w:lineRule="exact"/>
              <w:rPr>
                <w:sz w:val="20"/>
                <w:szCs w:val="20"/>
                <w:color w:val="auto"/>
              </w:rPr>
            </w:pPr>
            <w:r>
              <w:rPr>
                <w:rFonts w:ascii="Arial" w:cs="Arial" w:eastAsia="Arial" w:hAnsi="Arial"/>
                <w:sz w:val="17"/>
                <w:szCs w:val="17"/>
                <w:color w:val="auto"/>
                <w:w w:val="95"/>
              </w:rPr>
              <w:t>Dividends paid ($0.67 per common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(159,603)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(159,603)</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0" w:type="dxa"/>
            <w:vAlign w:val="bottom"/>
          </w:tcPr>
          <w:p>
            <w:pPr>
              <w:spacing w:after="0"/>
              <w:rPr>
                <w:sz w:val="1"/>
                <w:szCs w:val="1"/>
                <w:color w:val="auto"/>
              </w:rPr>
            </w:pPr>
          </w:p>
        </w:tc>
      </w:tr>
      <w:tr>
        <w:trPr>
          <w:trHeight w:val="213"/>
        </w:trPr>
        <w:tc>
          <w:tcPr>
            <w:tcW w:w="2720" w:type="dxa"/>
            <w:vAlign w:val="bottom"/>
          </w:tcPr>
          <w:p>
            <w:pPr>
              <w:ind w:left="180"/>
              <w:spacing w:after="0"/>
              <w:rPr>
                <w:sz w:val="20"/>
                <w:szCs w:val="20"/>
                <w:color w:val="auto"/>
              </w:rPr>
            </w:pPr>
            <w:r>
              <w:rPr>
                <w:rFonts w:ascii="Arial" w:cs="Arial" w:eastAsia="Arial" w:hAnsi="Arial"/>
                <w:sz w:val="17"/>
                <w:szCs w:val="17"/>
                <w:color w:val="auto"/>
              </w:rPr>
              <w:t>Balance, September 30, 2021</w:t>
            </w:r>
          </w:p>
        </w:tc>
        <w:tc>
          <w:tcPr>
            <w:tcW w:w="1220" w:type="dxa"/>
            <w:vAlign w:val="bottom"/>
          </w:tcPr>
          <w:p>
            <w:pPr>
              <w:jc w:val="right"/>
              <w:spacing w:after="0"/>
              <w:rPr>
                <w:sz w:val="20"/>
                <w:szCs w:val="20"/>
                <w:color w:val="auto"/>
              </w:rPr>
            </w:pPr>
            <w:r>
              <w:rPr>
                <w:rFonts w:ascii="Arial" w:cs="Arial" w:eastAsia="Arial" w:hAnsi="Arial"/>
                <w:sz w:val="17"/>
                <w:szCs w:val="17"/>
                <w:color w:val="auto"/>
              </w:rPr>
              <w:t>237,976,150</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2,380</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4,541,158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(1,665,799)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2,877,739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60"/>
          </w:cols>
          <w:pgMar w:left="320" w:top="129" w:right="71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unaudited)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5"/>
        </w:trPr>
        <w:tc>
          <w:tcPr>
            <w:tcW w:w="8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503,698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414,459</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191,550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186,204</w:t>
            </w:r>
          </w:p>
        </w:tc>
      </w:tr>
      <w:tr>
        <w:trPr>
          <w:trHeight w:val="220"/>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 bond premiums and original issuance discounts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7,409</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Accretion on financing receivables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Non-cash adjustment to financing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(Gains) losses from dispositions of property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(14,722)</w:t>
            </w:r>
          </w:p>
        </w:tc>
      </w:tr>
      <w:tr>
        <w:trPr>
          <w:trHeight w:val="220"/>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13,186</w:t>
            </w:r>
          </w:p>
        </w:tc>
      </w:tr>
      <w:tr>
        <w:trPr>
          <w:trHeight w:val="220"/>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Straight-line rent adjustments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Impairment charge and losses on debt extinguishment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Provision for credit losses,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7,016</w:t>
            </w:r>
          </w:p>
        </w:tc>
      </w:tr>
      <w:tr>
        <w:trPr>
          <w:trHeight w:val="220"/>
        </w:trPr>
        <w:tc>
          <w:tcPr>
            <w:tcW w:w="8260" w:type="dxa"/>
            <w:vAlign w:val="bottom"/>
            <w:gridSpan w:val="2"/>
          </w:tcPr>
          <w:p>
            <w:pPr>
              <w:ind w:left="320"/>
              <w:spacing w:after="0"/>
              <w:rPr>
                <w:sz w:val="20"/>
                <w:szCs w:val="20"/>
                <w:color w:val="auto"/>
              </w:rPr>
            </w:pPr>
            <w:r>
              <w:rPr>
                <w:rFonts w:ascii="Arial" w:cs="Arial" w:eastAsia="Arial" w:hAnsi="Arial"/>
                <w:sz w:val="17"/>
                <w:szCs w:val="17"/>
                <w:color w:val="auto"/>
              </w:rPr>
              <w:t>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w:t>
            </w:r>
          </w:p>
        </w:tc>
      </w:tr>
      <w:tr>
        <w:trPr>
          <w:trHeight w:val="220"/>
        </w:trPr>
        <w:tc>
          <w:tcPr>
            <w:tcW w:w="8260" w:type="dxa"/>
            <w:vAlign w:val="bottom"/>
            <w:gridSpan w:val="2"/>
          </w:tcPr>
          <w:p>
            <w:pPr>
              <w:ind w:left="520"/>
              <w:spacing w:after="0"/>
              <w:rPr>
                <w:sz w:val="20"/>
                <w:szCs w:val="20"/>
                <w:color w:val="auto"/>
              </w:rPr>
            </w:pPr>
            <w:r>
              <w:rPr>
                <w:rFonts w:ascii="Arial" w:cs="Arial" w:eastAsia="Arial" w:hAnsi="Arial"/>
                <w:sz w:val="17"/>
                <w:szCs w:val="17"/>
                <w:color w:val="auto"/>
              </w:rPr>
              <w:t>Accrued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9,155</w:t>
            </w:r>
          </w:p>
        </w:tc>
      </w:tr>
      <w:tr>
        <w:trPr>
          <w:trHeight w:val="220"/>
        </w:trPr>
        <w:tc>
          <w:tcPr>
            <w:tcW w:w="82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Accrued salaries and wages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r>
      <w:tr>
        <w:trPr>
          <w:trHeight w:val="220"/>
        </w:trPr>
        <w:tc>
          <w:tcPr>
            <w:tcW w:w="8260" w:type="dxa"/>
            <w:vAlign w:val="bottom"/>
            <w:tcBorders>
              <w:bottom w:val="single" w:sz="8" w:color="CCEEFF"/>
            </w:tcBorders>
            <w:gridSpan w:val="2"/>
          </w:tcPr>
          <w:p>
            <w:pPr>
              <w:ind w:left="520"/>
              <w:spacing w:after="0"/>
              <w:rPr>
                <w:sz w:val="20"/>
                <w:szCs w:val="20"/>
                <w:color w:val="auto"/>
              </w:rPr>
            </w:pPr>
            <w:r>
              <w:rPr>
                <w:rFonts w:ascii="Arial" w:cs="Arial" w:eastAsia="Arial" w:hAnsi="Arial"/>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w:t>
            </w: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699,466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615,984</w:t>
            </w:r>
          </w:p>
        </w:tc>
      </w:tr>
      <w:tr>
        <w:trPr>
          <w:trHeight w:val="200"/>
        </w:trPr>
        <w:tc>
          <w:tcPr>
            <w:tcW w:w="8260" w:type="dxa"/>
            <w:vAlign w:val="bottom"/>
            <w:gridSpan w:val="2"/>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Capital project expenditures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Capital maintenance expenditures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(1,655)</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sales of property, net of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Proceeds from sale of operations, net of transaction costs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30,807</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Investment in leases, financing 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Acquisition of real estate and deposit payments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(487,475)</w:t>
            </w: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(346,959)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(457,837)</w:t>
            </w:r>
          </w:p>
        </w:tc>
      </w:tr>
      <w:tr>
        <w:trPr>
          <w:trHeight w:val="200"/>
        </w:trPr>
        <w:tc>
          <w:tcPr>
            <w:tcW w:w="826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(468,162)</w:t>
            </w: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Non-controlling interest distributions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Taxes paid related to shares withheld for tax purposes on restricted stock award vestings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(9,837)</w:t>
            </w: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Proceeds from issuance of common stock,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455,098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253,076</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issuance of long-term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tcPr>
          <w:p>
            <w:pPr>
              <w:ind w:left="140"/>
              <w:spacing w:after="0"/>
              <w:rPr>
                <w:sz w:val="20"/>
                <w:szCs w:val="20"/>
                <w:color w:val="auto"/>
              </w:rPr>
            </w:pPr>
            <w:r>
              <w:rPr>
                <w:rFonts w:ascii="Arial" w:cs="Arial" w:eastAsia="Arial" w:hAnsi="Arial"/>
                <w:sz w:val="17"/>
                <w:szCs w:val="17"/>
                <w:color w:val="auto"/>
              </w:rPr>
              <w:t>Financing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(1,018,076)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(225,024)</w:t>
            </w: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and cash equivalents, including cash classified within assets held for sale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(66,877)</w:t>
            </w:r>
          </w:p>
        </w:tc>
      </w:tr>
      <w:tr>
        <w:trPr>
          <w:trHeight w:val="220"/>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Less net change in cash classified within assets held for sale</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(3,650)</w:t>
            </w:r>
          </w:p>
        </w:tc>
      </w:tr>
      <w:tr>
        <w:trPr>
          <w:trHeight w:val="213"/>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(665,569)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(63,227)</w:t>
            </w:r>
          </w:p>
        </w:tc>
      </w:tr>
      <w:tr>
        <w:trPr>
          <w:trHeight w:val="22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486,451</w:t>
            </w:r>
          </w:p>
        </w:tc>
      </w:tr>
      <w:tr>
        <w:trPr>
          <w:trHeight w:val="23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423,224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See accompanying notes to the condensed consolidated financial statements and Note 15 for supplemental cash flow information and noncash investing and financing activities.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Operations</w:t>
      </w:r>
    </w:p>
    <w:p>
      <w:pPr>
        <w:spacing w:after="0" w:line="225"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12" w:lineRule="exact"/>
        <w:rPr>
          <w:sz w:val="20"/>
          <w:szCs w:val="20"/>
          <w:color w:val="auto"/>
        </w:rPr>
      </w:pPr>
    </w:p>
    <w:p>
      <w:pPr>
        <w:jc w:val="both"/>
        <w:ind w:firstLine="622"/>
        <w:spacing w:after="0" w:line="281" w:lineRule="auto"/>
        <w:rPr>
          <w:sz w:val="20"/>
          <w:szCs w:val="20"/>
          <w:color w:val="auto"/>
        </w:rPr>
      </w:pPr>
      <w:r>
        <w:rPr>
          <w:rFonts w:ascii="Arial" w:cs="Arial" w:eastAsia="Arial" w:hAnsi="Arial"/>
          <w:sz w:val="15"/>
          <w:szCs w:val="15"/>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In addition, during 2020, the Company and Tropicana LV, LLC, a wholly owned subsidiary of the Company which holds the real estate of Tropicana Las Vegas Casino Hotel Resort ("Tropicana Las Vegas"), elected to treat Tropicana LV, LLC as a TRS. Further, as partial consideration for the transactions with The Cordish Companies ("Cordish") described below, GLP Capital, L.P., the operating partnership of GLPI ("GLP Capital") issued 7,366,683 newly-issued operating partnership units ("OP Units") to affiliates of Cordish. OP Units are exchangeable for common shares of the Company on a one-for-one basis, subject to certain terms and conditions. As a result of the contribution, GLP Capital became treated as a regarded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w:t>
      </w:r>
    </w:p>
    <w:p>
      <w:pPr>
        <w:spacing w:after="0" w:line="186"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6"/>
          <w:szCs w:val="16"/>
          <w:color w:val="auto"/>
        </w:rPr>
        <w:t>On July 1, 2021, the Company sold the operations of Hollywood Casino Perryville to PENN and is leasing the real estate to PENN pursuant to a standalone lease. On December 17, 2021, the Company sold the operations of Hollywood Casino Baton Rouge to Casino Queen Holding Company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w:t>
      </w:r>
    </w:p>
    <w:p>
      <w:pPr>
        <w:spacing w:after="0" w:line="201" w:lineRule="exact"/>
        <w:rPr>
          <w:sz w:val="20"/>
          <w:szCs w:val="20"/>
          <w:color w:val="auto"/>
        </w:rPr>
      </w:pPr>
    </w:p>
    <w:p>
      <w:pPr>
        <w:jc w:val="both"/>
        <w:ind w:firstLine="622"/>
        <w:spacing w:after="0" w:line="246"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September 30, 2022, GLPI’s portfolio consisted of interests in 57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7 gaming and related facilities operated by Bally's Corporation (NYSE: BALY) ("Bally's"), the real property associated with 3 gaming and related facilities operated by Cordish and the real property associated with 2 gaming and related facilities operated by Casino Queen. These facilities, including our corporate headquarters building, are geographically diversified across 17 states and contain approximately 27.8 million square feet. As of September 30, 2022, the Company's properties were 100% occupied. GLPI expects to continue growing its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PENN Master Lease</w:t>
      </w:r>
    </w:p>
    <w:p>
      <w:pPr>
        <w:spacing w:after="0" w:line="24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See Note 11 for a discussion regarding such renewal options. Additionally, see Note 17 for a discussion related to the creation of a new master lease with PENN.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45" w:lineRule="exact"/>
        <w:rPr>
          <w:sz w:val="20"/>
          <w:szCs w:val="20"/>
          <w:color w:val="auto"/>
        </w:rPr>
      </w:pPr>
    </w:p>
    <w:p>
      <w:pPr>
        <w:jc w:val="both"/>
        <w:ind w:firstLine="622"/>
        <w:spacing w:after="0" w:line="292" w:lineRule="auto"/>
        <w:rPr>
          <w:sz w:val="20"/>
          <w:szCs w:val="20"/>
          <w:color w:val="auto"/>
        </w:rPr>
      </w:pPr>
      <w:r>
        <w:rPr>
          <w:rFonts w:ascii="Arial" w:cs="Arial" w:eastAsia="Arial" w:hAnsi="Arial"/>
          <w:sz w:val="15"/>
          <w:szCs w:val="15"/>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Meadows Lease</w:t>
      </w:r>
    </w:p>
    <w:p>
      <w:pPr>
        <w:spacing w:after="0" w:line="245" w:lineRule="exact"/>
        <w:rPr>
          <w:sz w:val="20"/>
          <w:szCs w:val="20"/>
          <w:color w:val="auto"/>
        </w:rPr>
      </w:pPr>
    </w:p>
    <w:p>
      <w:pPr>
        <w:jc w:val="both"/>
        <w:ind w:firstLine="622"/>
        <w:spacing w:after="0" w:line="265" w:lineRule="auto"/>
        <w:rPr>
          <w:sz w:val="20"/>
          <w:szCs w:val="20"/>
          <w:color w:val="auto"/>
        </w:rPr>
      </w:pPr>
      <w:r>
        <w:rPr>
          <w:rFonts w:ascii="Arial" w:cs="Arial" w:eastAsia="Arial" w:hAnsi="Arial"/>
          <w:sz w:val="16"/>
          <w:szCs w:val="16"/>
          <w:color w:val="auto"/>
        </w:rPr>
        <w:t>The real estate assets of Hollywood Casino at the Meadows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 As described in Note 17, it is anticipated that the Meadows Lease will terminate on January 1, 2023 and the real estate associated with the property will be part of a new master lease with PENN.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and Restated Caesars Master Lease</w:t>
      </w:r>
    </w:p>
    <w:p>
      <w:pPr>
        <w:spacing w:after="0" w:line="245"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164" w:lineRule="exact"/>
        <w:rPr>
          <w:sz w:val="20"/>
          <w:szCs w:val="20"/>
          <w:color w:val="auto"/>
        </w:rPr>
      </w:pPr>
    </w:p>
    <w:p>
      <w:pPr>
        <w:jc w:val="both"/>
        <w:ind w:firstLine="622"/>
        <w:spacing w:after="0" w:line="292" w:lineRule="auto"/>
        <w:rPr>
          <w:sz w:val="20"/>
          <w:szCs w:val="20"/>
          <w:color w:val="auto"/>
        </w:rPr>
      </w:pPr>
      <w:r>
        <w:rPr>
          <w:rFonts w:ascii="Arial" w:cs="Arial" w:eastAsia="Arial" w:hAnsi="Arial"/>
          <w:sz w:val="15"/>
          <w:szCs w:val="15"/>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Lumière Place Lease</w:t>
      </w:r>
    </w:p>
    <w:p>
      <w:pPr>
        <w:spacing w:after="0" w:line="245"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real estate associated with the Lumière Place property in satisfaction of the CZR loan. On September 29, 2020, the transaction closed and the Company entered into a new triple net lease with Caesars (the "Lumière Place Lease") the initial term of which expires on October 31, 2033, with four separate renewal options of five years each (exercisable at the tenant's option) on the same terms and conditions. The Lumière Place Lease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Bally's Master Lease</w:t>
      </w:r>
    </w:p>
    <w:p>
      <w:pPr>
        <w:spacing w:after="0" w:line="245"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5-year renewal options (exercisable by the tenant) on the same terms and conditions.</w:t>
      </w:r>
    </w:p>
    <w:p>
      <w:pPr>
        <w:spacing w:after="0" w:line="207"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subject to the escalation clauses described above.</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June 28, 2022, the Company announced that it entered into a binding term sheet with Bally's to acquire the real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property assets of Bally's Twin River Lincoln Casino Resort ("Lincoln") and Bally's Tiverton Casino &amp; Hotel ("Tiverton"), subject to customary regulatory approvals and also subject to Bally's lender consent for Lincoln. Pursuant to the terms of the transaction, Bally’s would immediately lease back both properties and continue to own, control, and manage all of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204"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If all third-party consents and approvals for the acquisition of Lincoln have not been received when such approvals for the acquisition of Tiverton and Hard Rock Hotel &amp; Casino Biloxi ("Biloxi") in Mississippi have been received, then GLPI would instead acquire the real property assets of Biloxi and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 We currently anticipate the intial closing will include the real property assets of Biloxi and Tiverton.</w:t>
      </w:r>
    </w:p>
    <w:p>
      <w:pPr>
        <w:spacing w:after="0" w:line="204"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In connection with GLPI’s commitment to consummate the Bally’s acquisitions, it also agreed to pre-fund, at Bally’s election, a deposit of up to $200.0 million, which was funded in September 2022 and recorded in other assets on the Condensed Consolidated Balance Sheet. This amount will be credited or repaid to GLPI at the earlier of the first closing and December 31, 2023, along with a $9.0 million transaction fee to be credited against the purchase price at such closing.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24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Hotel &amp; Casino, Inc. ("Tropicana Las Vegas") from PENN in exchange for $307.5 million of rent credits which were applied against future rent obligations due under the parties' existing leases during 2020.</w:t>
      </w:r>
    </w:p>
    <w:p>
      <w:pPr>
        <w:spacing w:after="0" w:line="198"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On September 26, 2022, Bally’s acquired both GLPI’s building asset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initial annual rent of $10.5 million. The ground lease is supported by a Bally’s corporate guarantee and cross-defaulted with the Bally's Master Lease (the "Tropicana Las Vegas Lease").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Morgantown Lease</w:t>
      </w:r>
    </w:p>
    <w:p>
      <w:pPr>
        <w:spacing w:after="0" w:line="245"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5-year renewal options exercisable by the tenant (the "Morgantown Lease").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32" w:lineRule="exact"/>
        <w:rPr>
          <w:sz w:val="20"/>
          <w:szCs w:val="20"/>
          <w:color w:val="auto"/>
        </w:rPr>
      </w:pPr>
    </w:p>
    <w:p>
      <w:pPr>
        <w:jc w:val="both"/>
        <w:ind w:firstLine="622"/>
        <w:spacing w:after="0" w:line="295" w:lineRule="auto"/>
        <w:rPr>
          <w:sz w:val="20"/>
          <w:szCs w:val="20"/>
          <w:color w:val="auto"/>
        </w:rPr>
      </w:pPr>
      <w:r>
        <w:rPr>
          <w:rFonts w:ascii="Arial" w:cs="Arial" w:eastAsia="Arial" w:hAnsi="Arial"/>
          <w:sz w:val="15"/>
          <w:szCs w:val="15"/>
          <w:color w:val="auto"/>
        </w:rPr>
        <w:t>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("Casino Queen Master Lease"). The initial annual cash rent is approximately $21.4 million and the lease has an initial term of 15 years with four 5-year renewal options (exercisable by the tenant) on the same terms and conditions. This rental amount will be increased annually by 0.5% for the first six years. Beginning with the seventh lease year through the remainder of the lease term, if the Consumer Price Index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until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Perryville Lease</w:t>
      </w:r>
    </w:p>
    <w:p>
      <w:pPr>
        <w:spacing w:after="0" w:line="245"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(the "Perryville Lease"). As described in Note 17, it is anticipated that the Perryville Lease will terminate on January 1, 2023 and the real estate associated with the property will be part of a new master lease with PENN.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Lease</w:t>
      </w:r>
    </w:p>
    <w:p>
      <w:pPr>
        <w:spacing w:after="0" w:line="245"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that has an initial lease term of 39 years, with a maximum term of 60 years inclusive of tenant renewal options.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annual rent for the Maryland Live! Lease is $75.0 million and the Pennsylvania Live! Master Lease is $50.0 million, both of which have a 1.75% fixed yearly escalator on the entirety of rent commencing on the leases' second anniversary.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251"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203"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property and equipment, net, is now classified in other assets on the Condensed Consolidated Balance Sheets, accounts payable has been combined with dividend payable and accrued expenses and finally, gaming, property and other taxes and income taxes payable were reclassified to other liabilities on the Condensed Consolidated Balance Sheets.</w:t>
      </w:r>
    </w:p>
    <w:p>
      <w:pPr>
        <w:spacing w:after="0" w:line="206"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Operating results for the three and nine months ended September 30, 2022 are not necessarily indicative of the results that may be expected for the year ending December 31, 2022. The consolidated financial statements contained in our Annual Report on Form 10-K for the year ended December 31, 2021 (our "Annual Report") should be read in conjunction with these condensed consolidated financial statements. The December 31, 2021 financial information has been derived from the Company’s audited consolidated financial statements.</w:t>
      </w:r>
    </w:p>
    <w:p>
      <w:pPr>
        <w:spacing w:after="0" w:line="203"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Information</w:t>
      </w:r>
    </w:p>
    <w:p>
      <w:pPr>
        <w:spacing w:after="0" w:line="245"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As described in Note 1, due to the sale of the operations of Hollywood Casino Perryville and Hollywood Casino Baton Rouge,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Accounting Pronouncements Recently Adopted</w:t>
      </w:r>
    </w:p>
    <w:p>
      <w:pPr>
        <w:spacing w:after="0" w:line="24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 xml:space="preserve">In March 2022, the FASB issued ASU No 2022-02,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which eliminates the accounting guidance for troubled debt restructurings ("TDRs") and requires that entities disclose current-period gross write-offs by year of origination for financing receivables and net investment in leases within the scope of ASC 326-20, </w:t>
      </w:r>
      <w:r>
        <w:rPr>
          <w:rFonts w:ascii="Arial" w:cs="Arial" w:eastAsia="Arial" w:hAnsi="Arial"/>
          <w:sz w:val="17"/>
          <w:szCs w:val="17"/>
          <w:i w:val="1"/>
          <w:iCs w:val="1"/>
          <w:color w:val="auto"/>
        </w:rPr>
        <w:t>Financial Instruments-Credit Losses-Measured and Amortized Cost</w:t>
      </w:r>
      <w:r>
        <w:rPr>
          <w:rFonts w:ascii="Arial" w:cs="Arial" w:eastAsia="Arial" w:hAnsi="Arial"/>
          <w:sz w:val="17"/>
          <w:szCs w:val="17"/>
          <w:color w:val="auto"/>
        </w:rPr>
        <w:t>. The Company early adopted the amendments in this update which had no impact on its financial statements or related disclosures as the Company has no TDRs or write-offs to disclose on its net investment in leases.</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Investment in leases, financing receivables, net</w:t>
      </w:r>
    </w:p>
    <w:p>
      <w:pPr>
        <w:spacing w:after="0" w:line="251"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In connection with the Maryland Live! Lease that became effective on December 29, 2021 and the Pennsylvania Live! Master Lease that became effective March 1, 2022, the Company recorded an Investment in leases, financing receivables, net, as the sale lease back transactions were accounted for as failed sale leasebacks. The following is a summary of the balances of the Company's Investment in leases, financing receivables, net.</w:t>
      </w:r>
    </w:p>
    <w:p>
      <w:pPr>
        <w:spacing w:after="0" w:line="200" w:lineRule="exact"/>
        <w:rPr>
          <w:sz w:val="20"/>
          <w:szCs w:val="20"/>
          <w:color w:val="auto"/>
        </w:rPr>
      </w:pPr>
    </w:p>
    <w:p>
      <w:pPr>
        <w:spacing w:after="0" w:line="22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1580" w:type="dxa"/>
            <w:vAlign w:val="bottom"/>
          </w:tcPr>
          <w:p>
            <w:pPr>
              <w:jc w:val="right"/>
              <w:ind w:right="55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2021</w:t>
            </w:r>
          </w:p>
        </w:tc>
      </w:tr>
      <w:tr>
        <w:trPr>
          <w:trHeight w:val="186"/>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6"/>
                <w:szCs w:val="16"/>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Minimum lease payments receivable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6,708,330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4,012,937</w:t>
            </w:r>
          </w:p>
        </w:tc>
      </w:tr>
      <w:tr>
        <w:trPr>
          <w:trHeight w:val="22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Estimated residual values of lease property (unguaranteed)</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940,885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601,947</w:t>
            </w: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7,649,215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4,614,884</w:t>
            </w:r>
          </w:p>
        </w:tc>
      </w:tr>
      <w:tr>
        <w:trPr>
          <w:trHeight w:val="220"/>
        </w:trPr>
        <w:tc>
          <w:tcPr>
            <w:tcW w:w="5000" w:type="dxa"/>
            <w:vAlign w:val="bottom"/>
          </w:tcPr>
          <w:p>
            <w:pPr>
              <w:ind w:left="20"/>
              <w:spacing w:after="0"/>
              <w:rPr>
                <w:sz w:val="20"/>
                <w:szCs w:val="20"/>
                <w:color w:val="auto"/>
              </w:rPr>
            </w:pPr>
            <w:r>
              <w:rPr>
                <w:rFonts w:ascii="Arial" w:cs="Arial" w:eastAsia="Arial" w:hAnsi="Arial"/>
                <w:sz w:val="17"/>
                <w:szCs w:val="17"/>
                <w:color w:val="auto"/>
              </w:rPr>
              <w:t>Less: Unearned income</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(5,732,235)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(3,400,988)</w:t>
            </w:r>
          </w:p>
        </w:tc>
      </w:tr>
      <w:tr>
        <w:trPr>
          <w:trHeight w:val="22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(12,226)</w:t>
            </w:r>
          </w:p>
        </w:tc>
      </w:tr>
      <w:tr>
        <w:trPr>
          <w:trHeight w:val="213"/>
        </w:trPr>
        <w:tc>
          <w:tcPr>
            <w:tcW w:w="5000" w:type="dxa"/>
            <w:vAlign w:val="bottom"/>
          </w:tcPr>
          <w:p>
            <w:pPr>
              <w:ind w:left="20"/>
              <w:spacing w:after="0"/>
              <w:rPr>
                <w:sz w:val="20"/>
                <w:szCs w:val="20"/>
                <w:color w:val="auto"/>
              </w:rPr>
            </w:pPr>
            <w:r>
              <w:rPr>
                <w:rFonts w:ascii="Arial" w:cs="Arial" w:eastAsia="Arial" w:hAnsi="Arial"/>
                <w:sz w:val="17"/>
                <w:szCs w:val="17"/>
                <w:color w:val="auto"/>
              </w:rPr>
              <w:t>Investment in leases - financing receivables, net</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1,875,895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1,201,670</w:t>
            </w: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The present value of the net investment in the lease payment receivable and unguaranteed residual value at September 30, 2022 was $1,867.1 million and $49.9 million compared to $1,178.0 million and $35.9 million at December 31, 2021.</w:t>
      </w:r>
    </w:p>
    <w:p>
      <w:pPr>
        <w:spacing w:after="0" w:line="200" w:lineRule="exact"/>
        <w:rPr>
          <w:sz w:val="20"/>
          <w:szCs w:val="20"/>
          <w:color w:val="auto"/>
        </w:rPr>
      </w:pPr>
    </w:p>
    <w:p>
      <w:pPr>
        <w:spacing w:after="0" w:line="271" w:lineRule="exact"/>
        <w:rPr>
          <w:sz w:val="20"/>
          <w:szCs w:val="20"/>
          <w:color w:val="auto"/>
        </w:rPr>
      </w:pPr>
    </w:p>
    <w:p>
      <w:pPr>
        <w:ind w:right="280" w:firstLine="622"/>
        <w:spacing w:after="0" w:line="284" w:lineRule="auto"/>
        <w:rPr>
          <w:sz w:val="20"/>
          <w:szCs w:val="20"/>
          <w:color w:val="auto"/>
        </w:rPr>
      </w:pPr>
      <w:r>
        <w:rPr>
          <w:rFonts w:ascii="Arial" w:cs="Arial" w:eastAsia="Arial" w:hAnsi="Arial"/>
          <w:sz w:val="17"/>
          <w:szCs w:val="17"/>
          <w:color w:val="auto"/>
        </w:rPr>
        <w:t>At September 30, 2022, minimum lease payments owed to us for each of the five succeeding years under the Company's financing receivables was as follows (in thousands):</w:t>
      </w:r>
    </w:p>
    <w:p>
      <w:pPr>
        <w:spacing w:after="0" w:line="10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Year ending December 31,</w:t>
            </w:r>
          </w:p>
        </w:tc>
        <w:tc>
          <w:tcPr>
            <w:tcW w:w="1260" w:type="dxa"/>
            <w:vAlign w:val="bottom"/>
            <w:vMerge w:val="restart"/>
          </w:tcPr>
          <w:p>
            <w:pPr>
              <w:spacing w:after="0"/>
              <w:rPr>
                <w:sz w:val="14"/>
                <w:szCs w:val="14"/>
                <w:color w:val="auto"/>
              </w:rPr>
            </w:pP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Future Minimum</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Lease Payments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2022 (remainder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31,802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127,222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129,286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131,532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6,154,672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6,708,330</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Company follows ASC 326 “Credit Losses” (“ASC 326”), which requires that the Company measure and record current expected credit losses (“CECL”), the scope of which includes our Investment in leases - financing receivables, net, which do not include any unfunded commitments. The Company has elected to use an econometric default and loss rate model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spacing w:after="0" w:line="328"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Investment in leases - financing receivables, net. We have engaged a nationally recognized data analytics firm to assist us with estimating both the PD and LGD.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 by obtaining the rent coverage on the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September 30, 2022 and December 31, 2021.</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 in the allowance for credit losses for the Company's financing receivables is illustrated below (in thousands):</w:t>
      </w: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95"/>
              </w:rPr>
              <w:t>Maryland Live!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94"/>
              </w:rPr>
              <w:t>Pennsylvania Live!</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3"/>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Lease</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Master Lease</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Total</w:t>
            </w:r>
          </w:p>
        </w:tc>
      </w:tr>
      <w:tr>
        <w:trPr>
          <w:trHeight w:val="220"/>
        </w:trPr>
        <w:tc>
          <w:tcPr>
            <w:tcW w:w="334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12,226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jc w:val="right"/>
              <w:ind w:right="74"/>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12,226</w:t>
            </w: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(5,621)</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26,656</w:t>
            </w: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Ending balance at March 31,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32,277</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38,882</w:t>
            </w: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w:t>
            </w: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Ending balance at June 30,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8,388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32,716</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41,104</w:t>
            </w: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Ending balance at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32,884</w:t>
            </w: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41,085</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180" w:firstLine="622"/>
        <w:spacing w:after="0" w:line="284" w:lineRule="auto"/>
        <w:rPr>
          <w:sz w:val="20"/>
          <w:szCs w:val="20"/>
          <w:color w:val="auto"/>
        </w:rPr>
      </w:pPr>
      <w:r>
        <w:rPr>
          <w:rFonts w:ascii="Arial" w:cs="Arial" w:eastAsia="Arial" w:hAnsi="Arial"/>
          <w:sz w:val="17"/>
          <w:szCs w:val="17"/>
          <w:color w:val="auto"/>
        </w:rPr>
        <w:t>The amortized cost basis of the Company's investment in leases, financing receivables by year of origination is shown below as of September 30, 2022 (in thousands):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Origination year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574"/>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4"/>
              <w:spacing w:after="0"/>
              <w:rPr>
                <w:sz w:val="20"/>
                <w:szCs w:val="20"/>
                <w:color w:val="auto"/>
              </w:rPr>
            </w:pPr>
            <w:r>
              <w:rPr>
                <w:rFonts w:ascii="Arial" w:cs="Arial" w:eastAsia="Arial" w:hAnsi="Arial"/>
                <w:sz w:val="17"/>
                <w:szCs w:val="17"/>
                <w:b w:val="1"/>
                <w:bCs w:val="1"/>
                <w:color w:val="auto"/>
              </w:rPr>
              <w:t>Total</w:t>
            </w:r>
          </w:p>
        </w:tc>
      </w:tr>
      <w:tr>
        <w:trPr>
          <w:trHeight w:val="22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leases, financing receivables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693,742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1,223,238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1,916,980</w:t>
            </w:r>
          </w:p>
        </w:tc>
      </w:tr>
      <w:tr>
        <w:trPr>
          <w:trHeight w:val="22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(32,884)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(8,201)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(41,085)</w:t>
            </w: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Amortized cost basis at September 30, 2022</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660,858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1,215,037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1,875,895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as a percentage of outstanding financing receivable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bl>
    <w:p>
      <w:pPr>
        <w:spacing w:after="0" w:line="312" w:lineRule="exact"/>
        <w:rPr>
          <w:sz w:val="20"/>
          <w:szCs w:val="20"/>
          <w:color w:val="auto"/>
        </w:rPr>
      </w:pPr>
    </w:p>
    <w:p>
      <w:pPr>
        <w:jc w:val="both"/>
        <w:ind w:firstLine="622"/>
        <w:spacing w:after="0" w:line="301" w:lineRule="auto"/>
        <w:rPr>
          <w:sz w:val="20"/>
          <w:szCs w:val="20"/>
          <w:color w:val="auto"/>
        </w:rPr>
      </w:pPr>
      <w:r>
        <w:rPr>
          <w:rFonts w:ascii="Arial" w:cs="Arial" w:eastAsia="Arial" w:hAnsi="Arial"/>
          <w:sz w:val="15"/>
          <w:szCs w:val="15"/>
          <w:color w:val="auto"/>
        </w:rPr>
        <w:t>During the nine months ended September 30, 2022, the Company received an updated earnings forecast from its tenant on the Maryland Live! Casino &amp; Hotel operations for 2022. This resulted in an improved rent coverage ratio in its reserve calculation which led to a reduction in the Maryland Live! Lease reserve at September 30, 2022 compared to its balance at December 31, 2021. 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Real Estate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Real estate investments, net, represents investments in 57 rental properties and the corporate headquarters building and is summarized as follows:</w:t>
      </w:r>
    </w:p>
    <w:p>
      <w:pPr>
        <w:spacing w:after="0" w:line="3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6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r>
      <w:tr>
        <w:trPr>
          <w:trHeight w:val="186"/>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4"/>
          </w:tcPr>
          <w:p>
            <w:pPr>
              <w:jc w:val="right"/>
              <w:ind w:right="898"/>
              <w:spacing w:after="0"/>
              <w:rPr>
                <w:sz w:val="20"/>
                <w:szCs w:val="20"/>
                <w:color w:val="auto"/>
              </w:rPr>
            </w:pPr>
            <w:r>
              <w:rPr>
                <w:rFonts w:ascii="Arial" w:cs="Arial" w:eastAsia="Arial" w:hAnsi="Arial"/>
                <w:sz w:val="14"/>
                <w:szCs w:val="14"/>
                <w:b w:val="1"/>
                <w:bCs w:val="1"/>
                <w:color w:val="auto"/>
              </w:rPr>
              <w:t>(in thousands)</w:t>
            </w:r>
          </w:p>
        </w:tc>
      </w:tr>
      <w:tr>
        <w:trPr>
          <w:trHeight w:val="228"/>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3,141,646</w:t>
            </w:r>
          </w:p>
        </w:tc>
      </w:tr>
      <w:tr>
        <w:trPr>
          <w:trHeight w:val="220"/>
        </w:trPr>
        <w:tc>
          <w:tcPr>
            <w:tcW w:w="710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6,407,313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6,311,573</w:t>
            </w:r>
          </w:p>
        </w:tc>
      </w:tr>
      <w:tr>
        <w:trPr>
          <w:trHeight w:val="220"/>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5,699</w:t>
            </w:r>
          </w:p>
        </w:tc>
      </w:tr>
      <w:tr>
        <w:trPr>
          <w:trHeight w:val="213"/>
        </w:trPr>
        <w:tc>
          <w:tcPr>
            <w:tcW w:w="7100" w:type="dxa"/>
            <w:vAlign w:val="bottom"/>
          </w:tcPr>
          <w:p>
            <w:pPr>
              <w:ind w:left="140"/>
              <w:spacing w:after="0"/>
              <w:rPr>
                <w:sz w:val="20"/>
                <w:szCs w:val="20"/>
                <w:color w:val="auto"/>
              </w:rPr>
            </w:pPr>
            <w:r>
              <w:rPr>
                <w:rFonts w:ascii="Arial" w:cs="Arial" w:eastAsia="Arial" w:hAnsi="Arial"/>
                <w:sz w:val="17"/>
                <w:szCs w:val="17"/>
                <w:color w:val="auto"/>
              </w:rPr>
              <w:t>Total real estate investments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9,618,547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9,458,918</w:t>
            </w:r>
          </w:p>
        </w:tc>
      </w:tr>
      <w:tr>
        <w:trPr>
          <w:trHeight w:val="220"/>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(1,858,843)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(1,681,367)</w:t>
            </w:r>
          </w:p>
        </w:tc>
      </w:tr>
      <w:tr>
        <w:trPr>
          <w:trHeight w:val="213"/>
        </w:trPr>
        <w:tc>
          <w:tcPr>
            <w:tcW w:w="7100" w:type="dxa"/>
            <w:vAlign w:val="bottom"/>
          </w:tcPr>
          <w:p>
            <w:pPr>
              <w:ind w:left="20"/>
              <w:spacing w:after="0"/>
              <w:rPr>
                <w:sz w:val="20"/>
                <w:szCs w:val="20"/>
                <w:color w:val="auto"/>
              </w:rPr>
            </w:pPr>
            <w:r>
              <w:rPr>
                <w:rFonts w:ascii="Arial" w:cs="Arial" w:eastAsia="Arial" w:hAnsi="Arial"/>
                <w:sz w:val="17"/>
                <w:szCs w:val="17"/>
                <w:color w:val="auto"/>
              </w:rPr>
              <w:t>Real estate investments,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7,759,704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7,777,551</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Assets Held for Sale</w:t>
      </w:r>
    </w:p>
    <w:p>
      <w:pPr>
        <w:spacing w:after="0" w:line="251"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On September 26, 2022, Bally’s acquired both GLPI’s building asset and PENN's outstanding equity interests in Tropicana Las Vegas Hotel and Casino, Inc. for an aggregate cash acquisition price of approximately $145 million, net of fees and expenses. GLPI retained ownership of the land and concurrently entered into the Tropicana Las Vegas Lease with Bally's. The Company had classified the building value of Tropicana Las Vegas in Assets held for sale which totaled $77.7 million and the land value in Real estate investments, net on the Condensed Consolidated Balance Sheets at December 31, 2021. In connection with the sale of the building asset, the Company recorded a pre-tax gain of $67.4 million, ($52.8 million after-tax) for the three months and nine months ended September 30, 2022.</w:t>
      </w:r>
    </w:p>
    <w:p>
      <w:pPr>
        <w:spacing w:after="0" w:line="207"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During the three months ended June 30, 2022, the Company entered into an agreement to sell excess land for $3.5 million and incurred an impairment charge of $3.3 million for the nine months ended September 30, 2022, as the proceeds received in the third quarter of 2022 were less than the carrying value of the asset.</w:t>
      </w:r>
    </w:p>
    <w:p>
      <w:pPr>
        <w:spacing w:after="0" w:line="192" w:lineRule="exact"/>
        <w:rPr>
          <w:sz w:val="20"/>
          <w:szCs w:val="20"/>
          <w:color w:val="auto"/>
        </w:rPr>
      </w:pPr>
    </w:p>
    <w:p>
      <w:pPr>
        <w:ind w:right="8440" w:firstLine="4"/>
        <w:spacing w:after="0" w:line="544" w:lineRule="auto"/>
        <w:tabs>
          <w:tab w:leader="none" w:pos="30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Lease Assets and Lease Liabilities Lease Assets</w:t>
      </w:r>
    </w:p>
    <w:p>
      <w:pPr>
        <w:spacing w:after="0" w:line="1" w:lineRule="exact"/>
        <w:rPr>
          <w:sz w:val="20"/>
          <w:szCs w:val="20"/>
          <w:color w:val="auto"/>
        </w:rPr>
      </w:pPr>
    </w:p>
    <w:p>
      <w:pPr>
        <w:jc w:val="both"/>
        <w:ind w:firstLine="622"/>
        <w:spacing w:after="0" w:line="295" w:lineRule="auto"/>
        <w:rPr>
          <w:sz w:val="20"/>
          <w:szCs w:val="20"/>
          <w:color w:val="auto"/>
        </w:rPr>
      </w:pPr>
      <w:r>
        <w:rPr>
          <w:rFonts w:ascii="Arial" w:cs="Arial" w:eastAsia="Arial" w:hAnsi="Arial"/>
          <w:sz w:val="15"/>
          <w:szCs w:val="15"/>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27"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Components of the Company's right-of use assets and land rights, net are detailed below (in thousands):</w:t>
      </w:r>
    </w:p>
    <w:p>
      <w:pPr>
        <w:spacing w:after="0" w:line="41" w:lineRule="exact"/>
        <w:rPr>
          <w:sz w:val="20"/>
          <w:szCs w:val="20"/>
          <w:color w:val="auto"/>
        </w:rPr>
      </w:pPr>
    </w:p>
    <w:tbl>
      <w:tblPr>
        <w:tblLayout w:type="fixed"/>
        <w:tblInd w:w="1360" w:type="dxa"/>
        <w:tblCellMar>
          <w:top w:w="0" w:type="dxa"/>
          <w:left w:w="0" w:type="dxa"/>
          <w:bottom w:w="0" w:type="dxa"/>
          <w:right w:w="0" w:type="dxa"/>
        </w:tblCellMar>
      </w:tblPr>
      <w:tr>
        <w:trPr>
          <w:trHeight w:val="179"/>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5"/>
                <w:szCs w:val="15"/>
                <w:color w:val="auto"/>
              </w:rPr>
            </w:pPr>
          </w:p>
        </w:tc>
        <w:tc>
          <w:tcPr>
            <w:tcW w:w="1600" w:type="dxa"/>
            <w:vAlign w:val="bottom"/>
          </w:tcPr>
          <w:p>
            <w:pPr>
              <w:jc w:val="right"/>
              <w:ind w:right="278"/>
              <w:spacing w:after="0"/>
              <w:rPr>
                <w:sz w:val="20"/>
                <w:szCs w:val="20"/>
                <w:color w:val="auto"/>
              </w:rPr>
            </w:pPr>
            <w:r>
              <w:rPr>
                <w:rFonts w:ascii="Arial" w:cs="Arial" w:eastAsia="Arial" w:hAnsi="Arial"/>
                <w:sz w:val="14"/>
                <w:szCs w:val="14"/>
                <w:b w:val="1"/>
                <w:bCs w:val="1"/>
                <w:color w:val="auto"/>
                <w:w w:val="96"/>
              </w:rPr>
              <w:t>December 31, 2021</w:t>
            </w:r>
          </w:p>
        </w:tc>
      </w:tr>
      <w:tr>
        <w:trPr>
          <w:trHeight w:val="25"/>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 use assets - operating leases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183,136</w:t>
            </w:r>
          </w:p>
        </w:tc>
      </w:tr>
      <w:tr>
        <w:trPr>
          <w:trHeight w:val="22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Land rights, net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656,113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668,683</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Right-of-use assets and land rights,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837,785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851,819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 Rights</w:t>
      </w:r>
    </w:p>
    <w:p>
      <w:pPr>
        <w:spacing w:after="0" w:line="251" w:lineRule="exact"/>
        <w:rPr>
          <w:sz w:val="20"/>
          <w:szCs w:val="20"/>
          <w:color w:val="auto"/>
        </w:rPr>
      </w:pPr>
    </w:p>
    <w:p>
      <w:pPr>
        <w:ind w:right="100" w:firstLine="622"/>
        <w:spacing w:after="0" w:line="272" w:lineRule="auto"/>
        <w:rPr>
          <w:sz w:val="20"/>
          <w:szCs w:val="20"/>
          <w:color w:val="auto"/>
        </w:rPr>
      </w:pPr>
      <w:r>
        <w:rPr>
          <w:rFonts w:ascii="Arial" w:cs="Arial" w:eastAsia="Arial" w:hAnsi="Arial"/>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1020" w:type="dxa"/>
        <w:tblCellMar>
          <w:top w:w="0" w:type="dxa"/>
          <w:left w:w="0" w:type="dxa"/>
          <w:bottom w:w="0" w:type="dxa"/>
          <w:right w:w="0" w:type="dxa"/>
        </w:tblCellMar>
      </w:tblPr>
      <w:tr>
        <w:trPr>
          <w:trHeight w:val="140"/>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1160" w:type="dxa"/>
            <w:vAlign w:val="bottom"/>
          </w:tcPr>
          <w:p>
            <w:pPr>
              <w:jc w:val="center"/>
              <w:ind w:right="121"/>
              <w:spacing w:after="0" w:line="140" w:lineRule="exact"/>
              <w:rPr>
                <w:sz w:val="20"/>
                <w:szCs w:val="20"/>
                <w:color w:val="auto"/>
              </w:rPr>
            </w:pPr>
            <w:r>
              <w:rPr>
                <w:rFonts w:ascii="Arial" w:cs="Arial" w:eastAsia="Arial" w:hAnsi="Arial"/>
                <w:sz w:val="14"/>
                <w:szCs w:val="14"/>
                <w:b w:val="1"/>
                <w:bCs w:val="1"/>
                <w:color w:val="auto"/>
                <w:w w:val="87"/>
              </w:rPr>
              <w:t>December 31,</w:t>
            </w:r>
          </w:p>
        </w:tc>
      </w:tr>
      <w:tr>
        <w:trPr>
          <w:trHeight w:val="187"/>
        </w:trPr>
        <w:tc>
          <w:tcPr>
            <w:tcW w:w="7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187"/>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4"/>
          </w:tcPr>
          <w:p>
            <w:pPr>
              <w:ind w:left="800"/>
              <w:spacing w:after="0"/>
              <w:rPr>
                <w:sz w:val="20"/>
                <w:szCs w:val="20"/>
                <w:color w:val="auto"/>
              </w:rPr>
            </w:pPr>
            <w:r>
              <w:rPr>
                <w:rFonts w:ascii="Arial" w:cs="Arial" w:eastAsia="Arial" w:hAnsi="Arial"/>
                <w:sz w:val="14"/>
                <w:szCs w:val="14"/>
                <w:b w:val="1"/>
                <w:bCs w:val="1"/>
                <w:color w:val="auto"/>
              </w:rPr>
              <w:t>(in thousands)</w:t>
            </w:r>
          </w:p>
        </w:tc>
      </w:tr>
      <w:tr>
        <w:trPr>
          <w:trHeight w:val="228"/>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Land rights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727,796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7"/>
              </w:rPr>
              <w:t>730,783</w:t>
            </w:r>
          </w:p>
        </w:tc>
      </w:tr>
      <w:tr>
        <w:trPr>
          <w:trHeight w:val="220"/>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4"/>
              </w:rPr>
              <w:t>(71,683)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w w:val="94"/>
              </w:rPr>
              <w:t>(62,100)</w:t>
            </w:r>
          </w:p>
        </w:tc>
      </w:tr>
      <w:tr>
        <w:trPr>
          <w:trHeight w:val="238"/>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7"/>
              </w:rPr>
              <w:t>656,113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97"/>
              </w:rPr>
              <w:t>668,683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During the nine month period ended September 30, 2022, the Company recorded $2.7 million of accelerated land right amortization as it donated a portion of the land underlying a ground lease.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 of September 30, 2022, estimated future amortization expense related to the Company’s land rights by fiscal year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44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2022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0" w:type="dxa"/>
            <w:vAlign w:val="bottom"/>
          </w:tcPr>
          <w:p>
            <w:pPr>
              <w:spacing w:after="0"/>
              <w:rPr>
                <w:sz w:val="1"/>
                <w:szCs w:val="1"/>
                <w:color w:val="auto"/>
              </w:rPr>
            </w:pPr>
          </w:p>
        </w:tc>
      </w:tr>
      <w:tr>
        <w:trPr>
          <w:trHeight w:val="220"/>
        </w:trPr>
        <w:tc>
          <w:tcPr>
            <w:tcW w:w="2900" w:type="dxa"/>
            <w:vAlign w:val="bottom"/>
            <w:gridSpan w:val="2"/>
          </w:tcPr>
          <w:p>
            <w:pPr>
              <w:ind w:left="136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0"/>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40" w:type="dxa"/>
            <w:vAlign w:val="bottom"/>
            <w:tcBorders>
              <w:right w:val="single" w:sz="8" w:color="CCEEFF"/>
            </w:tcBorders>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0"/>
        </w:trPr>
        <w:tc>
          <w:tcPr>
            <w:tcW w:w="2900" w:type="dxa"/>
            <w:vAlign w:val="bottom"/>
            <w:gridSpan w:val="2"/>
          </w:tcPr>
          <w:p>
            <w:pPr>
              <w:ind w:left="136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0"/>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40" w:type="dxa"/>
            <w:vAlign w:val="bottom"/>
            <w:tcBorders>
              <w:right w:val="single" w:sz="8" w:color="CCEEFF"/>
            </w:tcBorders>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544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600,187</w:t>
            </w:r>
          </w:p>
        </w:tc>
        <w:tc>
          <w:tcPr>
            <w:tcW w:w="0" w:type="dxa"/>
            <w:vAlign w:val="bottom"/>
          </w:tcPr>
          <w:p>
            <w:pPr>
              <w:spacing w:after="0"/>
              <w:rPr>
                <w:sz w:val="1"/>
                <w:szCs w:val="1"/>
                <w:color w:val="auto"/>
              </w:rPr>
            </w:pPr>
          </w:p>
        </w:tc>
      </w:tr>
      <w:tr>
        <w:trPr>
          <w:trHeight w:val="233"/>
        </w:trPr>
        <w:tc>
          <w:tcPr>
            <w:tcW w:w="1360" w:type="dxa"/>
            <w:vAlign w:val="bottom"/>
            <w:tcBorders>
              <w:right w:val="single" w:sz="8" w:color="CCEEFF"/>
            </w:tcBorders>
          </w:tcPr>
          <w:p>
            <w:pPr>
              <w:spacing w:after="0"/>
              <w:rPr>
                <w:sz w:val="20"/>
                <w:szCs w:val="20"/>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656,113</w:t>
            </w:r>
          </w:p>
        </w:tc>
        <w:tc>
          <w:tcPr>
            <w:tcW w:w="0" w:type="dxa"/>
            <w:vAlign w:val="bottom"/>
          </w:tcPr>
          <w:p>
            <w:pPr>
              <w:spacing w:after="0"/>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660" w:type="dxa"/>
            <w:vAlign w:val="bottom"/>
            <w:gridSpan w:val="9"/>
          </w:tcPr>
          <w:p>
            <w:pPr>
              <w:ind w:left="620"/>
              <w:spacing w:after="0"/>
              <w:rPr>
                <w:sz w:val="20"/>
                <w:szCs w:val="20"/>
                <w:color w:val="auto"/>
              </w:rPr>
            </w:pPr>
            <w:r>
              <w:rPr>
                <w:rFonts w:ascii="Arial" w:cs="Arial" w:eastAsia="Arial" w:hAnsi="Arial"/>
                <w:sz w:val="17"/>
                <w:szCs w:val="17"/>
                <w:color w:val="auto"/>
              </w:rPr>
              <w:t>At September 30, 2022, maturities of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2022 (remainder of year)</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3,388</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gridSpan w:val="4"/>
          </w:tcPr>
          <w:p>
            <w:pPr>
              <w:ind w:left="3040"/>
              <w:spacing w:after="0"/>
              <w:rPr>
                <w:sz w:val="20"/>
                <w:szCs w:val="20"/>
                <w:color w:val="auto"/>
              </w:rPr>
            </w:pPr>
            <w:r>
              <w:rPr>
                <w:rFonts w:ascii="Arial" w:cs="Arial" w:eastAsia="Arial" w:hAnsi="Arial"/>
                <w:sz w:val="17"/>
                <w:szCs w:val="17"/>
                <w:color w:val="auto"/>
              </w:rPr>
              <w:t>2023</w:t>
            </w: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13,556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Borders>
              <w:right w:val="single" w:sz="8" w:color="CCEEFF"/>
            </w:tcBorders>
            <w:gridSpan w:val="3"/>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13,505</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gridSpan w:val="4"/>
          </w:tcPr>
          <w:p>
            <w:pPr>
              <w:ind w:left="3040"/>
              <w:spacing w:after="0"/>
              <w:rPr>
                <w:sz w:val="20"/>
                <w:szCs w:val="20"/>
                <w:color w:val="auto"/>
              </w:rPr>
            </w:pPr>
            <w:r>
              <w:rPr>
                <w:rFonts w:ascii="Arial" w:cs="Arial" w:eastAsia="Arial" w:hAnsi="Arial"/>
                <w:sz w:val="17"/>
                <w:szCs w:val="17"/>
                <w:color w:val="auto"/>
              </w:rPr>
              <w:t>2025</w:t>
            </w: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13,452</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Borders>
              <w:right w:val="single" w:sz="8" w:color="CCEEFF"/>
            </w:tcBorders>
            <w:gridSpan w:val="3"/>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13,459</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610,693</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668,053</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interest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(485,637)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182,416</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Expense</w:t>
      </w:r>
    </w:p>
    <w:p>
      <w:pPr>
        <w:spacing w:after="0" w:line="251"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expense were as follows (in thousands):</w:t>
      </w:r>
    </w:p>
    <w:p>
      <w:pPr>
        <w:spacing w:after="0" w:line="49"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3500" w:type="dxa"/>
            <w:vAlign w:val="bottom"/>
          </w:tcPr>
          <w:p>
            <w:pPr>
              <w:spacing w:after="0"/>
              <w:rPr>
                <w:sz w:val="17"/>
                <w:szCs w:val="17"/>
                <w:color w:val="auto"/>
              </w:rPr>
            </w:pPr>
          </w:p>
        </w:tc>
        <w:tc>
          <w:tcPr>
            <w:tcW w:w="3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4"/>
          </w:tcPr>
          <w:p>
            <w:pPr>
              <w:jc w:val="center"/>
              <w:ind w:right="76"/>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179"/>
        </w:trPr>
        <w:tc>
          <w:tcPr>
            <w:tcW w:w="350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5"/>
        </w:trPr>
        <w:tc>
          <w:tcPr>
            <w:tcW w:w="3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16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5,106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2,688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14,533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5,82</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land right assets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160" w:type="dxa"/>
            <w:vAlign w:val="bottom"/>
            <w:tcBorders>
              <w:bottom w:val="single" w:sz="8" w:color="auto"/>
            </w:tcBorders>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9,620</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center"/>
              <w:ind w:right="2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100" w:firstLine="622"/>
        <w:spacing w:after="0" w:line="284" w:lineRule="auto"/>
        <w:rPr>
          <w:sz w:val="20"/>
          <w:szCs w:val="20"/>
          <w:color w:val="auto"/>
        </w:rPr>
      </w:pPr>
      <w:r>
        <w:rPr>
          <w:rFonts w:ascii="Arial" w:cs="Arial" w:eastAsia="Arial" w:hAnsi="Arial"/>
          <w:sz w:val="17"/>
          <w:szCs w:val="17"/>
          <w:color w:val="auto"/>
        </w:rPr>
        <w:t>Amortization expense related to the land right intangibles, as well as variable lease costs and the majority of the Company's operating lease costs are recorded within land rights and ground lease expense in the condensed consolidated statements of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Disclosures Related to Leases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balance sheet information related to the Company's operating leases was as follows: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 2022</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3"/>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 operating leases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w w:val="92"/>
              </w:rPr>
              <w:t>51.27 years</w:t>
            </w:r>
          </w:p>
        </w:tc>
        <w:tc>
          <w:tcPr>
            <w:tcW w:w="3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1"/>
        </w:trPr>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Weighted average discount rate - operating leases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519"/>
        </w:trPr>
        <w:tc>
          <w:tcPr>
            <w:tcW w:w="6600" w:type="dxa"/>
            <w:vAlign w:val="bottom"/>
            <w:gridSpan w:val="4"/>
          </w:tcPr>
          <w:p>
            <w:pPr>
              <w:jc w:val="right"/>
              <w:spacing w:after="0"/>
              <w:rPr>
                <w:sz w:val="20"/>
                <w:szCs w:val="20"/>
                <w:color w:val="auto"/>
              </w:rPr>
            </w:pPr>
            <w:r>
              <w:rPr>
                <w:rFonts w:ascii="Arial" w:cs="Arial" w:eastAsia="Arial" w:hAnsi="Arial"/>
                <w:sz w:val="17"/>
                <w:szCs w:val="17"/>
                <w:color w:val="auto"/>
                <w:w w:val="91"/>
              </w:rPr>
              <w:t>Supplemental cash flow information related to the Company's operating leases was as follows:</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8"/>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 September</w:t>
            </w:r>
          </w:p>
        </w:tc>
        <w:tc>
          <w:tcPr>
            <w:tcW w:w="320" w:type="dxa"/>
            <w:vAlign w:val="bottom"/>
          </w:tcPr>
          <w:p>
            <w:pPr>
              <w:spacing w:after="0"/>
              <w:rPr>
                <w:sz w:val="24"/>
                <w:szCs w:val="24"/>
                <w:color w:val="auto"/>
              </w:rPr>
            </w:pPr>
          </w:p>
        </w:tc>
        <w:tc>
          <w:tcPr>
            <w:tcW w:w="180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w w:val="89"/>
              </w:rPr>
              <w:t>Nine Months Ended</w:t>
            </w:r>
          </w:p>
        </w:tc>
      </w:tr>
      <w:tr>
        <w:trPr>
          <w:trHeight w:val="194"/>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1"/>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6"/>
                <w:szCs w:val="16"/>
                <w:b w:val="1"/>
                <w:bCs w:val="1"/>
                <w:color w:val="auto"/>
                <w:w w:val="85"/>
              </w:rPr>
              <w:t>September 30,</w:t>
            </w:r>
          </w:p>
        </w:tc>
      </w:tr>
      <w:tr>
        <w:trPr>
          <w:trHeight w:val="180"/>
        </w:trPr>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187"/>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4"/>
          </w:tcPr>
          <w:p>
            <w:pPr>
              <w:jc w:val="center"/>
              <w:ind w:right="279"/>
              <w:spacing w:after="0"/>
              <w:rPr>
                <w:sz w:val="20"/>
                <w:szCs w:val="20"/>
                <w:color w:val="auto"/>
              </w:rPr>
            </w:pPr>
            <w:r>
              <w:rPr>
                <w:rFonts w:ascii="Arial" w:cs="Arial" w:eastAsia="Arial" w:hAnsi="Arial"/>
                <w:sz w:val="14"/>
                <w:szCs w:val="14"/>
                <w:b w:val="1"/>
                <w:bCs w:val="1"/>
                <w:color w:val="auto"/>
                <w:w w:val="87"/>
              </w:rPr>
              <w:t>(in thousands)</w:t>
            </w:r>
          </w:p>
        </w:tc>
      </w:tr>
      <w:tr>
        <w:trPr>
          <w:trHeight w:val="228"/>
        </w:trPr>
        <w:tc>
          <w:tcPr>
            <w:tcW w:w="40" w:type="dxa"/>
            <w:vAlign w:val="bottom"/>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6240" w:type="dxa"/>
            <w:vAlign w:val="bottom"/>
            <w:gridSpan w:val="2"/>
          </w:tcPr>
          <w:p>
            <w:pPr>
              <w:ind w:left="80"/>
              <w:spacing w:after="0" w:line="221" w:lineRule="exact"/>
              <w:rPr>
                <w:sz w:val="20"/>
                <w:szCs w:val="20"/>
                <w:color w:val="auto"/>
              </w:rPr>
            </w:pPr>
            <w:r>
              <w:rPr>
                <w:rFonts w:ascii="Arial" w:cs="Arial" w:eastAsia="Arial" w:hAnsi="Arial"/>
                <w:sz w:val="17"/>
                <w:szCs w:val="17"/>
                <w:color w:val="auto"/>
              </w:rPr>
              <w:t xml:space="preserve">Operating cash flows from operating leases </w:t>
            </w:r>
            <w:r>
              <w:rPr>
                <w:rFonts w:ascii="Arial" w:cs="Arial" w:eastAsia="Arial" w:hAnsi="Arial"/>
                <w:sz w:val="22"/>
                <w:szCs w:val="22"/>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404</w:t>
            </w:r>
          </w:p>
        </w:tc>
        <w:tc>
          <w:tcPr>
            <w:tcW w:w="520" w:type="dxa"/>
            <w:vAlign w:val="bottom"/>
          </w:tcPr>
          <w:p>
            <w:pPr>
              <w:jc w:val="right"/>
              <w:ind w:right="18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1,213</w:t>
            </w:r>
          </w:p>
        </w:tc>
        <w:tc>
          <w:tcPr>
            <w:tcW w:w="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1,212</w:t>
            </w:r>
          </w:p>
        </w:tc>
      </w:tr>
      <w:tr>
        <w:trPr>
          <w:trHeight w:val="259"/>
        </w:trPr>
        <w:tc>
          <w:tcPr>
            <w:tcW w:w="40" w:type="dxa"/>
            <w:vAlign w:val="bottom"/>
          </w:tcPr>
          <w:p>
            <w:pPr>
              <w:spacing w:after="0"/>
              <w:rPr>
                <w:sz w:val="22"/>
                <w:szCs w:val="22"/>
                <w:color w:val="auto"/>
              </w:rPr>
            </w:pPr>
          </w:p>
        </w:tc>
        <w:tc>
          <w:tcPr>
            <w:tcW w:w="624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0"/>
        </w:trPr>
        <w:tc>
          <w:tcPr>
            <w:tcW w:w="4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Right-of-use assets obtained in exchange for new lease obligations: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6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35,372</w:t>
            </w:r>
          </w:p>
        </w:tc>
      </w:tr>
    </w:tbl>
    <w:p>
      <w:pPr>
        <w:spacing w:after="0" w:line="312" w:lineRule="exact"/>
        <w:rPr>
          <w:sz w:val="20"/>
          <w:szCs w:val="20"/>
          <w:color w:val="auto"/>
        </w:rPr>
      </w:pPr>
    </w:p>
    <w:p>
      <w:pPr>
        <w:jc w:val="both"/>
        <w:ind w:right="100" w:firstLine="626"/>
        <w:spacing w:after="0" w:line="283" w:lineRule="auto"/>
        <w:tabs>
          <w:tab w:leader="none" w:pos="781"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Lease Liabilities</w:t>
      </w:r>
    </w:p>
    <w:p>
      <w:pPr>
        <w:spacing w:after="0" w:line="251"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September 30, 2022, maturities of this finance lease were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1880" w:type="dxa"/>
        <w:tblCellMar>
          <w:top w:w="0" w:type="dxa"/>
          <w:left w:w="0" w:type="dxa"/>
          <w:bottom w:w="0" w:type="dxa"/>
          <w:right w:w="0" w:type="dxa"/>
        </w:tblCellMar>
      </w:tblPr>
      <w:tr>
        <w:trPr>
          <w:trHeight w:val="22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2022 (remainder of year)</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r>
      <w:tr>
        <w:trPr>
          <w:trHeight w:val="220"/>
        </w:trPr>
        <w:tc>
          <w:tcPr>
            <w:tcW w:w="4080" w:type="dxa"/>
            <w:vAlign w:val="bottom"/>
          </w:tcPr>
          <w:p>
            <w:pPr>
              <w:spacing w:after="0"/>
              <w:rPr>
                <w:sz w:val="20"/>
                <w:szCs w:val="20"/>
                <w:color w:val="auto"/>
              </w:rPr>
            </w:pPr>
            <w:r>
              <w:rPr>
                <w:rFonts w:ascii="Arial" w:cs="Arial" w:eastAsia="Arial" w:hAnsi="Arial"/>
                <w:sz w:val="17"/>
                <w:szCs w:val="17"/>
                <w:color w:val="auto"/>
              </w:rPr>
              <w:t>2023</w:t>
            </w:r>
          </w:p>
        </w:tc>
        <w:tc>
          <w:tcPr>
            <w:tcW w:w="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2,222</w:t>
            </w:r>
          </w:p>
        </w:tc>
      </w:tr>
      <w:tr>
        <w:trPr>
          <w:trHeight w:val="22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w:t>
            </w:r>
          </w:p>
        </w:tc>
      </w:tr>
      <w:tr>
        <w:trPr>
          <w:trHeight w:val="220"/>
        </w:trPr>
        <w:tc>
          <w:tcPr>
            <w:tcW w:w="4080" w:type="dxa"/>
            <w:vAlign w:val="bottom"/>
          </w:tcPr>
          <w:p>
            <w:pPr>
              <w:spacing w:after="0"/>
              <w:rPr>
                <w:sz w:val="20"/>
                <w:szCs w:val="20"/>
                <w:color w:val="auto"/>
              </w:rPr>
            </w:pPr>
            <w:r>
              <w:rPr>
                <w:rFonts w:ascii="Arial" w:cs="Arial" w:eastAsia="Arial" w:hAnsi="Arial"/>
                <w:sz w:val="17"/>
                <w:szCs w:val="17"/>
                <w:color w:val="auto"/>
              </w:rPr>
              <w:t>2025</w:t>
            </w:r>
          </w:p>
        </w:tc>
        <w:tc>
          <w:tcPr>
            <w:tcW w:w="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2,267</w:t>
            </w:r>
          </w:p>
        </w:tc>
      </w:tr>
      <w:tr>
        <w:trPr>
          <w:trHeight w:val="22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r>
      <w:tr>
        <w:trPr>
          <w:trHeight w:val="220"/>
        </w:trPr>
        <w:tc>
          <w:tcPr>
            <w:tcW w:w="4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304,371</w:t>
            </w:r>
          </w:p>
        </w:tc>
      </w:tr>
      <w:tr>
        <w:trPr>
          <w:trHeight w:val="213"/>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313,945</w:t>
            </w:r>
          </w:p>
        </w:tc>
      </w:tr>
      <w:tr>
        <w:trPr>
          <w:trHeight w:val="220"/>
        </w:trPr>
        <w:tc>
          <w:tcPr>
            <w:tcW w:w="4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Interest</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(260,276)</w:t>
            </w:r>
          </w:p>
        </w:tc>
      </w:tr>
      <w:tr>
        <w:trPr>
          <w:trHeight w:val="23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Present value of finance lease liability</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53,669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6"/>
          <w:szCs w:val="16"/>
          <w:b w:val="1"/>
          <w:bCs w:val="1"/>
          <w:color w:val="auto"/>
        </w:rPr>
        <w:t>Long-term Debt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Long-term debt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976"/>
              <w:spacing w:after="0"/>
              <w:rPr>
                <w:sz w:val="20"/>
                <w:szCs w:val="20"/>
                <w:color w:val="auto"/>
              </w:rPr>
            </w:pPr>
            <w:r>
              <w:rPr>
                <w:rFonts w:ascii="Arial" w:cs="Arial" w:eastAsia="Arial" w:hAnsi="Arial"/>
                <w:sz w:val="14"/>
                <w:szCs w:val="14"/>
                <w:b w:val="1"/>
                <w:bCs w:val="1"/>
                <w:color w:val="auto"/>
              </w:rPr>
              <w:t>(in thousands)</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$1,750 million revolver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Unsecured term loan A-2</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424,019</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$500 million 5.375% senior unsecured notes due November 2023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$400 million 3.35% senior unsecured notes due September 2024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400,000</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$850 million 5.25% senior unsecured notes due June 2025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$975 million 5.375% senior unsecured notes due April 2026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975,000</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$500 million 5.75% senior unsecured notes due June 2028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$750 million 5.30% senior unsecured notes due January 2029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750,000</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$700 million 4.00% senior unsecured notes due January 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$700 million 4.00% senior unsecured notes due January 2031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700,000</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million 3.25% senior unsecured notes due January 2032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6,175,619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6,599,744</w:t>
            </w: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unamortized debt issuance costs, bond premiums and original issuance discounts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(47,372)</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Total long-term debt, net of unamortized debt issuance costs, bond premiums and original issuance discounts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6,126,143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6,552,372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schedule of future minimum repayments of long-term debt as of September 30, 2022 (in thousands):</w:t>
      </w:r>
    </w:p>
    <w:p>
      <w:pPr>
        <w:spacing w:after="0" w:line="284" w:lineRule="exact"/>
        <w:rPr>
          <w:sz w:val="20"/>
          <w:szCs w:val="20"/>
          <w:color w:val="auto"/>
        </w:rPr>
      </w:pPr>
    </w:p>
    <w:tbl>
      <w:tblPr>
        <w:tblLayout w:type="fixed"/>
        <w:tblInd w:w="2140" w:type="dxa"/>
        <w:tblCellMar>
          <w:top w:w="0" w:type="dxa"/>
          <w:left w:w="0" w:type="dxa"/>
          <w:bottom w:w="0" w:type="dxa"/>
          <w:right w:w="0" w:type="dxa"/>
        </w:tblCellMar>
      </w:tblP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2022</w:t>
            </w: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year)</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0"/>
        </w:trPr>
        <w:tc>
          <w:tcPr>
            <w:tcW w:w="380" w:type="dxa"/>
            <w:vAlign w:val="bottom"/>
          </w:tcPr>
          <w:p>
            <w:pPr>
              <w:ind w:left="20"/>
              <w:spacing w:after="0"/>
              <w:rPr>
                <w:sz w:val="20"/>
                <w:szCs w:val="20"/>
                <w:color w:val="auto"/>
              </w:rPr>
            </w:pPr>
            <w:r>
              <w:rPr>
                <w:rFonts w:ascii="Arial" w:cs="Arial" w:eastAsia="Arial" w:hAnsi="Arial"/>
                <w:sz w:val="17"/>
                <w:szCs w:val="17"/>
                <w:color w:val="auto"/>
                <w:w w:val="89"/>
              </w:rPr>
              <w:t>2023</w:t>
            </w:r>
          </w:p>
        </w:tc>
        <w:tc>
          <w:tcPr>
            <w:tcW w:w="5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500,149</w:t>
            </w: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2024</w:t>
            </w:r>
          </w:p>
        </w:tc>
        <w:tc>
          <w:tcPr>
            <w:tcW w:w="5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400,156</w:t>
            </w:r>
          </w:p>
        </w:tc>
      </w:tr>
      <w:tr>
        <w:trPr>
          <w:trHeight w:val="220"/>
        </w:trPr>
        <w:tc>
          <w:tcPr>
            <w:tcW w:w="380" w:type="dxa"/>
            <w:vAlign w:val="bottom"/>
          </w:tcPr>
          <w:p>
            <w:pPr>
              <w:ind w:left="20"/>
              <w:spacing w:after="0"/>
              <w:rPr>
                <w:sz w:val="20"/>
                <w:szCs w:val="20"/>
                <w:color w:val="auto"/>
              </w:rPr>
            </w:pPr>
            <w:r>
              <w:rPr>
                <w:rFonts w:ascii="Arial" w:cs="Arial" w:eastAsia="Arial" w:hAnsi="Arial"/>
                <w:sz w:val="17"/>
                <w:szCs w:val="17"/>
                <w:color w:val="auto"/>
                <w:w w:val="89"/>
              </w:rPr>
              <w:t>2025</w:t>
            </w:r>
          </w:p>
        </w:tc>
        <w:tc>
          <w:tcPr>
            <w:tcW w:w="5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850,164</w:t>
            </w: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2026</w:t>
            </w:r>
          </w:p>
        </w:tc>
        <w:tc>
          <w:tcPr>
            <w:tcW w:w="5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975,114</w:t>
            </w:r>
          </w:p>
        </w:tc>
      </w:tr>
      <w:tr>
        <w:trPr>
          <w:trHeight w:val="220"/>
        </w:trPr>
        <w:tc>
          <w:tcPr>
            <w:tcW w:w="6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Over 5 years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3,450,000</w:t>
            </w:r>
          </w:p>
        </w:tc>
      </w:tr>
      <w:tr>
        <w:trPr>
          <w:trHeight w:val="238"/>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minimum payments</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6,175,619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51"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80"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w:t>
      </w:r>
    </w:p>
    <w:p>
      <w:pPr>
        <w:spacing w:after="0" w:line="204"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5"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16"/>
          <w:szCs w:val="16"/>
          <w:color w:val="auto"/>
        </w:rPr>
        <w:t>The interest rates per annum applicable to loans under the Term Loan Credit Facility are, at GLP Capital's option, equal to either a SOFR-based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5"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 on August 31,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5" w:lineRule="exact"/>
        <w:rPr>
          <w:sz w:val="20"/>
          <w:szCs w:val="20"/>
          <w:color w:val="auto"/>
        </w:rPr>
      </w:pPr>
    </w:p>
    <w:p>
      <w:pPr>
        <w:jc w:val="both"/>
        <w:ind w:firstLine="622"/>
        <w:spacing w:after="0" w:line="296"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w:t>
      </w:r>
    </w:p>
    <w:p>
      <w:pPr>
        <w:spacing w:after="0" w:line="251" w:lineRule="exact"/>
        <w:rPr>
          <w:sz w:val="20"/>
          <w:szCs w:val="20"/>
          <w:color w:val="auto"/>
        </w:rPr>
      </w:pPr>
    </w:p>
    <w:p>
      <w:pPr>
        <w:jc w:val="both"/>
        <w:ind w:firstLine="622"/>
        <w:spacing w:after="0" w:line="279" w:lineRule="auto"/>
        <w:rPr>
          <w:sz w:val="20"/>
          <w:szCs w:val="20"/>
          <w:color w:val="auto"/>
        </w:rPr>
      </w:pPr>
      <w:r>
        <w:rPr>
          <w:rFonts w:ascii="Arial" w:cs="Arial" w:eastAsia="Arial" w:hAnsi="Arial"/>
          <w:sz w:val="16"/>
          <w:szCs w:val="16"/>
          <w:color w:val="auto"/>
        </w:rPr>
        <w:t>The Company, through GLP Capital, historically had access to a senior unsecured credit facility (the "Amended Credit Facility") consisting of a $1,175 million revolving credit facility and a $424 million Term Loan A-2 facility. The Amended Credit Facility was scheduled to mature on May 21, 2023. On May 13, 2022, GLP Capital terminated its Amended Credit Facility and entered into a credit agreement (the "Credit Agreement") providing for a $1.75 billion revolving credit facility (the "Initial Revolving Credit Facility") maturing in May 2026, plus two six-month extensions at GLP Capital's option. GLP Capital was the primary obligor under the Amended Credit Facility, which was guaranteed by GLPI and GLP Capital is the primary obligor under the Credit Agreement, which is guaranteed by GLPI. The Company recorded a debt extinguishment loss of $2.2 million in connection with this transaction.</w:t>
      </w:r>
    </w:p>
    <w:p>
      <w:pPr>
        <w:spacing w:after="0" w:line="182" w:lineRule="exact"/>
        <w:rPr>
          <w:sz w:val="20"/>
          <w:szCs w:val="20"/>
          <w:color w:val="auto"/>
        </w:rPr>
      </w:pPr>
    </w:p>
    <w:p>
      <w:pPr>
        <w:jc w:val="both"/>
        <w:ind w:firstLine="622"/>
        <w:spacing w:after="0" w:line="246" w:lineRule="auto"/>
        <w:rPr>
          <w:sz w:val="20"/>
          <w:szCs w:val="20"/>
          <w:color w:val="auto"/>
        </w:rPr>
      </w:pPr>
      <w:r>
        <w:rPr>
          <w:rFonts w:ascii="Arial" w:cs="Arial" w:eastAsia="Arial" w:hAnsi="Arial"/>
          <w:sz w:val="17"/>
          <w:szCs w:val="17"/>
          <w:color w:val="auto"/>
        </w:rPr>
        <w:t>On September 2, 2022, GLP Capital entered into Amendment No. 1 (the “Amendment”) to the Credit Agreement among GLP Capital, Wells Fargo Bank, National Association, as administrative agent (“Agent”), and the several banks and other financial institutions or entities party thereto. Pursuant to the Credit Agreement, as amended by the Amendment, GLP Capital has the right, at any time until December 31, 2024, to elect to re-allocate up to $700 million in existing revolving commitments under the Credit Agreement to a new revolving credit facility (the “Bridge Revolving Facility” and, collectively with the Initial Revolving Facility, the "Revolver").</w:t>
      </w:r>
    </w:p>
    <w:p>
      <w:pPr>
        <w:spacing w:after="0" w:line="204" w:lineRule="exact"/>
        <w:rPr>
          <w:sz w:val="20"/>
          <w:szCs w:val="20"/>
          <w:color w:val="auto"/>
        </w:rPr>
      </w:pPr>
    </w:p>
    <w:p>
      <w:pPr>
        <w:jc w:val="both"/>
        <w:ind w:firstLine="622"/>
        <w:spacing w:after="0" w:line="245"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Credit Agreement. GLP Capital is required to prepay the loans under the Bridge Revolving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Credit Agreement.</w:t>
      </w:r>
    </w:p>
    <w:p>
      <w:pPr>
        <w:spacing w:after="0" w:line="203" w:lineRule="exact"/>
        <w:rPr>
          <w:sz w:val="20"/>
          <w:szCs w:val="20"/>
          <w:color w:val="auto"/>
        </w:rPr>
      </w:pPr>
    </w:p>
    <w:p>
      <w:pPr>
        <w:jc w:val="both"/>
        <w:ind w:firstLine="622"/>
        <w:spacing w:after="0" w:line="243"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20"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At September 30, 2022, no amounts were outstanding under the Credit Agreement. Additionally, at September 30, 2022, the Company was contingently obligated under letters of credit issued pursuant to the Credit Agreement with face amounts aggregating approximately $0.4 million, resulting in $1,749.6 million of available borrowing capacity under the Credit Agreement as of September 30, 2022.</w:t>
      </w:r>
    </w:p>
    <w:p>
      <w:pPr>
        <w:spacing w:after="0" w:line="198" w:lineRule="exact"/>
        <w:rPr>
          <w:sz w:val="20"/>
          <w:szCs w:val="20"/>
          <w:color w:val="auto"/>
        </w:rPr>
      </w:pPr>
    </w:p>
    <w:p>
      <w:pPr>
        <w:jc w:val="both"/>
        <w:ind w:firstLine="622"/>
        <w:spacing w:after="0" w:line="276" w:lineRule="auto"/>
        <w:rPr>
          <w:sz w:val="20"/>
          <w:szCs w:val="20"/>
          <w:color w:val="auto"/>
        </w:rPr>
      </w:pPr>
      <w:r>
        <w:rPr>
          <w:rFonts w:ascii="Arial" w:cs="Arial" w:eastAsia="Arial" w:hAnsi="Arial"/>
          <w:sz w:val="16"/>
          <w:szCs w:val="16"/>
          <w:color w:val="auto"/>
        </w:rPr>
        <w:t>The interest rates payable on the loans borrowed under the Revolver are, at GLP Capital's option, equal to either a Secured Overnight Financing Rate ("SOFR") based rate or a base rate plus an applicable margin, which ranges from 0.725% to 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Credit Agreement from time to time. The current facility fee rate is 0.25%. The Credit Agreement is not subject to interim amortization except with respect to the Bridge Revolving Facility. GLP Capital is not required to repay any loans under the Credit Agreement prior to maturity except as set forth above with respect to the Bridge Revolving Facility. GLP Capital may prepay all or any portion of the loans under the Credit Agreement prior to maturity without premium or penalty, subject to reimbursement of any SOFR breakage costs of the lenders and may reborrow loans that it has repaid.</w:t>
      </w:r>
    </w:p>
    <w:p>
      <w:pPr>
        <w:spacing w:after="0" w:line="196" w:lineRule="exact"/>
        <w:rPr>
          <w:sz w:val="20"/>
          <w:szCs w:val="20"/>
          <w:color w:val="auto"/>
        </w:rPr>
      </w:pPr>
    </w:p>
    <w:p>
      <w:pPr>
        <w:jc w:val="both"/>
        <w:ind w:firstLine="622"/>
        <w:spacing w:after="0" w:line="293" w:lineRule="auto"/>
        <w:rPr>
          <w:sz w:val="20"/>
          <w:szCs w:val="20"/>
          <w:color w:val="auto"/>
        </w:rPr>
      </w:pPr>
      <w:r>
        <w:rPr>
          <w:rFonts w:ascii="Arial" w:cs="Arial" w:eastAsia="Arial" w:hAnsi="Arial"/>
          <w:sz w:val="15"/>
          <w:szCs w:val="15"/>
          <w:color w:val="auto"/>
        </w:rPr>
        <w:t>The Credit Agreement contains customary covenants that, among other things, restrict, subject to certain exceptions, the ability of GLPI and its subsidiaries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w:t>
      </w:r>
    </w:p>
    <w:p>
      <w:pPr>
        <w:jc w:val="both"/>
        <w:ind w:firstLine="4"/>
        <w:spacing w:after="0" w:line="278" w:lineRule="auto"/>
        <w:tabs>
          <w:tab w:leader="none" w:pos="307"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Credit Agreement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2022, the Company was in compliance with all required financial covenants under the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251" w:lineRule="exact"/>
        <w:rPr>
          <w:sz w:val="20"/>
          <w:szCs w:val="20"/>
          <w:color w:val="auto"/>
        </w:rPr>
      </w:pPr>
    </w:p>
    <w:p>
      <w:pPr>
        <w:jc w:val="both"/>
        <w:ind w:firstLine="622"/>
        <w:spacing w:after="0" w:line="274" w:lineRule="auto"/>
        <w:rPr>
          <w:sz w:val="20"/>
          <w:szCs w:val="20"/>
          <w:color w:val="auto"/>
        </w:rPr>
      </w:pPr>
      <w:r>
        <w:rPr>
          <w:rFonts w:ascii="Arial" w:cs="Arial" w:eastAsia="Arial" w:hAnsi="Arial"/>
          <w:sz w:val="16"/>
          <w:szCs w:val="16"/>
          <w:color w:val="auto"/>
        </w:rPr>
        <w:t>At September 30, 2022, the Company had $6,175.0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2022, the Company was in compliance with all required financial covenants under its Senior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Fair Value of Financial Assets and Liabilities</w:t>
      </w:r>
    </w:p>
    <w:p>
      <w:pPr>
        <w:spacing w:after="0" w:line="251"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4" w:lineRule="exact"/>
        <w:rPr>
          <w:sz w:val="20"/>
          <w:szCs w:val="20"/>
          <w:color w:val="auto"/>
        </w:rPr>
      </w:pPr>
    </w:p>
    <w:p>
      <w:pPr>
        <w:ind w:left="620" w:hanging="30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 for identical assets or liabilities.</w:t>
      </w:r>
    </w:p>
    <w:p>
      <w:pPr>
        <w:spacing w:after="0" w:line="24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Unobservable inputs that reflect the reporting entity's own assumptions, as there is little, if any, related market activity.</w:t>
      </w:r>
    </w:p>
    <w:p>
      <w:pPr>
        <w:spacing w:after="0" w:line="245" w:lineRule="exact"/>
        <w:rPr>
          <w:sz w:val="20"/>
          <w:szCs w:val="20"/>
          <w:color w:val="auto"/>
        </w:rPr>
      </w:pPr>
    </w:p>
    <w:p>
      <w:pPr>
        <w:jc w:val="both"/>
        <w:ind w:firstLine="186"/>
        <w:spacing w:after="0" w:line="284" w:lineRule="auto"/>
        <w:rPr>
          <w:sz w:val="20"/>
          <w:szCs w:val="20"/>
          <w:color w:val="auto"/>
        </w:rPr>
      </w:pPr>
      <w:r>
        <w:rPr>
          <w:rFonts w:ascii="Arial" w:cs="Arial" w:eastAsia="Arial" w:hAnsi="Arial"/>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methods and assumptions are used to estimate the fair value of each class of financial instruments for which it is practicable to estimate.</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and Cash Equivalents</w:t>
      </w:r>
    </w:p>
    <w:p>
      <w:pPr>
        <w:spacing w:after="0" w:line="219"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The fair value of the Company’s cash and cash equivalents approximates the carrying value of the Company’s cash and cash equivalents, due to the short maturity of the cash equivalents.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 in leases, financing receivables, net</w:t>
      </w:r>
    </w:p>
    <w:p>
      <w:pPr>
        <w:spacing w:after="0" w:line="245"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The fair value of the Company's net investment in leases, financing receivables,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Deferred Compensation Plan Assets</w:t>
      </w:r>
    </w:p>
    <w:p>
      <w:pPr>
        <w:spacing w:after="0" w:line="24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the Senior Notes are estimated based on quoted prices in active markets and as such is a Level 1 measurement as defined under ASC</w:t>
      </w:r>
    </w:p>
    <w:p>
      <w:pPr>
        <w:spacing w:after="0" w:line="48" w:lineRule="exact"/>
        <w:rPr>
          <w:sz w:val="20"/>
          <w:szCs w:val="20"/>
          <w:color w:val="auto"/>
        </w:rPr>
      </w:pPr>
    </w:p>
    <w:p>
      <w:pPr>
        <w:ind w:left="340" w:hanging="336"/>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fair value of the obligations in our Credit Agreement is based on indicative pricing from market information (Level 2 inputs).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Pr>
          <w:p>
            <w:pPr>
              <w:spacing w:after="0"/>
              <w:rPr>
                <w:sz w:val="15"/>
                <w:szCs w:val="15"/>
                <w:color w:val="auto"/>
              </w:rPr>
            </w:pPr>
          </w:p>
        </w:tc>
      </w:tr>
      <w:tr>
        <w:trPr>
          <w:trHeight w:val="25"/>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6"/>
        </w:trPr>
        <w:tc>
          <w:tcPr>
            <w:tcW w:w="5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459"/>
              <w:spacing w:after="0" w:line="126"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9"/>
              <w:spacing w:after="0" w:line="126" w:lineRule="exact"/>
              <w:rPr>
                <w:sz w:val="20"/>
                <w:szCs w:val="20"/>
                <w:color w:val="auto"/>
              </w:rPr>
            </w:pPr>
            <w:r>
              <w:rPr>
                <w:rFonts w:ascii="Arial" w:cs="Arial" w:eastAsia="Arial" w:hAnsi="Arial"/>
                <w:sz w:val="14"/>
                <w:szCs w:val="14"/>
                <w:b w:val="1"/>
                <w:bCs w:val="1"/>
                <w:color w:val="auto"/>
              </w:rPr>
              <w:t>Fair</w:t>
            </w:r>
          </w:p>
        </w:tc>
      </w:tr>
      <w:tr>
        <w:trPr>
          <w:trHeight w:val="185"/>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0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0"/>
        </w:trPr>
        <w:tc>
          <w:tcPr>
            <w:tcW w:w="514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59,026</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59,026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724,595</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724,595</w:t>
            </w:r>
          </w:p>
        </w:tc>
      </w:tr>
      <w:tr>
        <w:trPr>
          <w:trHeight w:val="220"/>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1,875,895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1,201,670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1,213,896</w:t>
            </w:r>
          </w:p>
        </w:tc>
      </w:tr>
      <w:tr>
        <w:trPr>
          <w:trHeight w:val="220"/>
        </w:trPr>
        <w:tc>
          <w:tcPr>
            <w:tcW w:w="5140" w:type="dxa"/>
            <w:vAlign w:val="bottom"/>
          </w:tcPr>
          <w:p>
            <w:pPr>
              <w:ind w:left="180"/>
              <w:spacing w:after="0"/>
              <w:rPr>
                <w:sz w:val="20"/>
                <w:szCs w:val="20"/>
                <w:color w:val="auto"/>
              </w:rPr>
            </w:pPr>
            <w:r>
              <w:rPr>
                <w:rFonts w:ascii="Arial" w:cs="Arial" w:eastAsia="Arial" w:hAnsi="Arial"/>
                <w:sz w:val="17"/>
                <w:szCs w:val="17"/>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25,473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34,549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34,549</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514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Credit Agreement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424,019</w:t>
            </w:r>
          </w:p>
        </w:tc>
      </w:tr>
      <w:tr>
        <w:trPr>
          <w:trHeight w:val="221"/>
        </w:trPr>
        <w:tc>
          <w:tcPr>
            <w:tcW w:w="5140" w:type="dxa"/>
            <w:vAlign w:val="bottom"/>
          </w:tcPr>
          <w:p>
            <w:pPr>
              <w:ind w:left="340"/>
              <w:spacing w:after="0"/>
              <w:rPr>
                <w:sz w:val="20"/>
                <w:szCs w:val="20"/>
                <w:color w:val="auto"/>
              </w:rPr>
            </w:pPr>
            <w:r>
              <w:rPr>
                <w:rFonts w:ascii="Arial" w:cs="Arial" w:eastAsia="Arial" w:hAnsi="Arial"/>
                <w:sz w:val="17"/>
                <w:szCs w:val="17"/>
                <w:color w:val="auto"/>
              </w:rPr>
              <w:t>Senior Notes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6,175,000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5,508,238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6,175,000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6,645,574</w:t>
            </w:r>
          </w:p>
        </w:tc>
      </w:tr>
    </w:tbl>
    <w:p>
      <w:pPr>
        <w:spacing w:after="0" w:line="3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Nonrecurring Basis</w:t>
      </w:r>
    </w:p>
    <w:p>
      <w:pPr>
        <w:spacing w:after="0" w:line="142" w:lineRule="exact"/>
        <w:rPr>
          <w:sz w:val="20"/>
          <w:szCs w:val="20"/>
          <w:color w:val="auto"/>
        </w:rPr>
      </w:pPr>
    </w:p>
    <w:p>
      <w:pPr>
        <w:ind w:right="40" w:firstLine="622"/>
        <w:spacing w:after="0" w:line="264" w:lineRule="auto"/>
        <w:rPr>
          <w:sz w:val="20"/>
          <w:szCs w:val="20"/>
          <w:color w:val="auto"/>
        </w:rPr>
      </w:pPr>
      <w:r>
        <w:rPr>
          <w:rFonts w:ascii="Arial" w:cs="Arial" w:eastAsia="Arial" w:hAnsi="Arial"/>
          <w:sz w:val="17"/>
          <w:szCs w:val="17"/>
          <w:color w:val="auto"/>
        </w:rPr>
        <w:t>As described in Note 6, the Company entered into an agreement to sell excess land for approximately $3.5 million, (that we have determined is a Level 2 input) which excess land had a carrying amount of $6.8 million and, as such, the Company recorded an impairment charge for the nine months ended September 30, 2022. There were no other assets or liabilities measured at fair value on a nonrecurring basis during the nine months ended September 30, 2022 and 2021.</w:t>
      </w:r>
    </w:p>
    <w:p>
      <w:pPr>
        <w:spacing w:after="0" w:line="200" w:lineRule="exact"/>
        <w:rPr>
          <w:sz w:val="20"/>
          <w:szCs w:val="20"/>
          <w:color w:val="auto"/>
        </w:rPr>
      </w:pPr>
    </w:p>
    <w:p>
      <w:pPr>
        <w:spacing w:after="0" w:line="282" w:lineRule="exact"/>
        <w:rPr>
          <w:sz w:val="20"/>
          <w:szCs w:val="20"/>
          <w:color w:val="auto"/>
        </w:rPr>
      </w:pPr>
    </w:p>
    <w:p>
      <w:pPr>
        <w:ind w:right="8400" w:firstLine="4"/>
        <w:spacing w:after="0" w:line="528" w:lineRule="auto"/>
        <w:tabs>
          <w:tab w:leader="none" w:pos="389"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Litigation</w:t>
      </w:r>
    </w:p>
    <w:p>
      <w:pPr>
        <w:spacing w:after="0" w:line="2"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commitments</w:t>
      </w:r>
    </w:p>
    <w:p>
      <w:pPr>
        <w:spacing w:after="0" w:line="251" w:lineRule="exact"/>
        <w:rPr>
          <w:sz w:val="20"/>
          <w:szCs w:val="20"/>
          <w:color w:val="auto"/>
        </w:rPr>
      </w:pPr>
    </w:p>
    <w:p>
      <w:pPr>
        <w:jc w:val="both"/>
        <w:ind w:firstLine="622"/>
        <w:spacing w:after="0" w:line="254" w:lineRule="auto"/>
        <w:rPr>
          <w:sz w:val="20"/>
          <w:szCs w:val="20"/>
          <w:color w:val="auto"/>
        </w:rPr>
      </w:pPr>
      <w:r>
        <w:rPr>
          <w:rFonts w:ascii="Arial" w:cs="Arial" w:eastAsia="Arial" w:hAnsi="Arial"/>
          <w:sz w:val="17"/>
          <w:szCs w:val="17"/>
          <w:color w:val="auto"/>
        </w:rPr>
        <w:t>On October 10, 2022, the Company announced that it agreed to create a new master lease with PENN for seven of PENN's current properties. The companies have also agreed to a funding mechanism to support PENN's pursuit of relocation and development opportunities at several of the properties included in the new master lease. The transaction, including the creation of the new master lease, is subject to customary regulatory approvals and is expected to be effective January 1, 2023. See Note 17 for further details.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9240" w:firstLine="4"/>
        <w:spacing w:after="0" w:line="617" w:lineRule="auto"/>
        <w:tabs>
          <w:tab w:leader="none" w:pos="37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Revenues from Real Estate</w:t>
      </w:r>
    </w:p>
    <w:p>
      <w:pPr>
        <w:spacing w:after="0" w:line="1"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As of September 30, 2022,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6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Meadows real estate assets are leased to PENN pursuant to the Meadows Lease, the Hollywood Casino Perryville real estate assets are leased to PENN pursuant to the Perryville Lease and the land under PENN's Hollywood Casino Morgantown is subject to the Morgantown Lease. Finally, the Company has single property triple net leases with Caesars under the Lumière Place Lease, Boyd under the Belterra Park Lease, Cordish under the Maryland Live! Lease, and Bally's under the Tropicana Las Vegas Lease.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245" w:lineRule="exact"/>
        <w:rPr>
          <w:sz w:val="20"/>
          <w:szCs w:val="20"/>
          <w:color w:val="auto"/>
        </w:rPr>
      </w:pPr>
    </w:p>
    <w:p>
      <w:pPr>
        <w:jc w:val="both"/>
        <w:ind w:firstLine="622"/>
        <w:spacing w:after="0" w:line="279" w:lineRule="auto"/>
        <w:rPr>
          <w:sz w:val="20"/>
          <w:szCs w:val="20"/>
          <w:color w:val="auto"/>
        </w:rPr>
      </w:pPr>
      <w:r>
        <w:rPr>
          <w:rFonts w:ascii="Arial" w:cs="Arial" w:eastAsia="Arial" w:hAnsi="Arial"/>
          <w:sz w:val="16"/>
          <w:szCs w:val="16"/>
          <w:color w:val="auto"/>
        </w:rPr>
        <w:t>The obligations under the PENN Master Lease and Amended Pinnacle Master Lease, as well as the Meadows Lease, Morgantown Lease and Perryville Lease, are guaranteed by PENN and, with respect to each lease, jointly and severally by PENN's subsidiaries that occupy and operate the facilities covered by such lease. Similarly, the obligations under the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w:t>
      </w:r>
    </w:p>
    <w:p>
      <w:pPr>
        <w:spacing w:after="0" w:line="142"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336"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4" w:lineRule="exact"/>
        <w:rPr>
          <w:sz w:val="20"/>
          <w:szCs w:val="20"/>
          <w:color w:val="auto"/>
        </w:rPr>
      </w:pPr>
    </w:p>
    <w:p>
      <w:pPr>
        <w:jc w:val="both"/>
        <w:ind w:firstLine="622"/>
        <w:spacing w:after="0" w:line="267" w:lineRule="auto"/>
        <w:rPr>
          <w:sz w:val="20"/>
          <w:szCs w:val="20"/>
          <w:color w:val="auto"/>
        </w:rPr>
      </w:pPr>
      <w:r>
        <w:rPr>
          <w:rFonts w:ascii="Arial" w:cs="Arial" w:eastAsia="Arial" w:hAnsi="Arial"/>
          <w:sz w:val="16"/>
          <w:szCs w:val="16"/>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On December 18, 2020, the Company and Caesars completed a property exchange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resulted in a reconsideration of the Amended and Restated Caesars Master Lease which resulted in the continuation of operating lease treatment for accounting classification purposes.</w:t>
      </w:r>
    </w:p>
    <w:p>
      <w:pPr>
        <w:spacing w:after="0" w:line="204"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98"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4"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86" w:lineRule="exact"/>
        <w:rPr>
          <w:sz w:val="20"/>
          <w:szCs w:val="20"/>
          <w:color w:val="auto"/>
        </w:rPr>
      </w:pPr>
    </w:p>
    <w:p>
      <w:pPr>
        <w:jc w:val="both"/>
        <w:ind w:firstLine="622"/>
        <w:spacing w:after="0" w:line="310" w:lineRule="auto"/>
        <w:rPr>
          <w:sz w:val="20"/>
          <w:szCs w:val="20"/>
          <w:color w:val="auto"/>
        </w:rPr>
      </w:pPr>
      <w:r>
        <w:rPr>
          <w:rFonts w:ascii="Arial" w:cs="Arial" w:eastAsia="Arial" w:hAnsi="Arial"/>
          <w:sz w:val="15"/>
          <w:szCs w:val="15"/>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a maximum of 2% annually thereafter.</w:t>
      </w:r>
    </w:p>
    <w:p>
      <w:pPr>
        <w:spacing w:after="0" w:line="172"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207"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The initial rent under the Casino Queen Master Lease, which became effective on December 17, 2021, is $21.4 million and such amount increases annually by 0.5% for the first six years. Beginning with the seventh lease year through the remainder of the lease term, if the CPI increases by at least 0.25% for any lease year, annual rent shall be increased by 1.25%, and if the CPI increase is less than 0.25%, rent will remain unchanged for such lease year. The Company will also complete the current landside development project that is in process and rent under the Casino Queen Master Lease will be adjusted to reflect a yield of 8.25% on GLPI's project costs.</w:t>
      </w:r>
    </w:p>
    <w:p>
      <w:pPr>
        <w:spacing w:after="0" w:line="204" w:lineRule="exact"/>
        <w:rPr>
          <w:sz w:val="20"/>
          <w:szCs w:val="20"/>
          <w:color w:val="auto"/>
        </w:rPr>
      </w:pPr>
    </w:p>
    <w:p>
      <w:pPr>
        <w:jc w:val="both"/>
        <w:ind w:firstLine="622"/>
        <w:spacing w:after="0" w:line="321" w:lineRule="auto"/>
        <w:rPr>
          <w:sz w:val="20"/>
          <w:szCs w:val="20"/>
          <w:color w:val="auto"/>
        </w:rPr>
      </w:pPr>
      <w:r>
        <w:rPr>
          <w:rFonts w:ascii="Arial" w:cs="Arial" w:eastAsia="Arial" w:hAnsi="Arial"/>
          <w:sz w:val="15"/>
          <w:szCs w:val="15"/>
          <w:color w:val="auto"/>
        </w:rPr>
        <w:t>The Perryville Lease with PENN that became effective July 1, 2021 has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164"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The Bally's Master Lease became effective on June 3, 2021 in connection with the Company's acquisition of the real estate assets of Tropicana Evansville and Dover Downs Casino &amp; Hotel. The initial rent under the Bally's Master Lease is $40 million annually and is subject to contractual escalations determined in relation to the annual increase in CPI, with a 1% floor and a 2% ceiling, subject to CPI meeting a 0.5% threshold.</w:t>
      </w:r>
    </w:p>
    <w:p>
      <w:pPr>
        <w:spacing w:after="0" w:line="180"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On April 1, 2022, the Company completed the previously announced acquisition from Bally's of the land and real estate assets of Bally's three casinos in Black Hawk, Colorado and Bally's Quad Cities Casino &amp; Hotel in Rock Island, Illinois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$150 million in total consideration. These properties were added to the existing Bally's Master Lease and the initial rent for the Bally's Master Lease was increased by $12 million on an annual basis, subject to the escalation clauses described above.</w:t>
      </w:r>
    </w:p>
    <w:p>
      <w:pPr>
        <w:spacing w:after="0" w:line="186"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On December 29, 2021, the Maryland Live! Lease with Cordish became effective. Annual rent is $75.0 million and increases by 1.75% upon the second anniversary of the lease commencement. The Pennsylvania Live! Master Lease with Cordish became effective March 1, 2022 and has annual rent of $50 million initially, increasing by 1.75% upon the second anniversary of the lease commencement. These leases were accounted for as an Investment in leases, financing receivables. See Note 4 for the further information including the future annual cash payments to be received under these leases.</w:t>
      </w:r>
    </w:p>
    <w:p>
      <w:pPr>
        <w:spacing w:after="0" w:line="186"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On September 26, 2022, the Tropicana Las Vegas Lease, which has initial annual rent of $10.5 million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spacing w:after="0" w:line="203"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w:t>
      </w:r>
    </w:p>
    <w:p>
      <w:pPr>
        <w:spacing w:after="0" w:line="245"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terms</w:t>
      </w:r>
    </w:p>
    <w:p>
      <w:pPr>
        <w:spacing w:after="0" w:line="245"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Lease. At lease inception, all of Casino Queen's revenues and substantially all of PENN's revenues were generated from operations in connection with the leased properties. There were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at lease inception, the Company concluded that the term of the PENN Master Lease and the Casino Queen Lease was 35 years, equal to the initial 15-year term plus all four of the 5-year renewal options.</w:t>
      </w:r>
    </w:p>
    <w:p>
      <w:pPr>
        <w:spacing w:after="0" w:line="200"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During 2022, the PENN Master Lease required an accounting reassessment due to a lease amendment resulting in a lease modification for accounting purposes. The Company concluded the lease term should end at the current lease expiration date of October 31, 2033 and not include any of the three remaining renewal terms of 5 years each. This was due to several factors that were not present at the inception of the original PENN Master Lease. Since the formation of the Company on November 1, 2013, the Company has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PENN Master Lease such that the leased operations in the PENN Master Lease no longer represent substantially all of PENN's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revenues and earnings. We believe all these factors preclude the Company from concluding all renewal periods are reasonably assured to be exercised in the PENN Master Lease.</w:t>
      </w:r>
    </w:p>
    <w:p>
      <w:pPr>
        <w:spacing w:after="0" w:line="186"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In addition to the historical reassessments and the fact that Pinnacle sold its operations to PENN for fair value as described above, additional competitive threats have emerged in the regional markets for the properties in the Casino Queen Master Lease that were not present previously. In particular, land based gaming operations including Casino Queen's leased operation in the state of Illinois have experienced significant additional competitive pressures from video gaming terminals that have rapidly expanded in the state. We believe all these factors preclude the Company from concluding all renewal periods are reasonably assured to be exercised in the Casino Queen Master Lease.</w:t>
      </w:r>
    </w:p>
    <w:p>
      <w:pPr>
        <w:spacing w:after="0" w:line="209"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209"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3" w:lineRule="exact"/>
        <w:rPr>
          <w:sz w:val="20"/>
          <w:szCs w:val="20"/>
          <w:color w:val="auto"/>
        </w:rPr>
      </w:pPr>
    </w:p>
    <w:p>
      <w:pPr>
        <w:jc w:val="both"/>
        <w:ind w:firstLine="622"/>
        <w:spacing w:after="0" w:line="295" w:lineRule="auto"/>
        <w:rPr>
          <w:sz w:val="20"/>
          <w:szCs w:val="20"/>
          <w:color w:val="auto"/>
        </w:rPr>
      </w:pPr>
      <w:r>
        <w:rPr>
          <w:rFonts w:ascii="Arial" w:cs="Arial" w:eastAsia="Arial" w:hAnsi="Arial"/>
          <w:sz w:val="15"/>
          <w:szCs w:val="15"/>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a meaningful portion of any tenant's business at lease inception.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 As previously discussed, on April 1, 2022, the Company amended the Bally's Master Lease to add the real estate assets of certain casinos in Black Hawk, Colorado and Rock Island, Illinois and reconsidered the lease accounting and concluded no change was required to the previous conclusion of the Bally's Master Lease initial lease term.</w:t>
      </w:r>
    </w:p>
    <w:p>
      <w:pPr>
        <w:spacing w:after="0" w:line="183" w:lineRule="exact"/>
        <w:rPr>
          <w:sz w:val="20"/>
          <w:szCs w:val="20"/>
          <w:color w:val="auto"/>
        </w:rPr>
      </w:pPr>
    </w:p>
    <w:p>
      <w:pPr>
        <w:jc w:val="both"/>
        <w:ind w:firstLine="622"/>
        <w:spacing w:after="0" w:line="310" w:lineRule="auto"/>
        <w:rPr>
          <w:sz w:val="20"/>
          <w:szCs w:val="20"/>
          <w:color w:val="auto"/>
        </w:rPr>
      </w:pPr>
      <w:r>
        <w:rPr>
          <w:rFonts w:ascii="Arial" w:cs="Arial" w:eastAsia="Arial" w:hAnsi="Arial"/>
          <w:sz w:val="15"/>
          <w:szCs w:val="15"/>
          <w:color w:val="auto"/>
        </w:rPr>
        <w:t>The Belterra Park Lease, Morgantown Lease, Perryville Lease, Maryland Live! Lease, Lumière Park Lease and Tropicana Las Vegas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Details of the Company's income from real estate for the three and nine months ended September 30, 2022 was as follows (in thousands):</w:t>
      </w:r>
    </w:p>
    <w:p>
      <w:pPr>
        <w:spacing w:after="0" w:line="22"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600" w:type="dxa"/>
            <w:vAlign w:val="bottom"/>
          </w:tcPr>
          <w:p>
            <w:pPr>
              <w:jc w:val="right"/>
              <w:ind w:right="237"/>
              <w:spacing w:after="0"/>
              <w:rPr>
                <w:sz w:val="20"/>
                <w:szCs w:val="20"/>
                <w:color w:val="auto"/>
              </w:rPr>
            </w:pPr>
            <w:r>
              <w:rPr>
                <w:rFonts w:ascii="Arial" w:cs="Arial" w:eastAsia="Arial" w:hAnsi="Arial"/>
                <w:sz w:val="14"/>
                <w:szCs w:val="14"/>
                <w:b w:val="1"/>
                <w:bCs w:val="1"/>
                <w:color w:val="auto"/>
                <w:w w:val="96"/>
              </w:rPr>
              <w:t>Nine Months Ended</w:t>
            </w:r>
          </w:p>
        </w:tc>
      </w:tr>
      <w:tr>
        <w:trPr>
          <w:trHeight w:val="185"/>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September 30, 2022</w:t>
            </w:r>
          </w:p>
        </w:tc>
        <w:tc>
          <w:tcPr>
            <w:tcW w:w="200" w:type="dxa"/>
            <w:vAlign w:val="bottom"/>
          </w:tcPr>
          <w:p>
            <w:pPr>
              <w:spacing w:after="0"/>
              <w:rPr>
                <w:sz w:val="16"/>
                <w:szCs w:val="16"/>
                <w:color w:val="auto"/>
              </w:rPr>
            </w:pPr>
          </w:p>
        </w:tc>
        <w:tc>
          <w:tcPr>
            <w:tcW w:w="1600" w:type="dxa"/>
            <w:vAlign w:val="bottom"/>
          </w:tcPr>
          <w:p>
            <w:pPr>
              <w:jc w:val="right"/>
              <w:ind w:right="257"/>
              <w:spacing w:after="0"/>
              <w:rPr>
                <w:sz w:val="20"/>
                <w:szCs w:val="20"/>
                <w:color w:val="auto"/>
              </w:rPr>
            </w:pPr>
            <w:r>
              <w:rPr>
                <w:rFonts w:ascii="Arial" w:cs="Arial" w:eastAsia="Arial" w:hAnsi="Arial"/>
                <w:sz w:val="14"/>
                <w:szCs w:val="14"/>
                <w:b w:val="1"/>
                <w:bCs w:val="1"/>
                <w:color w:val="auto"/>
                <w:w w:val="94"/>
              </w:rPr>
              <w:t>September 30, 2022</w:t>
            </w:r>
          </w:p>
        </w:tc>
      </w:tr>
      <w:tr>
        <w:trPr>
          <w:trHeight w:val="21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 base rent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668,860</w:t>
            </w: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color w:val="auto"/>
              </w:rPr>
              <w:t>Land base rent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52,051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155,862</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110,090</w:t>
            </w:r>
          </w:p>
        </w:tc>
      </w:tr>
      <w:tr>
        <w:trPr>
          <w:trHeight w:val="213"/>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Total cash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316,927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934,812</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Straight-line rent adjustments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color w:val="auto"/>
              </w:rPr>
              <w:t>Ground rent in revenue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8,446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24,454</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on financing receivables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14,103</w:t>
            </w:r>
          </w:p>
        </w:tc>
      </w:tr>
      <w:tr>
        <w:trPr>
          <w:trHeight w:val="22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rental revenue</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income from real estate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975,297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As of September 30, 2022, the future minimum rental income from the Company's rental properties under non-cancelable operating leases, including any reasonably assured renewal periods, was as follows (in thousands):</w:t>
      </w:r>
    </w:p>
    <w:p>
      <w:pPr>
        <w:spacing w:after="0" w:line="10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Future Rental</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Straight-Line Rent</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Future Base Ground</w:t>
            </w:r>
          </w:p>
        </w:tc>
        <w:tc>
          <w:tcPr>
            <w:tcW w:w="120" w:type="dxa"/>
            <w:vAlign w:val="bottom"/>
          </w:tcPr>
          <w:p>
            <w:pPr>
              <w:spacing w:after="0"/>
              <w:rPr>
                <w:sz w:val="14"/>
                <w:szCs w:val="14"/>
                <w:color w:val="auto"/>
              </w:rPr>
            </w:pPr>
          </w:p>
        </w:tc>
        <w:tc>
          <w:tcPr>
            <w:tcW w:w="13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Future Income to be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Recognized Related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13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3"/>
              </w:rPr>
              <w:t>Payments Receivable</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2"/>
                <w:szCs w:val="12"/>
                <w:color w:val="auto"/>
              </w:rPr>
            </w:pPr>
          </w:p>
        </w:tc>
        <w:tc>
          <w:tcPr>
            <w:tcW w:w="12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Rents Receivable</w:t>
            </w:r>
          </w:p>
        </w:tc>
        <w:tc>
          <w:tcPr>
            <w:tcW w:w="120" w:type="dxa"/>
            <w:vAlign w:val="bottom"/>
          </w:tcPr>
          <w:p>
            <w:pPr>
              <w:spacing w:after="0"/>
              <w:rPr>
                <w:sz w:val="12"/>
                <w:szCs w:val="12"/>
                <w:color w:val="auto"/>
              </w:rPr>
            </w:pPr>
          </w:p>
        </w:tc>
        <w:tc>
          <w:tcPr>
            <w:tcW w:w="138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86"/>
              </w:rPr>
              <w:t>Operating Leases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2022 (remainder of year)</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282,502</w:t>
            </w: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1,100,961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1,130,225</w:t>
            </w:r>
          </w:p>
        </w:tc>
        <w:tc>
          <w:tcPr>
            <w:tcW w:w="0" w:type="dxa"/>
            <w:vAlign w:val="bottom"/>
          </w:tcPr>
          <w:p>
            <w:pPr>
              <w:spacing w:after="0"/>
              <w:rPr>
                <w:sz w:val="1"/>
                <w:szCs w:val="1"/>
                <w:color w:val="auto"/>
              </w:rPr>
            </w:pPr>
          </w:p>
        </w:tc>
      </w:tr>
      <w:tr>
        <w:trPr>
          <w:trHeight w:val="22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1,103,062</w:t>
            </w: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1,030,216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1,089,698</w:t>
            </w:r>
          </w:p>
        </w:tc>
        <w:tc>
          <w:tcPr>
            <w:tcW w:w="0" w:type="dxa"/>
            <w:vAlign w:val="bottom"/>
          </w:tcPr>
          <w:p>
            <w:pPr>
              <w:spacing w:after="0"/>
              <w:rPr>
                <w:sz w:val="1"/>
                <w:szCs w:val="1"/>
                <w:color w:val="auto"/>
              </w:rPr>
            </w:pPr>
          </w:p>
        </w:tc>
      </w:tr>
      <w:tr>
        <w:trPr>
          <w:trHeight w:val="22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1,017,101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6,793,442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7,029,419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11,207,260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327,546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11,652,007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4 for the future contractual cash receipts to be received by the Company under its Investment in leases, financing receivables.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Gaming, Food, Beverage and Other Revenues</w:t>
      </w:r>
    </w:p>
    <w:p>
      <w:pPr>
        <w:spacing w:after="0" w:line="31"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 xml:space="preserve">Gaming revenue generated by the TRS Properties in 2021 mainly consisted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Company also deferred a portion of the revenue received from customers (who participate in points-based loyalty programs)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play until a later period when the points are redeemed or forfeited. Other revenues at our TRS Properties were derived from our dining, retail and certain other ancillary activities.</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Earnings Per Share</w:t>
      </w:r>
    </w:p>
    <w:p>
      <w:pPr>
        <w:spacing w:after="0" w:line="225"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 xml:space="preserve">The Company calculates earnings per share ("EPS") in accordance with ASC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as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described in Note 13.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4" w:lineRule="exact"/>
        <w:rPr>
          <w:sz w:val="20"/>
          <w:szCs w:val="20"/>
          <w:color w:val="auto"/>
        </w:rPr>
      </w:pPr>
    </w:p>
    <w:p>
      <w:pPr>
        <w:ind w:right="140" w:firstLine="622"/>
        <w:spacing w:after="0" w:line="284"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2022 and 2021:</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35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5"/>
        </w:trPr>
        <w:tc>
          <w:tcPr>
            <w:tcW w:w="5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0"/>
        </w:trPr>
        <w:tc>
          <w:tcPr>
            <w:tcW w:w="5140" w:type="dxa"/>
            <w:vAlign w:val="bottom"/>
          </w:tcPr>
          <w:p>
            <w:pPr>
              <w:spacing w:after="0"/>
              <w:rPr>
                <w:sz w:val="15"/>
                <w:szCs w:val="15"/>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187"/>
        </w:trPr>
        <w:tc>
          <w:tcPr>
            <w:tcW w:w="5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1080"/>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Determination of shares: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440" w:type="dxa"/>
            <w:vAlign w:val="bottom"/>
          </w:tcPr>
          <w:p>
            <w:pPr>
              <w:jc w:val="right"/>
              <w:spacing w:after="0"/>
              <w:rPr>
                <w:sz w:val="20"/>
                <w:szCs w:val="20"/>
                <w:color w:val="auto"/>
              </w:rPr>
            </w:pPr>
            <w:r>
              <w:rPr>
                <w:rFonts w:ascii="Arial" w:cs="Arial" w:eastAsia="Arial" w:hAnsi="Arial"/>
                <w:sz w:val="17"/>
                <w:szCs w:val="17"/>
                <w:color w:val="auto"/>
              </w:rPr>
              <w:t>256,558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235,267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250,577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233,773</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conversion of restricted stock awards</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Assumed conversion of performance-based restricted stock awards</w:t>
            </w:r>
          </w:p>
        </w:tc>
        <w:tc>
          <w:tcPr>
            <w:tcW w:w="144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669</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Dilution attributable to equity forward contract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257,530</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236,153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251,453</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234,585</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5"/>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187"/>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Calculation of basic EPS: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149,059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490,536</w:t>
            </w:r>
          </w:p>
        </w:tc>
        <w:tc>
          <w:tcPr>
            <w:tcW w:w="12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414,459</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allocated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color w:val="auto"/>
              </w:rPr>
              <w:t>Net income for earnings per share purposes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219,801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148,956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490,246</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414,206</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233,773</w:t>
            </w: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Basic EPS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07"/>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Calculation of diluted EPS: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414,459</w:t>
            </w: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257,530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236,153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251,453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234,585</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07"/>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69"/>
        </w:trPr>
        <w:tc>
          <w:tcPr>
            <w:tcW w:w="5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w w:val="98"/>
              </w:rPr>
              <w:t>Antidilutive securities excluded from the computation of diluted</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3"/>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earnings per share</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bl>
    <w:p>
      <w:pPr>
        <w:spacing w:after="0" w:line="306"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Equity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issuance</w:t>
      </w:r>
    </w:p>
    <w:p>
      <w:pPr>
        <w:spacing w:after="0" w:line="251"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7"/>
          <w:szCs w:val="17"/>
          <w:color w:val="auto"/>
        </w:rPr>
        <w:t>On July 1, 2022, the Company issued 7,935,000 shares of its common stock, generating net proceeds of approximately $350.8 million. The Company intends to contribute the net proceeds to GLP Capital in exchange for common units of limited partnership interests. GLP Capital intends to use the net proceeds to partially finance the previously announced acquisition of the real property assets of Bally's as further described in Note 16.</w:t>
      </w:r>
    </w:p>
    <w:p>
      <w:pPr>
        <w:spacing w:after="0" w:line="212" w:lineRule="exact"/>
        <w:rPr>
          <w:sz w:val="20"/>
          <w:szCs w:val="20"/>
          <w:color w:val="auto"/>
        </w:rPr>
      </w:pPr>
    </w:p>
    <w:p>
      <w:pPr>
        <w:jc w:val="both"/>
        <w:ind w:firstLine="622"/>
        <w:spacing w:after="0" w:line="283" w:lineRule="auto"/>
        <w:rPr>
          <w:sz w:val="20"/>
          <w:szCs w:val="20"/>
          <w:color w:val="auto"/>
        </w:rPr>
      </w:pPr>
      <w:r>
        <w:rPr>
          <w:rFonts w:ascii="Arial" w:cs="Arial" w:eastAsia="Arial" w:hAnsi="Arial"/>
          <w:sz w:val="15"/>
          <w:szCs w:val="15"/>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92" w:lineRule="exact"/>
        <w:rPr>
          <w:sz w:val="20"/>
          <w:szCs w:val="20"/>
          <w:color w:val="auto"/>
        </w:rPr>
      </w:pPr>
    </w:p>
    <w:p>
      <w:pPr>
        <w:jc w:val="both"/>
        <w:ind w:firstLine="622"/>
        <w:spacing w:after="0" w:line="268" w:lineRule="auto"/>
        <w:rPr>
          <w:sz w:val="20"/>
          <w:szCs w:val="20"/>
          <w:color w:val="auto"/>
        </w:rPr>
      </w:pPr>
      <w:r>
        <w:rPr>
          <w:rFonts w:ascii="Arial" w:cs="Arial" w:eastAsia="Arial" w:hAnsi="Arial"/>
          <w:sz w:val="17"/>
          <w:szCs w:val="17"/>
          <w:color w:val="auto"/>
        </w:rPr>
        <w:t>During the nine months ended September 30, 2022, the Company sold 2.0 million shares of its common stock under the ATM Program which raised net proceeds of $104.4 million. As of September 30, 2022, the Company had $157.0 million remaining for issuance under the ATM Program.</w:t>
      </w:r>
    </w:p>
    <w:p>
      <w:pPr>
        <w:spacing w:after="0" w:line="199"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7"/>
          <w:szCs w:val="17"/>
          <w:color w:val="auto"/>
        </w:rPr>
        <w:t>In August 2022, the Company entered into a forward sale agreement (the "August 2022 Forward Sale Agreement"), for up to $105 million that will require settlement by August 19, 2023. No amounts have been or will be recorded on the Company's balance sheet with respect to the August 2022 Forward Sale Agreement until settlement.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6"/>
          <w:szCs w:val="16"/>
          <w:color w:val="auto"/>
        </w:rPr>
        <w:t>If the Company had physically settled the shares under the August 2022 Forward Sale Agreement as of September 30, 2022, 1,284,556 shares would have been issued and approximately $64.8 million in net cash proceeds would have been received by the Company. The August 2022 Forward Sale Agreement requires the Company to, at its election prior to August 19, 2023, physically settle the transactions by issuing shares of its common stock to the forward counterparty in exchange for net proceeds at the then applicable forward sale price specified by the August 2022 Forward Sale Agreement. The forward sale price is subject to adjustment on a daily basis based on a floating interest rate factor and will decrease by other specified fixed amounts.</w:t>
      </w:r>
    </w:p>
    <w:p>
      <w:pPr>
        <w:spacing w:after="0" w:line="201"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7"/>
          <w:szCs w:val="17"/>
          <w:color w:val="auto"/>
        </w:rPr>
        <w:t>Until settlement of the August 2022 Forward Sale Agreement, earnings per share dilution resulting from the August 2022 Forward Sale Agreement will be determined under the treasury stock method. Share dilution occurs when the average market price of the Company's common stock is higher than the average forward sales price (which is reduced by the maximum specified fixed amounts in the contract).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w:t>
      </w:r>
    </w:p>
    <w:p>
      <w:pPr>
        <w:spacing w:after="0" w:line="251" w:lineRule="exact"/>
        <w:rPr>
          <w:sz w:val="20"/>
          <w:szCs w:val="20"/>
          <w:color w:val="auto"/>
        </w:rPr>
      </w:pPr>
    </w:p>
    <w:p>
      <w:pPr>
        <w:jc w:val="both"/>
        <w:ind w:firstLine="622"/>
        <w:spacing w:after="0" w:line="296" w:lineRule="auto"/>
        <w:rPr>
          <w:sz w:val="20"/>
          <w:szCs w:val="20"/>
          <w:color w:val="auto"/>
        </w:rPr>
      </w:pPr>
      <w:r>
        <w:rPr>
          <w:rFonts w:ascii="Arial" w:cs="Arial" w:eastAsia="Arial" w:hAnsi="Arial"/>
          <w:sz w:val="15"/>
          <w:szCs w:val="15"/>
          <w:color w:val="auto"/>
        </w:rPr>
        <w:t>As partial consideration for the closing of the real property assets under the Pennsylvania Live! Master Lease that occurred on March 1, 2022, the Company's operating partnership issued 3,017,909 newly-issued OP Units to affiliates of Cordish that were valued at $137.0 million. OP Units are exchangeable for common shares of the Company on a one-for-one basis, subject to certain terms and conditions. As of September 30, 2022, the Company holds a 97.2%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also paid $5.2 million and $15.5 million in distributions to the non-controlling interest holders concurrently with the dividends paid to the Company's common shareholders, during the three and nine month periods ended September 30,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2022 and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Dividend Per</w:t>
            </w:r>
          </w:p>
        </w:tc>
        <w:tc>
          <w:tcPr>
            <w:tcW w:w="19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95"/>
              </w:rPr>
              <w:t>Dividend Amount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800" w:type="dxa"/>
            <w:vAlign w:val="bottom"/>
            <w:gridSpan w:val="2"/>
          </w:tcPr>
          <w:p>
            <w:pPr>
              <w:ind w:left="680"/>
              <w:spacing w:after="0"/>
              <w:rPr>
                <w:sz w:val="20"/>
                <w:szCs w:val="20"/>
                <w:color w:val="auto"/>
              </w:rPr>
            </w:pPr>
            <w:r>
              <w:rPr>
                <w:rFonts w:ascii="Arial" w:cs="Arial" w:eastAsia="Arial" w:hAnsi="Arial"/>
                <w:sz w:val="16"/>
                <w:szCs w:val="16"/>
                <w:b w:val="1"/>
                <w:bCs w:val="1"/>
                <w:color w:val="auto"/>
              </w:rPr>
              <w:t>Date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79"/>
              </w:rPr>
              <w:t>Class</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9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w w:val="84"/>
              </w:rPr>
              <w:t>2022</w:t>
            </w:r>
          </w:p>
        </w:tc>
        <w:tc>
          <w:tcPr>
            <w:tcW w:w="1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gridSpan w:val="3"/>
            <w:vMerge w:val="restart"/>
          </w:tcPr>
          <w:p>
            <w:pPr>
              <w:spacing w:after="0"/>
              <w:rPr>
                <w:sz w:val="20"/>
                <w:szCs w:val="20"/>
                <w:color w:val="auto"/>
              </w:rPr>
            </w:pPr>
            <w:r>
              <w:rPr>
                <w:rFonts w:ascii="Arial" w:cs="Arial" w:eastAsia="Arial" w:hAnsi="Arial"/>
                <w:sz w:val="16"/>
                <w:szCs w:val="16"/>
                <w:color w:val="auto"/>
              </w:rPr>
              <w:t>February 24, 2022</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March 11, 2022</w:t>
            </w: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3"/>
                <w:szCs w:val="13"/>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color w:val="auto"/>
              </w:rPr>
              <w:t>First Quarter 2022</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March 25, 2022</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$170,805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20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May 9, 2022</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June 10, 2022</w:t>
            </w:r>
          </w:p>
        </w:tc>
        <w:tc>
          <w:tcPr>
            <w:tcW w:w="1100" w:type="dxa"/>
            <w:vAlign w:val="bottom"/>
            <w:gridSpan w:val="2"/>
            <w:shd w:val="clear" w:color="auto" w:fill="CCEEFF"/>
          </w:tcPr>
          <w:p>
            <w:pPr>
              <w:jc w:val="center"/>
              <w:ind w:right="120"/>
              <w:spacing w:after="0" w:line="161"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$0.705</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Second Quarter 2022</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June 24, 2022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$174,519</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080" w:type="dxa"/>
            <w:vAlign w:val="bottom"/>
            <w:gridSpan w:val="3"/>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gridSpan w:val="3"/>
            <w:vMerge w:val="restart"/>
          </w:tcPr>
          <w:p>
            <w:pPr>
              <w:spacing w:after="0"/>
              <w:rPr>
                <w:sz w:val="20"/>
                <w:szCs w:val="20"/>
                <w:color w:val="auto"/>
              </w:rPr>
            </w:pPr>
            <w:r>
              <w:rPr>
                <w:rFonts w:ascii="Arial" w:cs="Arial" w:eastAsia="Arial" w:hAnsi="Arial"/>
                <w:sz w:val="16"/>
                <w:szCs w:val="16"/>
                <w:color w:val="auto"/>
              </w:rPr>
              <w:t>August 31, 2022</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September 16, 2022</w:t>
            </w: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$0.705</w:t>
            </w:r>
          </w:p>
        </w:tc>
        <w:tc>
          <w:tcPr>
            <w:tcW w:w="120" w:type="dxa"/>
            <w:vAlign w:val="bottom"/>
          </w:tcPr>
          <w:p>
            <w:pPr>
              <w:spacing w:after="0"/>
              <w:rPr>
                <w:sz w:val="13"/>
                <w:szCs w:val="13"/>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color w:val="auto"/>
              </w:rPr>
              <w:t>Third Quarter 2022</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September 30, 2022</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$181,549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b w:val="1"/>
                <w:bCs w:val="1"/>
                <w:color w:val="auto"/>
                <w:w w:val="84"/>
              </w:rPr>
              <w:t>2021</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0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February 22, 2021</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March 9, 2021</w:t>
            </w:r>
          </w:p>
        </w:tc>
        <w:tc>
          <w:tcPr>
            <w:tcW w:w="1100" w:type="dxa"/>
            <w:vAlign w:val="bottom"/>
            <w:gridSpan w:val="2"/>
            <w:shd w:val="clear" w:color="auto" w:fill="CCEEFF"/>
          </w:tcPr>
          <w:p>
            <w:pPr>
              <w:jc w:val="center"/>
              <w:ind w:right="120"/>
              <w:spacing w:after="0" w:line="168"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Quarter 2021</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March 23, 2021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$151,308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080" w:type="dxa"/>
            <w:vAlign w:val="bottom"/>
            <w:gridSpan w:val="3"/>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gridSpan w:val="3"/>
            <w:vMerge w:val="restart"/>
          </w:tcPr>
          <w:p>
            <w:pPr>
              <w:spacing w:after="0"/>
              <w:rPr>
                <w:sz w:val="20"/>
                <w:szCs w:val="20"/>
                <w:color w:val="auto"/>
              </w:rPr>
            </w:pPr>
            <w:r>
              <w:rPr>
                <w:rFonts w:ascii="Arial" w:cs="Arial" w:eastAsia="Arial" w:hAnsi="Arial"/>
                <w:sz w:val="16"/>
                <w:szCs w:val="16"/>
                <w:color w:val="auto"/>
              </w:rPr>
              <w:t>May 20, 2021</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June 11, 2021</w:t>
            </w: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3"/>
                <w:szCs w:val="13"/>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color w:val="auto"/>
              </w:rPr>
              <w:t>Second Quarter 2021</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June 25, 2021</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$156,876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20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August 27, 2021</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September 10, 2021</w:t>
            </w:r>
          </w:p>
        </w:tc>
        <w:tc>
          <w:tcPr>
            <w:tcW w:w="1100" w:type="dxa"/>
            <w:vAlign w:val="bottom"/>
            <w:gridSpan w:val="2"/>
            <w:shd w:val="clear" w:color="auto" w:fill="CCEEFF"/>
          </w:tcPr>
          <w:p>
            <w:pPr>
              <w:jc w:val="center"/>
              <w:ind w:right="120"/>
              <w:spacing w:after="0" w:line="161" w:lineRule="exact"/>
              <w:rPr>
                <w:sz w:val="20"/>
                <w:szCs w:val="20"/>
                <w:color w:val="auto"/>
              </w:rPr>
            </w:pPr>
            <w:r>
              <w:rPr>
                <w:rFonts w:ascii="Arial" w:cs="Arial" w:eastAsia="Arial" w:hAnsi="Arial"/>
                <w:sz w:val="16"/>
                <w:szCs w:val="16"/>
                <w:color w:val="auto"/>
                <w:w w:val="89"/>
              </w:rPr>
              <w:t>Common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Third Quarter 2021</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September 24, 2021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$159,426</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080" w:type="dxa"/>
            <w:vAlign w:val="bottom"/>
            <w:gridSpan w:val="3"/>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4"/>
              </w:rPr>
              <w:t>Stock</w:t>
            </w: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In addition, for both the three and nine months ended September 30, 2022 and 2021, dividend payments were made to GLPI restricted stock award holders in the amount of $0.2 million and $0.6 million, respectively. Finally, the Company declared a special earnings and profits dividend related to the sale of the operations at Hollywood Casino Perryville and Hollywood Casino Baton Rouge of $59.3 million to shareholders of record on December 27, 2021. The dividend was accrued in 2021 and paid on January 7, 2022.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Stock-Based Compensation</w:t>
      </w:r>
    </w:p>
    <w:p>
      <w:pPr>
        <w:spacing w:after="0" w:line="22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 xml:space="preserve">The Company accounts for stock compensation under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78"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As of September 30, 2022, there was $4.7 million of total unrecognized compensation cost for restricted stock awards that will be recognized over the grants' remaining weighted average vesting period of 1.75 years. For the three and nine months ended September 30, 2022, the Company recognized $1.3 million and $6.8 million of compensation expense associated with these awards, compared to $1.4 million and $6.0 million for the three and nine months ended September 30, 2021, within general and administrative expenses on the condensed consolidated statements of income.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information on restricted stock award activity for the nine months ended September 30, 2022:</w:t>
      </w:r>
    </w:p>
    <w:p>
      <w:pPr>
        <w:spacing w:after="0" w:line="2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60" w:type="dxa"/>
            <w:vAlign w:val="bottom"/>
          </w:tcPr>
          <w:p>
            <w:pPr>
              <w:jc w:val="right"/>
              <w:ind w:right="319"/>
              <w:spacing w:after="0"/>
              <w:rPr>
                <w:sz w:val="20"/>
                <w:szCs w:val="20"/>
                <w:color w:val="auto"/>
              </w:rPr>
            </w:pPr>
            <w:r>
              <w:rPr>
                <w:rFonts w:ascii="Arial" w:cs="Arial" w:eastAsia="Arial" w:hAnsi="Arial"/>
                <w:sz w:val="14"/>
                <w:szCs w:val="14"/>
                <w:b w:val="1"/>
                <w:bCs w:val="1"/>
                <w:color w:val="auto"/>
              </w:rPr>
              <w:t>Number of Award</w:t>
            </w:r>
          </w:p>
        </w:tc>
      </w:tr>
      <w:tr>
        <w:trPr>
          <w:trHeight w:val="185"/>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Shares</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254,664</w:t>
            </w:r>
          </w:p>
        </w:tc>
      </w:tr>
      <w:tr>
        <w:trPr>
          <w:trHeight w:val="220"/>
        </w:trPr>
        <w:tc>
          <w:tcPr>
            <w:tcW w:w="4640" w:type="dxa"/>
            <w:vAlign w:val="bottom"/>
          </w:tcPr>
          <w:p>
            <w:pPr>
              <w:ind w:left="20"/>
              <w:spacing w:after="0"/>
              <w:rPr>
                <w:sz w:val="20"/>
                <w:szCs w:val="20"/>
                <w:color w:val="auto"/>
              </w:rPr>
            </w:pPr>
            <w:r>
              <w:rPr>
                <w:rFonts w:ascii="Arial" w:cs="Arial" w:eastAsia="Arial" w:hAnsi="Arial"/>
                <w:sz w:val="17"/>
                <w:szCs w:val="17"/>
                <w:color w:val="auto"/>
              </w:rPr>
              <w:t>Granted</w:t>
            </w:r>
          </w:p>
        </w:tc>
        <w:tc>
          <w:tcPr>
            <w:tcW w:w="1860" w:type="dxa"/>
            <w:vAlign w:val="bottom"/>
          </w:tcPr>
          <w:p>
            <w:pPr>
              <w:jc w:val="right"/>
              <w:spacing w:after="0"/>
              <w:rPr>
                <w:sz w:val="20"/>
                <w:szCs w:val="20"/>
                <w:color w:val="auto"/>
              </w:rPr>
            </w:pPr>
            <w:r>
              <w:rPr>
                <w:rFonts w:ascii="Arial" w:cs="Arial" w:eastAsia="Arial" w:hAnsi="Arial"/>
                <w:sz w:val="17"/>
                <w:szCs w:val="17"/>
                <w:color w:val="auto"/>
              </w:rPr>
              <w:t>238,013</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(206,097)</w:t>
            </w:r>
          </w:p>
        </w:tc>
      </w:tr>
      <w:tr>
        <w:trPr>
          <w:trHeight w:val="22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285,380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22"/>
        <w:spacing w:after="0" w:line="276"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September 30, 2022, there was $17.1 million of total unrecognized compensation cost, which will be recognized over the performance-based restricted stock awards' remaining weighted average vesting period of 1.88 years. For the three and nine months ended September 30, 2022, the Company recognized $3.1 million and $9.5 million of compensation expense associated with these awards within general and administrative expenses on the condensed consolidated statements of income compared to $2.4 million and $7.2 million for the corresponding periods in the prior year.</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nine months ended September 30, 2022:</w:t>
      </w:r>
    </w:p>
    <w:p>
      <w:pPr>
        <w:spacing w:after="0" w:line="264"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Performance-Based Award</w:t>
            </w:r>
          </w:p>
        </w:tc>
      </w:tr>
      <w:tr>
        <w:trPr>
          <w:trHeight w:val="187"/>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Shares</w:t>
            </w:r>
          </w:p>
        </w:tc>
      </w:tr>
      <w:tr>
        <w:trPr>
          <w:trHeight w:val="22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2021</w:t>
            </w:r>
          </w:p>
        </w:tc>
        <w:tc>
          <w:tcPr>
            <w:tcW w:w="2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1,305,106</w:t>
            </w:r>
          </w:p>
        </w:tc>
      </w:tr>
      <w:tr>
        <w:trPr>
          <w:trHeight w:val="220"/>
        </w:trPr>
        <w:tc>
          <w:tcPr>
            <w:tcW w:w="4640" w:type="dxa"/>
            <w:vAlign w:val="bottom"/>
          </w:tcPr>
          <w:p>
            <w:pPr>
              <w:spacing w:after="0"/>
              <w:rPr>
                <w:sz w:val="20"/>
                <w:szCs w:val="20"/>
                <w:color w:val="auto"/>
              </w:rPr>
            </w:pPr>
            <w:r>
              <w:rPr>
                <w:rFonts w:ascii="Arial" w:cs="Arial" w:eastAsia="Arial" w:hAnsi="Arial"/>
                <w:sz w:val="17"/>
                <w:szCs w:val="17"/>
                <w:color w:val="auto"/>
              </w:rPr>
              <w:t>Granted</w:t>
            </w:r>
          </w:p>
        </w:tc>
        <w:tc>
          <w:tcPr>
            <w:tcW w:w="2420" w:type="dxa"/>
            <w:vAlign w:val="bottom"/>
          </w:tcPr>
          <w:p>
            <w:pPr>
              <w:jc w:val="right"/>
              <w:spacing w:after="0"/>
              <w:rPr>
                <w:sz w:val="20"/>
                <w:szCs w:val="20"/>
                <w:color w:val="auto"/>
              </w:rPr>
            </w:pPr>
            <w:r>
              <w:rPr>
                <w:rFonts w:ascii="Arial" w:cs="Arial" w:eastAsia="Arial" w:hAnsi="Arial"/>
                <w:sz w:val="17"/>
                <w:szCs w:val="17"/>
                <w:color w:val="auto"/>
              </w:rPr>
              <w:t>500,000</w:t>
            </w:r>
          </w:p>
        </w:tc>
      </w:tr>
      <w:tr>
        <w:trPr>
          <w:trHeight w:val="22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Released</w:t>
            </w:r>
          </w:p>
        </w:tc>
        <w:tc>
          <w:tcPr>
            <w:tcW w:w="2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(380,070)</w:t>
            </w:r>
          </w:p>
        </w:tc>
      </w:tr>
      <w:tr>
        <w:trPr>
          <w:trHeight w:val="220"/>
        </w:trPr>
        <w:tc>
          <w:tcPr>
            <w:tcW w:w="4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(30,816)</w:t>
            </w:r>
          </w:p>
        </w:tc>
      </w:tr>
      <w:tr>
        <w:trPr>
          <w:trHeight w:val="238"/>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September 30, 2022</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1,394,220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620" w:right="5360" w:hanging="616"/>
        <w:spacing w:after="0" w:line="475" w:lineRule="auto"/>
        <w:tabs>
          <w:tab w:leader="none" w:pos="387"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Supplemental Disclosures of Cash Flow Information and Noncash Activities </w:t>
      </w:r>
      <w:r>
        <w:rPr>
          <w:rFonts w:ascii="Arial" w:cs="Arial" w:eastAsia="Arial" w:hAnsi="Arial"/>
          <w:sz w:val="15"/>
          <w:szCs w:val="15"/>
          <w:color w:val="auto"/>
        </w:rPr>
        <w:t>Supplemental disclosures of cash flow information are as follows:</w:t>
      </w:r>
    </w:p>
    <w:tbl>
      <w:tblPr>
        <w:tblLayout w:type="fixed"/>
        <w:tblInd w:w="620" w:type="dxa"/>
        <w:tblCellMar>
          <w:top w:w="0" w:type="dxa"/>
          <w:left w:w="0" w:type="dxa"/>
          <w:bottom w:w="0" w:type="dxa"/>
          <w:right w:w="0" w:type="dxa"/>
        </w:tblCellMar>
      </w:tblPr>
      <w:tr>
        <w:trPr>
          <w:trHeight w:val="179"/>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5"/>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0"/>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r>
      <w:tr>
        <w:trPr>
          <w:trHeight w:val="187"/>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8"/>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income taxes, net of refunds received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6,202</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1"/>
        </w:trPr>
        <w:tc>
          <w:tcPr>
            <w:tcW w:w="526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71,931</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57,095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22"/>
              <w:spacing w:after="0"/>
              <w:rPr>
                <w:sz w:val="20"/>
                <w:szCs w:val="20"/>
                <w:color w:val="auto"/>
              </w:rPr>
            </w:pPr>
            <w:r>
              <w:rPr>
                <w:rFonts w:ascii="Arial" w:cs="Arial" w:eastAsia="Arial" w:hAnsi="Arial"/>
                <w:sz w:val="17"/>
                <w:szCs w:val="17"/>
                <w:color w:val="auto"/>
              </w:rPr>
              <w:t>208,222</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Noncash Investing and Financing Activities</w:t>
      </w:r>
    </w:p>
    <w:p>
      <w:pPr>
        <w:spacing w:after="0" w:line="251" w:lineRule="exact"/>
        <w:rPr>
          <w:sz w:val="20"/>
          <w:szCs w:val="20"/>
          <w:color w:val="auto"/>
        </w:rPr>
      </w:pPr>
    </w:p>
    <w:p>
      <w:pPr>
        <w:jc w:val="both"/>
        <w:ind w:right="100" w:firstLine="622"/>
        <w:spacing w:after="0" w:line="250" w:lineRule="auto"/>
        <w:rPr>
          <w:sz w:val="20"/>
          <w:szCs w:val="20"/>
          <w:color w:val="auto"/>
        </w:rPr>
      </w:pPr>
      <w:r>
        <w:rPr>
          <w:rFonts w:ascii="Arial" w:cs="Arial" w:eastAsia="Arial" w:hAnsi="Arial"/>
          <w:sz w:val="17"/>
          <w:szCs w:val="17"/>
          <w:color w:val="auto"/>
        </w:rPr>
        <w:t>On March 1, 2022, as part of the consideration for the real estate assets acquired pursuant to the Pennsylvania Live! Master Lease, the Company issued approximately 3.0 million OP Units that were valued at $137.0 million and assumed debt of $422.9 million that was repaid after closing with the offsetting increase to Investment in leases, financing receivables. The Company did not engage in any noncash investing or financing activities during the nine months ended September 30, 2021 other than a $38.6 million reclassification of Property and equipment, used in operations, net to Real estate investments, net that occurred on July 1, 2021 for the real estate of Hollywood Casino Perryville that is now being leased to PENN.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Acquisitions</w:t>
      </w:r>
    </w:p>
    <w:p>
      <w:pPr>
        <w:spacing w:after="0" w:line="251" w:lineRule="exact"/>
        <w:rPr>
          <w:sz w:val="20"/>
          <w:szCs w:val="20"/>
          <w:color w:val="auto"/>
        </w:rPr>
      </w:pPr>
    </w:p>
    <w:p>
      <w:pPr>
        <w:jc w:val="both"/>
        <w:ind w:firstLine="622"/>
        <w:spacing w:after="0" w:line="268" w:lineRule="auto"/>
        <w:rPr>
          <w:sz w:val="20"/>
          <w:szCs w:val="20"/>
          <w:color w:val="auto"/>
        </w:rPr>
      </w:pPr>
      <w:r>
        <w:rPr>
          <w:rFonts w:ascii="Arial" w:cs="Arial" w:eastAsia="Arial" w:hAnsi="Arial"/>
          <w:sz w:val="17"/>
          <w:szCs w:val="17"/>
          <w:color w:val="auto"/>
        </w:rPr>
        <w:t xml:space="preserve">The Company accounts for its acquisitions of real estate assets as asset acquisitions under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asset acquisition accounting, incremental transaction costs incurred to acquire the purchased assets are also included as part of the asset cost.</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Current year acquisitions</w:t>
      </w:r>
    </w:p>
    <w:p>
      <w:pPr>
        <w:spacing w:after="0" w:line="251" w:lineRule="exact"/>
        <w:rPr>
          <w:sz w:val="20"/>
          <w:szCs w:val="20"/>
          <w:color w:val="auto"/>
        </w:rPr>
      </w:pPr>
    </w:p>
    <w:p>
      <w:pPr>
        <w:jc w:val="both"/>
        <w:ind w:firstLine="622"/>
        <w:spacing w:after="0" w:line="247" w:lineRule="auto"/>
        <w:rPr>
          <w:sz w:val="20"/>
          <w:szCs w:val="20"/>
          <w:color w:val="auto"/>
        </w:rPr>
      </w:pPr>
      <w:r>
        <w:rPr>
          <w:rFonts w:ascii="Arial" w:cs="Arial" w:eastAsia="Arial" w:hAnsi="Arial"/>
          <w:sz w:val="17"/>
          <w:szCs w:val="17"/>
          <w:color w:val="auto"/>
        </w:rPr>
        <w:t>On March 1, 2022, the Company completed its previously announced transaction with Cordish to acquire the real property assets of Live! Casino &amp; Hotel Philadelphia and Live! Casino Pittsburgh and simultaneously entered into the Pennsylvania Live! Master Lease such that Cordish continues to operate the facilities. The Company has concluded that the Pennsylvania Live! Master Lease is required to be accounted for as an Investment in leases, financing receivables on our Condensed Consolidated Balance Sheets in accordance with ASC 310, since control of the underlying assets was not considered to have transferred to the Company under GAAP given the significant initial lease term of the Pennsylvania Live! Master Lease which was 39 years. The purchase price of $689.0 million was recorded in Investment in leases, financing receivables, net.</w:t>
      </w:r>
    </w:p>
    <w:p>
      <w:pPr>
        <w:spacing w:after="0" w:line="219" w:lineRule="exact"/>
        <w:rPr>
          <w:sz w:val="20"/>
          <w:szCs w:val="20"/>
          <w:color w:val="auto"/>
        </w:rPr>
      </w:pPr>
    </w:p>
    <w:p>
      <w:pPr>
        <w:jc w:val="both"/>
        <w:ind w:firstLine="622"/>
        <w:spacing w:after="0" w:line="254" w:lineRule="auto"/>
        <w:rPr>
          <w:sz w:val="20"/>
          <w:szCs w:val="20"/>
          <w:color w:val="auto"/>
        </w:rPr>
      </w:pPr>
      <w:r>
        <w:rPr>
          <w:rFonts w:ascii="Arial" w:cs="Arial" w:eastAsia="Arial" w:hAnsi="Arial"/>
          <w:sz w:val="17"/>
          <w:szCs w:val="17"/>
          <w:color w:val="auto"/>
        </w:rPr>
        <w:t>On April 13, 2021, the Company announced that it had entered into a binding term sheet with Bally's to acquire the real estate of Bally’s casino properties in Black Hawk, CO and its recently acquired property in Rock Island, IL, in a transaction that was subject to regulatory approval. This transaction closed on April 1, 2022 and total consideration for the acquisition was $150 million. The parties added the properties to the Bally's Master Lease for incremental rent of $12.0 million.</w:t>
      </w:r>
    </w:p>
    <w:p>
      <w:pPr>
        <w:spacing w:after="0" w:line="197" w:lineRule="exact"/>
        <w:rPr>
          <w:sz w:val="20"/>
          <w:szCs w:val="20"/>
          <w:color w:val="auto"/>
        </w:rPr>
      </w:pPr>
    </w:p>
    <w:p>
      <w:pPr>
        <w:jc w:val="both"/>
        <w:ind w:firstLine="622"/>
        <w:spacing w:after="0" w:line="354" w:lineRule="auto"/>
        <w:rPr>
          <w:sz w:val="20"/>
          <w:szCs w:val="20"/>
          <w:color w:val="auto"/>
        </w:rPr>
      </w:pPr>
      <w:r>
        <w:rPr>
          <w:rFonts w:ascii="Arial" w:cs="Arial" w:eastAsia="Arial" w:hAnsi="Arial"/>
          <w:sz w:val="15"/>
          <w:szCs w:val="15"/>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purchase price for the acquisition of the real estate assets of Black Hawk and Rock Island were as follows (in thousands):</w:t>
      </w:r>
    </w:p>
    <w:p>
      <w:pPr>
        <w:spacing w:after="0" w:line="284" w:lineRule="exact"/>
        <w:rPr>
          <w:sz w:val="20"/>
          <w:szCs w:val="20"/>
          <w:color w:val="auto"/>
        </w:rPr>
      </w:pPr>
    </w:p>
    <w:tbl>
      <w:tblPr>
        <w:tblLayout w:type="fixed"/>
        <w:tblInd w:w="1880" w:type="dxa"/>
        <w:tblCellMar>
          <w:top w:w="0" w:type="dxa"/>
          <w:left w:w="0" w:type="dxa"/>
          <w:bottom w:w="0" w:type="dxa"/>
          <w:right w:w="0" w:type="dxa"/>
        </w:tblCellMar>
      </w:tblPr>
      <w:tr>
        <w:trPr>
          <w:trHeight w:val="220"/>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54,386</w:t>
            </w:r>
          </w:p>
        </w:tc>
      </w:tr>
      <w:tr>
        <w:trPr>
          <w:trHeight w:val="220"/>
        </w:trPr>
        <w:tc>
          <w:tcPr>
            <w:tcW w:w="3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Building and improvements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95,740</w:t>
            </w:r>
          </w:p>
        </w:tc>
      </w:tr>
      <w:tr>
        <w:trPr>
          <w:trHeight w:val="238"/>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Real estate investments, net</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150,126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Pending acquisitions</w:t>
      </w:r>
    </w:p>
    <w:p>
      <w:pPr>
        <w:spacing w:after="0" w:line="251"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On June 28, 2022, the Company announced that it entered into a binding term sheet with Bally's to acquire the real property assets of Lincoln and Tiverton, subject to customary regulatory approvals and with respect to Lincoln, lender consent. Pursuant to the terms of the transaction, Bally’s would immediately lease back both properties and continue to own, control, and manage all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204"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In connection with GLPI’s commitment to consummate the Bally’s acquisitions, it also agreed to pre-fund, at Bally’s election, a deposit of up to $200.0 million, which was funded in September 2022 and recorded in Other assets on the Consolidated Balance Sheet at September 30, 2022. This amount will be credited or repaid to GLPI at the earlier of closing and December 31, 2023, along with a $9.0 million transaction fee payable at closing.</w:t>
      </w:r>
    </w:p>
    <w:p>
      <w:pPr>
        <w:spacing w:after="0" w:line="180"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If all third-party consents and approvals for the acquisition of Lincoln are not timely received, then GLPI would instead acquire the real property assets of the Hard Rock Hotel &amp; Casino Biloxi in Mississippi along with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 We currently anticipate the initial closing will include the real property assets of Biloxi and Tiverton.</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4"/>
          <w:szCs w:val="14"/>
          <w:b w:val="1"/>
          <w:bCs w:val="1"/>
          <w:color w:val="auto"/>
        </w:rPr>
        <w:t>Subsequent Events</w:t>
      </w:r>
    </w:p>
    <w:p>
      <w:pPr>
        <w:spacing w:after="0" w:line="251"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On October 10, 2022, the Company announced that it agreed to create a new master lease with PENN for seven of PENN's current properties. The companies have also agreed to a funding mechanism to support PENN's pursuit of relocation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and development opportunities at several of the properties included in the new master lease. The transaction, including the creation of the new master lease, is subject to customary regulatory approvals and is expected to be effective January 1, 2023.</w:t>
      </w:r>
    </w:p>
    <w:p>
      <w:pPr>
        <w:spacing w:after="0" w:line="186"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Pursuant to the terms agreed upon by the parties, the current PENN master lease would be amended to remove PENN's properties in Aurora and Joliet, Illinois; Columbus and Toledo, Ohio; and Henderson, Nevada and those properties would be added to the new master lease. In addition, the existing leases for the Hollywood Casino at The Meadows in Pennsylvania and Hollywood Casino Perryville in Maryland would terminate and these properties would be transferred into the new master lease. GLPI has agreed to fund up to $225 million for the relocation of PENN's riverboat casino in Aurora at a 7.75% cap rate and, if requested by PENN, to fund up to $350 million for the relocation of the Hollywood Casino Joliet as well as the construction of hotels at Hollywood Casino Columbus and a second hotel tower at the M Resort Spa Casino at then current market rates.</w:t>
      </w:r>
    </w:p>
    <w:p>
      <w:pPr>
        <w:spacing w:after="0" w:line="207"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The terms of the new master lease and the amended PENN master lease are expected to be substantially similar to the current PENN master lease with the following key differences;</w:t>
      </w:r>
    </w:p>
    <w:p>
      <w:pPr>
        <w:spacing w:after="0" w:line="203" w:lineRule="exact"/>
        <w:rPr>
          <w:sz w:val="20"/>
          <w:szCs w:val="20"/>
          <w:color w:val="auto"/>
        </w:rPr>
      </w:pPr>
    </w:p>
    <w:p>
      <w:pPr>
        <w:ind w:left="940" w:hanging="314"/>
        <w:spacing w:after="0"/>
        <w:tabs>
          <w:tab w:leader="none" w:pos="9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new master lease will be cross-defaulted, cross collateralized and co-terminus with the existing PENN master lease.</w:t>
      </w:r>
    </w:p>
    <w:p>
      <w:pPr>
        <w:spacing w:after="0" w:line="26" w:lineRule="exact"/>
        <w:rPr>
          <w:rFonts w:ascii="Arial" w:cs="Arial" w:eastAsia="Arial" w:hAnsi="Arial"/>
          <w:sz w:val="21"/>
          <w:szCs w:val="21"/>
          <w:color w:val="auto"/>
        </w:rPr>
      </w:pPr>
    </w:p>
    <w:p>
      <w:pPr>
        <w:ind w:left="940" w:hanging="314"/>
        <w:spacing w:after="0" w:line="234" w:lineRule="auto"/>
        <w:tabs>
          <w:tab w:leader="none" w:pos="935"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initial term of the new master lease will expire on October 31, 2033, with three 5-year extensions at PENN’s option (consistent with the term remaining on the current PENN master lease).</w:t>
      </w:r>
    </w:p>
    <w:p>
      <w:pPr>
        <w:spacing w:after="0" w:line="27" w:lineRule="exact"/>
        <w:rPr>
          <w:rFonts w:ascii="Arial" w:cs="Arial" w:eastAsia="Arial" w:hAnsi="Arial"/>
          <w:sz w:val="21"/>
          <w:szCs w:val="21"/>
          <w:color w:val="auto"/>
        </w:rPr>
      </w:pPr>
    </w:p>
    <w:p>
      <w:pPr>
        <w:ind w:left="940" w:hanging="314"/>
        <w:spacing w:after="0" w:line="244" w:lineRule="auto"/>
        <w:tabs>
          <w:tab w:leader="none" w:pos="935" w:val="left"/>
        </w:tabs>
        <w:numPr>
          <w:ilvl w:val="0"/>
          <w:numId w:val="13"/>
        </w:numPr>
        <w:rPr>
          <w:rFonts w:ascii="Arial" w:cs="Arial" w:eastAsia="Arial" w:hAnsi="Arial"/>
          <w:sz w:val="21"/>
          <w:szCs w:val="21"/>
          <w:color w:val="auto"/>
        </w:rPr>
      </w:pPr>
      <w:r>
        <w:rPr>
          <w:rFonts w:ascii="Arial" w:cs="Arial" w:eastAsia="Arial" w:hAnsi="Arial"/>
          <w:sz w:val="17"/>
          <w:szCs w:val="17"/>
          <w:color w:val="auto"/>
        </w:rPr>
        <w:t>All rent in the new master lease will be fixed with annual escalation of 1.50%, with the first escalation occurring for the lease year beginning on November 1, 2023.</w:t>
      </w:r>
    </w:p>
    <w:p>
      <w:pPr>
        <w:spacing w:after="0" w:line="22" w:lineRule="exact"/>
        <w:rPr>
          <w:rFonts w:ascii="Arial" w:cs="Arial" w:eastAsia="Arial" w:hAnsi="Arial"/>
          <w:sz w:val="21"/>
          <w:szCs w:val="21"/>
          <w:color w:val="auto"/>
        </w:rPr>
      </w:pPr>
    </w:p>
    <w:p>
      <w:pPr>
        <w:ind w:left="940" w:hanging="314"/>
        <w:spacing w:after="0" w:line="234" w:lineRule="auto"/>
        <w:tabs>
          <w:tab w:leader="none" w:pos="935"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rent for the new lease will be $232.2 million in base rent. The rent for the original PENN master lease will be $284.1 million, consisting of $208.2 million of Building Base Rent, $43.0 million of land base rent, and $32.9 million of percentage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w:t>
      </w:r>
    </w:p>
    <w:p>
      <w:pPr>
        <w:spacing w:after="0" w:line="394" w:lineRule="exact"/>
        <w:rPr>
          <w:sz w:val="20"/>
          <w:szCs w:val="20"/>
          <w:color w:val="auto"/>
        </w:rPr>
      </w:pPr>
    </w:p>
    <w:p>
      <w:pPr>
        <w:jc w:val="both"/>
        <w:ind w:firstLine="622"/>
        <w:spacing w:after="0" w:line="273" w:lineRule="auto"/>
        <w:rPr>
          <w:sz w:val="20"/>
          <w:szCs w:val="20"/>
          <w:color w:val="auto"/>
        </w:rPr>
      </w:pPr>
      <w:r>
        <w:rPr>
          <w:rFonts w:ascii="Arial" w:cs="Arial" w:eastAsia="Arial" w:hAnsi="Arial"/>
          <w:sz w:val="16"/>
          <w:szCs w:val="16"/>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Further, as partial consideration for the transactions with The Cordish Companies ("Cordish") described below, GLP Capital, L.P., the operating partnership of GLPI ("GLP Capital") issued 7,366,683 newly-issued operating partnership units ("OP Units") to affiliates of Cordish. OP Units are exchangeable for common shares of the Company on a one-for-one basis, subject to certain terms and conditions. As a result of the contribution, GLP Capital became treated as a regarded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 As a result of the Spin-Off, GLPI owns substantially all of PENN's former real property assets (as of the consummation of the Spin-Off) and leases back most of those assets to PENN for use by its subsidiaries, under a unitary master lease (the "PENN Master Lease"). The assets and liabilities of GLPI were recorded at their respective historical carrying values at the time of the Spin-Off. In 2021, as a result of the sale of the operations of Hollywood Casino Perryville and Hollywood Casino Baton Rouge, GLP Holdings, Inc. was merged into GLP Capital.</w:t>
      </w:r>
    </w:p>
    <w:p>
      <w:pPr>
        <w:spacing w:after="0" w:line="95"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September 30, 2022, GLPI's portfolio consisted of interests in 57 gaming and related facilities,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7 gaming and related facilities operated by Bally's Corporation ("Bally's), the real property associated with 2 gaming and related facilities operated by Casino Queen Holding Company Inc. ("Casino Queen") and the real property associated with 3 gaming and related facilities operated by Cordish. These facilities, including our corporate headquarters building, are geographically diversified across 17 states and contain approximately 27.8 million square feet. As of September 30, 2022, our properties were 100% occupied. We expect to continue growing our portfolio by pursuing opportunities to acquire additional gaming facilities to lease to gaming operators under prudent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PENN Master Lease</w:t>
      </w:r>
    </w:p>
    <w:p>
      <w:pPr>
        <w:spacing w:after="0" w:line="24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PENN Master Lease is a triple-net operating lease, the term of which expires October 31, 2033, with no purchase option, followed by three remaining 5-year renewal options (exercisable by the tenant) on the same terms and conditions. See Note 11 for a discussion regarding such renewal options. Additionally, see Note 17 for a discussion related to the creation of a new master lease with PENN.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45"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 acquired the real estate of Belterra Park in satisfaction of the Belterra Park Loan, subject to</w:t>
      </w:r>
    </w:p>
    <w:p>
      <w:pPr>
        <w:spacing w:after="0" w:line="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Meadows Lease</w:t>
      </w:r>
    </w:p>
    <w:p>
      <w:pPr>
        <w:spacing w:after="0" w:line="245"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6"/>
          <w:szCs w:val="16"/>
          <w:color w:val="auto"/>
        </w:rPr>
        <w:t>The real estate assets of Hollywood Casino at the Meadows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 As described in Note 17, it is anticipated that the Meadows Lease will terminate on January 1, 2023 and the real estate associated with the property will be part of a new master lease with PENN.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and Restated Caesars Master Lease</w:t>
      </w:r>
    </w:p>
    <w:p>
      <w:pPr>
        <w:spacing w:after="0" w:line="245"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6"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Lumière Place Lease</w:t>
      </w:r>
    </w:p>
    <w:p>
      <w:pPr>
        <w:spacing w:after="0" w:line="245"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6"/>
          <w:szCs w:val="16"/>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Lease's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Bally's Master Lease</w:t>
      </w:r>
    </w:p>
    <w:p>
      <w:pPr>
        <w:spacing w:after="0" w:line="245"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207"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w:t>
      </w:r>
    </w:p>
    <w:p>
      <w:pPr>
        <w:spacing w:after="0" w:line="198" w:lineRule="exact"/>
        <w:rPr>
          <w:sz w:val="20"/>
          <w:szCs w:val="20"/>
          <w:color w:val="auto"/>
        </w:rPr>
      </w:pPr>
    </w:p>
    <w:p>
      <w:pPr>
        <w:jc w:val="both"/>
        <w:ind w:firstLine="622"/>
        <w:spacing w:after="0" w:line="305" w:lineRule="auto"/>
        <w:rPr>
          <w:sz w:val="20"/>
          <w:szCs w:val="20"/>
          <w:color w:val="auto"/>
        </w:rPr>
      </w:pPr>
      <w:r>
        <w:rPr>
          <w:rFonts w:ascii="Arial" w:cs="Arial" w:eastAsia="Arial" w:hAnsi="Arial"/>
          <w:sz w:val="15"/>
          <w:szCs w:val="15"/>
          <w:color w:val="auto"/>
        </w:rPr>
        <w:t>On June 28, 2022, the Company announced that it entered into a binding term sheet with Bally's to acquire the real property assets of Bally's Twin River Lincoln Casino Resort ("Lincoln") and Bally's Tiverton Casino &amp; Hotel ("Tiverton"), subject to customary regulatory approvals with Lincoln also subject to lender consent. Pursuant to the terms of the transaction, Bally’s would immediately lease back both properties and continue to own, control, and manage all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17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If all third-party consents and approvals for the acquisition of Lincoln have not been received when such approvals for the acquisition of Tiverton and Hard Rock Hotel &amp; Casino Biloxi ("Biloxi") in Mississippi have been received, then GLPI would instead acquire the real property assets of Biloxi and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 We currently anticipate the initial closing will include the real property assets of Biloxi and Tiverton.</w:t>
      </w:r>
    </w:p>
    <w:p>
      <w:pPr>
        <w:spacing w:after="0" w:line="204"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In connection with GLPI’s commitment to consummate the Bally’s acquisitions, it also agreed to pre-fund, at Bally’s election, a deposit of up to $200.0 million, which was funded in September 2022 and recorded in other assets on the Condensed Consolidated Balance Sheet. This amount will be credited or repaid to GLPI at the earlier of the first closing and December 31, 2023, along with a $9.0 million transaction fee to be credited against the purchase price at such closing.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15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w:t>
      </w:r>
    </w:p>
    <w:p>
      <w:pPr>
        <w:spacing w:after="0" w:line="9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On September 26, 2022, Bally’s acquired both GLPI’s building asset and PENN's outstanding equity interests in Tropicana Las Vegas Hotel and Casino, Inc. for an aggregate cash acquisition price, net of fees and expenses, of approximately $145 million, which resulted in a pre-tax gain of $67.4 million. GLPI retained ownership of the land and concurrently entered into a ground lease for an initial term of 50 years (with a maximum term of 99 years inclusive of tenant renewal options) with initial annual rent of $10.5 million. The ground lease is supported by a Bally’s corporate guarantee and cross-defaulted with the Bally's Master Lease (the "Tropicana Las Vegas Lease").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Morgantown Lease</w:t>
      </w:r>
    </w:p>
    <w:p>
      <w:pPr>
        <w:spacing w:after="0" w:line="155" w:lineRule="exact"/>
        <w:rPr>
          <w:sz w:val="20"/>
          <w:szCs w:val="20"/>
          <w:color w:val="auto"/>
        </w:rPr>
      </w:pPr>
    </w:p>
    <w:p>
      <w:pPr>
        <w:jc w:val="both"/>
        <w:ind w:firstLine="622"/>
        <w:spacing w:after="0" w:line="298" w:lineRule="auto"/>
        <w:rPr>
          <w:sz w:val="20"/>
          <w:szCs w:val="20"/>
          <w:color w:val="auto"/>
        </w:rPr>
      </w:pPr>
      <w:r>
        <w:rPr>
          <w:rFonts w:ascii="Arial" w:cs="Arial" w:eastAsia="Arial" w:hAnsi="Arial"/>
          <w:sz w:val="15"/>
          <w:szCs w:val="15"/>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 Hollywood Casino Morgantown opened on December 22, 2021.</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19"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On November 25, 2020, the Company entered into a definitive agreement to sell the operations of Hollywood Casino Baton Rouge to Casino Queen for $28.2 million (the "HCBR transaction"). This transaction closed on December 17, 2021 which resulted in a pre-tax gain of $6.8 million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(the "Casino Queen Master Lease"). The initial annual cash rent is approximately $21.4 million and the lease has an initial term of 15 years with four 5 year renewal options exercisable by the tenant. See Note 11 for a discussion regarding such renewal options.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until December 2023.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Hollywood Casino Perryville</w:t>
      </w:r>
    </w:p>
    <w:p>
      <w:pPr>
        <w:spacing w:after="0" w:line="245"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On December 15, 2020, the Company announced that PENN exercised its option to purchase from the Company the operations of Hollywood Casino Perryville, located in Perryville, Maryland, for $31.1 million. The transaction closed on July 1, 2021 and the real estate assets of the Hollywood Casino Perryville are being leased to PENN on a triple net basis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 (the "Perryville Lease"). As described in Note 17, it is anticipated that the Perryville Lease will terminate on January 1, 2023 and the real estate associated with the property will be part of a new master lease with PENN.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Lease</w:t>
      </w:r>
    </w:p>
    <w:p>
      <w:pPr>
        <w:spacing w:after="0" w:line="24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at deal announcement excluding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transaction costs (the "Cordish Acquisitions").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transaction and GLPI entered into a single asset lease for Live! Casino &amp; Hotel Maryland (the "Maryland Live! Lease"). On March 1, 2022, GLPI closed the acquisition of the Live! Casino &amp; Hotel Philadelphia and Live! Casino Pittsburgh and leased back the real estate to Cordish pursuant to a new triple net master lease with Cordish for Live! Casino &amp; Hotel Philadelphia and Live! Casino Pittsburgh (the "Pennsylvania Live! Master Lease"). The Pennsylvania Live! Master Lease and the Maryland Live! Lease have initial lease terms of 39 years, with a maximum term of 60 years inclusive of tenant renewal options. The annual rent for the Maryland Live! Lease is $75 million and for the Pennsylvania Live! Master Lease is $50 million both of which have a 1.75% fixed yearly escalator on the entirety of rent commencing on the leases' second anniversary.</w:t>
      </w:r>
    </w:p>
    <w:p>
      <w:pPr>
        <w:spacing w:after="0" w:line="103" w:lineRule="exact"/>
        <w:rPr>
          <w:sz w:val="20"/>
          <w:szCs w:val="20"/>
          <w:color w:val="auto"/>
        </w:rPr>
      </w:pPr>
    </w:p>
    <w:p>
      <w:pPr>
        <w:jc w:val="both"/>
        <w:ind w:firstLine="622"/>
        <w:spacing w:after="0" w:line="305" w:lineRule="auto"/>
        <w:rPr>
          <w:sz w:val="20"/>
          <w:szCs w:val="20"/>
          <w:color w:val="auto"/>
        </w:rPr>
      </w:pPr>
      <w:r>
        <w:rPr>
          <w:rFonts w:ascii="Arial" w:cs="Arial" w:eastAsia="Arial" w:hAnsi="Arial"/>
          <w:sz w:val="15"/>
          <w:szCs w:val="15"/>
          <w:color w:val="auto"/>
        </w:rPr>
        <w:t>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71" w:lineRule="exact"/>
        <w:rPr>
          <w:sz w:val="20"/>
          <w:szCs w:val="20"/>
          <w:color w:val="auto"/>
        </w:rPr>
      </w:pPr>
    </w:p>
    <w:p>
      <w:pPr>
        <w:jc w:val="both"/>
        <w:ind w:firstLine="622"/>
        <w:spacing w:after="0" w:line="321" w:lineRule="auto"/>
        <w:rPr>
          <w:sz w:val="20"/>
          <w:szCs w:val="20"/>
          <w:color w:val="auto"/>
        </w:rPr>
      </w:pPr>
      <w:r>
        <w:rPr>
          <w:rFonts w:ascii="Arial" w:cs="Arial" w:eastAsia="Arial" w:hAnsi="Arial"/>
          <w:sz w:val="15"/>
          <w:szCs w:val="15"/>
          <w:color w:val="auto"/>
        </w:rPr>
        <w:t>Additionally, in accordance with Accounting Standards Codification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Highlights</w:t>
      </w:r>
    </w:p>
    <w:p>
      <w:pPr>
        <w:spacing w:after="0" w:line="219"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We reported total revenues and income from operations of $333.8 million and $317.6 million, respectively, for the three months ended September 30, 2022, compared to $298.7 million and $225.1 million, respectively, for the corresponding period in the prior year. For the nine months ended September 30, 2022, we reported total revenues and income from operations of $975.3 million and $754.5 million, respectively, compared to $918.0 million and $637.3 million, respectively, for the corresponding period in the prior year.</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major factors affecting our results for the three and nine months ended September 30, 2022, as compared to the three and nine months ended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were as follows:</w:t>
      </w:r>
    </w:p>
    <w:p>
      <w:pPr>
        <w:spacing w:after="0" w:line="207" w:lineRule="exact"/>
        <w:rPr>
          <w:sz w:val="20"/>
          <w:szCs w:val="20"/>
          <w:color w:val="auto"/>
        </w:rPr>
      </w:pPr>
    </w:p>
    <w:p>
      <w:pPr>
        <w:jc w:val="both"/>
        <w:ind w:left="620" w:hanging="305"/>
        <w:spacing w:after="0" w:line="296" w:lineRule="auto"/>
        <w:tabs>
          <w:tab w:leader="none" w:pos="6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income from real estate increased by $50.6 million to $333.8 million for the three months ended September 30, 2022 compared to $283.3 million for the corresponding period in the prior year. Results for the three months ended September 30, 2022 benefited from the additions of the Maryland Live! Lease and Pennsylvania Live! Master Lease, the Bally's Master Lease, and the Casino Queen Master Lease, which in the aggregate increased cash rental income by $35.6 million. The three months ended September 30, 2022 also benefited by $3.0 million compared to the corresponding period in the prior year from full escalations being incurred on the Amended Pinnacle Master Lease, the Boyd Master Lease and the Belterra Park Lease effective May 1, 2021 and the PENN Master Lease on November 1, 2021. The Company also recognized accretion of $5.2 million on its Investment in leases, financing receivables and favorable straight-line rent adjustments of $2.2 million compared to the corresponding period in the prior year and had higher ground rent income of $3.2 million due primarily from the addition of the Bally's Master Lease and the Maryland Live! Lease. Finally, the Company had higher percentage rent on the PENN Master Lease of $0.4 million due to higher revenues at Hollywood Casino Columbus and Hollywood Casino Toledo.</w:t>
      </w:r>
    </w:p>
    <w:p>
      <w:pPr>
        <w:spacing w:after="0" w:line="185" w:lineRule="exact"/>
        <w:rPr>
          <w:rFonts w:ascii="Arial" w:cs="Arial" w:eastAsia="Arial" w:hAnsi="Arial"/>
          <w:sz w:val="15"/>
          <w:szCs w:val="15"/>
          <w:color w:val="auto"/>
        </w:rPr>
      </w:pPr>
    </w:p>
    <w:p>
      <w:pPr>
        <w:jc w:val="both"/>
        <w:ind w:left="620" w:hanging="305"/>
        <w:spacing w:after="0" w:line="258"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Total income from real estate increased by $154.1 million for the nine months ended September 30, 2022. Results for the nine months ended September 30, 2022 benefited from the additions of the Maryland Live! Lease and Pennsylvania Live! Master Lease, the Bally's Master Lease, the Perryville Lease and the Casino Queen Master Lease, which in the aggregate increased cash rental income by $119.5 million. The nine months ended September 30, 2022 also benefited by $8.8 million compared to the corresponding period in the prior year from full escalations being incurred on the Amended Pinnacle Master Lease, the Boyd Master Lease and the Belterra Park Lease effective May 1, 2021 and the PENN Master Lease on November 1, 2021. The Company also recognized accretion of $14.1 million on its Investment in leases, financing receivables and had higher ground rent income of $11.8 million due primarily from the addition of the Bally's Master Lease and the Maryland Live! Lease for the nine months ended September 30, 2022.</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Finally, the Company had lower favorable straight-line rent adjustments of $1.0 million compared to the corresponding period in the prior year.</w:t>
      </w:r>
    </w:p>
    <w:p>
      <w:pPr>
        <w:spacing w:after="0" w:line="36" w:lineRule="exact"/>
        <w:rPr>
          <w:sz w:val="20"/>
          <w:szCs w:val="20"/>
          <w:color w:val="auto"/>
        </w:rPr>
      </w:pPr>
    </w:p>
    <w:p>
      <w:pPr>
        <w:jc w:val="both"/>
        <w:ind w:left="620" w:hanging="305"/>
        <w:spacing w:after="0" w:line="26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Gaming, food, beverage and other revenue decreased by $15.5 million and $96.8 million for the three and nine months ended September 30, 2022, as compared to the corresponding period in the prior year due to the sale of the operations of the Hollywood Casino Perryville and Hollywood Casino Baton Rouge in 2021.</w:t>
      </w:r>
    </w:p>
    <w:p>
      <w:pPr>
        <w:spacing w:after="0" w:line="202" w:lineRule="exact"/>
        <w:rPr>
          <w:rFonts w:ascii="Arial" w:cs="Arial" w:eastAsia="Arial" w:hAnsi="Arial"/>
          <w:sz w:val="17"/>
          <w:szCs w:val="17"/>
          <w:color w:val="auto"/>
        </w:rPr>
      </w:pPr>
    </w:p>
    <w:p>
      <w:pPr>
        <w:jc w:val="both"/>
        <w:ind w:left="620" w:hanging="305"/>
        <w:spacing w:after="0" w:line="275"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operating expenses decreased by $57.4 million for the three months ended September 30, 2022 as compared to the corresponding period in the prior year. Gains from dispositions of property increased $52.6 million as compared to the corresponding period in the prior year due to the sale of the Tropicana Las Vegas building to Bally's that closed on September 26, 2022 which resulted in a pre-tax gain of $67.4 million. Gains from dispositions of property for the three months ended September 30, 2021 totaled $14.8 million due primarily from the sale of the Hollywood Casino Perryville operations to PENN which closed on July 1, 2021. Gaming, food, beverage and other expense decreased $5.8 million as compared to the corresponding period in the prior year due to the prior year sales of the operations of Hollywood Casino Perryville and Hollywood Casino Baton Rouge. General and administrative expenses decreased $1.0 million as compared to the corresponding period in the prior year due to the sale of the operations of Hollywood Casino Perryville and Hollywood Casino Baton Rouge, partially offset by higher acquisition expenses. Partially offsetting these benefits was higher land rights and ground lease expense of $2.3 million as compared to the corresponding period in the prior year due to the acquisition of the real estate of Maryland Live! Hotel &amp; Casino and Pittsburgh Live! Casino which both have ground leases as well as higher land right amortization due to the acquisition of Tropicana Evansville on June 3, 2021.</w:t>
      </w:r>
    </w:p>
    <w:p>
      <w:pPr>
        <w:spacing w:after="0" w:line="196" w:lineRule="exact"/>
        <w:rPr>
          <w:rFonts w:ascii="Arial" w:cs="Arial" w:eastAsia="Arial" w:hAnsi="Arial"/>
          <w:sz w:val="16"/>
          <w:szCs w:val="16"/>
          <w:color w:val="auto"/>
        </w:rPr>
      </w:pPr>
    </w:p>
    <w:p>
      <w:pPr>
        <w:jc w:val="both"/>
        <w:ind w:left="620" w:hanging="305"/>
        <w:spacing w:after="0" w:line="273"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operating expenses decreased by $59.9 million for the nine months ended September 30, 2022 as compared to the corresponding period in the prior year. Gains from dispositions of property increased $52.8 million as compared to the corresponding period in the prior year due to the sale of the Tropicana Las Vegas building asset to Bally's that closed on September 26, 2022 which resulted in a pre-tax gain of $67.4 million. Gains from dispositions of property for the nine months ended September 30, 2021 totaled $14.8 million due primarily from the sale of the Hollywood Casino Perryville operations to PENN which closed on July 1, 2021. Gaming, food, beverage and other expense decreased $48.1 million as compared to the corresponding period in the prior year due to the prior year sales of the operations of Hollywood Casino Perryville and Hollywood Casino Baton Rouge. General and administrative expenses decreased $6.0 million as compared to the corresponding period in the prior year due to the sale of the operations of Hollywood Casino Perryville and Hollywood Casino Baton Rouge which lowered general and administrative expenses by $15.3 million. This was partially offset by higher acquisition expenses, bonus expenses, insurance costs as well as increased stock based compensation charges. The nine months ended September 30, 2022 included provision for credit losses of $28.9 million associated with our Investment in leases, financing receivables as well as impairment losses on land of $3.3 million. In addition, we incurred higher land rights and ground lease expense of $12.8 million compared to the corresponding period in the prior year due to the acquisition of the real estate of Maryland Live! Hotel &amp; Casino and Pittsburgh Live! Casino, which both have ground leases as well as higher land right amortization due to the acquisition of Tropicana Evansville on June 3, 2021 and a $2.7 million accelerated write-off due to a partial donation of leased land that occurred in the first quarter of 2022, and higher depreciation expense of $1.9 million as compared to the corresponding period in the prior year due to our recent acquisitions partially offset by the sale of the operations of Hollywood Casino Perryville and Hollywood Casino Baton Rouge</w:t>
      </w:r>
    </w:p>
    <w:p>
      <w:pPr>
        <w:spacing w:after="0" w:line="203" w:lineRule="exact"/>
        <w:rPr>
          <w:rFonts w:ascii="Arial" w:cs="Arial" w:eastAsia="Arial" w:hAnsi="Arial"/>
          <w:sz w:val="16"/>
          <w:szCs w:val="16"/>
          <w:color w:val="auto"/>
        </w:rPr>
      </w:pPr>
    </w:p>
    <w:p>
      <w:pPr>
        <w:ind w:left="620" w:hanging="305"/>
        <w:spacing w:after="0" w:line="317"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expenses increased by $5.7 million and $23.3 million for the three and nine months ended September 30, 2022, due to higher interest expense associated with the increased borrowings to fund our recent acquisitions and to a lesser extent a debt extinguishment charge of $2.2 million.</w:t>
      </w:r>
    </w:p>
    <w:p>
      <w:pPr>
        <w:spacing w:after="0" w:line="162" w:lineRule="exact"/>
        <w:rPr>
          <w:rFonts w:ascii="Arial" w:cs="Arial" w:eastAsia="Arial" w:hAnsi="Arial"/>
          <w:sz w:val="16"/>
          <w:szCs w:val="16"/>
          <w:color w:val="auto"/>
        </w:rPr>
      </w:pPr>
    </w:p>
    <w:p>
      <w:pPr>
        <w:jc w:val="both"/>
        <w:ind w:left="620" w:hanging="305"/>
        <w:spacing w:after="0" w:line="26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Income tax expense increased by $9.6 million and $4.6 million for the three and nine months ended September 30, 2022, as compared to the corresponding periods in the prior year due to the sale of Tropicana Las Vegas building to Bally's. Income tax expense for the prior year was primarily due to the sale of the operations of Hollywood Casino Perryville and Hollywood Casino Baton Rouge.</w:t>
      </w:r>
    </w:p>
    <w:p>
      <w:pPr>
        <w:spacing w:after="0" w:line="198"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income increased by $77.2 million and $89.2 million for the three and nine months ended September 30, 2022, as compared to the corresponding periods in the prior year, primarily due to the variances explained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78"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7"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are the most important factors and trends that contribute or may contribute to our operating performance:</w:t>
      </w:r>
    </w:p>
    <w:p>
      <w:pPr>
        <w:spacing w:after="0" w:line="245" w:lineRule="exact"/>
        <w:rPr>
          <w:sz w:val="20"/>
          <w:szCs w:val="20"/>
          <w:color w:val="auto"/>
        </w:rPr>
      </w:pPr>
    </w:p>
    <w:p>
      <w:pPr>
        <w:ind w:left="620" w:hanging="305"/>
        <w:spacing w:after="0" w:line="284"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85" w:lineRule="exact"/>
        <w:rPr>
          <w:rFonts w:ascii="Arial" w:cs="Arial" w:eastAsia="Arial" w:hAnsi="Arial"/>
          <w:sz w:val="17"/>
          <w:szCs w:val="17"/>
          <w:color w:val="auto"/>
        </w:rPr>
      </w:pPr>
    </w:p>
    <w:p>
      <w:pPr>
        <w:ind w:left="620" w:hanging="305"/>
        <w:spacing w:after="0" w:line="284"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Several wholly-owned subsidiaries of PENN lease a substantial number of our properties pursuant to two master leases and three single property leases and account for a significant portion of our revenue.</w:t>
      </w:r>
    </w:p>
    <w:p>
      <w:pPr>
        <w:spacing w:after="0" w:line="185" w:lineRule="exact"/>
        <w:rPr>
          <w:rFonts w:ascii="Arial" w:cs="Arial" w:eastAsia="Arial" w:hAnsi="Arial"/>
          <w:sz w:val="17"/>
          <w:szCs w:val="17"/>
          <w:color w:val="auto"/>
        </w:rPr>
      </w:pPr>
    </w:p>
    <w:p>
      <w:pPr>
        <w:jc w:val="both"/>
        <w:ind w:left="620" w:hanging="305"/>
        <w:spacing w:after="0" w:line="264"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risks related to economic conditions, including uncertainty related to COVID-19, recent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203"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refinance our significant levels of debt at attractive terms and obtain favorable funding in connection with future business opportunities.</w:t>
      </w:r>
    </w:p>
    <w:p>
      <w:pPr>
        <w:spacing w:after="0" w:line="230" w:lineRule="exact"/>
        <w:rPr>
          <w:rFonts w:ascii="Arial" w:cs="Arial" w:eastAsia="Arial" w:hAnsi="Arial"/>
          <w:sz w:val="16"/>
          <w:szCs w:val="16"/>
          <w:color w:val="auto"/>
        </w:rPr>
      </w:pPr>
    </w:p>
    <w:p>
      <w:pPr>
        <w:jc w:val="both"/>
        <w:ind w:left="620" w:hanging="305"/>
        <w:spacing w:after="0" w:line="294" w:lineRule="auto"/>
        <w:tabs>
          <w:tab w:leader="none" w:pos="6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results of operations for the three and nine months ended September 30, 2022 and 2021 are summarized below:</w:t>
      </w: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179"/>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25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25"/>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87"/>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918,016</w:t>
            </w:r>
          </w:p>
        </w:tc>
      </w:tr>
      <w:tr>
        <w:trPr>
          <w:trHeight w:val="22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280,692</w:t>
            </w:r>
          </w:p>
        </w:tc>
      </w:tr>
      <w:tr>
        <w:trPr>
          <w:trHeight w:val="21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637,324</w:t>
            </w:r>
          </w:p>
        </w:tc>
      </w:tr>
      <w:tr>
        <w:trPr>
          <w:trHeight w:val="22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(211,074)</w:t>
            </w:r>
          </w:p>
        </w:tc>
      </w:tr>
      <w:tr>
        <w:trPr>
          <w:trHeight w:val="21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426,250</w:t>
            </w:r>
          </w:p>
        </w:tc>
      </w:tr>
      <w:tr>
        <w:trPr>
          <w:trHeight w:val="22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11,791</w:t>
            </w:r>
          </w:p>
        </w:tc>
      </w:tr>
      <w:tr>
        <w:trPr>
          <w:trHeight w:val="21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414,459</w:t>
            </w:r>
          </w:p>
        </w:tc>
      </w:tr>
      <w:tr>
        <w:trPr>
          <w:trHeight w:val="169"/>
        </w:trPr>
        <w:tc>
          <w:tcPr>
            <w:tcW w:w="4560" w:type="dxa"/>
            <w:vAlign w:val="bottom"/>
          </w:tcPr>
          <w:p>
            <w:pPr>
              <w:ind w:left="20"/>
              <w:spacing w:after="0" w:line="169" w:lineRule="exact"/>
              <w:rPr>
                <w:sz w:val="20"/>
                <w:szCs w:val="20"/>
                <w:color w:val="auto"/>
              </w:rPr>
            </w:pPr>
            <w:r>
              <w:rPr>
                <w:rFonts w:ascii="Arial" w:cs="Arial" w:eastAsia="Arial" w:hAnsi="Arial"/>
                <w:sz w:val="17"/>
                <w:szCs w:val="17"/>
                <w:color w:val="auto"/>
              </w:rPr>
              <w:t>Net income attributable to non-controlling interest in the</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3"/>
        </w:trPr>
        <w:tc>
          <w:tcPr>
            <w:tcW w:w="4560" w:type="dxa"/>
            <w:vAlign w:val="bottom"/>
          </w:tcPr>
          <w:p>
            <w:pPr>
              <w:ind w:left="20"/>
              <w:spacing w:after="0"/>
              <w:rPr>
                <w:sz w:val="20"/>
                <w:szCs w:val="20"/>
                <w:color w:val="auto"/>
              </w:rPr>
            </w:pPr>
            <w:r>
              <w:rPr>
                <w:rFonts w:ascii="Arial" w:cs="Arial" w:eastAsia="Arial" w:hAnsi="Arial"/>
                <w:sz w:val="17"/>
                <w:szCs w:val="17"/>
                <w:color w:val="auto"/>
              </w:rPr>
              <w:t>Operating Partnership</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414,459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FFO, AFFO and Adjusted EBITDA</w:t>
      </w:r>
    </w:p>
    <w:p>
      <w:pPr>
        <w:spacing w:after="0" w:line="225"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09"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rights; accretion on investment in leases, financing receivables; non-cash adjustments to financing lease liabilities; impairment charges; straight-line rent adjustments; (gains) or losses on sales of operations, net of tax; losses on debt extinguishment; and provision for credit losses, net, reduced by maintenance capital expenditures. Finally, we define Adjusted EBITDA as net income excluding, as applicable to the particular period, interest, net; income tax expense; real estate depreciation; other depreciation; (gains) or losses from dispositions of property, net of tax; (gains) or losses on sales of operations, net of tax; stock based compensation expense; straight-line rent adjustments; amortization of land rights; accretion on Investment in leases, financing receivables; non-cash adjustments to financing lease liabilities; impairment charges; losses on debt extinguishment; and provision for credit losses, net.</w:t>
      </w:r>
    </w:p>
    <w:p>
      <w:pPr>
        <w:spacing w:after="0" w:line="195"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4" w:lineRule="exact"/>
        <w:rPr>
          <w:sz w:val="20"/>
          <w:szCs w:val="20"/>
          <w:color w:val="auto"/>
        </w:rPr>
      </w:pPr>
    </w:p>
    <w:p>
      <w:pPr>
        <w:ind w:right="140" w:firstLine="662"/>
        <w:spacing w:after="0" w:line="272" w:lineRule="auto"/>
        <w:rPr>
          <w:sz w:val="20"/>
          <w:szCs w:val="20"/>
          <w:color w:val="auto"/>
        </w:rPr>
      </w:pPr>
      <w:r>
        <w:rPr>
          <w:rFonts w:ascii="Arial" w:cs="Arial" w:eastAsia="Arial" w:hAnsi="Arial"/>
          <w:sz w:val="17"/>
          <w:szCs w:val="17"/>
          <w:color w:val="auto"/>
        </w:rPr>
        <w:t>The reconciliation of the Company’s net income per GAAP to FFO, AFFO, and Adjusted EBITDA for the three and nine months ended September 30, 2022 and 2021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22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2"/>
        </w:trPr>
        <w:tc>
          <w:tcPr>
            <w:tcW w:w="5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23"/>
                <w:szCs w:val="23"/>
                <w:color w:val="auto"/>
              </w:rPr>
            </w:pPr>
          </w:p>
        </w:tc>
      </w:tr>
      <w:tr>
        <w:trPr>
          <w:trHeight w:val="25"/>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0"/>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87"/>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226,219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149,059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503,698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414,459</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(Gains) or losses from dispositions of property, net of tax</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(52,793)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(52,844)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917</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172,377</w:t>
            </w:r>
          </w:p>
        </w:tc>
      </w:tr>
      <w:tr>
        <w:trPr>
          <w:trHeight w:val="213"/>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Funds from operations</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232,842</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209,088</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628,423</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587,753</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Straight-line rent adjustments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Other depreciation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4,656</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provision for credit losses, net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Amortization of land rights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9,171</w:t>
            </w: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3"/>
        </w:trPr>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Accretion on investment in leases, financing receivables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Stock based compensation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13,186</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operations, net of tax of $4.3 million</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(11,290)</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Losses on debt extinguishment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 on land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funds from operations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235,040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207,162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685,225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606,687</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Interest,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70,426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230,133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211,074</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7,442</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1,655</w:t>
            </w: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3"/>
        </w:trPr>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(7,598)</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(7,410)</w:t>
            </w:r>
          </w:p>
        </w:tc>
      </w:tr>
      <w:tr>
        <w:trPr>
          <w:trHeight w:val="213"/>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308,795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276,686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909,656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819,448</w:t>
            </w: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Net income, FFO, AFFO and Adjusted EBITDA were $226.2 million, $232.8 million, $235.0 million, and $308.8 million for the three months ended September 30, 2022. This compares to net income, FFO, AFFO and Adjusted EBITDA of $149.1 million, $209.1 million, $207.2 million and $276.7 million for the corresponding period in the prior year. The increase in net income was primarily attributable to higher total revenues of $35.1 million and lower operating expenses of $57.4 million as compared to the corresponding period in the prior year. These benefits were partially offset by higher interest expense of $6.1 million to partially fund our recent acquisitions and higher income tax expense of $9.6 million related to the sale of the Tropicana Las Vegas building to Bally's as compared to the corresponding period in the prior year.</w:t>
      </w:r>
    </w:p>
    <w:p>
      <w:pPr>
        <w:spacing w:after="0" w:line="207"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Net income, FFO, AFFO and Adjusted EBITDA were $503.7 million, $628.4 million, $685.2 million, and $909.7 million for the nine months ended September 30, 2022. This compares to net income, FFO, AFFO and Adjusted EBITDA of $414.5 million, $587.8 million, $606.7 million and $819.4 million for the corresponding period in the prior year. The increase in net income was primarily attributable to higher total revenue of $57.3 million and lower operating expenses of $59.9 million as compared to the corresponding period in the prior year. These benefits were partially offset by higher interest expense of $21.5 million to partially fund our recent acquisitions and higher income tax expense of $4.6 million related to the sale of the Tropicana Las Vegas building to Bally's as compared to the corresponding period in the prior year.</w:t>
      </w:r>
    </w:p>
    <w:p>
      <w:pPr>
        <w:spacing w:after="0" w:line="207"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The increases in FFO for the three and nine months ended September 30, 2022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for the three and nine months ended September 30, 2022 and 2021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36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2"/>
              </w:rPr>
              <w:t>13,526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20"/>
        </w:trPr>
        <w:tc>
          <w:tcPr>
            <w:tcW w:w="50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center"/>
              <w:ind w:left="436"/>
              <w:spacing w:after="0"/>
              <w:rPr>
                <w:sz w:val="20"/>
                <w:szCs w:val="20"/>
                <w:color w:val="auto"/>
              </w:rPr>
            </w:pPr>
            <w:r>
              <w:rPr>
                <w:rFonts w:ascii="Arial" w:cs="Arial" w:eastAsia="Arial" w:hAnsi="Arial"/>
                <w:sz w:val="17"/>
                <w:szCs w:val="17"/>
                <w:color w:val="auto"/>
                <w:w w:val="92"/>
              </w:rPr>
              <w:t>37,039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income from real estate</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92"/>
              </w:rPr>
              <w:t>50,565</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17.9 %</w:t>
            </w:r>
          </w:p>
        </w:tc>
        <w:tc>
          <w:tcPr>
            <w:tcW w:w="0" w:type="dxa"/>
            <w:vAlign w:val="bottom"/>
          </w:tcPr>
          <w:p>
            <w:pPr>
              <w:spacing w:after="0"/>
              <w:rPr>
                <w:sz w:val="1"/>
                <w:szCs w:val="1"/>
                <w:color w:val="auto"/>
              </w:rPr>
            </w:pPr>
          </w:p>
        </w:tc>
      </w:tr>
      <w:tr>
        <w:trPr>
          <w:trHeight w:val="220"/>
        </w:trPr>
        <w:tc>
          <w:tcPr>
            <w:tcW w:w="5040" w:type="dxa"/>
            <w:vAlign w:val="bottom"/>
          </w:tcPr>
          <w:p>
            <w:pPr>
              <w:ind w:left="180"/>
              <w:spacing w:after="0"/>
              <w:rPr>
                <w:sz w:val="20"/>
                <w:szCs w:val="20"/>
                <w:color w:val="auto"/>
              </w:rPr>
            </w:pPr>
            <w:r>
              <w:rPr>
                <w:rFonts w:ascii="Arial" w:cs="Arial" w:eastAsia="Arial" w:hAnsi="Arial"/>
                <w:sz w:val="17"/>
                <w:szCs w:val="17"/>
                <w:color w:val="auto"/>
              </w:rPr>
              <w:t>Gaming, food, beverage and other</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left="396"/>
              <w:spacing w:after="0"/>
              <w:rPr>
                <w:sz w:val="20"/>
                <w:szCs w:val="20"/>
                <w:color w:val="auto"/>
              </w:rPr>
            </w:pPr>
            <w:r>
              <w:rPr>
                <w:rFonts w:ascii="Arial" w:cs="Arial" w:eastAsia="Arial" w:hAnsi="Arial"/>
                <w:sz w:val="17"/>
                <w:szCs w:val="17"/>
                <w:color w:val="auto"/>
                <w:w w:val="94"/>
              </w:rPr>
              <w:t>(15,459)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92"/>
              </w:rPr>
              <w:t>35,106</w:t>
            </w:r>
          </w:p>
        </w:tc>
        <w:tc>
          <w:tcPr>
            <w:tcW w:w="1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36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0"/>
        </w:trPr>
        <w:tc>
          <w:tcPr>
            <w:tcW w:w="4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6.4 %</w:t>
            </w: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101,167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101,167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income from real estate</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821,197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154,100</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18.8 %</w:t>
            </w: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Arial" w:cs="Arial" w:eastAsia="Arial" w:hAnsi="Arial"/>
                <w:sz w:val="17"/>
                <w:szCs w:val="17"/>
                <w:color w:val="auto"/>
              </w:rPr>
              <w:t>Gaming, food, beverage and other</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(96,819)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918,016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57,281</w:t>
            </w:r>
          </w:p>
        </w:tc>
        <w:tc>
          <w:tcPr>
            <w:tcW w:w="1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income from real estate</w:t>
      </w:r>
    </w:p>
    <w:p>
      <w:pPr>
        <w:spacing w:after="0" w:line="225"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For the three and nine months ended September 30, 2022 and 2021, total income from real estate was $333.8 million and $975.3 million compared to $283.3 million and $821.2 million for the corresponding periods in the prior year. 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firstLine="622"/>
        <w:spacing w:after="0" w:line="295" w:lineRule="auto"/>
        <w:rPr>
          <w:sz w:val="20"/>
          <w:szCs w:val="20"/>
          <w:color w:val="auto"/>
        </w:rPr>
      </w:pPr>
      <w:r>
        <w:rPr>
          <w:rFonts w:ascii="Arial" w:cs="Arial" w:eastAsia="Arial" w:hAnsi="Arial"/>
          <w:sz w:val="15"/>
          <w:szCs w:val="15"/>
          <w:color w:val="auto"/>
        </w:rPr>
        <w:t>Total income from real estate increased $50.6 million, or 17.9%, for the three months ended September 30, 2022 and $154.1 million or 18.8% for the nine months ended September 30, 2022 as compared to the corresponding periods in the prior year. Results for the three and nine months ended September 30, 2022 benefited from the additions of the Maryland Live! Lease, the Pennsylvania Live! Master Lease, the Casino Queen Master Lease, and the Bally's Master Lease, which in the aggregate increased cash rental income by $35.6 million and $119.5 million for the three and nine months ended September 30, 2022. The three and nine months ended September 30, 2022, benefited from full escalations being incurred on the Amended Pinnacle Master Lease, the Boyd Master Lease and the Belterra Park Lease effective May 1, 2021, and the PENN Master Lease effective November 1, 2021 which increased building base rents by $3.0 million and $8.8 million for the three and nine months ended September 30, 2022, respectively. The Company also recognized accretion of $5.2 million and $14.1 million on its Investments in leases, financing receivables, for the three and nine months ended September 30, 2022, respectively, and favorable straight-line rent adjustments of $2.2 million and unfavorable adjustments of $1.0 million compared to the corresponding periods in the prior year. Additionally, the Company had higher ground rent income of $3.2 million and $11.8 million as discussed above for the three and nine months ended September 30, 2022 due to the addition of the Bally's Master Lease, the Maryland Live! Lease and the Pennsylvania Live! Master Lease which contained properties with ground leases.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Details of the Company's income from real estate for the three and nine months ended September 30, 2022 was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Building base</w:t>
            </w:r>
          </w:p>
        </w:tc>
        <w:tc>
          <w:tcPr>
            <w:tcW w:w="160" w:type="dxa"/>
            <w:vAlign w:val="bottom"/>
          </w:tcPr>
          <w:p>
            <w:pPr>
              <w:spacing w:after="0"/>
              <w:rPr>
                <w:sz w:val="14"/>
                <w:szCs w:val="14"/>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3"/>
              </w:rPr>
              <w:t>Land base</w:t>
            </w:r>
          </w:p>
        </w:tc>
        <w:tc>
          <w:tcPr>
            <w:tcW w:w="160" w:type="dxa"/>
            <w:vAlign w:val="bottom"/>
          </w:tcPr>
          <w:p>
            <w:pPr>
              <w:spacing w:after="0"/>
              <w:rPr>
                <w:sz w:val="14"/>
                <w:szCs w:val="14"/>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4"/>
                <w:szCs w:val="14"/>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Total cash</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Straight-line</w:t>
            </w:r>
          </w:p>
        </w:tc>
        <w:tc>
          <w:tcPr>
            <w:tcW w:w="94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Ground rent</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Accretion on</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Other rental</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Total income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6"/>
              <w:spacing w:after="0" w:line="139" w:lineRule="exact"/>
              <w:rPr>
                <w:sz w:val="20"/>
                <w:szCs w:val="20"/>
                <w:color w:val="auto"/>
              </w:rPr>
            </w:pPr>
            <w:r>
              <w:rPr>
                <w:rFonts w:ascii="Arial" w:cs="Arial" w:eastAsia="Arial" w:hAnsi="Arial"/>
                <w:sz w:val="14"/>
                <w:szCs w:val="14"/>
                <w:b w:val="1"/>
                <w:bCs w:val="1"/>
                <w:color w:val="auto"/>
                <w:w w:val="90"/>
              </w:rPr>
              <w:t>rent</w:t>
            </w: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5"/>
              <w:spacing w:after="0" w:line="139" w:lineRule="exact"/>
              <w:rPr>
                <w:sz w:val="20"/>
                <w:szCs w:val="20"/>
                <w:color w:val="auto"/>
              </w:rPr>
            </w:pPr>
            <w:r>
              <w:rPr>
                <w:rFonts w:ascii="Arial" w:cs="Arial" w:eastAsia="Arial" w:hAnsi="Arial"/>
                <w:sz w:val="14"/>
                <w:szCs w:val="14"/>
                <w:b w:val="1"/>
                <w:bCs w:val="1"/>
                <w:color w:val="auto"/>
                <w:w w:val="89"/>
              </w:rPr>
              <w:t>financing</w:t>
            </w: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56"/>
              <w:spacing w:after="0" w:line="139" w:lineRule="exact"/>
              <w:rPr>
                <w:sz w:val="20"/>
                <w:szCs w:val="20"/>
                <w:color w:val="auto"/>
              </w:rPr>
            </w:pPr>
            <w:r>
              <w:rPr>
                <w:rFonts w:ascii="Arial" w:cs="Arial" w:eastAsia="Arial" w:hAnsi="Arial"/>
                <w:sz w:val="14"/>
                <w:szCs w:val="14"/>
                <w:b w:val="1"/>
                <w:bCs w:val="1"/>
                <w:color w:val="auto"/>
                <w:w w:val="93"/>
              </w:rPr>
              <w:t>from real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15"/>
              <w:spacing w:after="0" w:line="123"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Pr>
          <w:p>
            <w:pPr>
              <w:spacing w:after="0"/>
              <w:rPr>
                <w:sz w:val="12"/>
                <w:szCs w:val="12"/>
                <w:color w:val="auto"/>
              </w:rPr>
            </w:pPr>
          </w:p>
        </w:tc>
        <w:tc>
          <w:tcPr>
            <w:tcW w:w="740" w:type="dxa"/>
            <w:vAlign w:val="bottom"/>
          </w:tcPr>
          <w:p>
            <w:pPr>
              <w:jc w:val="right"/>
              <w:ind w:right="236"/>
              <w:spacing w:after="0" w:line="123" w:lineRule="exact"/>
              <w:rPr>
                <w:sz w:val="20"/>
                <w:szCs w:val="20"/>
                <w:color w:val="auto"/>
              </w:rPr>
            </w:pPr>
            <w:r>
              <w:rPr>
                <w:rFonts w:ascii="Arial" w:cs="Arial" w:eastAsia="Arial" w:hAnsi="Arial"/>
                <w:sz w:val="14"/>
                <w:szCs w:val="14"/>
                <w:b w:val="1"/>
                <w:bCs w:val="1"/>
                <w:color w:val="auto"/>
              </w:rPr>
              <w:t>rent</w:t>
            </w:r>
          </w:p>
        </w:tc>
        <w:tc>
          <w:tcPr>
            <w:tcW w:w="160" w:type="dxa"/>
            <w:vAlign w:val="bottom"/>
          </w:tcPr>
          <w:p>
            <w:pPr>
              <w:spacing w:after="0"/>
              <w:rPr>
                <w:sz w:val="12"/>
                <w:szCs w:val="12"/>
                <w:color w:val="auto"/>
              </w:rPr>
            </w:pPr>
          </w:p>
        </w:tc>
        <w:tc>
          <w:tcPr>
            <w:tcW w:w="760" w:type="dxa"/>
            <w:vAlign w:val="bottom"/>
          </w:tcPr>
          <w:p>
            <w:pPr>
              <w:jc w:val="center"/>
              <w:ind w:right="36"/>
              <w:spacing w:after="0" w:line="123"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Pr>
          <w:p>
            <w:pPr>
              <w:spacing w:after="0"/>
              <w:rPr>
                <w:sz w:val="12"/>
                <w:szCs w:val="12"/>
                <w:color w:val="auto"/>
              </w:rPr>
            </w:pPr>
          </w:p>
        </w:tc>
        <w:tc>
          <w:tcPr>
            <w:tcW w:w="780" w:type="dxa"/>
            <w:vAlign w:val="bottom"/>
          </w:tcPr>
          <w:p>
            <w:pPr>
              <w:jc w:val="right"/>
              <w:ind w:right="156"/>
              <w:spacing w:after="0" w:line="123" w:lineRule="exact"/>
              <w:rPr>
                <w:sz w:val="20"/>
                <w:szCs w:val="20"/>
                <w:color w:val="auto"/>
              </w:rPr>
            </w:pPr>
            <w:r>
              <w:rPr>
                <w:rFonts w:ascii="Arial" w:cs="Arial" w:eastAsia="Arial" w:hAnsi="Arial"/>
                <w:sz w:val="14"/>
                <w:szCs w:val="14"/>
                <w:b w:val="1"/>
                <w:bCs w:val="1"/>
                <w:color w:val="auto"/>
              </w:rPr>
              <w:t>income</w:t>
            </w:r>
          </w:p>
        </w:tc>
        <w:tc>
          <w:tcPr>
            <w:tcW w:w="96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820" w:type="dxa"/>
            <w:vAlign w:val="bottom"/>
            <w:gridSpan w:val="2"/>
          </w:tcPr>
          <w:p>
            <w:pPr>
              <w:jc w:val="right"/>
              <w:ind w:right="74"/>
              <w:spacing w:after="0" w:line="123" w:lineRule="exact"/>
              <w:rPr>
                <w:sz w:val="20"/>
                <w:szCs w:val="20"/>
                <w:color w:val="auto"/>
              </w:rPr>
            </w:pPr>
            <w:r>
              <w:rPr>
                <w:rFonts w:ascii="Arial" w:cs="Arial" w:eastAsia="Arial" w:hAnsi="Arial"/>
                <w:sz w:val="14"/>
                <w:szCs w:val="14"/>
                <w:b w:val="1"/>
                <w:bCs w:val="1"/>
                <w:color w:val="auto"/>
                <w:w w:val="91"/>
              </w:rPr>
              <w:t>in revenue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35"/>
              <w:spacing w:after="0" w:line="123"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700" w:type="dxa"/>
            <w:vAlign w:val="bottom"/>
          </w:tcPr>
          <w:p>
            <w:pPr>
              <w:jc w:val="center"/>
              <w:ind w:right="35"/>
              <w:spacing w:after="0" w:line="123" w:lineRule="exact"/>
              <w:rPr>
                <w:sz w:val="20"/>
                <w:szCs w:val="20"/>
                <w:color w:val="auto"/>
              </w:rPr>
            </w:pPr>
            <w:r>
              <w:rPr>
                <w:rFonts w:ascii="Arial" w:cs="Arial" w:eastAsia="Arial" w:hAnsi="Arial"/>
                <w:sz w:val="14"/>
                <w:szCs w:val="14"/>
                <w:b w:val="1"/>
                <w:bCs w:val="1"/>
                <w:color w:val="auto"/>
                <w:w w:val="85"/>
              </w:rPr>
              <w:t>revenue</w:t>
            </w:r>
          </w:p>
        </w:tc>
        <w:tc>
          <w:tcPr>
            <w:tcW w:w="180" w:type="dxa"/>
            <w:vAlign w:val="bottom"/>
          </w:tcPr>
          <w:p>
            <w:pPr>
              <w:spacing w:after="0"/>
              <w:rPr>
                <w:sz w:val="12"/>
                <w:szCs w:val="12"/>
                <w:color w:val="auto"/>
              </w:rPr>
            </w:pPr>
          </w:p>
        </w:tc>
        <w:tc>
          <w:tcPr>
            <w:tcW w:w="780" w:type="dxa"/>
            <w:vAlign w:val="bottom"/>
          </w:tcPr>
          <w:p>
            <w:pPr>
              <w:jc w:val="center"/>
              <w:ind w:right="36"/>
              <w:spacing w:after="0" w:line="123" w:lineRule="exact"/>
              <w:rPr>
                <w:sz w:val="20"/>
                <w:szCs w:val="20"/>
                <w:color w:val="auto"/>
              </w:rPr>
            </w:pPr>
            <w:r>
              <w:rPr>
                <w:rFonts w:ascii="Arial" w:cs="Arial" w:eastAsia="Arial" w:hAnsi="Arial"/>
                <w:sz w:val="14"/>
                <w:szCs w:val="14"/>
                <w:b w:val="1"/>
                <w:bCs w:val="1"/>
                <w:color w:val="auto"/>
                <w:w w:val="83"/>
              </w:rPr>
              <w:t>estate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Master Lease</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119,492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Amended Pinnacle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59,095</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17,814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7,164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84,073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88,016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Meadows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PENN Morgantown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761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Perryville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Caesars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15,629</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5,932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21,561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24,528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Lumiere Place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Boyd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19,675</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2,946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2,566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25,187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26,193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Boyd Belterra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Bally's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13,338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13,338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15,883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Maryland Live!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Pennsylvania Live!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12,500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12,500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2,069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14,867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Casino Queen Master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Tropicana Las Vegas Lease</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Building base</w:t>
            </w:r>
          </w:p>
        </w:tc>
        <w:tc>
          <w:tcPr>
            <w:tcW w:w="160" w:type="dxa"/>
            <w:vAlign w:val="bottom"/>
          </w:tcPr>
          <w:p>
            <w:pPr>
              <w:spacing w:after="0"/>
              <w:rPr>
                <w:sz w:val="18"/>
                <w:szCs w:val="18"/>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Land base</w:t>
            </w:r>
          </w:p>
        </w:tc>
        <w:tc>
          <w:tcPr>
            <w:tcW w:w="16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8"/>
                <w:szCs w:val="18"/>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Total cash</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Straight-line</w:t>
            </w:r>
          </w:p>
        </w:tc>
        <w:tc>
          <w:tcPr>
            <w:tcW w:w="12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Ground rent</w:t>
            </w: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Accretion on</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Other rental</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Total income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rent</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financing</w:t>
            </w: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76"/>
              <w:spacing w:after="0" w:line="143" w:lineRule="exact"/>
              <w:rPr>
                <w:sz w:val="20"/>
                <w:szCs w:val="20"/>
                <w:color w:val="auto"/>
              </w:rPr>
            </w:pPr>
            <w:r>
              <w:rPr>
                <w:rFonts w:ascii="Arial" w:cs="Arial" w:eastAsia="Arial" w:hAnsi="Arial"/>
                <w:sz w:val="14"/>
                <w:szCs w:val="14"/>
                <w:b w:val="1"/>
                <w:bCs w:val="1"/>
                <w:color w:val="auto"/>
                <w:w w:val="90"/>
              </w:rPr>
              <w:t>from real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Pr>
          <w:p>
            <w:pPr>
              <w:spacing w:after="0"/>
              <w:rPr>
                <w:sz w:val="12"/>
                <w:szCs w:val="12"/>
                <w:color w:val="auto"/>
              </w:rPr>
            </w:pPr>
          </w:p>
        </w:tc>
        <w:tc>
          <w:tcPr>
            <w:tcW w:w="74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rent</w:t>
            </w:r>
          </w:p>
        </w:tc>
        <w:tc>
          <w:tcPr>
            <w:tcW w:w="16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Pr>
          <w:p>
            <w:pPr>
              <w:spacing w:after="0"/>
              <w:rPr>
                <w:sz w:val="12"/>
                <w:szCs w:val="12"/>
                <w:color w:val="auto"/>
              </w:rPr>
            </w:pPr>
          </w:p>
        </w:tc>
        <w:tc>
          <w:tcPr>
            <w:tcW w:w="780" w:type="dxa"/>
            <w:vAlign w:val="bottom"/>
          </w:tcPr>
          <w:p>
            <w:pPr>
              <w:jc w:val="right"/>
              <w:ind w:right="136"/>
              <w:spacing w:after="0" w:line="143"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in revenue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70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w w:val="85"/>
              </w:rPr>
              <w:t>revenue</w:t>
            </w:r>
          </w:p>
        </w:tc>
        <w:tc>
          <w:tcPr>
            <w:tcW w:w="180" w:type="dxa"/>
            <w:vAlign w:val="bottom"/>
          </w:tcPr>
          <w:p>
            <w:pPr>
              <w:spacing w:after="0"/>
              <w:rPr>
                <w:sz w:val="12"/>
                <w:szCs w:val="12"/>
                <w:color w:val="auto"/>
              </w:rPr>
            </w:pPr>
          </w:p>
        </w:tc>
        <w:tc>
          <w:tcPr>
            <w:tcW w:w="780" w:type="dxa"/>
            <w:vAlign w:val="bottom"/>
          </w:tcPr>
          <w:p>
            <w:pPr>
              <w:jc w:val="center"/>
              <w:ind w:right="76"/>
              <w:spacing w:after="0" w:line="143" w:lineRule="exact"/>
              <w:rPr>
                <w:sz w:val="20"/>
                <w:szCs w:val="20"/>
                <w:color w:val="auto"/>
              </w:rPr>
            </w:pPr>
            <w:r>
              <w:rPr>
                <w:rFonts w:ascii="Arial" w:cs="Arial" w:eastAsia="Arial" w:hAnsi="Arial"/>
                <w:sz w:val="14"/>
                <w:szCs w:val="14"/>
                <w:b w:val="1"/>
                <w:bCs w:val="1"/>
                <w:color w:val="auto"/>
                <w:w w:val="83"/>
              </w:rPr>
              <w:t>estate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Master Lease</w:t>
            </w:r>
          </w:p>
        </w:tc>
        <w:tc>
          <w:tcPr>
            <w:tcW w:w="22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213,746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70,477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357,712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1,923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351,329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Amended Pinnacle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175,740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53,442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20,866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250,048</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(3,352)</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5,969</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252,665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 Meadows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18,642</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1,717</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PENN Morgantown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2,285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2,285</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2,285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PENN Perryville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5,849</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Caesars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46,886</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17,796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64,682</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7,768</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1,134</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73,584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Lumiere Place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17,317</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Boyd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58,510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8,839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7,558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74,907</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1,722</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1,297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77,926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Boyd Belterra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Bally's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36,338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36,338</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7,066</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43,404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Maryland Live!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6,366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7"/>
                <w:szCs w:val="17"/>
                <w:color w:val="auto"/>
              </w:rPr>
              <w:t>Pennsylvania Live! Master Lease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29,167</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29,167</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7"/>
              <w:spacing w:after="0"/>
              <w:rPr>
                <w:sz w:val="20"/>
                <w:szCs w:val="20"/>
                <w:color w:val="auto"/>
              </w:rPr>
            </w:pPr>
            <w:r>
              <w:rPr>
                <w:rFonts w:ascii="Arial" w:cs="Arial" w:eastAsia="Arial" w:hAnsi="Arial"/>
                <w:sz w:val="17"/>
                <w:szCs w:val="17"/>
                <w:color w:val="auto"/>
              </w:rPr>
              <w:t>699</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4,761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34,627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Casino Queen Master Lease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Tropicana Las Vegas Lease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668,860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934,812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7"/>
                <w:szCs w:val="17"/>
                <w:color w:val="auto"/>
              </w:rPr>
              <w:t>24,454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80" w:lineRule="exact"/>
        <w:rPr>
          <w:sz w:val="20"/>
          <w:szCs w:val="20"/>
          <w:color w:val="auto"/>
        </w:rPr>
      </w:pPr>
    </w:p>
    <w:p>
      <w:pPr>
        <w:jc w:val="both"/>
        <w:ind w:firstLine="622"/>
        <w:spacing w:after="0" w:line="354" w:lineRule="auto"/>
        <w:rPr>
          <w:sz w:val="20"/>
          <w:szCs w:val="20"/>
          <w:color w:val="auto"/>
        </w:rPr>
      </w:pPr>
      <w:r>
        <w:rPr>
          <w:rFonts w:ascii="Arial" w:cs="Arial" w:eastAsia="Arial" w:hAnsi="Arial"/>
          <w:sz w:val="15"/>
          <w:szCs w:val="15"/>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Gaming, food, beverage and other revenue</w:t>
      </w:r>
    </w:p>
    <w:p>
      <w:pPr>
        <w:spacing w:after="0" w:line="22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Gaming, food, beverage and other revenue decreased by $15.5 million and $96.8 million, for the three and nine months ended September 30, 2022, as compared to the corresponding periods in the prior years due to the sale of the operations of Hollywood Casino Perryville and Hollywood Casino Baton Rouge in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Operating expenses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Operating expenses for the three and nine months ended September 30, 2022 and 2021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Percentage</w:t>
            </w:r>
          </w:p>
        </w:tc>
      </w:tr>
      <w:tr>
        <w:trPr>
          <w:trHeight w:val="19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6"/>
                <w:szCs w:val="16"/>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Variance</w:t>
            </w:r>
          </w:p>
        </w:tc>
      </w:tr>
      <w:tr>
        <w:trPr>
          <w:trHeight w:val="25"/>
        </w:trPr>
        <w:tc>
          <w:tcPr>
            <w:tcW w:w="4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Gaming, food, beverage and other</w:t>
            </w:r>
          </w:p>
        </w:tc>
        <w:tc>
          <w:tcPr>
            <w:tcW w:w="2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5,766</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Land rights and ground lease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Pr>
          <w:p>
            <w:pPr>
              <w:spacing w:after="0"/>
              <w:rPr>
                <w:sz w:val="19"/>
                <w:szCs w:val="19"/>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9"/>
                <w:szCs w:val="19"/>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(Gains) and losses from dispositions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(67,430)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(14,815)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(52,615)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355.1 %</w:t>
            </w:r>
          </w:p>
        </w:tc>
        <w:tc>
          <w:tcPr>
            <w:tcW w:w="80" w:type="dxa"/>
            <w:vAlign w:val="bottom"/>
          </w:tcPr>
          <w:p>
            <w:pPr>
              <w:spacing w:after="0"/>
              <w:rPr>
                <w:sz w:val="19"/>
                <w:szCs w:val="19"/>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9"/>
                <w:szCs w:val="19"/>
                <w:color w:val="auto"/>
              </w:rPr>
            </w:pPr>
          </w:p>
        </w:tc>
      </w:tr>
      <w:tr>
        <w:trPr>
          <w:trHeight w:val="22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credit losses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9"/>
                <w:szCs w:val="19"/>
                <w:color w:val="auto"/>
              </w:rPr>
            </w:pPr>
          </w:p>
        </w:tc>
      </w:tr>
      <w:tr>
        <w:trPr>
          <w:trHeight w:val="23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16,252</w:t>
            </w: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73,613</w:t>
            </w:r>
          </w:p>
        </w:tc>
        <w:tc>
          <w:tcPr>
            <w:tcW w:w="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725"/>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r>
      <w:tr>
        <w:trPr>
          <w:trHeight w:val="19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Variance</w:t>
            </w:r>
          </w:p>
        </w:tc>
      </w:tr>
      <w:tr>
        <w:trPr>
          <w:trHeight w:val="25"/>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Gaming, food, beverage and other</w:t>
            </w: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48,074</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(48,074)</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Land rights and ground lease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12,840</w:t>
            </w:r>
          </w:p>
        </w:tc>
        <w:tc>
          <w:tcPr>
            <w:tcW w:w="2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7"/>
                <w:szCs w:val="17"/>
                <w:color w:val="auto"/>
              </w:rPr>
              <w:t>52.8 %</w:t>
            </w: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(5,965)</w:t>
            </w:r>
          </w:p>
        </w:tc>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(13.0)%</w:t>
            </w: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(Gains) losses from dispositions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(67,481)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(52,759)</w:t>
            </w:r>
          </w:p>
        </w:tc>
        <w:tc>
          <w:tcPr>
            <w:tcW w:w="2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7"/>
                <w:szCs w:val="17"/>
                <w:color w:val="auto"/>
              </w:rPr>
              <w:t>358.4 %</w:t>
            </w: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1,947</w:t>
            </w:r>
          </w:p>
        </w:tc>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1.1 %</w:t>
            </w: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Impairment charge on land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N/A</w:t>
            </w: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credit losses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N/A</w:t>
            </w:r>
          </w:p>
        </w:tc>
      </w:tr>
      <w:tr>
        <w:trPr>
          <w:trHeight w:val="213"/>
        </w:trPr>
        <w:tc>
          <w:tcPr>
            <w:tcW w:w="49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gridSpan w:val="2"/>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220,838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280,692</w:t>
            </w:r>
          </w:p>
        </w:tc>
        <w:tc>
          <w:tcPr>
            <w:tcW w:w="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(59,854)</w:t>
            </w:r>
          </w:p>
        </w:tc>
        <w:tc>
          <w:tcPr>
            <w:tcW w:w="2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7"/>
                <w:szCs w:val="17"/>
                <w:color w:val="auto"/>
              </w:rPr>
              <w:t>(21.3)%</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Gaming, food, beverage and other</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Gaming, food, beverage and other expenses decreased by $5.8 million and $48.1 million for the three and nine months ended September 30, 2022 as compared to the corresponding periods in the prior year due to the sale of the operations of Hollywood Casino Perryville and Hollywood Casino Baton Rouge during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Land rights and ground lease expense</w:t>
      </w:r>
    </w:p>
    <w:p>
      <w:pPr>
        <w:spacing w:after="0" w:line="251" w:lineRule="exact"/>
        <w:rPr>
          <w:sz w:val="20"/>
          <w:szCs w:val="20"/>
          <w:color w:val="auto"/>
        </w:rPr>
      </w:pPr>
    </w:p>
    <w:p>
      <w:pPr>
        <w:jc w:val="both"/>
        <w:ind w:firstLine="622"/>
        <w:spacing w:after="0" w:line="305" w:lineRule="auto"/>
        <w:rPr>
          <w:sz w:val="20"/>
          <w:szCs w:val="20"/>
          <w:color w:val="auto"/>
        </w:rPr>
      </w:pPr>
      <w:r>
        <w:rPr>
          <w:rFonts w:ascii="Arial" w:cs="Arial" w:eastAsia="Arial" w:hAnsi="Arial"/>
          <w:sz w:val="15"/>
          <w:szCs w:val="15"/>
          <w:color w:val="auto"/>
        </w:rPr>
        <w:t>Land rights and ground lease expense includes the amortization of land rights and rent expense related to the Company's long-term ground leases. Land rights and ground lease expense increased by $2.3 million and $12.8 million for the three and nine months ended September 30, 2022, as compared to the corresponding periods in the prior year. The increase is the result of higher rent expense due to the acquisition of the real estate of Maryland Live! Hotel &amp; Casino and Pittsburgh Live! Casino which both have ground leases as well as higher land right amortization due to the acquisition of Tropicana Evansville on June 3, 2021 and a $2.7 million accelerated write-off due to a partial donation of leased land which occurred during the three month period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 and Administrative Expense</w:t>
      </w:r>
    </w:p>
    <w:p>
      <w:pPr>
        <w:spacing w:after="0" w:line="251"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General and administrative expenses include items such as compensation costs (including stock based compensation), professional services and costs associated with development activities. General and administrative expenses decreased by $1.0 million and $6.0 million for the three and nine months ended September 30, 2022 as compared to the corresponding periods in the prior year. The reason for the decline for the three and nine months ended September 30, 2022 was primarily due to the sale of the operations of Hollywood Casino Perryville on July 1, 2021 and Hollywood Casino Baton Rouge on December 17, 2021 which lowered general and administrative expenses by $3.2 million and $15.3 million for the three and nine month periods ended September 30, 2022, which was partially offset by higher bonus expense and stock based compensation charges due to improved performance and higher valuations on the Company's equity awards as well as transaction related costs that did not qualify for capitalization.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Gains from dispositions</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three and nine months ended September 30, 2022, included a pre-tax gain of $67.4 million on the sale of the Tropicana Las Vegas building to Bally's. See Note 6 for further information related to this transaction. The three and nine months ended September 30, 2021 included a pre-tax gain of $15.6 million associated with the sale of the operations of Hollywood Casino Perryville which occurred on July 1,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Impairment charge on land</w:t>
      </w:r>
    </w:p>
    <w:p>
      <w:pPr>
        <w:spacing w:after="0" w:line="251" w:lineRule="exact"/>
        <w:rPr>
          <w:sz w:val="20"/>
          <w:szCs w:val="20"/>
          <w:color w:val="auto"/>
        </w:rPr>
      </w:pPr>
    </w:p>
    <w:p>
      <w:pPr>
        <w:jc w:val="both"/>
        <w:ind w:firstLine="622"/>
        <w:spacing w:after="0" w:line="354" w:lineRule="auto"/>
        <w:rPr>
          <w:sz w:val="20"/>
          <w:szCs w:val="20"/>
          <w:color w:val="auto"/>
        </w:rPr>
      </w:pPr>
      <w:r>
        <w:rPr>
          <w:rFonts w:ascii="Arial" w:cs="Arial" w:eastAsia="Arial" w:hAnsi="Arial"/>
          <w:sz w:val="15"/>
          <w:szCs w:val="15"/>
          <w:color w:val="auto"/>
        </w:rPr>
        <w:t>As discussed in Note 6, during the three months ended June 30, 2022, the Company entered into an agreement to sell excess land and incurred a loss of $3.3 million for the nine months ended September 30, 2022, as the proceeds received in the third quarter of 2022 were less than the carrying value of the asset.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Depreciation</w:t>
      </w:r>
    </w:p>
    <w:p>
      <w:pPr>
        <w:spacing w:after="0" w:line="251"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Depreciation expense decreased by $0.3 million and increased by $1.9 million for the three and nine months ended September 30, 2022 as compared to the corresponding periods in the prior year. The Company had higher real estate depreciation of $0.2 million and $5.2 million in the three and nine months ended September 30, 2022 as compared to the corresponding periods in the prior year due to the Company's acquisitions over the past year, partially offset by decreases of $0.5 million and $3.2 million in other depreciation in the three and nine months ended September 30, 2022 as compared to the corresponding periods in the prior year due to the sale of the operations of Hollywood Casino Perryville and Hollywood Casino Baton Rouge and the impact of classifying the building value of Tropicana Las Vegas in assets held for sale in the second quarter of 2021.</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Provision for credit losses</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Provision for credit losses totaled $28.9 million for the nine months ended September 30, 2022. As described in Note 4, the Company follows ASC 326 “Credit Losses”, which requires that the Company measure and record current expected credit losses (“CECL”), the scope of which includes our Investments in leases, - financing receivables.</w:t>
      </w:r>
    </w:p>
    <w:p>
      <w:pPr>
        <w:spacing w:after="0" w:line="198" w:lineRule="exact"/>
        <w:rPr>
          <w:sz w:val="20"/>
          <w:szCs w:val="20"/>
          <w:color w:val="auto"/>
        </w:rPr>
      </w:pPr>
    </w:p>
    <w:p>
      <w:pPr>
        <w:jc w:val="both"/>
        <w:ind w:firstLine="622"/>
        <w:spacing w:after="0" w:line="305" w:lineRule="auto"/>
        <w:rPr>
          <w:sz w:val="20"/>
          <w:szCs w:val="20"/>
          <w:color w:val="auto"/>
        </w:rPr>
      </w:pPr>
      <w:r>
        <w:rPr>
          <w:rFonts w:ascii="Arial" w:cs="Arial" w:eastAsia="Arial" w:hAnsi="Arial"/>
          <w:sz w:val="15"/>
          <w:szCs w:val="15"/>
          <w:color w:val="auto"/>
        </w:rPr>
        <w:t>During the nine months ended September 30, 2022, the Company recorded provisions of $32.9 million on the Investment in leases for the Pennsylvania Live! Master Lease and the majority of this provision was recorded in the first quarter of 2022 when the lease was originated. For the nine months ended September 30, 2022, the Company recorded a reduction of $4.0 million to its Investment in lease reserves for the Maryland Live! Lease as the Company received an updated earnings forecast from its tenant on the Maryland Live! Casino &amp; Hotel operations for 2022. This resulted in an improved rent coverage ratio in its reserve calculation which led to a reduction in the Maryland Live! Lease reserve at September 30, 2022 compared to its balance at December 31, 2021.</w:t>
      </w:r>
    </w:p>
    <w:p>
      <w:pPr>
        <w:spacing w:after="0" w:line="175"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(expenses) for the three and nine months ended September 30, 2022 and 2021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9"/>
              </w:rPr>
              <w:t>Three Months Ended 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center"/>
              <w:ind w:left="500"/>
              <w:spacing w:after="0"/>
              <w:rPr>
                <w:sz w:val="20"/>
                <w:szCs w:val="20"/>
                <w:color w:val="auto"/>
              </w:rPr>
            </w:pPr>
            <w:r>
              <w:rPr>
                <w:rFonts w:ascii="Arial" w:cs="Arial" w:eastAsia="Arial" w:hAnsi="Arial"/>
                <w:sz w:val="17"/>
                <w:szCs w:val="17"/>
                <w:color w:val="auto"/>
                <w:w w:val="94"/>
              </w:rPr>
              <w:t>(76,574)</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(70,432)</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8.7 %</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482</w:t>
            </w:r>
          </w:p>
        </w:tc>
        <w:tc>
          <w:tcPr>
            <w:tcW w:w="1640" w:type="dxa"/>
            <w:vAlign w:val="bottom"/>
            <w:tcBorders>
              <w:bottom w:val="single" w:sz="8" w:color="CCEEFF"/>
            </w:tcBorders>
            <w:gridSpan w:val="3"/>
          </w:tcPr>
          <w:p>
            <w:pPr>
              <w:jc w:val="right"/>
              <w:spacing w:after="0"/>
              <w:rPr>
                <w:sz w:val="20"/>
                <w:szCs w:val="20"/>
                <w:color w:val="auto"/>
              </w:rPr>
            </w:pPr>
            <w:r>
              <w:rPr>
                <w:rFonts w:ascii="Arial" w:cs="Arial" w:eastAsia="Arial" w:hAnsi="Arial"/>
                <w:sz w:val="17"/>
                <w:szCs w:val="17"/>
                <w:color w:val="auto"/>
              </w:rPr>
              <w:t>8,033.3 %</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expenses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center"/>
              <w:ind w:left="500"/>
              <w:spacing w:after="0"/>
              <w:rPr>
                <w:sz w:val="20"/>
                <w:szCs w:val="20"/>
                <w:color w:val="auto"/>
              </w:rPr>
            </w:pPr>
            <w:r>
              <w:rPr>
                <w:rFonts w:ascii="Arial" w:cs="Arial" w:eastAsia="Arial" w:hAnsi="Arial"/>
                <w:sz w:val="17"/>
                <w:szCs w:val="17"/>
                <w:color w:val="auto"/>
                <w:w w:val="94"/>
              </w:rPr>
              <w:t>(76,086)</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(70,426)</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(5,660)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6"/>
                <w:szCs w:val="16"/>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5"/>
        </w:trPr>
        <w:tc>
          <w:tcPr>
            <w:tcW w:w="49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(232,753)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3"/>
              </w:rPr>
              <w:t>(211,258)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(21,495)</w:t>
            </w:r>
          </w:p>
        </w:tc>
        <w:tc>
          <w:tcPr>
            <w:tcW w:w="120" w:type="dxa"/>
            <w:vAlign w:val="bottom"/>
            <w:tcBorders>
              <w:right w:val="single" w:sz="8" w:color="CCEEFF"/>
            </w:tcBorders>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left="580"/>
              <w:spacing w:after="0"/>
              <w:rPr>
                <w:sz w:val="20"/>
                <w:szCs w:val="20"/>
                <w:color w:val="auto"/>
              </w:rPr>
            </w:pPr>
            <w:r>
              <w:rPr>
                <w:rFonts w:ascii="Arial" w:cs="Arial" w:eastAsia="Arial" w:hAnsi="Arial"/>
                <w:sz w:val="17"/>
                <w:szCs w:val="17"/>
                <w:color w:val="auto"/>
                <w:w w:val="91"/>
              </w:rPr>
              <w:t>612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232.6 %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20"/>
              <w:spacing w:after="0"/>
              <w:rPr>
                <w:sz w:val="20"/>
                <w:szCs w:val="20"/>
                <w:color w:val="auto"/>
              </w:rPr>
            </w:pPr>
            <w:r>
              <w:rPr>
                <w:rFonts w:ascii="Arial" w:cs="Arial" w:eastAsia="Arial" w:hAnsi="Arial"/>
                <w:sz w:val="17"/>
                <w:szCs w:val="17"/>
                <w:color w:val="auto"/>
              </w:rPr>
              <w:t>Total other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(234,330)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color w:val="auto"/>
                <w:w w:val="93"/>
              </w:rPr>
              <w:t>(211,074)</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(23,256)</w:t>
            </w: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11.0 %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Interest expense</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Interest expense increased by $6.1 million and $21.5 million for the three and nine months ended September 30, 2022, as compared to the corresponding periods in the prior year. The increase was due to the issuance of additional unsecured senior notes that partially funded our recent acquisitions. See Note 8 for further details.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Losses on debt extinguishmen</w:t>
      </w:r>
      <w:r>
        <w:rPr>
          <w:rFonts w:ascii="Arial" w:cs="Arial" w:eastAsia="Arial" w:hAnsi="Arial"/>
          <w:sz w:val="17"/>
          <w:szCs w:val="17"/>
          <w:color w:val="auto"/>
        </w:rPr>
        <w:t>t</w:t>
      </w:r>
    </w:p>
    <w:p>
      <w:pPr>
        <w:spacing w:after="0" w:line="251"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As further described in Note 8, the Company increased its borrowing capacity by GLP Capital entering into a new Credit Agreement during the nine months ended September 30, 2022, which resulted in a $2.2 million debt extinguishment charge.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Taxes</w:t>
      </w:r>
    </w:p>
    <w:p>
      <w:pPr>
        <w:spacing w:after="0" w:line="251"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During the three and nine months ended September 30, 2022, income tax expense was $15.3 million and $16.4 million compared to income tax expense of $5.6 million and $11.8 million for the corresponding periods in the prior year. The reason for the increase was due to the gain on the sale of the building at Tropicana Las Vegas in 2022 compared to the taxes incurred on the sale of the operations of Hollywood Casino Perryville and Hollywood Casino Baton Rouge in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income attributable to noncontrolling interest in the Operating Partnership</w:t>
      </w:r>
    </w:p>
    <w:p>
      <w:pPr>
        <w:spacing w:after="0" w:line="251" w:lineRule="exact"/>
        <w:rPr>
          <w:sz w:val="20"/>
          <w:szCs w:val="20"/>
          <w:color w:val="auto"/>
        </w:rPr>
      </w:pPr>
    </w:p>
    <w:p>
      <w:pPr>
        <w:jc w:val="both"/>
        <w:ind w:firstLine="622"/>
        <w:spacing w:after="0" w:line="278" w:lineRule="auto"/>
        <w:rPr>
          <w:sz w:val="20"/>
          <w:szCs w:val="20"/>
          <w:color w:val="auto"/>
        </w:rPr>
      </w:pPr>
      <w:r>
        <w:rPr>
          <w:rFonts w:ascii="Arial" w:cs="Arial" w:eastAsia="Arial" w:hAnsi="Arial"/>
          <w:sz w:val="16"/>
          <w:szCs w:val="16"/>
          <w:color w:val="auto"/>
        </w:rPr>
        <w:t>As partial consideration for the Cordish transactions related to the Maryland Live! Lease and Pennsylvania Live! Master Lease, the Company's operating partnership issued OP Units to affiliates of Cordish.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5"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Our primary sources of liquidity and capital resources are cash flow from operations, borrowings from banks, and proceeds from the issuance of debt and equity securities.</w:t>
      </w:r>
    </w:p>
    <w:p>
      <w:pPr>
        <w:spacing w:after="0" w:line="160" w:lineRule="exact"/>
        <w:rPr>
          <w:sz w:val="20"/>
          <w:szCs w:val="20"/>
          <w:color w:val="auto"/>
        </w:rPr>
      </w:pPr>
    </w:p>
    <w:p>
      <w:pPr>
        <w:jc w:val="both"/>
        <w:ind w:firstLine="622"/>
        <w:spacing w:after="0" w:line="276" w:lineRule="auto"/>
        <w:rPr>
          <w:sz w:val="20"/>
          <w:szCs w:val="20"/>
          <w:color w:val="auto"/>
        </w:rPr>
      </w:pPr>
      <w:r>
        <w:rPr>
          <w:rFonts w:ascii="Arial" w:cs="Arial" w:eastAsia="Arial" w:hAnsi="Arial"/>
          <w:sz w:val="16"/>
          <w:szCs w:val="16"/>
          <w:color w:val="auto"/>
        </w:rPr>
        <w:t>Net cash provided by operating activities was $699.5 million and $616.0 million during the nine months ended September 30, 2022 and 2021, respectively. The increase in net cash provided by operating activities of $83.5 million for the nine months ended September 30, 2022, as compared to the corresponding period in the prior year, was primarily comprised of an increase in cash receipts from customers of $32.1 million along with decreases in cash paid to employees of $11.7 million, cash paid for operating expenses of $46.2 million, and cash paid for taxes of $6.8 million, partially offset by an increase in cash paid for interest of $13.6 million. The increase in cash receipts collected from our customers for the nine months ended September 30, 2022, as compared to the corresponding period in the prior year, was due to the additions of the Maryland Live! Lease, the Pennsylvania Live! Master Lease, the Casino Queen Master Lease, the Bally's Master Lease, and the Perryville Lease and full escalations being incurred on the Amended Pinnacle Master Lease, the Boyd Master Lease, the Belterra Park Lease and the PENN Master Lease less the impact from the sale of the operations of Hollywood Casino Perryville and Hollywood Casino Baton Rouge which also led to the decline in cash paid for operating expenses.</w:t>
      </w:r>
    </w:p>
    <w:p>
      <w:pPr>
        <w:spacing w:after="0" w:line="196"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7"/>
          <w:szCs w:val="17"/>
          <w:color w:val="auto"/>
        </w:rPr>
        <w:t>Investing activities used cash of $347.0 million and $457.8 million during the nine months ended September 30, 2022 and 2021, respectively. Net cash used in investing activities during the nine months ended September 30, 2022 consisted primarily of $479.2 million for the acquisition of the real estate assets contained within the Pennsylvania Live! Master Lease which was accounted for as an Investment in lease, financing receivables, a $200 million deposit payment for our recently announced transaction with Bally's and the acquisition of the real estate assets of Bally's Black Hawk, CO and Rock Island, IL properties which were added to the Bally's Master Lease, and capital expenditures of $16.5 million, partially offset by the proceeds of $145.2 million from the sale of the Company's building at Tropicana Las Vegas and the sale of excess land for $3.5 million. The net cash used in investing activities for the nine months ended September 30, 2021 consisted primarily of $487.5 million for the acquisition of the real estate assets contained in the Bally's Master Lease consisting of the Dover Downs and Tropicana Evansville properties, and capital expenditures of $3.3 million, partially offset by the proceeds of $30.1 million from the sale of the operations at Hollywood Casino Perryville.</w:t>
      </w:r>
    </w:p>
    <w:p>
      <w:pPr>
        <w:spacing w:after="0" w:line="209"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7"/>
          <w:szCs w:val="17"/>
          <w:color w:val="auto"/>
        </w:rPr>
        <w:t>Financing activities used cash of $1,018.1 million and $225.0 million during the nine months ended September 30, 2022 and 2021, respectively. Net cash used in financing activities during the nine months ended September 30, 2022 was driven by dividend payments of $586.9 million, non-controlling interest distributions of $15.5 million, taxes paid related to shares withheld for tax purposes on restricted stock award vestings of $11.9 million and the repayment of long term debt of $1,271.0 million partially offset by the proceeds from the issuance of long term debt, net of costs, of $412.1 million and common stock, net of costs, in the amount $455.1 million. Cash used in financing activities during the nine months ended September 30, 2021 was driven primarily by dividend payments of $468.2 million, and taxes paid related to shares withheld for tax purposes on restricted stock award vestings of $9.8 million, partially offset by proceeds of $253.1 million from the issuance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19"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4"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During the nine months ended September 30, 2022 and 2021, we spent approximately $16.5 million and $3.3 million, respectively, for capital expenditures. The majority of the capital expenditures were related to a land side development project at Hollywood Casino Baton Rouge.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51"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On September 2, 2022, GLP Capital, entered into a term loan credit agreement (the “Term Loan Credit Agreement”) with Wells Fargo Bank, National Association, as administrative agent (“Term Loan Agent”), and the other agents and lenders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party thereto from time to time, providing for a $600 million delayed draw credit facility with a maturity date of September 2, 2027 (the “Term Loan Credit Facility”). The Term Loan Credit Facility is guaranteed by GLPI.</w:t>
      </w:r>
    </w:p>
    <w:p>
      <w:pPr>
        <w:spacing w:after="0" w:line="186"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w:t>
      </w:r>
    </w:p>
    <w:p>
      <w:pPr>
        <w:spacing w:after="0" w:line="204"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5"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16"/>
          <w:szCs w:val="16"/>
          <w:color w:val="auto"/>
        </w:rPr>
        <w:t>The interest rates per annum applicable to loans under the Term Loan Credit Facility are, at GLP Capital's option, equal to either a SOFR-based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5"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 on August 31,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5" w:lineRule="exact"/>
        <w:rPr>
          <w:sz w:val="20"/>
          <w:szCs w:val="20"/>
          <w:color w:val="auto"/>
        </w:rPr>
      </w:pPr>
    </w:p>
    <w:p>
      <w:pPr>
        <w:jc w:val="both"/>
        <w:ind w:firstLine="622"/>
        <w:spacing w:after="0" w:line="296"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 Company, through GLP Capital, historically had access to a senior unsecured credit facility (the "Amended Credit Facility") consisting of a $1,175 million revolving credit facility and a $424 million Term Loan A-2 facility. The Amended Credit Facility was scheduled to mature on May 21, 2023. On May 13, 2022, GLP Capital terminated its Amended Credit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Facility and entered into a credit agreement (the "Credit Agreement") providing for a $1.75 billion revolving credit facility (the "Initial Revolving Facility") maturing in May 2026, plus two six-month extensions at GLP Capital's option. GLP Capital was the primary obligor under the Amended Credit Facility, which was guaranteed by GLPI and GLP Capital was the primary obligor under the Credit Agreement, which is guaranteed by GLPI. The Company recorded a debt extinguishment loss of $2.2 million in connection with this transaction.</w:t>
      </w:r>
    </w:p>
    <w:p>
      <w:pPr>
        <w:spacing w:after="0" w:line="190" w:lineRule="exact"/>
        <w:rPr>
          <w:sz w:val="20"/>
          <w:szCs w:val="20"/>
          <w:color w:val="auto"/>
        </w:rPr>
      </w:pPr>
    </w:p>
    <w:p>
      <w:pPr>
        <w:jc w:val="both"/>
        <w:ind w:firstLine="622"/>
        <w:spacing w:after="0" w:line="246" w:lineRule="auto"/>
        <w:rPr>
          <w:sz w:val="20"/>
          <w:szCs w:val="20"/>
          <w:color w:val="auto"/>
        </w:rPr>
      </w:pPr>
      <w:r>
        <w:rPr>
          <w:rFonts w:ascii="Arial" w:cs="Arial" w:eastAsia="Arial" w:hAnsi="Arial"/>
          <w:sz w:val="17"/>
          <w:szCs w:val="17"/>
          <w:color w:val="auto"/>
        </w:rPr>
        <w:t>On September 2, 2022, GLP Capital entered into Amendment No. 1 (the “Amendment”) to the Credit Agreement among GLP Capital, Wells Fargo Bank, National Association, as administrative agent (“Agent”), and the several banks and other financial institutions or entities party thereto. Pursuant to the Credit Agreement, as amended by the Amendment, GLP Capital has the right, at any time until December 31, 2024, to elect to re-allocate up to $700 million in existing revolving commitments under the Credit Agreement to a new revolving credit facility (the “Bridge Revolving Facility” and, collectively with the Initial Revolving Facility, the "Revolver").</w:t>
      </w:r>
    </w:p>
    <w:p>
      <w:pPr>
        <w:spacing w:after="0" w:line="204" w:lineRule="exact"/>
        <w:rPr>
          <w:sz w:val="20"/>
          <w:szCs w:val="20"/>
          <w:color w:val="auto"/>
        </w:rPr>
      </w:pPr>
    </w:p>
    <w:p>
      <w:pPr>
        <w:jc w:val="both"/>
        <w:ind w:firstLine="622"/>
        <w:spacing w:after="0" w:line="241"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Credit Agreement.</w:t>
      </w:r>
    </w:p>
    <w:p>
      <w:pPr>
        <w:spacing w:after="0" w:line="210" w:lineRule="exact"/>
        <w:rPr>
          <w:sz w:val="20"/>
          <w:szCs w:val="20"/>
          <w:color w:val="auto"/>
        </w:rPr>
      </w:pPr>
    </w:p>
    <w:p>
      <w:pPr>
        <w:jc w:val="both"/>
        <w:ind w:firstLine="622"/>
        <w:spacing w:after="0" w:line="248"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16"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At September 30, 2022, no amounts were outstanding under the Credit Agreement. Additionally, at September 30, 2022, the Company was contingently obligated under letters of credit issued pursuant to the Credit Agreement with face amounts aggregating approximately $0.4 million, resulting in $1,749.6 million of available borrowing capacity under the Credit Agreement as of September 30, 2022.</w:t>
      </w:r>
    </w:p>
    <w:p>
      <w:pPr>
        <w:spacing w:after="0" w:line="198" w:lineRule="exact"/>
        <w:rPr>
          <w:sz w:val="20"/>
          <w:szCs w:val="20"/>
          <w:color w:val="auto"/>
        </w:rPr>
      </w:pPr>
    </w:p>
    <w:p>
      <w:pPr>
        <w:jc w:val="both"/>
        <w:ind w:firstLine="622"/>
        <w:spacing w:after="0" w:line="276" w:lineRule="auto"/>
        <w:rPr>
          <w:sz w:val="20"/>
          <w:szCs w:val="20"/>
          <w:color w:val="auto"/>
        </w:rPr>
      </w:pPr>
      <w:r>
        <w:rPr>
          <w:rFonts w:ascii="Arial" w:cs="Arial" w:eastAsia="Arial" w:hAnsi="Arial"/>
          <w:sz w:val="16"/>
          <w:szCs w:val="16"/>
          <w:color w:val="auto"/>
        </w:rPr>
        <w:t>The interest rates payable on the loans borrowed under the Revolver are, at GLP Capital's option, equal to either a Secured Overnight Financing Rate ("SOFR") based rate or a base rate plus an applicable margin, which ranges from 0.725% to 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0.30% per annum, depending on the credit rating assigned to the Credit Agreement from time to time. The current facility fee rate is 0.25%. The Credit Agreement is not subject to interim amortization except as set forth above with respect to the Bridge Revolving Facility. GLP Capital is not required to repay any loans under the Credit Agreement prior to maturity except with respect to the Bridge Revolving Facility. GLP Capital may prepay all or any portion of the loans under the Credit Agreement prior to maturity without premium or penalty, subject to reimbursement of any SOFR breakage costs of the lenders and may reborrow loans that it has repaid.</w:t>
      </w:r>
    </w:p>
    <w:p>
      <w:pPr>
        <w:spacing w:after="0" w:line="196" w:lineRule="exact"/>
        <w:rPr>
          <w:sz w:val="20"/>
          <w:szCs w:val="20"/>
          <w:color w:val="auto"/>
        </w:rPr>
      </w:pPr>
    </w:p>
    <w:p>
      <w:pPr>
        <w:jc w:val="both"/>
        <w:ind w:firstLine="622"/>
        <w:spacing w:after="0" w:line="293" w:lineRule="auto"/>
        <w:rPr>
          <w:sz w:val="20"/>
          <w:szCs w:val="20"/>
          <w:color w:val="auto"/>
        </w:rPr>
      </w:pPr>
      <w:r>
        <w:rPr>
          <w:rFonts w:ascii="Arial" w:cs="Arial" w:eastAsia="Arial" w:hAnsi="Arial"/>
          <w:sz w:val="15"/>
          <w:szCs w:val="15"/>
          <w:color w:val="auto"/>
        </w:rPr>
        <w:t>The Credit Agreement contains customary covenants that, among other things, restrict, subject to certain exceptions, the ability of GLPI and its subsidiaries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w:t>
      </w:r>
    </w:p>
    <w:p>
      <w:pPr>
        <w:jc w:val="both"/>
        <w:ind w:firstLine="4"/>
        <w:spacing w:after="0" w:line="278"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Credit Agreement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2022, the Company was in compliance with all required financial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251"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At September 30, 2022, the Company had $6,175.0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6" w:lineRule="exact"/>
        <w:rPr>
          <w:sz w:val="20"/>
          <w:szCs w:val="20"/>
          <w:color w:val="auto"/>
        </w:rPr>
      </w:pPr>
    </w:p>
    <w:p>
      <w:pPr>
        <w:jc w:val="both"/>
        <w:ind w:firstLine="622"/>
        <w:spacing w:after="0" w:line="279" w:lineRule="auto"/>
        <w:rPr>
          <w:sz w:val="20"/>
          <w:szCs w:val="20"/>
          <w:color w:val="auto"/>
        </w:rPr>
      </w:pPr>
      <w:r>
        <w:rPr>
          <w:rFonts w:ascii="Arial" w:cs="Arial" w:eastAsia="Arial" w:hAnsi="Arial"/>
          <w:sz w:val="16"/>
          <w:szCs w:val="16"/>
          <w:color w:val="auto"/>
        </w:rPr>
        <w:t>The Senior Notes were issued by GLP Capital and GLP Financing II, Inc. (the "Issuers"), two wholly-owned subsidiaries of GLPI, both of which are consolidated by GLPI, and are guaranteed on a senior unsecured basis by GLPI which such guarantees are full and unconditional. The Senior Notes are the Issuers' senior unsecured obligations and rank pari passu in right of payment with all of the Issuers' senior indebtedness, including the Credit Agreement,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 None of GLPI's other subsidiaries guarantee the Senior Notes.</w:t>
      </w:r>
    </w:p>
    <w:p>
      <w:pPr>
        <w:spacing w:after="0" w:line="195" w:lineRule="exact"/>
        <w:rPr>
          <w:sz w:val="20"/>
          <w:szCs w:val="20"/>
          <w:color w:val="auto"/>
        </w:rPr>
      </w:pPr>
    </w:p>
    <w:p>
      <w:pPr>
        <w:jc w:val="both"/>
        <w:ind w:firstLine="622"/>
        <w:spacing w:after="0" w:line="321" w:lineRule="auto"/>
        <w:rPr>
          <w:sz w:val="20"/>
          <w:szCs w:val="20"/>
          <w:color w:val="auto"/>
        </w:rPr>
      </w:pPr>
      <w:r>
        <w:rPr>
          <w:rFonts w:ascii="Arial" w:cs="Arial" w:eastAsia="Arial" w:hAnsi="Arial"/>
          <w:sz w:val="15"/>
          <w:szCs w:val="15"/>
          <w:color w:val="auto"/>
        </w:rPr>
        <w:t>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64"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GLPI owns all of the assets of GLP Capital and conducts all of its operations through the operating partnership. Based on the amendments to Rule 3-10 of Regulation S-X that the Securities and Exchange Commission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203"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2022, the Company was in compliance with all required financial covenants under its Senior Notes.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Requirements</w:t>
      </w:r>
    </w:p>
    <w:p>
      <w:pPr>
        <w:spacing w:after="0" w:line="245" w:lineRule="exact"/>
        <w:rPr>
          <w:sz w:val="20"/>
          <w:szCs w:val="20"/>
          <w:color w:val="auto"/>
        </w:rPr>
      </w:pPr>
    </w:p>
    <w:p>
      <w:pPr>
        <w:jc w:val="both"/>
        <w:ind w:firstLine="622"/>
        <w:spacing w:after="0" w:line="275"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Outlook</w:t>
      </w:r>
    </w:p>
    <w:p>
      <w:pPr>
        <w:spacing w:after="0" w:line="24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Based on our current level of operations and anticipated earnings, we believe that cash generated from operations and cash on hand, together with amounts available under our Credit Agreement of $1.75 billion, will be adequate to meet our anticipated debt service requirements, capital expenditures, working capital needs and dividend requirements.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As described in Note 16 and Note 17, the Company has several pending acquisitions and potential funding requirements which the Company intends to fund through a mix of debt, equity and OP Units. On July 1, 2022, the Company raised approximately $350.8 million of equity proceeds and during the third quarter of 2022 the Company sold 2.0 million shares of its common stock under the Company's continuous equity offering under which the Company may sell up to an aggregate of $600 million of its common stock from time to time through a sales agent in "at the market" offerings (the "ATM Program") which raised net proceeds of $104.4 million. As of September 30, 2022, the Company had $157.0 million remaining for issuance under the ATM Program. Additionally, the Company also entered into the Term Loan Credit Agreement for up to $600 million in funding.</w:t>
      </w:r>
    </w:p>
    <w:p>
      <w:pPr>
        <w:spacing w:after="0" w:line="207" w:lineRule="exact"/>
        <w:rPr>
          <w:sz w:val="20"/>
          <w:szCs w:val="20"/>
          <w:color w:val="auto"/>
        </w:rPr>
      </w:pPr>
    </w:p>
    <w:p>
      <w:pPr>
        <w:jc w:val="both"/>
        <w:ind w:firstLine="622"/>
        <w:spacing w:after="0" w:line="287" w:lineRule="auto"/>
        <w:rPr>
          <w:sz w:val="20"/>
          <w:szCs w:val="20"/>
          <w:color w:val="auto"/>
        </w:rPr>
      </w:pPr>
      <w:r>
        <w:rPr>
          <w:rFonts w:ascii="Arial" w:cs="Arial" w:eastAsia="Arial" w:hAnsi="Arial"/>
          <w:sz w:val="15"/>
          <w:szCs w:val="15"/>
          <w:color w:val="auto"/>
        </w:rPr>
        <w:t>In August 2022, the Company entered into a forward sale agreement (the "August 2022 Forward Sale Agreement"), for up to $105 million that will require settlement by August 19, 2023. No amounts have been or will be recorded on the Company's balance sheet with respect to the August 2022 Forward Sale Agreement until settlement. The August 2022 Forward Sale Agreement requires the Company to, at its election prior to August 19, 2023, to physically settle the transactions by issuing shares of its common stock to the forward counterparty in exchange for net proceeds at the then applicable forward sale price specified by the August 2022 Forward Sale Agreement. The forward sale price is subject to adjustment on a daily basis based on a floating interest rate factor and will decrease by other specified fixed amounts. If the Company had physically settled the shares under the August 2022 Forward Sale Agreement as of September 30, 2022, 1,284,556 shares would have been issued and approximately $64.8 million in net cash proceeds would have been received by the Company.</w:t>
      </w:r>
    </w:p>
    <w:p>
      <w:pPr>
        <w:spacing w:after="0" w:line="177" w:lineRule="exact"/>
        <w:rPr>
          <w:sz w:val="20"/>
          <w:szCs w:val="20"/>
          <w:color w:val="auto"/>
        </w:rPr>
      </w:pPr>
    </w:p>
    <w:p>
      <w:pPr>
        <w:jc w:val="both"/>
        <w:ind w:firstLine="622"/>
        <w:spacing w:after="0" w:line="260" w:lineRule="auto"/>
        <w:rPr>
          <w:sz w:val="20"/>
          <w:szCs w:val="20"/>
          <w:color w:val="auto"/>
        </w:rPr>
      </w:pPr>
      <w:r>
        <w:rPr>
          <w:rFonts w:ascii="Arial" w:cs="Arial" w:eastAsia="Arial" w:hAnsi="Arial"/>
          <w:sz w:val="17"/>
          <w:szCs w:val="17"/>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issuance of additional operating partnership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2021, for a discussion of the risk related to our capital structure.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face market risk exposure in the form of interest rate risk. These market risks arise from our debt obligations. We have no international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Our exposure to foreign currency fluctuations is not significant to our financial condition or results of operations.</w:t>
      </w:r>
    </w:p>
    <w:p>
      <w:pPr>
        <w:spacing w:after="0" w:line="207" w:lineRule="exact"/>
        <w:rPr>
          <w:sz w:val="20"/>
          <w:szCs w:val="20"/>
          <w:color w:val="auto"/>
        </w:rPr>
      </w:pPr>
    </w:p>
    <w:p>
      <w:pPr>
        <w:jc w:val="both"/>
        <w:ind w:firstLine="622"/>
        <w:spacing w:after="0" w:line="301" w:lineRule="auto"/>
        <w:rPr>
          <w:sz w:val="20"/>
          <w:szCs w:val="20"/>
          <w:color w:val="auto"/>
        </w:rPr>
      </w:pPr>
      <w:r>
        <w:rPr>
          <w:rFonts w:ascii="Arial" w:cs="Arial" w:eastAsia="Arial" w:hAnsi="Arial"/>
          <w:sz w:val="15"/>
          <w:szCs w:val="15"/>
          <w:color w:val="auto"/>
        </w:rPr>
        <w:t>GLPI’s primary market risk exposure is interest rate risk with respect to its indebtedness of $6,175.6 million at September 30, 2022. Furthermore, $6,175.0 million of our obligations at September 30, 2022 are the Senior Notes that have fixed interest rates with maturity dates ranging from approximately one year to nine and one-quarter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80" w:lineRule="exact"/>
        <w:rPr>
          <w:sz w:val="20"/>
          <w:szCs w:val="20"/>
          <w:color w:val="auto"/>
        </w:rPr>
      </w:pPr>
    </w:p>
    <w:p>
      <w:pPr>
        <w:jc w:val="both"/>
        <w:ind w:firstLine="622"/>
        <w:spacing w:after="0" w:line="264" w:lineRule="auto"/>
        <w:rPr>
          <w:sz w:val="20"/>
          <w:szCs w:val="20"/>
          <w:color w:val="auto"/>
        </w:rPr>
      </w:pPr>
      <w:r>
        <w:rPr>
          <w:rFonts w:ascii="Arial" w:cs="Arial" w:eastAsia="Arial" w:hAnsi="Arial"/>
          <w:sz w:val="17"/>
          <w:szCs w:val="17"/>
          <w:color w:val="auto"/>
        </w:rPr>
        <w:t>The table below provides information at September 30, 2022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September 30, 2022.</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w w:val="94"/>
              </w:rPr>
              <w:t>10/01/22-</w:t>
            </w:r>
          </w:p>
        </w:tc>
        <w:tc>
          <w:tcPr>
            <w:tcW w:w="200" w:type="dxa"/>
            <w:vAlign w:val="bottom"/>
          </w:tcPr>
          <w:p>
            <w:pPr>
              <w:spacing w:after="0"/>
              <w:rPr>
                <w:sz w:val="14"/>
                <w:szCs w:val="14"/>
                <w:color w:val="auto"/>
              </w:rPr>
            </w:pPr>
          </w:p>
        </w:tc>
        <w:tc>
          <w:tcPr>
            <w:tcW w:w="760" w:type="dxa"/>
            <w:vAlign w:val="bottom"/>
          </w:tcPr>
          <w:p>
            <w:pPr>
              <w:jc w:val="center"/>
              <w:ind w:right="91"/>
              <w:spacing w:after="0"/>
              <w:rPr>
                <w:sz w:val="20"/>
                <w:szCs w:val="20"/>
                <w:color w:val="auto"/>
              </w:rPr>
            </w:pPr>
            <w:r>
              <w:rPr>
                <w:rFonts w:ascii="Arial" w:cs="Arial" w:eastAsia="Arial" w:hAnsi="Arial"/>
                <w:sz w:val="14"/>
                <w:szCs w:val="14"/>
                <w:b w:val="1"/>
                <w:bCs w:val="1"/>
                <w:color w:val="auto"/>
                <w:w w:val="93"/>
              </w:rPr>
              <w:t>1/01/23-</w:t>
            </w:r>
          </w:p>
        </w:tc>
        <w:tc>
          <w:tcPr>
            <w:tcW w:w="220" w:type="dxa"/>
            <w:vAlign w:val="bottom"/>
          </w:tcPr>
          <w:p>
            <w:pPr>
              <w:spacing w:after="0"/>
              <w:rPr>
                <w:sz w:val="14"/>
                <w:szCs w:val="14"/>
                <w:color w:val="auto"/>
              </w:rPr>
            </w:pPr>
          </w:p>
        </w:tc>
        <w:tc>
          <w:tcPr>
            <w:tcW w:w="800" w:type="dxa"/>
            <w:vAlign w:val="bottom"/>
          </w:tcPr>
          <w:p>
            <w:pPr>
              <w:jc w:val="center"/>
              <w:ind w:right="111"/>
              <w:spacing w:after="0"/>
              <w:rPr>
                <w:sz w:val="20"/>
                <w:szCs w:val="20"/>
                <w:color w:val="auto"/>
              </w:rPr>
            </w:pPr>
            <w:r>
              <w:rPr>
                <w:rFonts w:ascii="Arial" w:cs="Arial" w:eastAsia="Arial" w:hAnsi="Arial"/>
                <w:sz w:val="14"/>
                <w:szCs w:val="14"/>
                <w:b w:val="1"/>
                <w:bCs w:val="1"/>
                <w:color w:val="auto"/>
                <w:w w:val="89"/>
              </w:rPr>
              <w:t>1/01/24-</w:t>
            </w:r>
          </w:p>
        </w:tc>
        <w:tc>
          <w:tcPr>
            <w:tcW w:w="220" w:type="dxa"/>
            <w:vAlign w:val="bottom"/>
          </w:tcPr>
          <w:p>
            <w:pPr>
              <w:spacing w:after="0"/>
              <w:rPr>
                <w:sz w:val="14"/>
                <w:szCs w:val="14"/>
                <w:color w:val="auto"/>
              </w:rPr>
            </w:pPr>
          </w:p>
        </w:tc>
        <w:tc>
          <w:tcPr>
            <w:tcW w:w="78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1/01/25-</w:t>
            </w:r>
          </w:p>
        </w:tc>
        <w:tc>
          <w:tcPr>
            <w:tcW w:w="220" w:type="dxa"/>
            <w:vAlign w:val="bottom"/>
          </w:tcPr>
          <w:p>
            <w:pPr>
              <w:spacing w:after="0"/>
              <w:rPr>
                <w:sz w:val="14"/>
                <w:szCs w:val="14"/>
                <w:color w:val="auto"/>
              </w:rPr>
            </w:pPr>
          </w:p>
        </w:tc>
        <w:tc>
          <w:tcPr>
            <w:tcW w:w="78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1/01/26-</w:t>
            </w:r>
          </w:p>
        </w:tc>
        <w:tc>
          <w:tcPr>
            <w:tcW w:w="200" w:type="dxa"/>
            <w:vAlign w:val="bottom"/>
          </w:tcPr>
          <w:p>
            <w:pPr>
              <w:spacing w:after="0"/>
              <w:rPr>
                <w:sz w:val="14"/>
                <w:szCs w:val="14"/>
                <w:color w:val="auto"/>
              </w:rPr>
            </w:pPr>
          </w:p>
        </w:tc>
        <w:tc>
          <w:tcPr>
            <w:tcW w:w="86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0"/>
              </w:rPr>
              <w:t>Thereafter</w:t>
            </w:r>
          </w:p>
        </w:tc>
        <w:tc>
          <w:tcPr>
            <w:tcW w:w="280" w:type="dxa"/>
            <w:vAlign w:val="bottom"/>
          </w:tcPr>
          <w:p>
            <w:pPr>
              <w:spacing w:after="0"/>
              <w:rPr>
                <w:sz w:val="14"/>
                <w:szCs w:val="14"/>
                <w:color w:val="auto"/>
              </w:rPr>
            </w:pPr>
          </w:p>
        </w:tc>
        <w:tc>
          <w:tcPr>
            <w:tcW w:w="8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60" w:type="dxa"/>
            <w:vAlign w:val="bottom"/>
          </w:tcPr>
          <w:p>
            <w:pPr>
              <w:jc w:val="center"/>
              <w:ind w:right="71"/>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w w:val="99"/>
              </w:rPr>
              <w:t>12/31/22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12/31/23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12/31/24</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8"/>
              </w:rPr>
              <w:t>12/31/25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12/31/26</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CCEEFF"/>
            </w:tcBorders>
          </w:tcPr>
          <w:p>
            <w:pPr>
              <w:spacing w:after="0"/>
              <w:rPr>
                <w:sz w:val="15"/>
                <w:szCs w:val="15"/>
                <w:color w:val="auto"/>
              </w:rPr>
            </w:pPr>
          </w:p>
        </w:tc>
        <w:tc>
          <w:tcPr>
            <w:tcW w:w="236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Long-term debt: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Fixed rate</w:t>
            </w:r>
          </w:p>
        </w:tc>
        <w:tc>
          <w:tcPr>
            <w:tcW w:w="13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500,000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31"/>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850,000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975,000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31"/>
              <w:spacing w:after="0"/>
              <w:rPr>
                <w:sz w:val="20"/>
                <w:szCs w:val="20"/>
                <w:color w:val="auto"/>
              </w:rPr>
            </w:pPr>
            <w:r>
              <w:rPr>
                <w:rFonts w:ascii="Arial" w:cs="Arial" w:eastAsia="Arial" w:hAnsi="Arial"/>
                <w:sz w:val="14"/>
                <w:szCs w:val="14"/>
                <w:color w:val="auto"/>
              </w:rPr>
              <w:t>3,450,000</w:t>
            </w:r>
          </w:p>
        </w:tc>
        <w:tc>
          <w:tcPr>
            <w:tcW w:w="280" w:type="dxa"/>
            <w:vAlign w:val="bottom"/>
            <w:tcBorders>
              <w:top w:val="single" w:sz="8" w:color="CCEEFF"/>
            </w:tcBorders>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31"/>
              <w:spacing w:after="0"/>
              <w:rPr>
                <w:sz w:val="20"/>
                <w:szCs w:val="20"/>
                <w:color w:val="auto"/>
              </w:rPr>
            </w:pPr>
            <w:r>
              <w:rPr>
                <w:rFonts w:ascii="Arial" w:cs="Arial" w:eastAsia="Arial" w:hAnsi="Arial"/>
                <w:sz w:val="14"/>
                <w:szCs w:val="14"/>
                <w:color w:val="auto"/>
              </w:rPr>
              <w:t>6,175,000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5,508,238</w:t>
            </w:r>
          </w:p>
        </w:tc>
        <w:tc>
          <w:tcPr>
            <w:tcW w:w="0" w:type="dxa"/>
            <w:vAlign w:val="bottom"/>
          </w:tcPr>
          <w:p>
            <w:pPr>
              <w:spacing w:after="0"/>
              <w:rPr>
                <w:sz w:val="1"/>
                <w:szCs w:val="1"/>
                <w:color w:val="auto"/>
              </w:rPr>
            </w:pPr>
          </w:p>
        </w:tc>
      </w:tr>
      <w:tr>
        <w:trPr>
          <w:trHeight w:val="204"/>
        </w:trPr>
        <w:tc>
          <w:tcPr>
            <w:tcW w:w="40" w:type="dxa"/>
            <w:vAlign w:val="bottom"/>
            <w:tcBorders>
              <w:right w:val="single" w:sz="8" w:color="CCEEFF"/>
            </w:tcBorders>
          </w:tcPr>
          <w:p>
            <w:pPr>
              <w:spacing w:after="0"/>
              <w:rPr>
                <w:sz w:val="17"/>
                <w:szCs w:val="17"/>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91"/>
              <w:spacing w:after="0"/>
              <w:rPr>
                <w:sz w:val="20"/>
                <w:szCs w:val="20"/>
                <w:color w:val="auto"/>
              </w:rPr>
            </w:pPr>
            <w:r>
              <w:rPr>
                <w:rFonts w:ascii="Arial" w:cs="Arial" w:eastAsia="Arial" w:hAnsi="Arial"/>
                <w:sz w:val="14"/>
                <w:szCs w:val="14"/>
                <w:color w:val="auto"/>
                <w:w w:val="90"/>
              </w:rPr>
              <w:t>5.38%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85"/>
              </w:rPr>
              <w:t>3.35%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0"/>
              </w:rPr>
              <w:t>5.25%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11"/>
              <w:spacing w:after="0"/>
              <w:rPr>
                <w:sz w:val="20"/>
                <w:szCs w:val="20"/>
                <w:color w:val="auto"/>
              </w:rPr>
            </w:pPr>
            <w:r>
              <w:rPr>
                <w:rFonts w:ascii="Arial" w:cs="Arial" w:eastAsia="Arial" w:hAnsi="Arial"/>
                <w:sz w:val="14"/>
                <w:szCs w:val="14"/>
                <w:color w:val="auto"/>
                <w:w w:val="90"/>
              </w:rPr>
              <w:t>5.38%</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4.36%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Controls and Procedures</w:t>
      </w:r>
    </w:p>
    <w:p>
      <w:pPr>
        <w:spacing w:after="0" w:line="225" w:lineRule="exact"/>
        <w:rPr>
          <w:sz w:val="20"/>
          <w:szCs w:val="20"/>
          <w:color w:val="auto"/>
        </w:rPr>
      </w:pPr>
    </w:p>
    <w:p>
      <w:pPr>
        <w:jc w:val="both"/>
        <w:ind w:firstLine="622"/>
        <w:spacing w:after="0" w:line="257"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2022,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2022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1"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5"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7"/>
          <w:szCs w:val="17"/>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1" w:lineRule="exact"/>
        <w:rPr>
          <w:sz w:val="20"/>
          <w:szCs w:val="20"/>
          <w:color w:val="auto"/>
        </w:rPr>
      </w:pPr>
    </w:p>
    <w:p>
      <w:pPr>
        <w:jc w:val="both"/>
        <w:ind w:firstLine="622"/>
        <w:spacing w:after="0" w:line="305" w:lineRule="auto"/>
        <w:rPr>
          <w:sz w:val="20"/>
          <w:szCs w:val="20"/>
          <w:color w:val="auto"/>
        </w:rPr>
      </w:pPr>
      <w:r>
        <w:rPr>
          <w:rFonts w:ascii="Arial" w:cs="Arial" w:eastAsia="Arial" w:hAnsi="Arial"/>
          <w:sz w:val="15"/>
          <w:szCs w:val="15"/>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did not repurchase any shares of common stock or sell any unregistered securities during the three months ended September 30, 2022.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240" w:type="dxa"/>
            <w:vAlign w:val="bottom"/>
            <w:gridSpan w:val="5"/>
          </w:tcPr>
          <w:p>
            <w:pPr>
              <w:ind w:left="700"/>
              <w:spacing w:after="0"/>
              <w:rPr>
                <w:sz w:val="20"/>
                <w:szCs w:val="20"/>
                <w:color w:val="auto"/>
              </w:rPr>
            </w:pPr>
            <w:r>
              <w:rPr>
                <w:rFonts w:ascii="Arial" w:cs="Arial" w:eastAsia="Arial" w:hAnsi="Arial"/>
                <w:sz w:val="14"/>
                <w:szCs w:val="14"/>
                <w:b w:val="1"/>
                <w:bCs w:val="1"/>
                <w:color w:val="auto"/>
              </w:rPr>
              <w:t>Description of Exhibit</w:t>
            </w:r>
          </w:p>
        </w:tc>
      </w:tr>
      <w:tr>
        <w:trPr>
          <w:trHeight w:val="25"/>
        </w:trPr>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2"/>
        </w:trPr>
        <w:tc>
          <w:tcPr>
            <w:tcW w:w="1180" w:type="dxa"/>
            <w:vAlign w:val="bottom"/>
          </w:tcPr>
          <w:p>
            <w:pPr>
              <w:jc w:val="center"/>
              <w:spacing w:after="0" w:line="162" w:lineRule="exact"/>
              <w:rPr>
                <w:sz w:val="20"/>
                <w:szCs w:val="20"/>
                <w:color w:val="auto"/>
              </w:rPr>
            </w:pPr>
            <w:r>
              <w:rPr>
                <w:rFonts w:ascii="Arial" w:cs="Arial" w:eastAsia="Arial" w:hAnsi="Arial"/>
                <w:sz w:val="17"/>
                <w:szCs w:val="17"/>
                <w:color w:val="auto"/>
                <w:w w:val="90"/>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7"/>
          </w:tcPr>
          <w:p>
            <w:pPr>
              <w:spacing w:after="0" w:line="162" w:lineRule="exact"/>
              <w:rPr>
                <w:sz w:val="20"/>
                <w:szCs w:val="20"/>
                <w:color w:val="auto"/>
              </w:rPr>
            </w:pPr>
            <w:r>
              <w:rPr>
                <w:rFonts w:ascii="Arial" w:cs="Arial" w:eastAsia="Arial" w:hAnsi="Arial"/>
                <w:sz w:val="17"/>
                <w:szCs w:val="17"/>
                <w:color w:val="auto"/>
                <w:w w:val="92"/>
              </w:rPr>
              <w:t>Term Loan Credit Agreement, dated as of September 2, 2022, by and among GLP Capital, L.P., Wells Fargo Bank, National Association, as</w:t>
            </w:r>
          </w:p>
        </w:tc>
      </w:tr>
      <w:tr>
        <w:trPr>
          <w:trHeight w:val="182"/>
        </w:trPr>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7"/>
          </w:tcPr>
          <w:p>
            <w:pPr>
              <w:spacing w:after="0" w:line="181" w:lineRule="exact"/>
              <w:rPr>
                <w:sz w:val="20"/>
                <w:szCs w:val="20"/>
                <w:color w:val="auto"/>
              </w:rPr>
            </w:pPr>
            <w:r>
              <w:rPr>
                <w:rFonts w:ascii="Arial" w:cs="Arial" w:eastAsia="Arial" w:hAnsi="Arial"/>
                <w:sz w:val="17"/>
                <w:szCs w:val="17"/>
                <w:color w:val="auto"/>
              </w:rPr>
              <w:t>administrative agent, and the lenders party thereto (Incorporated by reference to Exhibit 10.1 to the Company's Form 8-K filed on</w:t>
            </w:r>
          </w:p>
        </w:tc>
      </w:tr>
      <w:tr>
        <w:trPr>
          <w:trHeight w:val="220"/>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auto"/>
              </w:rPr>
              <w:t>September 8, 2022.)</w:t>
            </w:r>
          </w:p>
        </w:tc>
      </w:tr>
      <w:tr>
        <w:trPr>
          <w:trHeight w:val="169"/>
        </w:trPr>
        <w:tc>
          <w:tcPr>
            <w:tcW w:w="1180" w:type="dxa"/>
            <w:vAlign w:val="bottom"/>
          </w:tcPr>
          <w:p>
            <w:pPr>
              <w:jc w:val="center"/>
              <w:spacing w:after="0" w:line="169" w:lineRule="exact"/>
              <w:rPr>
                <w:sz w:val="20"/>
                <w:szCs w:val="20"/>
                <w:color w:val="auto"/>
              </w:rPr>
            </w:pPr>
            <w:r>
              <w:rPr>
                <w:rFonts w:ascii="Arial" w:cs="Arial" w:eastAsia="Arial" w:hAnsi="Arial"/>
                <w:sz w:val="17"/>
                <w:szCs w:val="17"/>
                <w:color w:val="auto"/>
                <w:w w:val="90"/>
              </w:rPr>
              <w:t>10.2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7"/>
          </w:tcPr>
          <w:p>
            <w:pPr>
              <w:spacing w:after="0" w:line="169" w:lineRule="exact"/>
              <w:rPr>
                <w:sz w:val="20"/>
                <w:szCs w:val="20"/>
                <w:color w:val="auto"/>
              </w:rPr>
            </w:pPr>
            <w:r>
              <w:rPr>
                <w:rFonts w:ascii="Arial" w:cs="Arial" w:eastAsia="Arial" w:hAnsi="Arial"/>
                <w:sz w:val="17"/>
                <w:szCs w:val="17"/>
                <w:color w:val="auto"/>
                <w:w w:val="96"/>
              </w:rPr>
              <w:t>Amendment No. 1 to Credit Agreement, dated as of September 2, 2022, by and among GLP Capital, L.P., Wells Fargo Bank, National</w:t>
            </w:r>
          </w:p>
        </w:tc>
      </w:tr>
      <w:tr>
        <w:trPr>
          <w:trHeight w:val="182"/>
        </w:trPr>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7"/>
          </w:tcPr>
          <w:p>
            <w:pPr>
              <w:spacing w:after="0" w:line="181" w:lineRule="exact"/>
              <w:rPr>
                <w:sz w:val="20"/>
                <w:szCs w:val="20"/>
                <w:color w:val="auto"/>
              </w:rPr>
            </w:pPr>
            <w:r>
              <w:rPr>
                <w:rFonts w:ascii="Arial" w:cs="Arial" w:eastAsia="Arial" w:hAnsi="Arial"/>
                <w:sz w:val="17"/>
                <w:szCs w:val="17"/>
                <w:color w:val="auto"/>
                <w:w w:val="94"/>
              </w:rPr>
              <w:t>Association, as administrative agent, and the lenders party thereto (Incorporated by reference to Exhibit 10.2 to the Company's Form 8-K</w:t>
            </w:r>
          </w:p>
        </w:tc>
      </w:tr>
      <w:tr>
        <w:trPr>
          <w:trHeight w:val="220"/>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auto"/>
              </w:rPr>
              <w:t>filed on September 8, 2022.)</w:t>
            </w:r>
          </w:p>
        </w:tc>
      </w:tr>
      <w:tr>
        <w:trPr>
          <w:trHeight w:val="181"/>
        </w:trPr>
        <w:tc>
          <w:tcPr>
            <w:tcW w:w="1180" w:type="dxa"/>
            <w:vAlign w:val="bottom"/>
          </w:tcPr>
          <w:p>
            <w:pPr>
              <w:jc w:val="center"/>
              <w:spacing w:after="0" w:line="181" w:lineRule="exact"/>
              <w:rPr>
                <w:sz w:val="20"/>
                <w:szCs w:val="20"/>
                <w:color w:val="auto"/>
              </w:rPr>
            </w:pPr>
            <w:r>
              <w:rPr>
                <w:rFonts w:ascii="Arial" w:cs="Arial" w:eastAsia="Arial" w:hAnsi="Arial"/>
                <w:sz w:val="17"/>
                <w:szCs w:val="17"/>
                <w:color w:val="auto"/>
                <w:w w:val="94"/>
              </w:rPr>
              <w:t>22.1 *</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7"/>
          </w:tcPr>
          <w:p>
            <w:pPr>
              <w:spacing w:after="0" w:line="181" w:lineRule="exact"/>
              <w:rPr>
                <w:sz w:val="20"/>
                <w:szCs w:val="20"/>
                <w:color w:val="auto"/>
              </w:rPr>
            </w:pPr>
            <w:r>
              <w:rPr>
                <w:rFonts w:ascii="Arial" w:cs="Arial" w:eastAsia="Arial" w:hAnsi="Arial"/>
                <w:sz w:val="17"/>
                <w:szCs w:val="17"/>
                <w:color w:val="0000FF"/>
              </w:rPr>
              <w:t>List of Subsidiary Issuers of Guaranteed Securities</w:t>
            </w: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1180" w:type="dxa"/>
            <w:vAlign w:val="bottom"/>
          </w:tcPr>
          <w:p>
            <w:pPr>
              <w:jc w:val="center"/>
              <w:spacing w:after="0"/>
              <w:rPr>
                <w:sz w:val="20"/>
                <w:szCs w:val="20"/>
                <w:color w:val="auto"/>
              </w:rPr>
            </w:pPr>
            <w:r>
              <w:rPr>
                <w:rFonts w:ascii="Arial" w:cs="Arial" w:eastAsia="Arial" w:hAnsi="Arial"/>
                <w:sz w:val="17"/>
                <w:szCs w:val="17"/>
                <w:color w:val="auto"/>
                <w:w w:val="95"/>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0000FF"/>
              </w:rPr>
              <w:t>Principal Executive Officer Certification pursuant to Rule 13a-14(a) or 15d-14(a) of the Securities Exchange Act of 1934.</w:t>
            </w:r>
          </w:p>
        </w:tc>
      </w:tr>
      <w:tr>
        <w:trPr>
          <w:trHeight w:val="200"/>
        </w:trPr>
        <w:tc>
          <w:tcPr>
            <w:tcW w:w="1180" w:type="dxa"/>
            <w:vAlign w:val="bottom"/>
          </w:tcPr>
          <w:p>
            <w:pPr>
              <w:jc w:val="center"/>
              <w:spacing w:after="0"/>
              <w:rPr>
                <w:sz w:val="20"/>
                <w:szCs w:val="20"/>
                <w:color w:val="auto"/>
              </w:rPr>
            </w:pPr>
            <w:r>
              <w:rPr>
                <w:rFonts w:ascii="Arial" w:cs="Arial" w:eastAsia="Arial" w:hAnsi="Arial"/>
                <w:sz w:val="17"/>
                <w:szCs w:val="17"/>
                <w:color w:val="auto"/>
                <w:w w:val="95"/>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3"/>
              </w:rPr>
              <w:t>Principal Financial Officer Certification pursuant to Rule 13a-14(a) or 15d-14(a) of the Securities Exchange Act of 1934.</w:t>
            </w:r>
          </w:p>
        </w:tc>
        <w:tc>
          <w:tcPr>
            <w:tcW w:w="40" w:type="dxa"/>
            <w:vAlign w:val="bottom"/>
            <w:tcBorders>
              <w:top w:val="single" w:sz="8" w:color="0000FF"/>
            </w:tcBorders>
          </w:tcPr>
          <w:p>
            <w:pPr>
              <w:spacing w:after="0"/>
              <w:rPr>
                <w:sz w:val="17"/>
                <w:szCs w:val="17"/>
                <w:color w:val="auto"/>
              </w:rPr>
            </w:pPr>
          </w:p>
        </w:tc>
        <w:tc>
          <w:tcPr>
            <w:tcW w:w="1320" w:type="dxa"/>
            <w:vAlign w:val="bottom"/>
            <w:gridSpan w:val="3"/>
          </w:tcPr>
          <w:p>
            <w:pPr>
              <w:spacing w:after="0"/>
              <w:rPr>
                <w:sz w:val="17"/>
                <w:szCs w:val="17"/>
                <w:color w:val="auto"/>
              </w:rPr>
            </w:pPr>
          </w:p>
        </w:tc>
      </w:tr>
      <w:tr>
        <w:trPr>
          <w:trHeight w:val="200"/>
        </w:trPr>
        <w:tc>
          <w:tcPr>
            <w:tcW w:w="1180" w:type="dxa"/>
            <w:vAlign w:val="bottom"/>
          </w:tcPr>
          <w:p>
            <w:pPr>
              <w:jc w:val="center"/>
              <w:spacing w:after="0"/>
              <w:rPr>
                <w:sz w:val="20"/>
                <w:szCs w:val="20"/>
                <w:color w:val="auto"/>
              </w:rPr>
            </w:pPr>
            <w:r>
              <w:rPr>
                <w:rFonts w:ascii="Arial" w:cs="Arial" w:eastAsia="Arial" w:hAnsi="Arial"/>
                <w:sz w:val="17"/>
                <w:szCs w:val="17"/>
                <w:color w:val="auto"/>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0000FF"/>
                <w:w w:val="92"/>
              </w:rPr>
              <w:t>Principal Executive Officer Certification pursuant to 18 U.S.C. Section 1350, as adopted pursuant to Section 906 of the Sarbanes-Oxley Act</w:t>
            </w:r>
          </w:p>
        </w:tc>
      </w:tr>
      <w:tr>
        <w:trPr>
          <w:trHeight w:val="149"/>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7"/>
                <w:szCs w:val="17"/>
                <w:color w:val="0000FF"/>
                <w:w w:val="91"/>
              </w:rPr>
              <w:t>of 2002.</w:t>
            </w:r>
          </w:p>
        </w:tc>
        <w:tc>
          <w:tcPr>
            <w:tcW w:w="9100" w:type="dxa"/>
            <w:vAlign w:val="bottom"/>
            <w:tcBorders>
              <w:top w:val="single" w:sz="8" w:color="0000FF"/>
            </w:tcBorders>
            <w:gridSpan w:val="5"/>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1180" w:type="dxa"/>
            <w:vAlign w:val="bottom"/>
          </w:tcPr>
          <w:p>
            <w:pPr>
              <w:jc w:val="center"/>
              <w:spacing w:after="0"/>
              <w:rPr>
                <w:sz w:val="20"/>
                <w:szCs w:val="20"/>
                <w:color w:val="auto"/>
              </w:rPr>
            </w:pPr>
            <w:r>
              <w:rPr>
                <w:rFonts w:ascii="Arial" w:cs="Arial" w:eastAsia="Arial" w:hAnsi="Arial"/>
                <w:sz w:val="17"/>
                <w:szCs w:val="17"/>
                <w:color w:val="auto"/>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0000FF"/>
                <w:w w:val="93"/>
              </w:rPr>
              <w:t>Principal Financial Officer Certification pursuant to 18 U.S.C. Section 1350, as adopted pursuant to Section 906 of the Sarbanes-Oxley Act</w:t>
            </w:r>
          </w:p>
        </w:tc>
      </w:tr>
      <w:tr>
        <w:trPr>
          <w:trHeight w:val="149"/>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7"/>
                <w:szCs w:val="17"/>
                <w:color w:val="0000FF"/>
                <w:w w:val="91"/>
              </w:rPr>
              <w:t>of 2022.</w:t>
            </w:r>
          </w:p>
        </w:tc>
        <w:tc>
          <w:tcPr>
            <w:tcW w:w="9060" w:type="dxa"/>
            <w:vAlign w:val="bottom"/>
            <w:tcBorders>
              <w:top w:val="single" w:sz="8" w:color="0000FF"/>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r>
    </w:tbl>
    <w:p>
      <w:pPr>
        <w:spacing w:after="0" w:line="39" w:lineRule="exact"/>
        <w:rPr>
          <w:sz w:val="20"/>
          <w:szCs w:val="20"/>
          <w:color w:val="auto"/>
        </w:rPr>
      </w:pPr>
    </w:p>
    <w:p>
      <w:pPr>
        <w:ind w:left="1400" w:right="340" w:hanging="943"/>
        <w:spacing w:after="0" w:line="226" w:lineRule="auto"/>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September 30, 2022,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p>
      <w:pPr>
        <w:spacing w:after="0" w:line="3" w:lineRule="exact"/>
        <w:rPr>
          <w:sz w:val="20"/>
          <w:szCs w:val="20"/>
          <w:color w:val="auto"/>
        </w:rPr>
      </w:pPr>
    </w:p>
    <w:p>
      <w:pPr>
        <w:ind w:left="1400" w:right="180" w:hanging="943"/>
        <w:spacing w:after="0" w:line="238" w:lineRule="auto"/>
        <w:tabs>
          <w:tab w:leader="none" w:pos="14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cover page from the Company's Quarterly Report on Form 10-Q for the quarter ended September 30, 2022, formatted in Inline XBRL and contained in Exhibit 101.</w:t>
      </w:r>
    </w:p>
    <w:p>
      <w:pPr>
        <w:spacing w:after="0" w:line="200" w:lineRule="exact"/>
        <w:rPr>
          <w:rFonts w:ascii="Arial" w:cs="Arial" w:eastAsia="Arial" w:hAnsi="Arial"/>
          <w:sz w:val="17"/>
          <w:szCs w:val="17"/>
          <w:color w:val="auto"/>
        </w:rPr>
      </w:pPr>
    </w:p>
    <w:p>
      <w:pPr>
        <w:spacing w:after="0" w:line="3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spacing w:after="0" w:line="24" w:lineRule="exact"/>
        <w:rPr>
          <w:rFonts w:ascii="Arial" w:cs="Arial" w:eastAsia="Arial" w:hAnsi="Arial"/>
          <w:sz w:val="17"/>
          <w:szCs w:val="17"/>
          <w:color w:val="auto"/>
        </w:rPr>
      </w:pPr>
    </w:p>
    <w:p>
      <w:pPr>
        <w:ind w:left="340" w:hanging="336"/>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-485775</wp:posOffset>
            </wp:positionV>
            <wp:extent cx="170434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434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63" w:name="page64"/>
    <w:bookmarkEnd w:id="63"/>
    <w:p>
      <w:pPr>
        <w:jc w:val="center"/>
        <w:ind w:right="-759"/>
        <w:spacing w:after="0"/>
        <w:rPr>
          <w:sz w:val="20"/>
          <w:szCs w:val="20"/>
          <w:color w:val="auto"/>
        </w:rPr>
      </w:pPr>
      <w:r>
        <w:rPr>
          <w:rFonts w:ascii="Arial" w:cs="Arial" w:eastAsia="Arial" w:hAnsi="Arial"/>
          <w:sz w:val="17"/>
          <w:szCs w:val="17"/>
          <w:b w:val="1"/>
          <w:bCs w:val="1"/>
          <w:color w:val="auto"/>
        </w:rPr>
        <w:t>SIGNATURE</w:t>
      </w:r>
    </w:p>
    <w:p>
      <w:pPr>
        <w:spacing w:after="0" w:line="225"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240" w:type="dxa"/>
            <w:vAlign w:val="bottom"/>
          </w:tcPr>
          <w:p>
            <w:pPr>
              <w:spacing w:after="0"/>
              <w:rPr>
                <w:sz w:val="19"/>
                <w:szCs w:val="19"/>
                <w:color w:val="auto"/>
              </w:rPr>
            </w:pPr>
          </w:p>
        </w:tc>
        <w:tc>
          <w:tcPr>
            <w:tcW w:w="5380" w:type="dxa"/>
            <w:vAlign w:val="bottom"/>
            <w:gridSpan w:val="3"/>
          </w:tcPr>
          <w:p>
            <w:pPr>
              <w:ind w:left="2020"/>
              <w:spacing w:after="0"/>
              <w:rPr>
                <w:sz w:val="20"/>
                <w:szCs w:val="20"/>
                <w:color w:val="auto"/>
              </w:rPr>
            </w:pPr>
            <w:r>
              <w:rPr>
                <w:rFonts w:ascii="Arial" w:cs="Arial" w:eastAsia="Arial" w:hAnsi="Arial"/>
                <w:sz w:val="17"/>
                <w:szCs w:val="17"/>
                <w:color w:val="auto"/>
                <w:w w:val="96"/>
              </w:rPr>
              <w:t>GAMING AND LEISURE PROPERTIES, INC.</w:t>
            </w:r>
          </w:p>
        </w:tc>
      </w:tr>
      <w:tr>
        <w:trPr>
          <w:trHeight w:val="402"/>
        </w:trPr>
        <w:tc>
          <w:tcPr>
            <w:tcW w:w="3240" w:type="dxa"/>
            <w:vAlign w:val="bottom"/>
          </w:tcPr>
          <w:p>
            <w:pPr>
              <w:spacing w:after="0"/>
              <w:rPr>
                <w:sz w:val="20"/>
                <w:szCs w:val="20"/>
                <w:color w:val="auto"/>
              </w:rPr>
            </w:pPr>
            <w:r>
              <w:rPr>
                <w:rFonts w:ascii="Arial" w:cs="Arial" w:eastAsia="Arial" w:hAnsi="Arial"/>
                <w:sz w:val="17"/>
                <w:szCs w:val="17"/>
                <w:color w:val="auto"/>
              </w:rPr>
              <w:t>October 27, 2022</w:t>
            </w:r>
          </w:p>
        </w:tc>
        <w:tc>
          <w:tcPr>
            <w:tcW w:w="2700" w:type="dxa"/>
            <w:vAlign w:val="bottom"/>
          </w:tcPr>
          <w:p>
            <w:pPr>
              <w:ind w:left="20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/s/ DESIREE A. BURKE</w:t>
            </w:r>
          </w:p>
        </w:tc>
        <w:tc>
          <w:tcPr>
            <w:tcW w:w="920" w:type="dxa"/>
            <w:vAlign w:val="bottom"/>
          </w:tcPr>
          <w:p>
            <w:pPr>
              <w:spacing w:after="0"/>
              <w:rPr>
                <w:sz w:val="24"/>
                <w:szCs w:val="24"/>
                <w:color w:val="auto"/>
              </w:rPr>
            </w:pPr>
          </w:p>
        </w:tc>
      </w:tr>
      <w:tr>
        <w:trPr>
          <w:trHeight w:val="239"/>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Desiree A. Burke</w:t>
            </w:r>
          </w:p>
        </w:tc>
      </w:tr>
      <w:tr>
        <w:trPr>
          <w:trHeight w:val="220"/>
        </w:trPr>
        <w:tc>
          <w:tcPr>
            <w:tcW w:w="3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7"/>
                <w:szCs w:val="17"/>
                <w:i w:val="1"/>
                <w:iCs w:val="1"/>
                <w:color w:val="auto"/>
                <w:w w:val="95"/>
              </w:rPr>
              <w:t>Chief Financial Officer and Treasurer</w:t>
            </w:r>
          </w:p>
        </w:tc>
      </w:tr>
      <w:tr>
        <w:trPr>
          <w:trHeight w:val="220"/>
        </w:trPr>
        <w:tc>
          <w:tcPr>
            <w:tcW w:w="3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bl>
    <w:p>
      <w:pPr>
        <w:sectPr>
          <w:pgSz w:w="11900" w:h="16838" w:orient="portrait"/>
          <w:cols w:equalWidth="0" w:num="1">
            <w:col w:w="10500"/>
          </w:cols>
          <w:pgMar w:left="320" w:top="121" w:right="1079" w:bottom="1440" w:gutter="0" w:footer="0" w:header="0"/>
        </w:sectPr>
      </w:pPr>
    </w:p>
    <w:bookmarkStart w:id="64" w:name="page65"/>
    <w:bookmarkEnd w:id="64"/>
    <w:p>
      <w:pPr>
        <w:ind w:left="10180"/>
        <w:spacing w:after="0"/>
        <w:rPr>
          <w:sz w:val="20"/>
          <w:szCs w:val="20"/>
          <w:color w:val="auto"/>
        </w:rPr>
      </w:pPr>
      <w:r>
        <w:rPr>
          <w:rFonts w:ascii="Arial" w:cs="Arial" w:eastAsia="Arial" w:hAnsi="Arial"/>
          <w:sz w:val="19"/>
          <w:szCs w:val="19"/>
          <w:b w:val="1"/>
          <w:bCs w:val="1"/>
          <w:color w:val="auto"/>
        </w:rPr>
        <w:t>Exhibit 22.1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Subsidiary Issuers of Guaranteed Securities</w:t>
      </w:r>
    </w:p>
    <w:p>
      <w:pPr>
        <w:spacing w:after="0" w:line="153"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The following subsidiaries of Gaming and Leisure Properties, Inc. (the “Company”) were, as of September 30, 2022, issuers of the (i) $500 million 5.375% senior unsecured notes due November 2023, (ii) $400 million 3.35% senior unsecured notes due September 2024, (iii) $850 million 5.25% senior unsecured notes due June 2025, (iv) $975 million 5.375% senior unsecured notes due April 2026,</w:t>
      </w:r>
    </w:p>
    <w:p>
      <w:pPr>
        <w:spacing w:after="0" w:line="2" w:lineRule="exact"/>
        <w:rPr>
          <w:sz w:val="20"/>
          <w:szCs w:val="20"/>
          <w:color w:val="auto"/>
        </w:rPr>
      </w:pPr>
    </w:p>
    <w:p>
      <w:pPr>
        <w:ind w:right="80" w:firstLine="4"/>
        <w:spacing w:after="0" w:line="280" w:lineRule="auto"/>
        <w:tabs>
          <w:tab w:leader="none" w:pos="294" w:val="left"/>
        </w:tabs>
        <w:numPr>
          <w:ilvl w:val="0"/>
          <w:numId w:val="21"/>
        </w:numPr>
        <w:rPr>
          <w:rFonts w:ascii="Arial" w:cs="Arial" w:eastAsia="Arial" w:hAnsi="Arial"/>
          <w:sz w:val="20"/>
          <w:szCs w:val="20"/>
          <w:color w:val="auto"/>
        </w:rPr>
      </w:pPr>
      <w:r>
        <w:rPr>
          <w:rFonts w:ascii="Arial" w:cs="Arial" w:eastAsia="Arial" w:hAnsi="Arial"/>
          <w:sz w:val="20"/>
          <w:szCs w:val="20"/>
          <w:color w:val="auto"/>
        </w:rPr>
        <w:t>$500 million 5.75% senior unsecured notes due June 2028, (vi) $750 million 5.30% senior unsecured notes due January 2029, (vii) $700 million 4.00% senior unsecured notes due January 2030, (viii) $700 million 4.000% senior unsecured notes due January 2031, (vix)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54"/>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Entity</w:t>
            </w:r>
          </w:p>
        </w:tc>
        <w:tc>
          <w:tcPr>
            <w:tcW w:w="5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Jurisdiction of Incorporation or Formation</w:t>
            </w:r>
          </w:p>
        </w:tc>
      </w:tr>
      <w:tr>
        <w:trPr>
          <w:trHeight w:val="252"/>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Capital, L.P.</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Pennsylvania</w:t>
            </w:r>
          </w:p>
        </w:tc>
      </w:tr>
      <w:tr>
        <w:trPr>
          <w:trHeight w:val="252"/>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Financing II, Inc.</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Delaware</w:t>
            </w:r>
          </w:p>
        </w:tc>
      </w:tr>
    </w:tbl>
    <w:p>
      <w:pPr>
        <w:sectPr>
          <w:pgSz w:w="11900" w:h="16838" w:orient="portrait"/>
          <w:cols w:equalWidth="0" w:num="1">
            <w:col w:w="11240"/>
          </w:cols>
          <w:pgMar w:left="320" w:top="137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31.1</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Peter M. Carlino, certify that:</w:t>
      </w:r>
    </w:p>
    <w:p>
      <w:pPr>
        <w:spacing w:after="0" w:line="219"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9" w:lineRule="exact"/>
        <w:rPr>
          <w:rFonts w:ascii="Arial" w:cs="Arial" w:eastAsia="Arial" w:hAnsi="Arial"/>
          <w:sz w:val="17"/>
          <w:szCs w:val="17"/>
          <w:color w:val="auto"/>
        </w:rPr>
      </w:pPr>
    </w:p>
    <w:p>
      <w:pPr>
        <w:ind w:right="540" w:firstLine="4"/>
        <w:spacing w:after="0" w:line="354" w:lineRule="auto"/>
        <w:tabs>
          <w:tab w:leader="none" w:pos="652"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right="500" w:firstLine="4"/>
        <w:spacing w:after="0" w:line="284"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200" w:firstLine="4"/>
        <w:spacing w:after="0" w:line="284"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right="80" w:firstLine="626"/>
        <w:spacing w:after="0" w:line="269" w:lineRule="auto"/>
        <w:tabs>
          <w:tab w:leader="none" w:pos="1272"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right="300" w:firstLine="626"/>
        <w:spacing w:after="0" w:line="269" w:lineRule="auto"/>
        <w:tabs>
          <w:tab w:leader="none" w:pos="997"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right="660" w:firstLine="626"/>
        <w:spacing w:after="0" w:line="317" w:lineRule="auto"/>
        <w:tabs>
          <w:tab w:leader="none" w:pos="12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6"/>
          <w:szCs w:val="16"/>
          <w:color w:val="auto"/>
        </w:rPr>
      </w:pPr>
    </w:p>
    <w:p>
      <w:pPr>
        <w:ind w:right="160" w:firstLine="626"/>
        <w:spacing w:after="0" w:line="269" w:lineRule="auto"/>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160" w:firstLine="4"/>
        <w:spacing w:after="0" w:line="284"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right="60" w:firstLine="626"/>
        <w:spacing w:after="0" w:line="284" w:lineRule="auto"/>
        <w:tabs>
          <w:tab w:leader="none" w:pos="1272"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20" w:firstLine="626"/>
        <w:spacing w:after="0" w:line="284" w:lineRule="auto"/>
        <w:tabs>
          <w:tab w:leader="none" w:pos="1282"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40"/>
              <w:spacing w:after="0"/>
              <w:rPr>
                <w:sz w:val="20"/>
                <w:szCs w:val="20"/>
                <w:color w:val="auto"/>
              </w:rPr>
            </w:pPr>
            <w:r>
              <w:rPr>
                <w:rFonts w:ascii="Arial" w:cs="Arial" w:eastAsia="Arial" w:hAnsi="Arial"/>
                <w:sz w:val="17"/>
                <w:szCs w:val="17"/>
                <w:color w:val="auto"/>
              </w:rPr>
              <w:t>October 27, 2022</w:t>
            </w:r>
          </w:p>
        </w:tc>
        <w:tc>
          <w:tcPr>
            <w:tcW w:w="1660" w:type="dxa"/>
            <w:vAlign w:val="bottom"/>
            <w:gridSpan w:val="2"/>
          </w:tcPr>
          <w:p>
            <w:pPr>
              <w:spacing w:after="0"/>
              <w:rPr>
                <w:sz w:val="20"/>
                <w:szCs w:val="20"/>
                <w:color w:val="auto"/>
              </w:rPr>
            </w:pPr>
            <w:r>
              <w:rPr>
                <w:rFonts w:ascii="Arial" w:cs="Arial" w:eastAsia="Arial" w:hAnsi="Arial"/>
                <w:sz w:val="17"/>
                <w:szCs w:val="17"/>
                <w:color w:val="auto"/>
              </w:rPr>
              <w:t>/s/ Peter M. Carlino</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9"/>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w w:val="92"/>
              </w:rPr>
              <w:t>Name: Peter M. Carlino</w:t>
            </w:r>
          </w:p>
        </w:tc>
      </w:tr>
      <w:tr>
        <w:trPr>
          <w:trHeight w:val="220"/>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i w:val="1"/>
                <w:iCs w:val="1"/>
                <w:color w:val="auto"/>
                <w:w w:val="94"/>
              </w:rPr>
              <w:t>Chief Executive Officer</w:t>
            </w:r>
          </w:p>
        </w:tc>
      </w:tr>
    </w:tbl>
    <w:p>
      <w:pPr>
        <w:sectPr>
          <w:pgSz w:w="11900" w:h="16838" w:orient="portrait"/>
          <w:cols w:equalWidth="0" w:num="1">
            <w:col w:w="11240"/>
          </w:cols>
          <w:pgMar w:left="320" w:top="86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31.2</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Desiree A. Burke, certify that:</w:t>
      </w:r>
    </w:p>
    <w:p>
      <w:pPr>
        <w:spacing w:after="0" w:line="219" w:lineRule="exact"/>
        <w:rPr>
          <w:sz w:val="20"/>
          <w:szCs w:val="20"/>
          <w:color w:val="auto"/>
        </w:rPr>
      </w:pPr>
    </w:p>
    <w:p>
      <w:pPr>
        <w:ind w:left="660" w:hanging="656"/>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9" w:lineRule="exact"/>
        <w:rPr>
          <w:rFonts w:ascii="Arial" w:cs="Arial" w:eastAsia="Arial" w:hAnsi="Arial"/>
          <w:sz w:val="17"/>
          <w:szCs w:val="17"/>
          <w:color w:val="auto"/>
        </w:rPr>
      </w:pPr>
    </w:p>
    <w:p>
      <w:pPr>
        <w:ind w:right="540" w:firstLine="4"/>
        <w:spacing w:after="0" w:line="354" w:lineRule="auto"/>
        <w:tabs>
          <w:tab w:leader="none" w:pos="652"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right="500" w:firstLine="4"/>
        <w:spacing w:after="0" w:line="284"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200" w:firstLine="4"/>
        <w:spacing w:after="0" w:line="284"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right="80" w:firstLine="626"/>
        <w:spacing w:after="0" w:line="269" w:lineRule="auto"/>
        <w:tabs>
          <w:tab w:leader="none" w:pos="1272"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right="300" w:firstLine="626"/>
        <w:spacing w:after="0" w:line="269" w:lineRule="auto"/>
        <w:tabs>
          <w:tab w:leader="none" w:pos="9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right="660" w:firstLine="626"/>
        <w:spacing w:after="0" w:line="317" w:lineRule="auto"/>
        <w:tabs>
          <w:tab w:leader="none" w:pos="125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6"/>
          <w:szCs w:val="16"/>
          <w:color w:val="auto"/>
        </w:rPr>
      </w:pPr>
    </w:p>
    <w:p>
      <w:pPr>
        <w:ind w:right="160" w:firstLine="626"/>
        <w:spacing w:after="0" w:line="269" w:lineRule="auto"/>
        <w:tabs>
          <w:tab w:leader="none" w:pos="12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160" w:firstLine="4"/>
        <w:spacing w:after="0" w:line="284"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right="60" w:firstLine="626"/>
        <w:spacing w:after="0" w:line="284" w:lineRule="auto"/>
        <w:tabs>
          <w:tab w:leader="none" w:pos="1272"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20" w:firstLine="626"/>
        <w:spacing w:after="0" w:line="284" w:lineRule="auto"/>
        <w:tabs>
          <w:tab w:leader="none" w:pos="1282"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40"/>
              <w:spacing w:after="0"/>
              <w:rPr>
                <w:sz w:val="20"/>
                <w:szCs w:val="20"/>
                <w:color w:val="auto"/>
              </w:rPr>
            </w:pPr>
            <w:r>
              <w:rPr>
                <w:rFonts w:ascii="Arial" w:cs="Arial" w:eastAsia="Arial" w:hAnsi="Arial"/>
                <w:sz w:val="17"/>
                <w:szCs w:val="17"/>
                <w:color w:val="auto"/>
              </w:rPr>
              <w:t>October 27, 2022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Desiree A. Burke</w:t>
            </w:r>
          </w:p>
        </w:tc>
        <w:tc>
          <w:tcPr>
            <w:tcW w:w="1220" w:type="dxa"/>
            <w:vAlign w:val="bottom"/>
          </w:tcPr>
          <w:p>
            <w:pPr>
              <w:spacing w:after="0"/>
              <w:rPr>
                <w:sz w:val="16"/>
                <w:szCs w:val="16"/>
                <w:color w:val="auto"/>
              </w:rPr>
            </w:pPr>
          </w:p>
        </w:tc>
      </w:tr>
      <w:tr>
        <w:trPr>
          <w:trHeight w:val="239"/>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auto"/>
              </w:rPr>
              <w:t>Name: Desiree A. Burke</w:t>
            </w:r>
          </w:p>
        </w:tc>
      </w:tr>
      <w:tr>
        <w:trPr>
          <w:trHeight w:val="220"/>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7"/>
                <w:szCs w:val="17"/>
                <w:i w:val="1"/>
                <w:iCs w:val="1"/>
                <w:color w:val="auto"/>
                <w:w w:val="93"/>
              </w:rPr>
              <w:t>Chief Financial Officer and Treasurer</w:t>
            </w:r>
          </w:p>
        </w:tc>
      </w:tr>
    </w:tbl>
    <w:p>
      <w:pPr>
        <w:sectPr>
          <w:pgSz w:w="11900" w:h="16838" w:orient="portrait"/>
          <w:cols w:equalWidth="0" w:num="1">
            <w:col w:w="11240"/>
          </w:cols>
          <w:pgMar w:left="320" w:top="86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7" w:lineRule="exact"/>
        <w:rPr>
          <w:sz w:val="20"/>
          <w:szCs w:val="20"/>
          <w:color w:val="auto"/>
        </w:rPr>
      </w:pPr>
    </w:p>
    <w:p>
      <w:pPr>
        <w:ind w:right="400" w:firstLine="622"/>
        <w:spacing w:after="0" w:line="321" w:lineRule="auto"/>
        <w:rPr>
          <w:sz w:val="20"/>
          <w:szCs w:val="20"/>
          <w:color w:val="auto"/>
        </w:rPr>
      </w:pPr>
      <w:r>
        <w:rPr>
          <w:rFonts w:ascii="Arial" w:cs="Arial" w:eastAsia="Arial" w:hAnsi="Arial"/>
          <w:sz w:val="15"/>
          <w:szCs w:val="15"/>
          <w:color w:val="auto"/>
        </w:rPr>
        <w:t>In connection with the quarterly report of Gaming and Leisure Properties, Inc. (the “Company”) on Form 10-Q for the quarter ended September 30, 2022,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138" w:lineRule="exact"/>
        <w:rPr>
          <w:sz w:val="20"/>
          <w:szCs w:val="20"/>
          <w:color w:val="auto"/>
        </w:rPr>
      </w:pPr>
    </w:p>
    <w:p>
      <w:pPr>
        <w:ind w:left="1280" w:hanging="654"/>
        <w:spacing w:after="0"/>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9" w:lineRule="exact"/>
        <w:rPr>
          <w:rFonts w:ascii="Arial" w:cs="Arial" w:eastAsia="Arial" w:hAnsi="Arial"/>
          <w:sz w:val="17"/>
          <w:szCs w:val="17"/>
          <w:color w:val="auto"/>
        </w:rPr>
      </w:pPr>
    </w:p>
    <w:p>
      <w:pPr>
        <w:ind w:left="1280" w:hanging="654"/>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Peter M. Carlino</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Peter M. Carlino</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Principal Financial Officer</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October 27, 2022</w:t>
      </w:r>
    </w:p>
    <w:p>
      <w:pPr>
        <w:sectPr>
          <w:pgSz w:w="11900" w:h="16838" w:orient="portrait"/>
          <w:cols w:equalWidth="0" w:num="1">
            <w:col w:w="11240"/>
          </w:cols>
          <w:pgMar w:left="320" w:top="86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7" w:lineRule="exact"/>
        <w:rPr>
          <w:sz w:val="20"/>
          <w:szCs w:val="20"/>
          <w:color w:val="auto"/>
        </w:rPr>
      </w:pPr>
    </w:p>
    <w:p>
      <w:pPr>
        <w:ind w:right="400" w:firstLine="622"/>
        <w:spacing w:after="0" w:line="321" w:lineRule="auto"/>
        <w:rPr>
          <w:sz w:val="20"/>
          <w:szCs w:val="20"/>
          <w:color w:val="auto"/>
        </w:rPr>
      </w:pPr>
      <w:r>
        <w:rPr>
          <w:rFonts w:ascii="Arial" w:cs="Arial" w:eastAsia="Arial" w:hAnsi="Arial"/>
          <w:sz w:val="15"/>
          <w:szCs w:val="15"/>
          <w:color w:val="auto"/>
        </w:rPr>
        <w:t>In connection with the quarterly report of Gaming and Leisure Properties, Inc. (the “Company”) on Form 10-Q for the quarter ended September 30, 2022,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38" w:lineRule="exact"/>
        <w:rPr>
          <w:sz w:val="20"/>
          <w:szCs w:val="20"/>
          <w:color w:val="auto"/>
        </w:rPr>
      </w:pPr>
    </w:p>
    <w:p>
      <w:pPr>
        <w:ind w:left="1280" w:hanging="654"/>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9" w:lineRule="exact"/>
        <w:rPr>
          <w:rFonts w:ascii="Arial" w:cs="Arial" w:eastAsia="Arial" w:hAnsi="Arial"/>
          <w:sz w:val="17"/>
          <w:szCs w:val="17"/>
          <w:color w:val="auto"/>
        </w:rPr>
      </w:pPr>
    </w:p>
    <w:p>
      <w:pPr>
        <w:ind w:left="1280" w:hanging="654"/>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Desiree A. Burke</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Desiree A. Burke</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Financial Officer and Principal Financial Officer</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October 27, 2022</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7"/>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820"/>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5"/>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Roman"/>
      <w:start w:val="4"/>
    </w:lvl>
  </w:abstractNum>
  <w:abstractNum w:abstractNumId="17">
    <w:nsid w:val="333AB105"/>
    <w:multiLevelType w:val="hybridMultilevel"/>
    <w:lvl w:ilvl="0">
      <w:lvlJc w:val="left"/>
      <w:lvlText w:val="%1"/>
      <w:numFmt w:val="decimal"/>
      <w:start w:val="10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1)"/>
      <w:numFmt w:val="lowerRoman"/>
      <w:start w:val="5"/>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2022-10-27T16:05:32Z</dcterms:created>
  <dcterms:modified xsi:type="dcterms:W3CDTF">2022-10-27T16:05:32Z</dcterms:modified>
</cp:coreProperties>
</file>