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before="0" w:after="0"/>
        <w:ind w:left="0" w:right="0" w:firstLine="7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bidi w:val="0"/>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30"/>
        </w:rPr>
        <w:t>FORM 10-Q</w:t>
      </w: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transition period from          to        </w:t>
      </w:r>
      <w:r>
        <w:rPr>
          <w:color w:val="000000"/>
        </w:rPr>
        <w:t> </w:t>
      </w:r>
    </w:p>
    <w:p>
      <w:pPr>
        <w:pStyle w:val="TextBody"/>
        <w:bidi w:val="0"/>
        <w:spacing w:lineRule="auto" w:line="288" w:before="0" w:after="0"/>
        <w:jc w:val="center"/>
        <w:rPr/>
      </w:pPr>
      <w:r>
        <w:rPr>
          <w:rFonts w:ascii="Times New Roman;sans-serif" w:hAnsi="Times New Roman;sans-serif"/>
          <w:b/>
          <w:color w:val="000000"/>
          <w:sz w:val="20"/>
        </w:rPr>
        <w:t>Commission File Number:  001-36124</w:t>
      </w:r>
      <w:r>
        <w:rPr>
          <w:color w:val="000000"/>
        </w:rPr>
        <w:t xml:space="preserve">  </w:t>
      </w:r>
    </w:p>
    <w:p>
      <w:pPr>
        <w:pStyle w:val="TextBody"/>
        <w:bidi w:val="0"/>
        <w:spacing w:lineRule="auto" w:line="288" w:before="120" w:after="283"/>
        <w:jc w:val="center"/>
        <w:rPr>
          <w:rFonts w:ascii="Times New Roman;sans-serif" w:hAnsi="Times New Roman;sans-serif"/>
          <w:b/>
          <w:color w:val="000000"/>
          <w:sz w:val="34"/>
        </w:rPr>
      </w:pPr>
      <w:r>
        <w:rPr>
          <w:rFonts w:ascii="Times New Roman;sans-serif" w:hAnsi="Times New Roman;sans-serif"/>
          <w:b/>
          <w:color w:val="000000"/>
          <w:sz w:val="34"/>
        </w:rPr>
        <w:t xml:space="preserve">Gaming and Leisure Properties, Inc.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its charter)</w:t>
      </w:r>
      <w:r>
        <w:rPr>
          <w:color w:val="000000"/>
        </w:rPr>
        <w:t> </w:t>
      </w:r>
    </w:p>
    <w:tbl>
      <w:tblPr>
        <w:tblW w:w="4555" w:type="dxa"/>
        <w:jc w:val="center"/>
        <w:tblInd w:w="0" w:type="dxa"/>
        <w:tblLayout w:type="fixed"/>
        <w:tblCellMar>
          <w:top w:w="28" w:type="dxa"/>
          <w:left w:w="28" w:type="dxa"/>
          <w:bottom w:w="28" w:type="dxa"/>
          <w:right w:w="28" w:type="dxa"/>
        </w:tblCellMar>
      </w:tblPr>
      <w:tblGrid>
        <w:gridCol w:w="935"/>
        <w:gridCol w:w="820"/>
        <w:gridCol w:w="824"/>
        <w:gridCol w:w="109"/>
        <w:gridCol w:w="109"/>
        <w:gridCol w:w="109"/>
        <w:gridCol w:w="481"/>
        <w:gridCol w:w="481"/>
        <w:gridCol w:w="687"/>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46-2116489</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0" w:after="0"/>
        <w:jc w:val="center"/>
        <w:rPr/>
      </w:pPr>
      <w:r>
        <w:rPr>
          <w:color w:val="000000"/>
        </w:rPr>
        <w:t> </w:t>
      </w:r>
      <w:r>
        <w:rPr>
          <w:rFonts w:ascii="Times New Roman;sans-serif" w:hAnsi="Times New Roman;sans-serif"/>
          <w:b/>
          <w:color w:val="000000"/>
          <w:sz w:val="19"/>
        </w:rPr>
        <w:t xml:space="preserve">845 Berkshire Blvd., Suite 200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Wyomissing, PA 19610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610-401-2900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color w:val="000000"/>
          <w:sz w:val="19"/>
        </w:rPr>
        <w:t>Not Applicable</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(Former name, former address, and former fiscal year, if changed since last report)</w:t>
      </w:r>
    </w:p>
    <w:p>
      <w:pPr>
        <w:pStyle w:val="TextBody"/>
        <w:bidi w:val="0"/>
        <w:spacing w:lineRule="auto" w:line="288" w:before="120" w:after="283"/>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bl>
      <w:tblPr>
        <w:tblW w:w="8392" w:type="dxa"/>
        <w:jc w:val="left"/>
        <w:tblInd w:w="0" w:type="dxa"/>
        <w:tblLayout w:type="fixed"/>
        <w:tblCellMar>
          <w:top w:w="28" w:type="dxa"/>
          <w:left w:w="28" w:type="dxa"/>
          <w:bottom w:w="28" w:type="dxa"/>
          <w:right w:w="28" w:type="dxa"/>
        </w:tblCellMar>
      </w:tblPr>
      <w:tblGrid>
        <w:gridCol w:w="1074"/>
        <w:gridCol w:w="942"/>
        <w:gridCol w:w="954"/>
        <w:gridCol w:w="109"/>
        <w:gridCol w:w="109"/>
        <w:gridCol w:w="109"/>
        <w:gridCol w:w="484"/>
        <w:gridCol w:w="484"/>
        <w:gridCol w:w="486"/>
        <w:gridCol w:w="109"/>
        <w:gridCol w:w="109"/>
        <w:gridCol w:w="109"/>
        <w:gridCol w:w="970"/>
        <w:gridCol w:w="970"/>
        <w:gridCol w:w="1374"/>
      </w:tblGrid>
      <w:tr>
        <w:trPr/>
        <w:tc>
          <w:tcPr>
            <w:tcW w:w="107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9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GLPI</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w:t>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120" w:after="283"/>
        <w:ind w:left="0" w:right="0" w:firstLine="360"/>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ind w:left="0" w:right="0" w:firstLine="360"/>
        <w:jc w:val="left"/>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283"/>
        <w:ind w:left="0" w:right="0" w:firstLine="360"/>
        <w:jc w:val="left"/>
        <w:rPr>
          <w:color w:val="000000"/>
        </w:rPr>
      </w:pPr>
      <w:r>
        <w:rPr>
          <w:color w:val="000000"/>
        </w:rPr>
        <w:t> </w:t>
      </w:r>
    </w:p>
    <w:tbl>
      <w:tblPr>
        <w:tblW w:w="4974"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ind w:left="0" w:right="0" w:firstLine="360"/>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 xml:space="preserve">No </w:t>
      </w:r>
      <w:r>
        <w:rPr>
          <w:color w:val="000000"/>
        </w:rPr>
        <w:t>☒ </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4495" w:type="dxa"/>
        <w:jc w:val="left"/>
        <w:tblInd w:w="0" w:type="dxa"/>
        <w:tblLayout w:type="fixed"/>
        <w:tblCellMar>
          <w:top w:w="28" w:type="dxa"/>
          <w:left w:w="28" w:type="dxa"/>
          <w:bottom w:w="28" w:type="dxa"/>
          <w:right w:w="28" w:type="dxa"/>
        </w:tblCellMar>
      </w:tblPr>
      <w:tblGrid>
        <w:gridCol w:w="1070"/>
        <w:gridCol w:w="938"/>
        <w:gridCol w:w="961"/>
        <w:gridCol w:w="109"/>
        <w:gridCol w:w="109"/>
        <w:gridCol w:w="109"/>
        <w:gridCol w:w="351"/>
        <w:gridCol w:w="351"/>
        <w:gridCol w:w="497"/>
      </w:tblGrid>
      <w:tr>
        <w:trPr/>
        <w:tc>
          <w:tcPr>
            <w:tcW w:w="107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19, 2024</w:t>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271,500,584</w:t>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that higher inflation rates and uncertainty with respect to the future state of the economy could have on discretionary consumer spending, including the casino operations of our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unforeseen consequences related to United States ("U.S.") government monetary policies and stimulus packages on inflation rates and economic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and the ability to identify suitable and attractive acquisition and development opportunities and the ability to acquire and lease the respective properties on favorable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degree and nature of our competition;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receive, or delays in obtaining, the regulatory approvals required to own and/or operate our properties, or other delays or impediments to completing our planned acquisitions or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elevated interest rates and higher levels of inflation (which have been exacerbated by the armed conflict between Russia and Ukraine and may be further impacted by events in the Middle East);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potential of a new pandemic, including its effect on the ability or desire of people to gather in large groups (including in casinos), which could impact our financial results, operations, outlooks, plans, goals, growth, cash flows, liquidity, and stock price;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satisfaction of certain asset, income, organizational, distribution, shareholder ownership and other requirements on a continuing basis in order for the Company to maintain its REIT status;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our tenants to comply with laws, rules and regulations in the operation of our properties, to deliver high quality services, to attract and retain qualified personnel and to attract customers;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to generate sufficient cash flows to service our outstanding indebtedness;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through debt and equity markets in amounts and at rates and costs acceptable to GLPI, including for acquisitions or refinancings due to maturities;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changes in our credit rating;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qualified personnel and our ability to retain our key management personnel;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U.S. tax law and other federal, state or local laws, whether or not specific to real estate, REITs or the gaming, lodging or hospitality industries;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weather or climate events or conditions, natural disasters, acts of terrorism and other international hostilities, war (including the current conflict between Russia and Ukraine and conflicts in the Middle East) or political instability;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the historical financial statements included herein do not reflect what the business, financial position or results of operations of GLPI may be in the future;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inherent in the real estate business, including potential liability relating to environmental matters and illiquidity of real estate investments;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additional factors as discussed in the Company’s Annual Report on Form 10-K for the year ended December 31, 2023 (the "Annual Report"), in this Quarterly Report on Form 10-Q and Current Reports on Form 8-K as filed with the United States Securities and Exchange Commission.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33"/>
        <w:gridCol w:w="382"/>
        <w:gridCol w:w="386"/>
        <w:gridCol w:w="2876"/>
        <w:gridCol w:w="2876"/>
        <w:gridCol w:w="2879"/>
        <w:gridCol w:w="109"/>
        <w:gridCol w:w="109"/>
        <w:gridCol w:w="155"/>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3">
              <w:r>
                <w:rPr>
                  <w:rStyle w:val="InternetLink"/>
                  <w:rFonts w:ascii="Times New Roman;sans-serif" w:hAnsi="Times New Roman;sans-serif"/>
                  <w:b w:val="false"/>
                  <w:color w:val="0000FF"/>
                  <w:sz w:val="20"/>
                  <w:u w:val="single"/>
                </w:rPr>
                <w:t>PART 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3">
              <w:r>
                <w:rPr>
                  <w:rStyle w:val="InternetLink"/>
                  <w:rFonts w:ascii="Times New Roman;sans-serif" w:hAnsi="Times New Roman;sans-serif"/>
                  <w:b w:val="false"/>
                  <w:color w:val="0000FF"/>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3">
              <w:r>
                <w:rPr>
                  <w:rStyle w:val="InternetLink"/>
                  <w:rFonts w:ascii="Times New Roman;sans-serif" w:hAnsi="Times New Roman;sans-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6">
              <w:r>
                <w:rPr>
                  <w:rStyle w:val="InternetLink"/>
                  <w:rFonts w:ascii="Times New Roman;sans-serif" w:hAnsi="Times New Roman;sans-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6">
              <w:r>
                <w:rPr>
                  <w:rStyle w:val="InternetLink"/>
                  <w:rFonts w:ascii="Times New Roman;sans-serif" w:hAnsi="Times New Roman;sans-serif"/>
                  <w:b w:val="false"/>
                  <w:color w:val="0000FF"/>
                  <w:sz w:val="20"/>
                  <w:u w:val="single"/>
                </w:rPr>
                <w:t xml:space="preserve">FINANCIAL STATEMENTS </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6">
              <w:r>
                <w:rPr>
                  <w:rStyle w:val="InternetLink"/>
                  <w:rFonts w:ascii="Times New Roman;sans-serif" w:hAnsi="Times New Roman;sans-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9">
              <w:r>
                <w:rPr>
                  <w:rStyle w:val="InternetLink"/>
                  <w:rFonts w:ascii="Times New Roman;sans-serif" w:hAnsi="Times New Roman;sans-serif"/>
                  <w:b w:val="false"/>
                  <w:color w:val="000080"/>
                  <w:sz w:val="20"/>
                  <w:u w:val="single"/>
                </w:rPr>
                <w:t xml:space="preserve">Condensed Consolidated Balance Sheets - </w:t>
              </w:r>
            </w:hyperlink>
            <w:hyperlink w:anchor="icf898428be4c42af8c64a6fc25b08273_19">
              <w:r>
                <w:rPr>
                  <w:rStyle w:val="InternetLink"/>
                  <w:rFonts w:ascii="Times New Roman;sans-serif" w:hAnsi="Times New Roman;sans-serif"/>
                  <w:b w:val="false"/>
                  <w:color w:val="000080"/>
                  <w:sz w:val="20"/>
                  <w:u w:val="single"/>
                </w:rPr>
                <w:t>March</w:t>
              </w:r>
            </w:hyperlink>
            <w:hyperlink w:anchor="icf898428be4c42af8c64a6fc25b08273_19">
              <w:r>
                <w:rPr>
                  <w:rStyle w:val="InternetLink"/>
                  <w:rFonts w:ascii="Times New Roman;sans-serif" w:hAnsi="Times New Roman;sans-serif"/>
                  <w:b w:val="false"/>
                  <w:color w:val="000080"/>
                  <w:sz w:val="20"/>
                  <w:u w:val="single"/>
                </w:rPr>
                <w:t xml:space="preserve"> 3</w:t>
              </w:r>
            </w:hyperlink>
            <w:hyperlink w:anchor="icf898428be4c42af8c64a6fc25b08273_19">
              <w:r>
                <w:rPr>
                  <w:rStyle w:val="InternetLink"/>
                  <w:rFonts w:ascii="Times New Roman;sans-serif" w:hAnsi="Times New Roman;sans-serif"/>
                  <w:b w:val="false"/>
                  <w:color w:val="000080"/>
                  <w:sz w:val="20"/>
                  <w:u w:val="single"/>
                </w:rPr>
                <w:t>1</w:t>
              </w:r>
            </w:hyperlink>
            <w:hyperlink w:anchor="icf898428be4c42af8c64a6fc25b08273_19">
              <w:r>
                <w:rPr>
                  <w:rStyle w:val="InternetLink"/>
                  <w:rFonts w:ascii="Times New Roman;sans-serif" w:hAnsi="Times New Roman;sans-serif"/>
                  <w:b w:val="false"/>
                  <w:color w:val="000080"/>
                  <w:sz w:val="20"/>
                  <w:u w:val="single"/>
                </w:rPr>
                <w:t>, 202</w:t>
              </w:r>
            </w:hyperlink>
            <w:hyperlink w:anchor="icf898428be4c42af8c64a6fc25b08273_19">
              <w:r>
                <w:rPr>
                  <w:rStyle w:val="InternetLink"/>
                  <w:rFonts w:ascii="Times New Roman;sans-serif" w:hAnsi="Times New Roman;sans-serif"/>
                  <w:b w:val="false"/>
                  <w:color w:val="000080"/>
                  <w:sz w:val="20"/>
                  <w:u w:val="single"/>
                </w:rPr>
                <w:t>4</w:t>
              </w:r>
            </w:hyperlink>
            <w:hyperlink w:anchor="icf898428be4c42af8c64a6fc25b08273_19">
              <w:r>
                <w:rPr>
                  <w:rStyle w:val="InternetLink"/>
                  <w:rFonts w:ascii="Times New Roman;sans-serif" w:hAnsi="Times New Roman;sans-serif"/>
                  <w:b w:val="false"/>
                  <w:color w:val="000080"/>
                  <w:sz w:val="20"/>
                  <w:u w:val="single"/>
                </w:rPr>
                <w:t xml:space="preserve"> and December 31, 202</w:t>
              </w:r>
            </w:hyperlink>
            <w:r>
              <w:rPr>
                <w:rFonts w:ascii="Times New Roman;sans-serif" w:hAnsi="Times New Roman;sans-serif"/>
                <w:b w:val="false"/>
                <w:color w:val="000000"/>
                <w:sz w:val="20"/>
              </w:rPr>
              <w:t>3</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9">
              <w:r>
                <w:rPr>
                  <w:rStyle w:val="InternetLink"/>
                  <w:rFonts w:ascii="Times New Roman;sans-serif" w:hAnsi="Times New Roman;sans-serif"/>
                  <w:b w:val="false"/>
                  <w:color w:val="0000FF"/>
                  <w:sz w:val="20"/>
                  <w:u w:val="single"/>
                </w:rPr>
                <w:t>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f898428be4c42af8c64a6fc25b08273_22">
              <w:r>
                <w:rPr>
                  <w:rStyle w:val="InternetLink"/>
                  <w:rFonts w:ascii="Times New Roman;sans-serif" w:hAnsi="Times New Roman;sans-serif"/>
                  <w:b w:val="false"/>
                  <w:color w:val="000080"/>
                  <w:sz w:val="20"/>
                  <w:u w:val="single"/>
                </w:rPr>
                <w:t xml:space="preserve">Condensed Consolidated Statements of Income - Three </w:t>
              </w:r>
            </w:hyperlink>
            <w:hyperlink w:anchor="icf898428be4c42af8c64a6fc25b08273_22">
              <w:r>
                <w:rPr>
                  <w:rStyle w:val="InternetLink"/>
                  <w:rFonts w:ascii="Times New Roman;sans-serif" w:hAnsi="Times New Roman;sans-serif"/>
                  <w:b w:val="false"/>
                  <w:color w:val="000080"/>
                  <w:sz w:val="20"/>
                  <w:u w:val="single"/>
                </w:rPr>
                <w:t xml:space="preserve">Months Ended </w:t>
              </w:r>
            </w:hyperlink>
            <w:hyperlink w:anchor="icf898428be4c42af8c64a6fc25b08273_22">
              <w:r>
                <w:rPr>
                  <w:rStyle w:val="InternetLink"/>
                  <w:rFonts w:ascii="Times New Roman;sans-serif" w:hAnsi="Times New Roman;sans-serif"/>
                  <w:b w:val="false"/>
                  <w:color w:val="000080"/>
                  <w:sz w:val="20"/>
                  <w:u w:val="single"/>
                </w:rPr>
                <w:t>March</w:t>
              </w:r>
            </w:hyperlink>
            <w:hyperlink w:anchor="icf898428be4c42af8c64a6fc25b08273_22">
              <w:r>
                <w:rPr>
                  <w:rStyle w:val="InternetLink"/>
                  <w:rFonts w:ascii="Times New Roman;sans-serif" w:hAnsi="Times New Roman;sans-serif"/>
                  <w:b w:val="false"/>
                  <w:color w:val="000080"/>
                  <w:sz w:val="20"/>
                  <w:u w:val="single"/>
                </w:rPr>
                <w:t xml:space="preserve"> 3</w:t>
              </w:r>
            </w:hyperlink>
            <w:hyperlink w:anchor="icf898428be4c42af8c64a6fc25b08273_22">
              <w:r>
                <w:rPr>
                  <w:rStyle w:val="InternetLink"/>
                  <w:rFonts w:ascii="Times New Roman;sans-serif" w:hAnsi="Times New Roman;sans-serif"/>
                  <w:b w:val="false"/>
                  <w:color w:val="000080"/>
                  <w:sz w:val="20"/>
                  <w:u w:val="single"/>
                </w:rPr>
                <w:t>1</w:t>
              </w:r>
            </w:hyperlink>
            <w:hyperlink w:anchor="icf898428be4c42af8c64a6fc25b08273_22">
              <w:r>
                <w:rPr>
                  <w:rStyle w:val="InternetLink"/>
                  <w:rFonts w:ascii="Times New Roman;sans-serif" w:hAnsi="Times New Roman;sans-serif"/>
                  <w:b w:val="false"/>
                  <w:color w:val="000080"/>
                  <w:sz w:val="20"/>
                  <w:u w:val="single"/>
                </w:rPr>
                <w:t>, 202</w:t>
              </w:r>
            </w:hyperlink>
            <w:hyperlink w:anchor="icf898428be4c42af8c64a6fc25b08273_22">
              <w:r>
                <w:rPr>
                  <w:rStyle w:val="InternetLink"/>
                  <w:rFonts w:ascii="Times New Roman;sans-serif" w:hAnsi="Times New Roman;sans-serif"/>
                  <w:b w:val="false"/>
                  <w:color w:val="000080"/>
                  <w:sz w:val="20"/>
                  <w:u w:val="single"/>
                </w:rPr>
                <w:t>4</w:t>
              </w:r>
            </w:hyperlink>
            <w:hyperlink w:anchor="icf898428be4c42af8c64a6fc25b08273_22">
              <w:r>
                <w:rPr>
                  <w:rStyle w:val="InternetLink"/>
                  <w:rFonts w:ascii="Times New Roman;sans-serif" w:hAnsi="Times New Roman;sans-serif"/>
                  <w:b w:val="false"/>
                  <w:color w:val="000080"/>
                  <w:sz w:val="20"/>
                  <w:u w:val="single"/>
                </w:rPr>
                <w:t xml:space="preserve"> and 202</w:t>
              </w:r>
            </w:hyperlink>
            <w:hyperlink w:anchor="icf898428be4c42af8c64a6fc25b08273_22">
              <w:r>
                <w:rPr>
                  <w:rStyle w:val="InternetLink"/>
                  <w:rFonts w:ascii="Times New Roman;sans-serif" w:hAnsi="Times New Roman;sans-serif"/>
                  <w:b w:val="false"/>
                  <w:color w:val="000080"/>
                  <w:sz w:val="20"/>
                  <w:u w:val="single"/>
                </w:rPr>
                <w:t>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22">
              <w:r>
                <w:rPr>
                  <w:rStyle w:val="InternetLink"/>
                  <w:rFonts w:ascii="Times New Roman;sans-serif" w:hAnsi="Times New Roman;sans-serif"/>
                  <w:b w:val="false"/>
                  <w:color w:val="0000FF"/>
                  <w:sz w:val="20"/>
                  <w:u w:val="single"/>
                </w:rPr>
                <w:t>5</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f898428be4c42af8c64a6fc25b08273_25">
              <w:r>
                <w:rPr>
                  <w:rStyle w:val="InternetLink"/>
                  <w:rFonts w:ascii="Times New Roman;sans-serif" w:hAnsi="Times New Roman;sans-serif"/>
                  <w:b w:val="false"/>
                  <w:color w:val="000080"/>
                  <w:sz w:val="20"/>
                  <w:u w:val="single"/>
                </w:rPr>
                <w:t xml:space="preserve">Condensed Consolidated Statements of Changes in Equity - Three </w:t>
              </w:r>
            </w:hyperlink>
            <w:hyperlink w:anchor="icf898428be4c42af8c64a6fc25b08273_25">
              <w:r>
                <w:rPr>
                  <w:rStyle w:val="InternetLink"/>
                  <w:rFonts w:ascii="Times New Roman;sans-serif" w:hAnsi="Times New Roman;sans-serif"/>
                  <w:b w:val="false"/>
                  <w:color w:val="000080"/>
                  <w:sz w:val="20"/>
                  <w:u w:val="single"/>
                </w:rPr>
                <w:t xml:space="preserve">Months Ended </w:t>
              </w:r>
            </w:hyperlink>
            <w:hyperlink w:anchor="icf898428be4c42af8c64a6fc25b08273_25">
              <w:r>
                <w:rPr>
                  <w:rStyle w:val="InternetLink"/>
                  <w:rFonts w:ascii="Times New Roman;sans-serif" w:hAnsi="Times New Roman;sans-serif"/>
                  <w:b w:val="false"/>
                  <w:color w:val="000080"/>
                  <w:sz w:val="20"/>
                  <w:u w:val="single"/>
                </w:rPr>
                <w:t xml:space="preserve">March 31, 2024 </w:t>
              </w:r>
            </w:hyperlink>
            <w:hyperlink w:anchor="icf898428be4c42af8c64a6fc25b08273_25">
              <w:r>
                <w:rPr>
                  <w:rStyle w:val="InternetLink"/>
                  <w:rFonts w:ascii="Times New Roman;sans-serif" w:hAnsi="Times New Roman;sans-serif"/>
                  <w:b w:val="false"/>
                  <w:color w:val="000080"/>
                  <w:sz w:val="20"/>
                  <w:u w:val="single"/>
                </w:rPr>
                <w:t>and 202</w:t>
              </w:r>
            </w:hyperlink>
            <w:hyperlink w:anchor="icf898428be4c42af8c64a6fc25b08273_25">
              <w:r>
                <w:rPr>
                  <w:rStyle w:val="InternetLink"/>
                  <w:rFonts w:ascii="Times New Roman;sans-serif" w:hAnsi="Times New Roman;sans-serif"/>
                  <w:b w:val="false"/>
                  <w:color w:val="000080"/>
                  <w:sz w:val="20"/>
                  <w:u w:val="single"/>
                </w:rPr>
                <w:t>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25">
              <w:r>
                <w:rPr>
                  <w:rStyle w:val="InternetLink"/>
                  <w:rFonts w:ascii="Times New Roman;sans-serif" w:hAnsi="Times New Roman;sans-serif"/>
                  <w:b w:val="false"/>
                  <w:color w:val="0000FF"/>
                  <w:sz w:val="20"/>
                  <w:u w:val="single"/>
                </w:rPr>
                <w:t>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f898428be4c42af8c64a6fc25b08273_28">
              <w:r>
                <w:rPr>
                  <w:rStyle w:val="InternetLink"/>
                  <w:rFonts w:ascii="Times New Roman;sans-serif" w:hAnsi="Times New Roman;sans-serif"/>
                  <w:b w:val="false"/>
                  <w:color w:val="000080"/>
                  <w:sz w:val="20"/>
                  <w:u w:val="single"/>
                </w:rPr>
                <w:t xml:space="preserve">Condensed Consolidated Statements of Cash Flows - </w:t>
              </w:r>
            </w:hyperlink>
            <w:hyperlink w:anchor="icf898428be4c42af8c64a6fc25b08273_28">
              <w:r>
                <w:rPr>
                  <w:rStyle w:val="InternetLink"/>
                  <w:rFonts w:ascii="Times New Roman;sans-serif" w:hAnsi="Times New Roman;sans-serif"/>
                  <w:b w:val="false"/>
                  <w:color w:val="000080"/>
                  <w:sz w:val="20"/>
                  <w:u w:val="single"/>
                </w:rPr>
                <w:t>Three</w:t>
              </w:r>
            </w:hyperlink>
            <w:hyperlink w:anchor="icf898428be4c42af8c64a6fc25b08273_28">
              <w:r>
                <w:rPr>
                  <w:rStyle w:val="InternetLink"/>
                  <w:rFonts w:ascii="Times New Roman;sans-serif" w:hAnsi="Times New Roman;sans-serif"/>
                  <w:b w:val="false"/>
                  <w:color w:val="000080"/>
                  <w:sz w:val="20"/>
                  <w:u w:val="single"/>
                </w:rPr>
                <w:t xml:space="preserve"> Months Ended </w:t>
              </w:r>
            </w:hyperlink>
            <w:hyperlink w:anchor="icf898428be4c42af8c64a6fc25b08273_28">
              <w:r>
                <w:rPr>
                  <w:rStyle w:val="InternetLink"/>
                  <w:rFonts w:ascii="Times New Roman;sans-serif" w:hAnsi="Times New Roman;sans-serif"/>
                  <w:b w:val="false"/>
                  <w:color w:val="000080"/>
                  <w:sz w:val="20"/>
                  <w:u w:val="single"/>
                </w:rPr>
                <w:t xml:space="preserve">March 31, </w:t>
              </w:r>
            </w:hyperlink>
            <w:hyperlink w:anchor="icf898428be4c42af8c64a6fc25b08273_28">
              <w:r>
                <w:rPr>
                  <w:rStyle w:val="InternetLink"/>
                  <w:rFonts w:ascii="Times New Roman;sans-serif" w:hAnsi="Times New Roman;sans-serif"/>
                  <w:b w:val="false"/>
                  <w:color w:val="000080"/>
                  <w:sz w:val="20"/>
                  <w:u w:val="single"/>
                </w:rPr>
                <w:t>202</w:t>
              </w:r>
            </w:hyperlink>
            <w:hyperlink w:anchor="icf898428be4c42af8c64a6fc25b08273_28">
              <w:r>
                <w:rPr>
                  <w:rStyle w:val="InternetLink"/>
                  <w:rFonts w:ascii="Times New Roman;sans-serif" w:hAnsi="Times New Roman;sans-serif"/>
                  <w:b w:val="false"/>
                  <w:color w:val="000080"/>
                  <w:sz w:val="20"/>
                  <w:u w:val="single"/>
                </w:rPr>
                <w:t>4</w:t>
              </w:r>
            </w:hyperlink>
            <w:hyperlink w:anchor="icf898428be4c42af8c64a6fc25b08273_28">
              <w:r>
                <w:rPr>
                  <w:rStyle w:val="InternetLink"/>
                  <w:rFonts w:ascii="Times New Roman;sans-serif" w:hAnsi="Times New Roman;sans-serif"/>
                  <w:b w:val="false"/>
                  <w:color w:val="000080"/>
                  <w:sz w:val="20"/>
                  <w:u w:val="single"/>
                </w:rPr>
                <w:t xml:space="preserve"> and 202</w:t>
              </w:r>
            </w:hyperlink>
            <w:hyperlink w:anchor="icf898428be4c42af8c64a6fc25b08273_28">
              <w:r>
                <w:rPr>
                  <w:rStyle w:val="InternetLink"/>
                  <w:rFonts w:ascii="Times New Roman;sans-serif" w:hAnsi="Times New Roman;sans-serif"/>
                  <w:b w:val="false"/>
                  <w:color w:val="000080"/>
                  <w:sz w:val="20"/>
                  <w:u w:val="single"/>
                </w:rPr>
                <w:t>3</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28">
              <w:r>
                <w:rPr>
                  <w:rStyle w:val="InternetLink"/>
                  <w:rFonts w:ascii="Times New Roman;sans-serif" w:hAnsi="Times New Roman;sans-serif"/>
                  <w:b w:val="false"/>
                  <w:color w:val="0000FF"/>
                  <w:sz w:val="20"/>
                  <w:u w:val="single"/>
                </w:rPr>
                <w:t>7</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31">
              <w:r>
                <w:rPr>
                  <w:rStyle w:val="InternetLink"/>
                  <w:rFonts w:ascii="Times New Roman;sans-serif" w:hAnsi="Times New Roman;sans-serif"/>
                  <w:b w:val="false"/>
                  <w:color w:val="0000FF"/>
                  <w:sz w:val="20"/>
                  <w:u w:val="single"/>
                </w:rPr>
                <w:t>Notes to the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31">
              <w:r>
                <w:rPr>
                  <w:rStyle w:val="InternetLink"/>
                  <w:rFonts w:ascii="Times New Roman;sans-serif" w:hAnsi="Times New Roman;sans-serif"/>
                  <w:b w:val="false"/>
                  <w:color w:val="0000FF"/>
                  <w:sz w:val="20"/>
                  <w:u w:val="single"/>
                </w:rPr>
                <w:t>8</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79">
              <w:r>
                <w:rPr>
                  <w:rStyle w:val="InternetLink"/>
                  <w:rFonts w:ascii="Times New Roman;sans-serif" w:hAnsi="Times New Roman;sans-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79">
              <w:r>
                <w:rPr>
                  <w:rStyle w:val="InternetLink"/>
                  <w:rFonts w:ascii="Times New Roman;sans-serif" w:hAnsi="Times New Roman;sans-serif"/>
                  <w:b w:val="false"/>
                  <w:color w:val="0000FF"/>
                  <w:sz w:val="20"/>
                  <w:u w:val="single"/>
                </w:rPr>
                <w:t>35</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97">
              <w:r>
                <w:rPr>
                  <w:rStyle w:val="InternetLink"/>
                  <w:rFonts w:ascii="Times New Roman;sans-serif" w:hAnsi="Times New Roman;sans-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97">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97">
              <w:r>
                <w:rPr>
                  <w:rStyle w:val="InternetLink"/>
                  <w:rFonts w:ascii="Times New Roman;sans-serif" w:hAnsi="Times New Roman;sans-serif"/>
                  <w:b w:val="false"/>
                  <w:color w:val="0000FF"/>
                  <w:sz w:val="20"/>
                  <w:u w:val="single"/>
                </w:rPr>
                <w:t>54</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0">
              <w:r>
                <w:rPr>
                  <w:rStyle w:val="InternetLink"/>
                  <w:rFonts w:ascii="Times New Roman;sans-serif" w:hAnsi="Times New Roman;sans-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0">
              <w:r>
                <w:rPr>
                  <w:rStyle w:val="InternetLink"/>
                  <w:rFonts w:ascii="Times New Roman;sans-serif" w:hAnsi="Times New Roman;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00">
              <w:r>
                <w:rPr>
                  <w:rStyle w:val="InternetLink"/>
                  <w:rFonts w:ascii="Times New Roman;sans-serif" w:hAnsi="Times New Roman;sans-serif"/>
                  <w:b w:val="false"/>
                  <w:color w:val="0000FF"/>
                  <w:sz w:val="20"/>
                  <w:u w:val="single"/>
                </w:rPr>
                <w:t>55</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3">
              <w:r>
                <w:rPr>
                  <w:rStyle w:val="InternetLink"/>
                  <w:rFonts w:ascii="Times New Roman;sans-serif" w:hAnsi="Times New Roman;sans-serif"/>
                  <w:b w:val="false"/>
                  <w:color w:val="0000FF"/>
                  <w:sz w:val="20"/>
                  <w:u w:val="single"/>
                </w:rPr>
                <w:t>PART II.</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3">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03">
              <w:r>
                <w:rPr>
                  <w:rStyle w:val="InternetLink"/>
                  <w:rFonts w:ascii="Times New Roman;sans-serif" w:hAnsi="Times New Roman;sans-serif"/>
                  <w:b w:val="false"/>
                  <w:color w:val="0000FF"/>
                  <w:sz w:val="20"/>
                  <w:u w:val="single"/>
                </w:rPr>
                <w:t>56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6">
              <w:r>
                <w:rPr>
                  <w:rStyle w:val="InternetLink"/>
                  <w:rFonts w:ascii="Times New Roman;sans-serif" w:hAnsi="Times New Roman;sans-serif"/>
                  <w:b w:val="false"/>
                  <w:color w:val="0000FF"/>
                  <w:sz w:val="20"/>
                  <w:u w:val="single"/>
                </w:rPr>
                <w:t>ITEM 1.</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6">
              <w:r>
                <w:rPr>
                  <w:rStyle w:val="InternetLink"/>
                  <w:rFonts w:ascii="Times New Roman;sans-serif" w:hAnsi="Times New Roman;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06">
              <w:r>
                <w:rPr>
                  <w:rStyle w:val="InternetLink"/>
                  <w:rFonts w:ascii="Times New Roman;sans-serif" w:hAnsi="Times New Roman;sans-serif"/>
                  <w:b w:val="false"/>
                  <w:color w:val="0000FF"/>
                  <w:sz w:val="20"/>
                  <w:u w:val="single"/>
                </w:rPr>
                <w:t>56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9">
              <w:r>
                <w:rPr>
                  <w:rStyle w:val="InternetLink"/>
                  <w:rFonts w:ascii="Times New Roman;sans-serif" w:hAnsi="Times New Roman;sans-serif"/>
                  <w:b w:val="false"/>
                  <w:color w:val="0000FF"/>
                  <w:sz w:val="20"/>
                  <w:u w:val="single"/>
                </w:rPr>
                <w:t>ITEM 1A.</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09">
              <w:r>
                <w:rPr>
                  <w:rStyle w:val="InternetLink"/>
                  <w:rFonts w:ascii="Times New Roman;sans-serif" w:hAnsi="Times New Roman;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09">
              <w:r>
                <w:rPr>
                  <w:rStyle w:val="InternetLink"/>
                  <w:rFonts w:ascii="Times New Roman;sans-serif" w:hAnsi="Times New Roman;sans-serif"/>
                  <w:b w:val="false"/>
                  <w:color w:val="0000FF"/>
                  <w:sz w:val="20"/>
                  <w:u w:val="single"/>
                </w:rPr>
                <w:t>56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12">
              <w:r>
                <w:rPr>
                  <w:rStyle w:val="InternetLink"/>
                  <w:rFonts w:ascii="Times New Roman;sans-serif" w:hAnsi="Times New Roman;sans-serif"/>
                  <w:b w:val="false"/>
                  <w:color w:val="0000FF"/>
                  <w:sz w:val="20"/>
                  <w:u w:val="single"/>
                </w:rPr>
                <w:t>ITEM 2.</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12">
              <w:r>
                <w:rPr>
                  <w:rStyle w:val="InternetLink"/>
                  <w:rFonts w:ascii="Times New Roman;sans-serif" w:hAnsi="Times New Roman;sans-serif"/>
                  <w:b w:val="false"/>
                  <w:color w:val="000080"/>
                  <w:sz w:val="20"/>
                  <w:u w:val="single"/>
                </w:rPr>
                <w:t>UNREGISTERED SALES OF EQUITY SECURITIES</w:t>
              </w:r>
            </w:hyperlink>
            <w:hyperlink w:anchor="icf898428be4c42af8c64a6fc25b08273_112">
              <w:r>
                <w:rPr>
                  <w:rStyle w:val="InternetLink"/>
                  <w:rFonts w:ascii="Times New Roman;sans-serif" w:hAnsi="Times New Roman;sans-serif"/>
                  <w:b w:val="false"/>
                  <w:color w:val="000080"/>
                  <w:sz w:val="20"/>
                  <w:u w:val="single"/>
                </w:rPr>
                <w:t xml:space="preserve"> </w:t>
              </w:r>
            </w:hyperlink>
            <w:hyperlink w:anchor="icf898428be4c42af8c64a6fc25b08273_112">
              <w:r>
                <w:rPr>
                  <w:rStyle w:val="InternetLink"/>
                  <w:rFonts w:ascii="Times New Roman;sans-serif" w:hAnsi="Times New Roman;sans-serif"/>
                  <w:b w:val="false"/>
                  <w:color w:val="000080"/>
                  <w:sz w:val="20"/>
                  <w:u w:val="single"/>
                </w:rPr>
                <w:t>AND</w:t>
              </w:r>
            </w:hyperlink>
            <w:hyperlink w:anchor="icf898428be4c42af8c64a6fc25b08273_112">
              <w:r>
                <w:rPr>
                  <w:rStyle w:val="InternetLink"/>
                  <w:rFonts w:ascii="Times New Roman;sans-serif" w:hAnsi="Times New Roman;sans-serif"/>
                  <w:b w:val="false"/>
                  <w:color w:val="000080"/>
                  <w:sz w:val="20"/>
                  <w:u w:val="single"/>
                </w:rPr>
                <w:t xml:space="preserve">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12">
              <w:r>
                <w:rPr>
                  <w:rStyle w:val="InternetLink"/>
                  <w:rFonts w:ascii="Times New Roman;sans-serif" w:hAnsi="Times New Roman;sans-serif"/>
                  <w:b w:val="false"/>
                  <w:color w:val="0000FF"/>
                  <w:sz w:val="20"/>
                  <w:u w:val="single"/>
                </w:rPr>
                <w:t>56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15">
              <w:r>
                <w:rPr>
                  <w:rStyle w:val="InternetLink"/>
                  <w:rFonts w:ascii="Times New Roman;sans-serif" w:hAnsi="Times New Roman;sans-serif"/>
                  <w:b w:val="false"/>
                  <w:color w:val="0000FF"/>
                  <w:sz w:val="20"/>
                  <w:u w:val="single"/>
                </w:rPr>
                <w:t>ITEM 3.</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15">
              <w:r>
                <w:rPr>
                  <w:rStyle w:val="InternetLink"/>
                  <w:rFonts w:ascii="Times New Roman;sans-serif" w:hAnsi="Times New Roman;sans-serif"/>
                  <w:b w:val="false"/>
                  <w:color w:val="0000FF"/>
                  <w:sz w:val="20"/>
                  <w:u w:val="single"/>
                </w:rPr>
                <w:t>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15">
              <w:r>
                <w:rPr>
                  <w:rStyle w:val="InternetLink"/>
                  <w:rFonts w:ascii="Times New Roman;sans-serif" w:hAnsi="Times New Roman;sans-serif"/>
                  <w:b w:val="false"/>
                  <w:color w:val="0000FF"/>
                  <w:sz w:val="20"/>
                  <w:u w:val="single"/>
                </w:rPr>
                <w:t>56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18">
              <w:r>
                <w:rPr>
                  <w:rStyle w:val="InternetLink"/>
                  <w:rFonts w:ascii="Times New Roman;sans-serif" w:hAnsi="Times New Roman;sans-serif"/>
                  <w:b w:val="false"/>
                  <w:color w:val="0000FF"/>
                  <w:sz w:val="20"/>
                  <w:u w:val="single"/>
                </w:rPr>
                <w:t>ITEM 4.</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18">
              <w:r>
                <w:rPr>
                  <w:rStyle w:val="InternetLink"/>
                  <w:rFonts w:ascii="Times New Roman;sans-serif" w:hAnsi="Times New Roman;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18">
              <w:r>
                <w:rPr>
                  <w:rStyle w:val="InternetLink"/>
                  <w:rFonts w:ascii="Times New Roman;sans-serif" w:hAnsi="Times New Roman;sans-serif"/>
                  <w:b w:val="false"/>
                  <w:color w:val="0000FF"/>
                  <w:sz w:val="20"/>
                  <w:u w:val="single"/>
                </w:rPr>
                <w:t>56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21">
              <w:r>
                <w:rPr>
                  <w:rStyle w:val="InternetLink"/>
                  <w:rFonts w:ascii="Times New Roman;sans-serif" w:hAnsi="Times New Roman;sans-serif"/>
                  <w:b w:val="false"/>
                  <w:color w:val="0000FF"/>
                  <w:sz w:val="20"/>
                  <w:u w:val="single"/>
                </w:rPr>
                <w:t>ITEM 5.</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21">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21">
              <w:r>
                <w:rPr>
                  <w:rStyle w:val="InternetLink"/>
                  <w:rFonts w:ascii="Times New Roman;sans-serif" w:hAnsi="Times New Roman;sans-serif"/>
                  <w:b w:val="false"/>
                  <w:color w:val="0000FF"/>
                  <w:sz w:val="20"/>
                  <w:u w:val="single"/>
                </w:rPr>
                <w:t>56</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24">
              <w:r>
                <w:rPr>
                  <w:rStyle w:val="InternetLink"/>
                  <w:rFonts w:ascii="Times New Roman;sans-serif" w:hAnsi="Times New Roman;sans-serif"/>
                  <w:b w:val="false"/>
                  <w:color w:val="0000FF"/>
                  <w:sz w:val="20"/>
                  <w:u w:val="single"/>
                </w:rPr>
                <w:t>ITEM 6.</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24">
              <w:r>
                <w:rPr>
                  <w:rStyle w:val="InternetLink"/>
                  <w:rFonts w:ascii="Times New Roman;sans-serif" w:hAnsi="Times New Roman;sans-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24">
              <w:r>
                <w:rPr>
                  <w:rStyle w:val="InternetLink"/>
                  <w:rFonts w:ascii="Times New Roman;sans-serif" w:hAnsi="Times New Roman;sans-serif"/>
                  <w:b w:val="false"/>
                  <w:color w:val="0000FF"/>
                  <w:sz w:val="20"/>
                  <w:u w:val="single"/>
                </w:rPr>
                <w:t>57</w:t>
              </w:r>
            </w:hyperlink>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898428be4c42af8c64a6fc25b08273_127">
              <w:r>
                <w:rPr>
                  <w:rStyle w:val="InternetLink"/>
                  <w:rFonts w:ascii="Times New Roman;sans-serif" w:hAnsi="Times New Roman;sans-serif"/>
                  <w:b w:val="false"/>
                  <w:color w:val="0000FF"/>
                  <w:sz w:val="20"/>
                  <w:u w:val="single"/>
                </w:rPr>
                <w:t>SIGNATURE</w:t>
              </w:r>
            </w:hyperlink>
          </w:p>
        </w:tc>
        <w:tc>
          <w:tcPr>
            <w:tcW w:w="86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898428be4c42af8c64a6fc25b08273_127">
              <w:r>
                <w:rPr>
                  <w:rStyle w:val="InternetLink"/>
                  <w:rFonts w:ascii="Times New Roman;sans-serif" w:hAnsi="Times New Roman;sans-serif"/>
                  <w:b w:val="false"/>
                  <w:color w:val="0000FF"/>
                  <w:sz w:val="20"/>
                  <w:u w:val="single"/>
                </w:rPr>
                <w:t>58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28"/>
        <w:gridCol w:w="2192"/>
        <w:gridCol w:w="2210"/>
        <w:gridCol w:w="211"/>
        <w:gridCol w:w="1081"/>
        <w:gridCol w:w="109"/>
        <w:gridCol w:w="109"/>
        <w:gridCol w:w="109"/>
        <w:gridCol w:w="109"/>
        <w:gridCol w:w="211"/>
        <w:gridCol w:w="1081"/>
        <w:gridCol w:w="155"/>
      </w:tblGrid>
      <w:tr>
        <w:trPr/>
        <w:tc>
          <w:tcPr>
            <w:tcW w:w="262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8,168,792 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to maturity investment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11,806,658 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wages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unamortized debt issuance costs, bond premiums and original issuance discounts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6,627,550 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rental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7,297,704 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9)</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50,000,000 shares authorized, no shares issued or outstanding at March 31, 2024 and December 31, 2023)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500,000,000 shares authorized, 271,500,584 and 270,922,719 shares issued and outstanding at March 31, 2024 and December 31, 2023,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attributable to Gaming and Leisure Properties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GLPI's Operating Partnership (8,087,630 units and 7,653,326 units outstanding at March 31, 2024 and December 31, 2023,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equity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4,508,954 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liabilities and equity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11,806,658 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9873" w:type="dxa"/>
        <w:jc w:val="center"/>
        <w:tblInd w:w="0" w:type="dxa"/>
        <w:tblLayout w:type="fixed"/>
        <w:tblCellMar>
          <w:top w:w="28" w:type="dxa"/>
          <w:left w:w="28" w:type="dxa"/>
          <w:bottom w:w="28" w:type="dxa"/>
          <w:right w:w="28" w:type="dxa"/>
        </w:tblCellMar>
      </w:tblPr>
      <w:tblGrid>
        <w:gridCol w:w="2378"/>
        <w:gridCol w:w="2081"/>
        <w:gridCol w:w="2096"/>
        <w:gridCol w:w="211"/>
        <w:gridCol w:w="826"/>
        <w:gridCol w:w="109"/>
        <w:gridCol w:w="109"/>
        <w:gridCol w:w="109"/>
        <w:gridCol w:w="109"/>
        <w:gridCol w:w="211"/>
        <w:gridCol w:w="826"/>
        <w:gridCol w:w="109"/>
        <w:gridCol w:w="109"/>
        <w:gridCol w:w="109"/>
        <w:gridCol w:w="109"/>
        <w:gridCol w:w="109"/>
        <w:gridCol w:w="109"/>
        <w:gridCol w:w="154"/>
      </w:tblGrid>
      <w:tr>
        <w:trPr/>
        <w:tc>
          <w:tcPr>
            <w:tcW w:w="2378"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investment in leases,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(benefit) for credit losses,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Losses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670" w:type="dxa"/>
        <w:jc w:val="center"/>
        <w:tblInd w:w="0" w:type="dxa"/>
        <w:tblLayout w:type="fixed"/>
        <w:tblCellMar>
          <w:top w:w="28" w:type="dxa"/>
          <w:left w:w="28" w:type="dxa"/>
          <w:bottom w:w="28" w:type="dxa"/>
          <w:right w:w="28" w:type="dxa"/>
        </w:tblCellMar>
      </w:tblPr>
      <w:tblGrid>
        <w:gridCol w:w="884"/>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21"/>
        <w:gridCol w:w="865"/>
        <w:gridCol w:w="115"/>
        <w:gridCol w:w="109"/>
        <w:gridCol w:w="109"/>
        <w:gridCol w:w="109"/>
        <w:gridCol w:w="211"/>
        <w:gridCol w:w="976"/>
        <w:gridCol w:w="311"/>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270,922,719 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4,508,954 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181,971 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($0.76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271,500,584 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4,497,817 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670" w:type="dxa"/>
        <w:jc w:val="center"/>
        <w:tblInd w:w="0" w:type="dxa"/>
        <w:tblLayout w:type="fixed"/>
        <w:tblCellMar>
          <w:top w:w="28" w:type="dxa"/>
          <w:left w:w="28" w:type="dxa"/>
          <w:bottom w:w="28" w:type="dxa"/>
          <w:right w:w="28" w:type="dxa"/>
        </w:tblCellMar>
      </w:tblPr>
      <w:tblGrid>
        <w:gridCol w:w="884"/>
        <w:gridCol w:w="263"/>
        <w:gridCol w:w="264"/>
        <w:gridCol w:w="593"/>
        <w:gridCol w:w="593"/>
        <w:gridCol w:w="196"/>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21"/>
        <w:gridCol w:w="865"/>
        <w:gridCol w:w="115"/>
        <w:gridCol w:w="109"/>
        <w:gridCol w:w="109"/>
        <w:gridCol w:w="109"/>
        <w:gridCol w:w="211"/>
        <w:gridCol w:w="976"/>
        <w:gridCol w:w="311"/>
      </w:tblGrid>
      <w:tr>
        <w:trPr/>
        <w:tc>
          <w:tcPr>
            <w:tcW w:w="8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260,727,030 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4,118,096 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($0.97 per common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operating partnership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262,355,725 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(1,869,643)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352,964 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4,118,191 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613"/>
        <w:gridCol w:w="2289"/>
        <w:gridCol w:w="2310"/>
        <w:gridCol w:w="109"/>
        <w:gridCol w:w="109"/>
        <w:gridCol w:w="109"/>
        <w:gridCol w:w="211"/>
        <w:gridCol w:w="826"/>
        <w:gridCol w:w="109"/>
        <w:gridCol w:w="109"/>
        <w:gridCol w:w="109"/>
        <w:gridCol w:w="109"/>
        <w:gridCol w:w="211"/>
        <w:gridCol w:w="826"/>
        <w:gridCol w:w="156"/>
      </w:tblGrid>
      <w:tr>
        <w:trPr/>
        <w:tc>
          <w:tcPr>
            <w:tcW w:w="2613"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held to maturity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 to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 and tenant improvement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Losses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credit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project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of real estate,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Originations of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Acquisition of held to maturity investment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(422,076)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shares withheld for tax purposes on restricted stock award vestings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paid on senior unsecured note redemption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(232,261)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 and Note 14 for supplemental cash flow information and noncash investing and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Gaming and Leisure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Business and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Gaming and Leisure Properties, Inc. ("GLPI") is a self-administered and self-managed Pennsylvania real estate investment trust ("REIT"). GLPI (together with its subsidiaries, the "Company")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sans-serif" w:hAnsi="Times New Roman;sans-serif"/>
          <w:b w:val="false"/>
          <w:i/>
          <w:color w:val="000000"/>
          <w:sz w:val="20"/>
        </w:rPr>
        <w:t>Spinoffs and Reverse Spinoffs ("</w:t>
      </w:r>
      <w:r>
        <w:rPr>
          <w:rFonts w:ascii="Times New Roman;sans-serif" w:hAnsi="Times New Roman;sans-serif"/>
          <w:b w:val="false"/>
          <w:color w:val="000000"/>
          <w:sz w:val="20"/>
        </w:rPr>
        <w:t>ASC 505"</w:t>
      </w:r>
      <w:r>
        <w:rPr>
          <w:rFonts w:ascii="Times New Roman;sans-serif" w:hAnsi="Times New Roman;sans-serif"/>
          <w:b w:val="false"/>
          <w:i/>
          <w:color w:val="000000"/>
          <w:sz w:val="20"/>
        </w:rPr>
        <w: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profits dividend of $0.25 per share in the first quarter of 2023 related to the sale of the building to Bally's.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February 6, 2024, the Company also issued 434,304 OP Units in connection with the acquisition of the real estate assets of Tioga Downs Casino Resort ("Tioga Downs") from American Racing &amp; Entertainment LLC ("American Racing"). There were 8,087,630 OP Units outstanding as of March 31,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business consists of acquiring, financing, and owning real estate property to be leased to gaming operators in triple-net lease arrangements. As of March 31, 2024, GLPI’s portfolio consisted of interests in 62 gaming and related facilities, the real property associated with 34 gaming and related facilities operated by PENN, the real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associated with 6 gaming and related facilities operated by Caesars Entertainment Corporation (NASDAQ: CZR) ("Caesars"), the real property associated with 4 gaming and related facilities operated by Boyd Gaming Corporation (NYSE: BYD) ("Boyd"), the real property associated with 9 gaming and related facilities operated by Bally's, the real property associated with 3 gaming and related facilities operated by Cordish, the real property associated with 4 gaming and related facilities operated by Casino Queen, 1 gaming facility under construction that upon opening is intended to be managed by a subsidiary of Hard Rock International ("Hard Rock") and 1 gaming and related facility operated by American Racing. These facilities, including our corporate headquarters building, are geographically diversified across 19 states and contain approximately 29.0 million square feet. As of March 31, 2024, the Company's properties were 100% occupied. GLPI expects to continue growing its portfolio by pursuing opportunities to acquire additional gaming facilities to lease to gaming operators under prudent terms.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new master lease.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the PENN 2023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agreed to fund up to $225 million for the relocation of PENN's riverboat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is comprised of a fixed component, part of which is subject to an annual escalator of up to 2% if certain rent coverage ratio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thresholds are met, and a component that is based on the performance of the facilities which is adjusted, subject to certain floors, every two years to an amount equal to 4% of the average annual net revenues of Belterra Park during the preceding two years in excess of a contractual baseline.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November 13, 2023, the Company and Caesars amended and restated the Second Amended and Restated Caesars Master Lease (as amended and restated, the "Third Amended and Restated Caesars Master Lease") in connection with Caesars selling its interest in the Belle of Baton Rouge to Casino Queen with no change in rent obligation to the Company.</w:t>
      </w:r>
      <w:r>
        <w:rPr>
          <w:color w:val="000000"/>
        </w:rPr>
        <w:t xml:space="preserve">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 29, 2020, the transaction closed and the Company entered into a new single property triple net lease with Caesars (the "Horseshoe St. Louis Lease") the initial term of which expires on October 31, 2033, with four separate renewal options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five years each, exercisable at the tenant's option. The Horseshoe St. Louis Lease rent terms were adjusted on December 1, 2021 such that the annual escalator is now fixed at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and January 3, 2023, the Company completed the acquisitions of the real estate assets of Bally's Black Hawk, Bally's Quad Cities, Bally's Biloxi, and Bally's Tiverton. These properties were added to the existing Bally's Master Lease with annual rent increases that are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the Company also agreed to pre-fund, at Bally’s election, a deposit of up to $200.0 million, which was funded in September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$771.0 million and additional rent of $58.8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2023, the Company, Tropicana Las Vegas, Inc., a Nevada corporation and wholly owned subsidiary of Bally’s, and Athletics Holdings LLC (“Athletics”), which owns the Major League Baseball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for each of the following three lease years rent increased by 1.5% annually (on a prorated basis for the remainder of the lease year in which the gaming facility opened)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Queen Master Lease was subsequently amended and restated on November 13, 2023 (the "Third Amended and Restated Casino Queen Master Lease").</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The annual rent for both leases has a 1.75% fixed yearly escalator on the entirety of rent commencing on the leases' second anniversary.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Rockford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casino development project in Rockford, IL, that upon opening is intended to be managed by a subsidiary of Hard Rock, from an affiliate of 815 Entertainment, LLC ("815 Entertainment") for $100.0 million. Simultaneously with the land acquisition, GLPI entered into a ground lease with 815 Entertainment for a 99 year term. The initial annual rent for the ground lease is $8.0 million, subject to fixed 2% annual escalation beginning with the lease's first anniversary and for the entirety of its term (the "Rockford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Rockford Lease, the Company has also committed to providing up to $150 million of development funding via a senior secured delayed draw term loan (the "Rockford Loan").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As of March 31, 2024, $54 million was advanced and outstanding under the Rockford Loan. Additionally, the Company also received a right of first refusal on the building improvements of the Hard Rock Casino in Rockford, IL if there is a future decision to sell them once completed.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Tioga Downs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acquired the real estate assets of Tioga Downs in Nichols, NY from American Racing for $175.0 million. Simultaneous with the acquisition, GLPI and American Racing entered into a triple-net lease agreement for an initial 30 year term followed by two renewal options of 10 years each and a third renewal option of approximately 12 years and ten months. The initial annual rent is $14.5 million and is subject to annual fixed escalations of 1.75% beginning with the first anniversary which increases to 2% beginning in year fifteen of the lease through the remainder of its initial term (the "Tioga Downs Lease").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2.    Basis of Presentation</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GLPI and its subsidiaries as well as the Company's operating partnership, which is a variable interest entity ("VIE") in which the Company is the primary beneficiary. The Company presents non-controlling interests and classifies such interests as a separate component of equity, separate from GLPI's stockholders' equity and as net income attributable to non-controlling interest in the Condensed Consolidated Statement of Income.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reflects the third party ownership in this entity as a noncontrolling interest in the Consolidated Balance Sheet. All intercompany accounts and transactions have been eliminated in consolidation.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months ended March 31, 2024 are not necessarily indicative of the results that may be expected for the year ending December 31, 2024. The consolidated financial statements contained in our Annual Report on Form 10-K for the year ended December 31, 2023 (our "Annual Report") should be read in conjunction with these condensed consolidated financial statements. The December 31, 2023 financial information has been derived from the Company’s audited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 other that what is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Held to maturity investment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purchased zero coupon United States Treasury Bills which upon maturity in August 2024 will total $350 million. The Company has classified these debt securities as held to maturity in accordance with ASC 320, Investments- Debt Securities since these are fixed income investments that the Company has the intent and ability to hold until maturity. The securities are recorded at amortized cost on the balance sheet which approximated its fair value at March 31, 2024.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Investment in leases, financing receivables, net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leases are recorded as an Investment in leases, financing receivables, net, as the sale lease back transactions were accounted for as failed sale leasebacks due to the leases' significant initial lease terms. The following is a summary of the balances of the Company's Investment in leases, financing receivables, net.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7823" w:type="dxa"/>
        <w:jc w:val="left"/>
        <w:tblInd w:w="0" w:type="dxa"/>
        <w:tblLayout w:type="fixed"/>
        <w:tblCellMar>
          <w:top w:w="28" w:type="dxa"/>
          <w:left w:w="28" w:type="dxa"/>
          <w:bottom w:w="28" w:type="dxa"/>
          <w:right w:w="28" w:type="dxa"/>
        </w:tblCellMar>
      </w:tblPr>
      <w:tblGrid>
        <w:gridCol w:w="1760"/>
        <w:gridCol w:w="1547"/>
        <w:gridCol w:w="1552"/>
        <w:gridCol w:w="211"/>
        <w:gridCol w:w="976"/>
        <w:gridCol w:w="109"/>
        <w:gridCol w:w="109"/>
        <w:gridCol w:w="109"/>
        <w:gridCol w:w="109"/>
        <w:gridCol w:w="211"/>
        <w:gridCol w:w="976"/>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lease payments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residual values of lease property (unguaranteed)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 financing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present value of the net investment in the lease payment receivable and unguaranteed residual value at March 31, 2024 was $2,166.3 million and $63.6 million compared to $1,991.4 million and $54.2 million at December 31, 2023. </w:t>
      </w:r>
    </w:p>
    <w:p>
      <w:pPr>
        <w:pStyle w:val="TextBody"/>
        <w:bidi w:val="0"/>
        <w:spacing w:before="16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05" cy="14605"/>
                <wp:effectExtent l="0" t="0" r="0" b="0"/>
                <wp:wrapNone/>
                <wp:docPr id="15" name="Frame1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minimum lease payments owed to us for each of the five succeeding years under the Company's financing receivables were as follows (in thousands):</w:t>
      </w:r>
    </w:p>
    <w:tbl>
      <w:tblPr>
        <w:tblW w:w="4695" w:type="dxa"/>
        <w:jc w:val="left"/>
        <w:tblInd w:w="0" w:type="dxa"/>
        <w:tblLayout w:type="fixed"/>
        <w:tblCellMar>
          <w:top w:w="28" w:type="dxa"/>
          <w:left w:w="28" w:type="dxa"/>
          <w:bottom w:w="28" w:type="dxa"/>
          <w:right w:w="28" w:type="dxa"/>
        </w:tblCellMar>
      </w:tblPr>
      <w:tblGrid>
        <w:gridCol w:w="766"/>
        <w:gridCol w:w="673"/>
        <w:gridCol w:w="676"/>
        <w:gridCol w:w="406"/>
        <w:gridCol w:w="1878"/>
        <w:gridCol w:w="29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Future Minimum Lease Payments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114,024 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154,483 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157,190 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159,945 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8,878,683 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9,627,073 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follows ASC 326 “Credit Losses”, which requires that the Company measure and record current expected credit losses (“CECL”), the scope of which includes our Investment in leases, financing receivables, net, as well as the Company's Real estate loans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March 31, 2024 and December 31, 2023.</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allowance for credit losses for the Company's financing receivables is illustrated below (in thousands):</w:t>
      </w:r>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979"/>
        <w:gridCol w:w="834"/>
        <w:gridCol w:w="839"/>
        <w:gridCol w:w="509"/>
        <w:gridCol w:w="1742"/>
        <w:gridCol w:w="262"/>
        <w:gridCol w:w="366"/>
        <w:gridCol w:w="1253"/>
        <w:gridCol w:w="189"/>
        <w:gridCol w:w="578"/>
        <w:gridCol w:w="1977"/>
        <w:gridCol w:w="298"/>
        <w:gridCol w:w="109"/>
        <w:gridCol w:w="109"/>
        <w:gridCol w:w="161"/>
      </w:tblGrid>
      <w:tr>
        <w:trPr/>
        <w:tc>
          <w:tcPr>
            <w:tcW w:w="97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Allowance</w:t>
            </w:r>
          </w:p>
        </w:tc>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2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Lease</w:t>
            </w:r>
          </w:p>
        </w:tc>
        <w:tc>
          <w:tcPr>
            <w:tcW w:w="2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Tioga Downs Lease</w:t>
            </w:r>
          </w:p>
        </w:tc>
        <w:tc>
          <w:tcPr>
            <w:tcW w:w="2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44,175 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2"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28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00"/>
        <w:gridCol w:w="866"/>
        <w:gridCol w:w="872"/>
        <w:gridCol w:w="527"/>
        <w:gridCol w:w="1803"/>
        <w:gridCol w:w="272"/>
        <w:gridCol w:w="386"/>
        <w:gridCol w:w="1266"/>
        <w:gridCol w:w="199"/>
        <w:gridCol w:w="584"/>
        <w:gridCol w:w="1998"/>
        <w:gridCol w:w="432"/>
      </w:tblGrid>
      <w:tr>
        <w:trPr/>
        <w:tc>
          <w:tcPr>
            <w:tcW w:w="100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Allowance</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 at March 31, 2023</w:t>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2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10,257 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19,124 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13,471 </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the Company's investment in leases, financing receivables by year of origination is shown below as of March 31, 2024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67"/>
        <w:gridCol w:w="409"/>
        <w:gridCol w:w="412"/>
        <w:gridCol w:w="109"/>
        <w:gridCol w:w="385"/>
        <w:gridCol w:w="1511"/>
        <w:gridCol w:w="199"/>
        <w:gridCol w:w="316"/>
        <w:gridCol w:w="1023"/>
        <w:gridCol w:w="163"/>
        <w:gridCol w:w="341"/>
        <w:gridCol w:w="1581"/>
        <w:gridCol w:w="176"/>
        <w:gridCol w:w="109"/>
        <w:gridCol w:w="109"/>
        <w:gridCol w:w="109"/>
        <w:gridCol w:w="596"/>
        <w:gridCol w:w="557"/>
        <w:gridCol w:w="1633"/>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Origination year</w:t>
            </w:r>
          </w:p>
        </w:tc>
        <w:tc>
          <w:tcPr>
            <w:tcW w:w="109" w:type="dxa"/>
            <w:tcBorders/>
            <w:vAlign w:val="center"/>
          </w:tcPr>
          <w:p>
            <w:pPr>
              <w:pStyle w:val="TableContents"/>
              <w:bidi w:val="0"/>
              <w:spacing w:before="0" w:after="283"/>
              <w:jc w:val="left"/>
              <w:rPr>
                <w:sz w:val="4"/>
                <w:szCs w:val="4"/>
              </w:rPr>
            </w:pPr>
            <w:r>
              <w:rPr>
                <w:sz w:val="4"/>
                <w:szCs w:val="4"/>
              </w:rPr>
            </w:r>
          </w:p>
        </w:tc>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Investment in leases, financing receivables</w:t>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Amortized cost basis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as a percentage of outstanding financing receivable</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1,244,496 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1,231,741 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8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2,229,882 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(44,175)</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2,185,707 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recorded a provision for credit losses, net of $22.2 million on the Investment in leases, financing receivables. This was primarily due to a decline in the estimated real estate values underlying the Company's Investment in leases, financing receivables. These values are estimated based on the actual and long term projections of the Commercial Real Estate Price Index which, as of March 31, 2024 have declined relative to December 31, 2023. Commercial real estate prices are anticipated to remain at low levels for several quarters based on the third party economic forecast the Company utilizes to calculate its reserve for credit losses. Additionally, a provision for credit losses of $1.1 million was recorded during the three months ended March 31, 2024 on the Company's real estate loans and related loan commitment (See Note 5 for further details).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recorded a benefit for credit losses, net of $5.7 million. The majority of this benefit was the result of the underlying casino operations in the Pennsylvania Live! Master Lease outperforming the budgeted expectations that were utilized in the reserve calculation at December 31,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reason for the higher allowance for credit losses as a percentage of the outstanding investment in leases for the Rockford Lease and the Pennsylvania Live! Master Lease compared to the Maryland Live! Lease and the Tioga Downs Lease is primarily due to the significantly higher rent coverage ratio on the Maryland Live! Lease compared to the Pennsylvania Live!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Master Lease and the expected coverage ratio on the Rockford Lease. The lower reserve need on the Tioga Downs Lease is due to the lower loan to value ratio on this lease compared to the Pennsylvania Live! Master Lease and the Rockford Lease. 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Real Estate Investments, Net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 represent investments in rental properties and the corporate headquarters building (excluding our investments in transactions accounted for as real estate loans and investment in leases, financing receivables that are described in Notes 5 and 6, respectively) and is summarized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color w:val="000000"/>
        </w:rPr>
      </w:pPr>
      <w:r>
        <w:rPr>
          <w:color w:val="000000"/>
        </w:rPr>
        <w:t> </w:t>
      </w:r>
    </w:p>
    <w:tbl>
      <w:tblPr>
        <w:tblW w:w="5588" w:type="dxa"/>
        <w:jc w:val="left"/>
        <w:tblInd w:w="0" w:type="dxa"/>
        <w:tblLayout w:type="fixed"/>
        <w:tblCellMar>
          <w:top w:w="28" w:type="dxa"/>
          <w:left w:w="28" w:type="dxa"/>
          <w:bottom w:w="28" w:type="dxa"/>
          <w:right w:w="28" w:type="dxa"/>
        </w:tblCellMar>
      </w:tblPr>
      <w:tblGrid>
        <w:gridCol w:w="950"/>
        <w:gridCol w:w="835"/>
        <w:gridCol w:w="839"/>
        <w:gridCol w:w="211"/>
        <w:gridCol w:w="976"/>
        <w:gridCol w:w="109"/>
        <w:gridCol w:w="109"/>
        <w:gridCol w:w="109"/>
        <w:gridCol w:w="109"/>
        <w:gridCol w:w="211"/>
        <w:gridCol w:w="97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investments,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8,168,792 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Real estate loans, net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 the Company entered into the Rockford Loan during 2023 and $54 million of the $150 million commitment was drawn as of March 31, 2024. The Rockford Loan has a 10% interest rate and a maximum outstanding period of up to 6 years (5-year initial term with a 1-year extension). The following is a summary of the balances of the Company's Real estate loans, net.</w:t>
      </w:r>
    </w:p>
    <w:p>
      <w:pPr>
        <w:pStyle w:val="TextBody"/>
        <w:bidi w:val="0"/>
        <w:spacing w:before="0" w:after="0"/>
        <w:ind w:left="0" w:right="0" w:firstLine="720"/>
        <w:jc w:val="left"/>
        <w:rPr/>
      </w:pPr>
      <w:r>
        <w:rPr/>
      </w:r>
    </w:p>
    <w:tbl>
      <w:tblPr>
        <w:tblW w:w="5267" w:type="dxa"/>
        <w:jc w:val="left"/>
        <w:tblInd w:w="0" w:type="dxa"/>
        <w:tblLayout w:type="fixed"/>
        <w:tblCellMar>
          <w:top w:w="28" w:type="dxa"/>
          <w:left w:w="28" w:type="dxa"/>
          <w:bottom w:w="28" w:type="dxa"/>
          <w:right w:w="28" w:type="dxa"/>
        </w:tblCellMar>
      </w:tblPr>
      <w:tblGrid>
        <w:gridCol w:w="999"/>
        <w:gridCol w:w="876"/>
        <w:gridCol w:w="885"/>
        <w:gridCol w:w="211"/>
        <w:gridCol w:w="721"/>
        <w:gridCol w:w="109"/>
        <w:gridCol w:w="109"/>
        <w:gridCol w:w="109"/>
        <w:gridCol w:w="109"/>
        <w:gridCol w:w="221"/>
        <w:gridCol w:w="757"/>
        <w:gridCol w:w="161"/>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allowance for credit losses for the Company's Real estate loans is shown below (in thousands):</w:t>
      </w:r>
    </w:p>
    <w:p>
      <w:pPr>
        <w:pStyle w:val="TextBody"/>
        <w:bidi w:val="0"/>
        <w:spacing w:before="0" w:after="0"/>
        <w:ind w:left="0" w:right="0" w:firstLine="720"/>
        <w:jc w:val="left"/>
        <w:rPr/>
      </w:pPr>
      <w:r>
        <w:rPr/>
      </w:r>
    </w:p>
    <w:tbl>
      <w:tblPr>
        <w:tblW w:w="4318" w:type="dxa"/>
        <w:jc w:val="left"/>
        <w:tblInd w:w="0" w:type="dxa"/>
        <w:tblLayout w:type="fixed"/>
        <w:tblCellMar>
          <w:top w:w="28" w:type="dxa"/>
          <w:left w:w="28" w:type="dxa"/>
          <w:bottom w:w="28" w:type="dxa"/>
          <w:right w:w="28" w:type="dxa"/>
        </w:tblCellMar>
      </w:tblPr>
      <w:tblGrid>
        <w:gridCol w:w="1042"/>
        <w:gridCol w:w="916"/>
        <w:gridCol w:w="921"/>
        <w:gridCol w:w="287"/>
        <w:gridCol w:w="942"/>
        <w:gridCol w:w="210"/>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Rockford Loan</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at March 31,2024</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Rockford Loan is subject to CECL, which is described in Note 3. The Company recorded provision for credit losses of $0.7 million for the three month period ended March 31, 2024 on the Rockford Loan. Additionally, the Company recorded a provision of $0.4 million during the three month period ended March 31, 2024 on the Rockford Loan for the associated $96 million unfunded loan commitment. The reserve for the unfunded loan commitment was recorded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f898428be4c42af8c64a6fc25b08273_10">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on the Condensed Consolidated Balance Sheets and totaled $3.0 million at March 31, 2024. The borrower is current on its loan obligation as of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Lease Assets and Lease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2028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Land rights, net represent the Company's rights to land subject to long-term ground leases.</w:t>
      </w:r>
      <w:r>
        <w:rPr>
          <w:color w:val="000000"/>
        </w:rPr>
        <w:t xml:space="preserve"> </w:t>
      </w:r>
      <w:r>
        <w:rPr>
          <w:rFonts w:ascii="Times New Roman;sans-serif" w:hAnsi="Times New Roman;sans-serif"/>
          <w:b w:val="false"/>
          <w:color w:val="000000"/>
          <w:sz w:val="20"/>
        </w:rPr>
        <w:t>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the Company's right-of use assets and land rights, net are detailed below (in thousands):</w:t>
      </w:r>
    </w:p>
    <w:tbl>
      <w:tblPr>
        <w:tblW w:w="6385" w:type="dxa"/>
        <w:jc w:val="left"/>
        <w:tblInd w:w="0" w:type="dxa"/>
        <w:tblLayout w:type="fixed"/>
        <w:tblCellMar>
          <w:top w:w="28" w:type="dxa"/>
          <w:left w:w="28" w:type="dxa"/>
          <w:bottom w:w="28" w:type="dxa"/>
          <w:right w:w="28" w:type="dxa"/>
        </w:tblCellMar>
      </w:tblPr>
      <w:tblGrid>
        <w:gridCol w:w="1178"/>
        <w:gridCol w:w="1035"/>
        <w:gridCol w:w="1042"/>
        <w:gridCol w:w="232"/>
        <w:gridCol w:w="908"/>
        <w:gridCol w:w="119"/>
        <w:gridCol w:w="109"/>
        <w:gridCol w:w="109"/>
        <w:gridCol w:w="109"/>
        <w:gridCol w:w="273"/>
        <w:gridCol w:w="1072"/>
        <w:gridCol w:w="199"/>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Right-of use assets - operating leases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and land rights,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831,922 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835,524 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Land Rights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land rights are amortized over the individual lease term of the related ground lease, including all renewal options, which ranged from 10 years to 92 years at their respective acquisition dates. Land rights net, consist of the following:</w:t>
      </w:r>
    </w:p>
    <w:tbl>
      <w:tblPr>
        <w:tblW w:w="5349" w:type="dxa"/>
        <w:jc w:val="left"/>
        <w:tblInd w:w="0" w:type="dxa"/>
        <w:tblLayout w:type="fixed"/>
        <w:tblCellMar>
          <w:top w:w="28" w:type="dxa"/>
          <w:left w:w="28" w:type="dxa"/>
          <w:bottom w:w="28" w:type="dxa"/>
          <w:right w:w="28" w:type="dxa"/>
        </w:tblCellMar>
      </w:tblPr>
      <w:tblGrid>
        <w:gridCol w:w="971"/>
        <w:gridCol w:w="850"/>
        <w:gridCol w:w="864"/>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Land rights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amortization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estimated future amortization expense related to the Company’s land rights by fiscal year is as follows (in thousands):</w:t>
      </w:r>
    </w:p>
    <w:tbl>
      <w:tblPr>
        <w:tblW w:w="3305" w:type="dxa"/>
        <w:jc w:val="center"/>
        <w:tblInd w:w="0" w:type="dxa"/>
        <w:tblLayout w:type="fixed"/>
        <w:tblCellMar>
          <w:top w:w="28" w:type="dxa"/>
          <w:left w:w="28" w:type="dxa"/>
          <w:bottom w:w="28" w:type="dxa"/>
          <w:right w:w="28" w:type="dxa"/>
        </w:tblCellMar>
      </w:tblPr>
      <w:tblGrid>
        <w:gridCol w:w="766"/>
        <w:gridCol w:w="672"/>
        <w:gridCol w:w="676"/>
        <w:gridCol w:w="211"/>
        <w:gridCol w:w="82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Year ending December 31,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Lease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payments under the Company's operating lease liabilities were as follows (in thousands):</w:t>
      </w:r>
    </w:p>
    <w:tbl>
      <w:tblPr>
        <w:tblW w:w="3920" w:type="dxa"/>
        <w:jc w:val="center"/>
        <w:tblInd w:w="0" w:type="dxa"/>
        <w:tblLayout w:type="fixed"/>
        <w:tblCellMar>
          <w:top w:w="28" w:type="dxa"/>
          <w:left w:w="28" w:type="dxa"/>
          <w:bottom w:w="28" w:type="dxa"/>
          <w:right w:w="28" w:type="dxa"/>
        </w:tblCellMar>
      </w:tblPr>
      <w:tblGrid>
        <w:gridCol w:w="986"/>
        <w:gridCol w:w="870"/>
        <w:gridCol w:w="873"/>
        <w:gridCol w:w="211"/>
        <w:gridCol w:w="82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Present value of lease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Lease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5816" w:type="dxa"/>
        <w:jc w:val="center"/>
        <w:tblInd w:w="0" w:type="dxa"/>
        <w:tblLayout w:type="fixed"/>
        <w:tblCellMar>
          <w:top w:w="28" w:type="dxa"/>
          <w:left w:w="28" w:type="dxa"/>
          <w:bottom w:w="28" w:type="dxa"/>
          <w:right w:w="28" w:type="dxa"/>
        </w:tblCellMar>
      </w:tblPr>
      <w:tblGrid>
        <w:gridCol w:w="998"/>
        <w:gridCol w:w="877"/>
        <w:gridCol w:w="884"/>
        <w:gridCol w:w="226"/>
        <w:gridCol w:w="772"/>
        <w:gridCol w:w="116"/>
        <w:gridCol w:w="116"/>
        <w:gridCol w:w="116"/>
        <w:gridCol w:w="116"/>
        <w:gridCol w:w="226"/>
        <w:gridCol w:w="772"/>
        <w:gridCol w:w="116"/>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lease cost </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 assets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the land right intangibles, as well as variable lease costs and the Company's operating lease costs are recorded within land rights and ground lease expense in the condensed consolidated statements of income.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Supplemental Disclosures Related to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operating leases was as follows:</w:t>
      </w:r>
    </w:p>
    <w:tbl>
      <w:tblPr>
        <w:tblW w:w="6074" w:type="dxa"/>
        <w:jc w:val="center"/>
        <w:tblInd w:w="0" w:type="dxa"/>
        <w:tblLayout w:type="fixed"/>
        <w:tblCellMar>
          <w:top w:w="28" w:type="dxa"/>
          <w:left w:w="28" w:type="dxa"/>
          <w:bottom w:w="28" w:type="dxa"/>
          <w:right w:w="28" w:type="dxa"/>
        </w:tblCellMar>
      </w:tblPr>
      <w:tblGrid>
        <w:gridCol w:w="1726"/>
        <w:gridCol w:w="1517"/>
        <w:gridCol w:w="1527"/>
        <w:gridCol w:w="380"/>
        <w:gridCol w:w="380"/>
        <w:gridCol w:w="544"/>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operating leases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50.54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6.57%</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operating leases was as follows:</w:t>
      </w:r>
    </w:p>
    <w:p>
      <w:pPr>
        <w:pStyle w:val="TextBody"/>
        <w:bidi w:val="0"/>
        <w:spacing w:before="0" w:after="0"/>
        <w:ind w:left="0" w:right="0" w:firstLine="720"/>
        <w:jc w:val="left"/>
        <w:rPr/>
      </w:pPr>
      <w:r>
        <w:rPr/>
      </w:r>
    </w:p>
    <w:tbl>
      <w:tblPr>
        <w:tblW w:w="8958" w:type="dxa"/>
        <w:jc w:val="center"/>
        <w:tblInd w:w="0" w:type="dxa"/>
        <w:tblLayout w:type="fixed"/>
        <w:tblCellMar>
          <w:top w:w="28" w:type="dxa"/>
          <w:left w:w="28" w:type="dxa"/>
          <w:bottom w:w="28" w:type="dxa"/>
          <w:right w:w="28" w:type="dxa"/>
        </w:tblCellMar>
      </w:tblPr>
      <w:tblGrid>
        <w:gridCol w:w="2126"/>
        <w:gridCol w:w="1864"/>
        <w:gridCol w:w="1874"/>
        <w:gridCol w:w="266"/>
        <w:gridCol w:w="589"/>
        <w:gridCol w:w="137"/>
        <w:gridCol w:w="137"/>
        <w:gridCol w:w="137"/>
        <w:gridCol w:w="137"/>
        <w:gridCol w:w="266"/>
        <w:gridCol w:w="589"/>
        <w:gridCol w:w="137"/>
        <w:gridCol w:w="109"/>
        <w:gridCol w:w="109"/>
        <w:gridCol w:w="109"/>
        <w:gridCol w:w="109"/>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Operating cash flows from operating leases </w:t>
            </w:r>
            <w:r>
              <w:rPr>
                <w:rFonts w:ascii="Times New Roman;sans-serif" w:hAnsi="Times New Roman;sans-serif"/>
                <w:b w:val="false"/>
                <w:color w:val="000000"/>
                <w:sz w:val="13"/>
              </w:rPr>
              <w:t>(1)</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Financing Lease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the real property assets of Live! Casino &amp; Hotel Maryland, the Company acquired the rights to land subject to a long-term ground lease which expires on June 6, 2111. As the Maryland Live! Lease was accounted for as an Investment in lease, financing receivable, the underlying ground lease was accounted for as a financing lease obligation within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ground lease contains variable lease payments based on a percentage of gaming revenues generated by the facility and has fixed minimum annual payments. The Company discounted the fixed minimum annual payments at 5.0% to arrive at the initial lease obligation. At March 31, 2024, payments under the Company's financing lease liabilities were as follows (in thousands):</w:t>
      </w:r>
    </w:p>
    <w:p>
      <w:pPr>
        <w:pStyle w:val="TextBody"/>
        <w:bidi w:val="0"/>
        <w:spacing w:before="0" w:after="0"/>
        <w:ind w:left="0" w:right="0" w:firstLine="720"/>
        <w:jc w:val="left"/>
        <w:rPr/>
      </w:pPr>
      <w:r>
        <w:rPr/>
      </w:r>
    </w:p>
    <w:tbl>
      <w:tblPr>
        <w:tblW w:w="4400" w:type="dxa"/>
        <w:jc w:val="left"/>
        <w:tblInd w:w="0" w:type="dxa"/>
        <w:tblLayout w:type="fixed"/>
        <w:tblCellMar>
          <w:top w:w="28" w:type="dxa"/>
          <w:left w:w="28" w:type="dxa"/>
          <w:bottom w:w="28" w:type="dxa"/>
          <w:right w:w="28" w:type="dxa"/>
        </w:tblCellMar>
      </w:tblPr>
      <w:tblGrid>
        <w:gridCol w:w="1163"/>
        <w:gridCol w:w="1020"/>
        <w:gridCol w:w="1026"/>
        <w:gridCol w:w="211"/>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finance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is as follows:</w:t>
      </w:r>
    </w:p>
    <w:p>
      <w:pPr>
        <w:pStyle w:val="TextBody"/>
        <w:bidi w:val="0"/>
        <w:spacing w:lineRule="auto" w:line="288" w:before="0" w:after="0"/>
        <w:ind w:left="0" w:right="0" w:firstLine="7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9"/>
        <w:gridCol w:w="2307"/>
        <w:gridCol w:w="2314"/>
        <w:gridCol w:w="211"/>
        <w:gridCol w:w="976"/>
        <w:gridCol w:w="109"/>
        <w:gridCol w:w="109"/>
        <w:gridCol w:w="109"/>
        <w:gridCol w:w="109"/>
        <w:gridCol w:w="211"/>
        <w:gridCol w:w="976"/>
        <w:gridCol w:w="155"/>
      </w:tblGrid>
      <w:tr>
        <w:trPr/>
        <w:tc>
          <w:tcPr>
            <w:tcW w:w="261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Unsecured $1,750 million revolver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Credit Facility due September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3.350% senior unsecured notes due September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$850 million 5.250% senior unsecured notes due June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$975 million 5.375% senior unsecured notes due April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million 5.750% senior unsecured notes due June 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$750 million 5.300% senior unsecured notes due January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4.000% senior unsecured notes due January 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$800 million 3.250% senior unsecured notes due January 2032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6.750% senior unsecured notes due December 2033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6,675,434 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bond premiums and original issuance discounts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unamortized debt issuance costs, bond premiums and original issuance discounts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6,627,550 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schedule of future minimum repayments of long-term debt as of March 31, 2024 (in thousands):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color w:val="000000"/>
        </w:rPr>
      </w:pPr>
      <w:r>
        <w:rPr>
          <w:color w:val="000000"/>
        </w:rPr>
        <w:t> </w:t>
      </w:r>
    </w:p>
    <w:tbl>
      <w:tblPr>
        <w:tblW w:w="3546" w:type="dxa"/>
        <w:jc w:val="center"/>
        <w:tblInd w:w="0" w:type="dxa"/>
        <w:tblLayout w:type="fixed"/>
        <w:tblCellMar>
          <w:top w:w="28" w:type="dxa"/>
          <w:left w:w="28" w:type="dxa"/>
          <w:bottom w:w="28" w:type="dxa"/>
          <w:right w:w="28" w:type="dxa"/>
        </w:tblCellMar>
      </w:tblPr>
      <w:tblGrid>
        <w:gridCol w:w="799"/>
        <w:gridCol w:w="701"/>
        <w:gridCol w:w="705"/>
        <w:gridCol w:w="211"/>
        <w:gridCol w:w="97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 5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acquisition of the real property assets of Bally's Biloxi and Bally's Tiverton.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 to $60 million of transaction fees and costs incurred in connection with the Acquisition. There is currently no commitment in respect of such incremental loans and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March 31, 2024 was 6.72%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Unused commitments under the Term Loan Credit Facility automatically terminated on August 31, 2023.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March 31, 2024, the Company was in compliance with all required financial covenants under the Term Loan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a $1.75 billion revolving credit facility (the "Initial Revolving Credit Facility") maturing in May 2026, plus two six-month extensions at GLP Capital's option.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was guaranteed by GLPI.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to the Credit Agreement among GLP Capital, Wells Fargo Bank, National Association, as administrative agent (“Agent”), and the several banks and other financial institutions or entities party thereto (the Credit Agreement,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no amounts were outstanding under the Amended Credit Agreement. Additionally, at March 31, 2024, the Company was contingently obligated under letters of credit issued pursuant to the Amended Credit Agreement with face amounts aggregating approximately $0.4 million, resulting in $1,749.6 million of available borrowing capacity under the Amended Credit Agreement as of March 31,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March 31, 2024, the Company was in compliance with all required financial covenants under the Amended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$6,075.0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 xml:space="preserve">in right of payment with all of the Issuers' senior indebtedness, including the Amended Credit Agreement, and senior in right of payment to all of the Issuers' subordinated indebtedness, without giving effect to collateral arrangements.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was in compliance with all required financial covenants under its Senior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Fair Value of Financial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Observable inputs such as quoted prices in active markets for identical assets or liabilities.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Unobservable inputs that reflect the reporting entity's own assumptions, as there is little, if any, related market activity.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The Company's assessment of the significance of a particular input to the fair value measurement requires judgment and may affect the valuation of assets and liabilities and their placement within the fair value hierarchy.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are used to estimate the fair value of each class of financial instruments for which it is practicable to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and cash equivalents approximates the carrying value of the Company’s cash and cash equivalents, due to the short maturity of the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 held to maturity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during the three month period ended March 31, 2023, the Company purchased U.S. Treasury Bills that will mature in August 2024. The fair value of the investment (which approximated its carrying value) is disclosed below and is based on quoted prices in active markets and as such is a Level 1 measurement as defined in ASC 820.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in leases, financing receivables,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investment in leases, financing receivables, net is based on the estimated value of the underlying real estate property the Company owns related to the Maryland Live! Lease, the Pennsylvania Live! Master Lease, the Rockford Lease, and the Tioga Downs Lease. The initial fair value was the price paid by the Company to acquire the real estate. The initial fair value is then adjusted for changes in the commercial real estate price index and as such is a Level 3 measurement as defined under ASC 820.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Deferred Compensation Plan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Loans, net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real estate loans bear interest at a fixed rate. The fair value disclosed in the table below is estimated based on the present value of the loans' future cash flows using a discounted cash flow analysis. The fair value of the loans is subject to fluctuations from changes in market interest rates at each reporting period and the fair value measurement is considered a Level 3 measurement as defined in ASC 820.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Senior Notes are estimated based on quoted prices in active markets and as such is a Level 1 measurement as defined under ASC 820. The fair value of the obligations in our Amended Credit Agreement and Term Loan Credit Facility is based on indicative pricing from market information (Level 2 inputs).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Company’s financial instruments are as follows (in thousands):</w:t>
      </w:r>
    </w:p>
    <w:tbl>
      <w:tblPr>
        <w:tblW w:w="10205" w:type="dxa"/>
        <w:jc w:val="left"/>
        <w:tblInd w:w="0" w:type="dxa"/>
        <w:tblLayout w:type="fixed"/>
        <w:tblCellMar>
          <w:top w:w="28" w:type="dxa"/>
          <w:left w:w="28" w:type="dxa"/>
          <w:bottom w:w="28" w:type="dxa"/>
          <w:right w:w="28" w:type="dxa"/>
        </w:tblCellMar>
      </w:tblPr>
      <w:tblGrid>
        <w:gridCol w:w="1683"/>
        <w:gridCol w:w="1454"/>
        <w:gridCol w:w="14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8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 to maturity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leases, financing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4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loans,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Credit Agreement and Term Loan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5,816,919 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bidi w:val="0"/>
        <w:spacing w:lineRule="auto" w:line="288" w:before="16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assets or liabilities measured at fair value on a nonrecurring basis during the three months ended March 31, 2024 and 2023.</w:t>
      </w:r>
    </w:p>
    <w:p>
      <w:pPr>
        <w:pStyle w:val="TextBody"/>
        <w:bidi w:val="0"/>
        <w:spacing w:before="160" w:after="1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Funding commitments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agreed to a funding mechanism to support PENN's pursuit of relocation and development opportunities at several of the properties included in the PENN 2023 Master Lease. GLPI agreed to fund up to $225 million for the relocation of PENN's riverboat casino in Aurora at a 7.75% cap rate and, if requested by PENN, will fund up to $350 million for the relocation of the Hollywood Casino Joliet as well as the construction of hotels at Hollywood Casino Columbus and the construction of a second hotel tower at the M Resort Spa Casino at then current market rates. The funding commitment expires on January 1, 2026.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 for a discussion on the potential future funding commitments the Company may have in connection with the possible future transaction with Bally's and the Athletics at the Tropicana Site.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the Company has also committed to providing up to $150 million (of which $54 million was funded as of March 31, 2024) of development funding via the Rockford Loan. Any borrowings under the Rockford Loan will be subject to an interest rate of 10%. The Rockford Loan has a draw period of up to 1 year and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the Company has agreed and anticipates funding certain construction costs of a landside development project at Casino Queen Marquette for an amount not to exceed $12.5 million.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Revenue Recognition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from Real Estate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14 of the Company’s real estate investment properties were leased to a subsidiary of PENN under the Amended PENN Master Lease, 7 of the Company's real estate investment properties were leased to a subsidiary under the PENN 2023 Master Lease, 12 of the Company's real estate investment properties were leased to a subsidiary of PENN under the Amended Pinnacle Master Lease, 5 of the Company's real estate investment properties were leased to a subsidiary of Caesars under the Third Amended and Restated Caesars Master Lease, 3 of the Company's real estate investment properties were leased to a subsidiary of Boyd under the Boyd Master Lease, 8 of the Company's real estate investment properties were leased to a subsidiary of Bally's under the Bally's Master Lease, 2 of the Company's real estate investment properties were leased to a subsidiary of Cordish under the Pennsylvania Live! Master Lease, and 4 of the Company's real estate properties were leased to a subsidiary of Casino Queen under the Third Amended and Restated Casino Queen Master Lease. Additionally, the land under PENN's Hollywood Casino Morgantown is subject to the Morgantown Lease. Finally, the Company has single property triple net leases with Caesars under the Horseshoe St. Louis Lease, Boyd under the Belterra Park Lease, Cordish under the Maryland Live! Lease, Bally's under the Tropicana Las Vegas Lease, American Racing under the Tioga Downs Lease and 815 Entertainment under the Rockford Lease.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under the Amended PENN Master Lease, the PENN 2023 Master Lease and Amended Pinnacle Master Lease, as well as the Morgantown Lease, are guaranteed by PENN and, with respect to each lease, jointly and severally by PENN's subsidiaries that occupy and operate the facilities covered by such lease. Similarly, the obligations under the Third Amended and Restated Caesars Master Lease, the Third Amended and Restated Casino Queen Master Lease, the Bally's Master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and the Tioga Downs Lease are jointly and severally guaranteed by the parent company and by the subsidiaries that occupy and operate the leased facilities. The obligations under the Boyd Master Lease are jointly and severally guaranteed by Boyd's subsidiaries that occupy and operate the facilities leased under the Boyd Master Lease. The obligations under the Maryland Live! Lease, the Pennsylvania Live! Master Lease and the Rockford Lease are jointly and severally guaranteed by the subsidiaries that occupy and operate the facilities.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Rent</w:t>
      </w:r>
    </w:p>
    <w:p>
      <w:pPr>
        <w:pStyle w:val="TextBody"/>
        <w:bidi w:val="0"/>
        <w:spacing w:lineRule="auto" w:line="288" w:before="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under the PENN 2023 Master Lease is fixed with annual escalations on the entirety of rent increasing by 1.5% annually on November 1.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five years to an amount equal to 4% of the average net revenues of all facilities under the Amended PENN Master Lease during the preceding five years in excess of a contractual baseline.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 to the Amended PENN Master Lease, the Amended Pinnacle Master Lease also includes a fixed component, a portion of which is subject to an annual 2% escalator if certain rent coverage ratio thresholds are met and a component that is based on the performance of the facilities, which is prospectively adjusted subject to certain floors (namely the Bossier City Boomtown property due to PENN's acquisition of a competing facility, Margaritaville Resort Casino), every two years to an amount equal to 4% of the average net revenues of all facilities under the Amended Pinnacle Master Lease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and November 13, 2023, amendments became effective to the Amended and Restated Caesars Master Lease and Second Amended and Restated Master Lease, respectively, as described more fully in Note 1. These modifications were each accounted for as a new lease which the Company concluded continued to meet the criteria for operating lease treatment. As a result, the existing deferred revenue at the time of the amendments are being recognized over the Amended and Restated Caesars Master Lease's new initial lease term, which expires in September 2038. The Company concluded the renewal options of up to an additional 20 years at the tenant's option are not reasonably certain of being exercised as failure to renew would not result in a significant penalty to the tenant. In the fifth and sixth lease years the building base rent escalates at 1.25%. In the seventh and eighth lease years it escalates at 1.75% and then escalates at 2% in the ninth lease year and each lease year thereafter. In addition, the guaranteed fixed escalations in the new initial lease term are recognized on a straight-line basis.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Boyd Master Lease includes a fixed component, a portion of which is subject to an annual 2% escalator if certain rent coverage ratio thresholds are met, and a component that is based on the performance of the facilities, which is adjusted every two years to an amount equal to 4% of the average annual net revenues of all facilities under the Boyd Master Lease during the preceding two years in excess of a contractual baseline.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Company acquired the real estate of Belterra Park in satisfaction of the Belterra Park Loan, subject to the Belterra Park Lease with a Boyd affiliate operating the property. The Belterra Park Lease rent terms are consistent with the Boyd Master Lease. The annual rent is comprised of a fixed component, part of which is subject to an annual escalator of up to 2% if certain rent coverage ratio thresholds are met and a component that is based on the performance of the facilities which is adjusted, every two years to an amount equal to 4% of the average annual net revenues of Belterra Park during the preceding two years in excess of a contractual baseline.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2020, the Company acquired the real estate of Horseshoe St. Louis in satisfaction of the CZR loan, subject to the Horseshoe St. Louis Lease, the initial term of which expires on October 31, 2033, with 4 separate renewal options of five years each, exercisable at the tenant's option. The Horseshoe St. Louis Lease's rent terms were adjusted on December 1, 2021 such that the annual escalator is now fixed at 1.25% for the second through fifth lease years, increasing to 1.75% for the sixth and seventh lease years and thereafter increasing by 2.0% for the remainder of the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Morgantown Lease became effective on October 1, 2020 whereby the Company is leasing the land under PENN's gaming facility and the initial rent on the opening date and on each anniversary thereafter for each of the following three lease years shall be increased by 1.5% annually (on a prorated basis for the remainder of the lease year in which the gaming facility opens), and commencing on the fourth anniversary of the opening date and for each anniversary thereafter, (a) if the CPI increase is at least 0.5% for any lease year, the rent for such lease year shall increase by 1.25% of rent as of the immediately preceding lease year, and (b) if the CPI increase is less than 0.5% for such lease year, then the rent shall not increase for such lease year. Hollywood Casino Morgantown opened on December 22, 2021.</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Rent under the Third Amended and Restated Casino Queen Master Lease increases annually by 0.5% for lease years two through six. Beginning with the seventh lease year through the remainder of the lease term, if the CPI increases by at least 0.25% for any lease year then annual rent shall be increased by 1.25%, and if the CPI increase is less than 0.25%, rent will remain unchanged for such lease year. Additionally, the Company's landside development project at Casino Queen Baton Rouge was completed in late August 2023 and the rent was adjusted to reflect a yield of 8.25% on GLPI's project costs of $77 million. The Company also acquired the land and certain improvements at Casino Queen Marquette for $32.72 million as of September 6, 2023. The annual rent on the Third Amended and Restated Casino Queen Master Lease was increased by $2.7 million for this acquisition. Additionally, the Company anticipates funding certain construction costs for an amount not to exceed $12.5 million, for a landside development project at Casino Queen Marquette.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Bally's Master Lease became effective on June 3, 2021 and rent is subject to contractual escalations based on the CPI, with a 1% floor and a 2% ceiling, subject to the CPI meeting a 0.5% threshold. On April 1, 2022 and January 3, 2023, the Company completed acquisitions of the real estate assets of Bally's Biloxi, Bally's Tiverton, Bally's Black Hawk, and Bally's Quad Cities. These properties were added to the existing Bally's Master Lease with annual rent increases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2021, the Maryland Live! Lease with Cordish became effective, with annual rent increasing by 1.75% upon the second anniversary of the lease commencement. The Pennsylvania Live! Master Lease with Cordish became effective March 1, 2022 with annual rent increasing by 1.75% upon the second anniversary of the lease commencement. These leases were accounted for as an Investment in leases, financing receivables. See Note 3 for the further information including the future annual cash payments to be received under these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2022, the Tropicana Las Vegas Lease became effective. Commencing on the first anniversary and on each anniversary thereafter, if the CPI increase is at least 0.5% for any lease year, the rent shall increase by the greater of 1% of the rent in effect for the preceding lease year and the CPI increase, capped at 2%. If the CPI increase is less than 0.5% for such lease year, then the rent shall not increase for such lease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development project in Rockford, IL. Simultaneously with the land acquisition, GLPI entered into the Rockford Lease which has a 99 year term and initial annual rent is subject to fixed 2% annual escalation beginning with the lease's first anniversary and for the entirety of its term.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announced it had acquired the real estate assets of Tioga Downs. Simultaneously with the acquisition, GLPI entered into the Tioga Downs Lease which has an initial lease term of 30 years and initial annual rent that is subject to annual fixed escalations of 1.75% beginning with the first anniversary which increases to 2% beginning in year fifteen of the lease through the remainder of its initial term.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Company's master leases provide for a floor on the percentage rent described above, should the Company's tenants acquire or commence operating a competing facility within a restricted area (typically 60 miles from a property under the existing master lease with such tenant). These clauses provide landlord protections by basing the percentage rent floor for any affected facility on the net revenues of such facility for the calendar year immediately preceding the year in which the competing facility is acquired or first operated by the tenant. A percentage rent floor was triggered on the Amended Pinnacle Master Lease on the Bossier City Boomtown property due to PENN's acquisition of Margaritaville Resort Casino. Additionally, a percentage rent floor on the Amended PENN Master Lease was triggered on the Hollywood Casino at Penn National Race Course in connection with PENN opening a facility in York, Pennsylvania which went into effect at the November 1, 2023 reset.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rent, as triple-net lessees, all of the Company's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Lease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ASC 842, the Company is required at lease inception (and if applicable at a lease reassessment date) to determine the term of the lease.</w:t>
      </w:r>
      <w:r>
        <w:rPr>
          <w:color w:val="000000"/>
        </w:rPr>
        <w:t xml:space="preserve"> </w:t>
      </w:r>
      <w:r>
        <w:rPr>
          <w:rFonts w:ascii="Times New Roman;sans-serif" w:hAnsi="Times New Roman;sans-serif"/>
          <w:b w:val="false"/>
          <w:color w:val="000000"/>
          <w:sz w:val="20"/>
        </w:rPr>
        <w:t xml:space="preserve">This requires concluding whether it is reasonably assured that our tenants will exercise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renewal options contained within the lease.</w:t>
      </w:r>
      <w:r>
        <w:rPr>
          <w:color w:val="000000"/>
        </w:rPr>
        <w:t xml:space="preserve"> </w:t>
      </w:r>
      <w:r>
        <w:rPr>
          <w:rFonts w:ascii="Times New Roman;sans-serif" w:hAnsi="Times New Roman;sans-serif"/>
          <w:b w:val="false"/>
          <w:color w:val="000000"/>
          <w:sz w:val="20"/>
        </w:rPr>
        <w:t>The initial lease term is a key judgment that is utilized in the lease classification test to determine whether the lease is an operating lease, sales type lease or direct financing lease. The Company currently has 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 Since the formation of the Company on November 1, 2013, the Company has amended or reassessed seven of its fifteen current leases.</w:t>
      </w:r>
      <w:r>
        <w:rPr>
          <w:color w:val="000000"/>
        </w:rPr>
        <w:t xml:space="preserve"> </w:t>
      </w:r>
      <w:r>
        <w:rPr>
          <w:rFonts w:ascii="Times New Roman;sans-serif" w:hAnsi="Times New Roman;sans-serif"/>
          <w:b w:val="false"/>
          <w:color w:val="000000"/>
          <w:sz w:val="20"/>
        </w:rPr>
        <w:t>All of these reassessments were the result of significant lease amendments and were completed during the initial lease terms and prior to any renewal options.</w:t>
      </w:r>
      <w:r>
        <w:rPr>
          <w:color w:val="000000"/>
        </w:rPr>
        <w:t xml:space="preserve"> </w:t>
      </w:r>
      <w:r>
        <w:rPr>
          <w:rFonts w:ascii="Times New Roman;sans-serif" w:hAnsi="Times New Roman;sans-serif"/>
          <w:b w:val="false"/>
          <w:color w:val="000000"/>
          <w:sz w:val="20"/>
        </w:rPr>
        <w:t>Additionally, Pinnacle sold its operations to PENN for fair value whose underlying real estate for the casino operations were leased from the Company.</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income from real estate for the three months ended March 31, 2024 was as follows (in thousands):</w:t>
      </w:r>
    </w:p>
    <w:tbl>
      <w:tblPr>
        <w:tblW w:w="6768" w:type="dxa"/>
        <w:jc w:val="center"/>
        <w:tblInd w:w="0" w:type="dxa"/>
        <w:tblLayout w:type="fixed"/>
        <w:tblCellMar>
          <w:top w:w="28" w:type="dxa"/>
          <w:left w:w="28" w:type="dxa"/>
          <w:bottom w:w="28" w:type="dxa"/>
          <w:right w:w="28" w:type="dxa"/>
        </w:tblCellMar>
      </w:tblPr>
      <w:tblGrid>
        <w:gridCol w:w="1222"/>
        <w:gridCol w:w="1072"/>
        <w:gridCol w:w="1080"/>
        <w:gridCol w:w="516"/>
        <w:gridCol w:w="2022"/>
        <w:gridCol w:w="266"/>
        <w:gridCol w:w="109"/>
        <w:gridCol w:w="109"/>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 base rent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base rent</w:t>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rent and other rental revenue</w:t>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real estate loans</w:t>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income</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343,735 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w:t>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 rent in revenue</w:t>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financing receivables</w:t>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from real estate</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firstLine="720"/>
        <w:jc w:val="both"/>
        <w:rPr/>
      </w:pPr>
      <w:r>
        <w:rPr/>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future minimum rental income from the Company's rental properties under non-cancelable operating leases, including any reasonably assured renewal periods, was as follows (in thousands):</w:t>
      </w:r>
    </w:p>
    <w:tbl>
      <w:tblPr>
        <w:tblW w:w="10205" w:type="dxa"/>
        <w:jc w:val="center"/>
        <w:tblInd w:w="0" w:type="dxa"/>
        <w:tblLayout w:type="fixed"/>
        <w:tblCellMar>
          <w:top w:w="28" w:type="dxa"/>
          <w:left w:w="28" w:type="dxa"/>
          <w:bottom w:w="28" w:type="dxa"/>
          <w:right w:w="28" w:type="dxa"/>
        </w:tblCellMar>
      </w:tblPr>
      <w:tblGrid>
        <w:gridCol w:w="517"/>
        <w:gridCol w:w="454"/>
        <w:gridCol w:w="456"/>
        <w:gridCol w:w="278"/>
        <w:gridCol w:w="1427"/>
        <w:gridCol w:w="143"/>
        <w:gridCol w:w="109"/>
        <w:gridCol w:w="109"/>
        <w:gridCol w:w="109"/>
        <w:gridCol w:w="307"/>
        <w:gridCol w:w="1205"/>
        <w:gridCol w:w="159"/>
        <w:gridCol w:w="109"/>
        <w:gridCol w:w="109"/>
        <w:gridCol w:w="109"/>
        <w:gridCol w:w="320"/>
        <w:gridCol w:w="1254"/>
        <w:gridCol w:w="165"/>
        <w:gridCol w:w="109"/>
        <w:gridCol w:w="109"/>
        <w:gridCol w:w="109"/>
        <w:gridCol w:w="369"/>
        <w:gridCol w:w="1893"/>
        <w:gridCol w:w="277"/>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 ending December 31,</w:t>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Rental Payments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Base Ground Rents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Future Income to be Recognized Related to Operating Leases</w:t>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year)</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895,508 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951,683 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1,194,550 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1,264,612 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1,197,560 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1,109,182 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1,163,451 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1,158,590 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5,880,256 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56,127 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5,969,532 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11,326,447 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265,426 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11,705,428 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72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 xml:space="preserve">Includes a $3.6 million tenant improvement allowance that is being amortized over the life of a tenant lease.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 financing receivables, net.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calculates earnings per share ("EPS") in accordance with ASC 260 - </w:t>
      </w:r>
      <w:r>
        <w:rPr>
          <w:rFonts w:ascii="Times New Roman;sans-serif" w:hAnsi="Times New Roman;sans-serif"/>
          <w:b w:val="false"/>
          <w:i/>
          <w:color w:val="000000"/>
          <w:sz w:val="20"/>
        </w:rPr>
        <w:t xml:space="preserve">Earnings per Share </w:t>
      </w:r>
      <w:r>
        <w:rPr>
          <w:rFonts w:ascii="Times New Roman;sans-serif" w:hAnsi="Times New Roman;sans-serif"/>
          <w:b w:val="false"/>
          <w:color w:val="000000"/>
          <w:sz w:val="20"/>
        </w:rPr>
        <w:t>("ASC 260"</w:t>
      </w:r>
      <w:r>
        <w:rPr>
          <w:rFonts w:ascii="Times New Roman;sans-serif" w:hAnsi="Times New Roman;sans-serif"/>
          <w:b w:val="false"/>
          <w:i/>
          <w:color w:val="000000"/>
          <w:sz w:val="20"/>
        </w:rPr>
        <w:t>)</w:t>
      </w:r>
      <w:r>
        <w:rPr>
          <w:rFonts w:ascii="Times New Roman;sans-serif" w:hAnsi="Times New Roman;sans-serif"/>
          <w:b w:val="false"/>
          <w:color w:val="000000"/>
          <w:sz w:val="20"/>
        </w:rPr>
        <w:t>.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The effect of the conversion of the OP Units to common shares is excluded from the computation of basic and diluted earnings per share because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weighted-average common shares outstanding used in the calculation of basic EPS to the weighted-average common shares outstanding used in the calculation of diluted EPS for the three months ended March 31, 2024 and 2023: </w:t>
      </w:r>
    </w:p>
    <w:p>
      <w:pPr>
        <w:pStyle w:val="TextBody"/>
        <w:bidi w:val="0"/>
        <w:spacing w:lineRule="auto" w:line="288" w:before="0" w:after="0"/>
        <w:jc w:val="center"/>
        <w:rPr>
          <w:color w:val="000000"/>
        </w:rPr>
      </w:pPr>
      <w:r>
        <w:rPr>
          <w:color w:val="000000"/>
        </w:rPr>
        <w:t>        </w:t>
      </w:r>
    </w:p>
    <w:tbl>
      <w:tblPr>
        <w:tblW w:w="9166" w:type="dxa"/>
        <w:jc w:val="center"/>
        <w:tblInd w:w="0" w:type="dxa"/>
        <w:tblLayout w:type="fixed"/>
        <w:tblCellMar>
          <w:top w:w="28" w:type="dxa"/>
          <w:left w:w="28" w:type="dxa"/>
          <w:bottom w:w="28" w:type="dxa"/>
          <w:right w:w="28" w:type="dxa"/>
        </w:tblCellMar>
      </w:tblPr>
      <w:tblGrid>
        <w:gridCol w:w="1979"/>
        <w:gridCol w:w="1738"/>
        <w:gridCol w:w="1742"/>
        <w:gridCol w:w="573"/>
        <w:gridCol w:w="266"/>
        <w:gridCol w:w="266"/>
        <w:gridCol w:w="266"/>
        <w:gridCol w:w="266"/>
        <w:gridCol w:w="266"/>
        <w:gridCol w:w="573"/>
        <w:gridCol w:w="266"/>
        <w:gridCol w:w="266"/>
        <w:gridCol w:w="109"/>
        <w:gridCol w:w="109"/>
        <w:gridCol w:w="109"/>
        <w:gridCol w:w="109"/>
        <w:gridCol w:w="109"/>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shares: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271,490 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261,791 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 awards</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performance-based restricted stock awards</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8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272,026 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262,672 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EPS for the Company’s common stock for the three months ended March 31, 2024 and 2023: </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02"/>
        <w:gridCol w:w="2189"/>
        <w:gridCol w:w="2194"/>
        <w:gridCol w:w="211"/>
        <w:gridCol w:w="826"/>
        <w:gridCol w:w="109"/>
        <w:gridCol w:w="109"/>
        <w:gridCol w:w="109"/>
        <w:gridCol w:w="109"/>
        <w:gridCol w:w="211"/>
        <w:gridCol w:w="826"/>
        <w:gridCol w:w="109"/>
        <w:gridCol w:w="109"/>
        <w:gridCol w:w="109"/>
        <w:gridCol w:w="109"/>
        <w:gridCol w:w="109"/>
        <w:gridCol w:w="109"/>
        <w:gridCol w:w="156"/>
      </w:tblGrid>
      <w:tr>
        <w:trPr/>
        <w:tc>
          <w:tcPr>
            <w:tcW w:w="2502"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374" w:type="dxa"/>
            <w:gridSpan w:val="3"/>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basic EPS: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allocated to participating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earnings per share purposes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Calculation of diluted EPS: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Antidilutive securities excluded from the computation of diluted earnings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Equity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issuance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2022, the Company commenced a continuous equity offering under which the Company may sell up to an aggregate of $1.0 billion of its common stock from time to time through a sales agent in "at the market" offerings (the "2022 ATM Program"). Actual sales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2022 ATM Program. The 2022 ATM Program also allows the Company to enter into forward sale agreements. In no event will the aggregate number of shares sold under the 2022 ATM Program (whether under any forward sale agreement or through a sales agent), have an aggregate sales price in excess of $1.0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2022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 During the three months ended March 31, 2024, the Company sold 0.2 million shares of its common stock under the 2022 ATM Program which raised net proceeds of $9.0 million. As of March 31, 2024, the Company had $584.6 million remaining for issuance under the 2022 ATM Program.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partial consideration for the closing of various real property assets over the past few years, the Company's operating partnership has issued OP Units. The OP Units are exchangeable for common shares of the Company on a one-for-one basis, subject to certain terms and conditions. As partial consideration for the closing of the real property assets under the Tioga Downs Lease that occurred on February 6, 2024, the Company’s operating partnership issued 434,304 newly-issued OP units to an affiliate of Tioga Downs which were valued at $19.6 million. As of March 31, 2024, the Company holds a 97.1%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$6.1 million and $7.4 million in distributions to the non-controlling interest holders concurrently with the dividends paid to the Company's common shareholders, during the three month periods ended March 31, 2024 and March 31, 2023,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the dividends declared and paid by the Company during the three months ended March 31, 2024 and 2023:</w:t>
      </w:r>
    </w:p>
    <w:tbl>
      <w:tblPr>
        <w:tblW w:w="10205" w:type="dxa"/>
        <w:jc w:val="left"/>
        <w:tblInd w:w="0" w:type="dxa"/>
        <w:tblLayout w:type="fixed"/>
        <w:tblCellMar>
          <w:top w:w="28" w:type="dxa"/>
          <w:left w:w="28" w:type="dxa"/>
          <w:bottom w:w="28" w:type="dxa"/>
          <w:right w:w="28" w:type="dxa"/>
        </w:tblCellMar>
      </w:tblPr>
      <w:tblGrid>
        <w:gridCol w:w="427"/>
        <w:gridCol w:w="376"/>
        <w:gridCol w:w="378"/>
        <w:gridCol w:w="109"/>
        <w:gridCol w:w="109"/>
        <w:gridCol w:w="109"/>
        <w:gridCol w:w="485"/>
        <w:gridCol w:w="485"/>
        <w:gridCol w:w="487"/>
        <w:gridCol w:w="109"/>
        <w:gridCol w:w="109"/>
        <w:gridCol w:w="109"/>
        <w:gridCol w:w="342"/>
        <w:gridCol w:w="342"/>
        <w:gridCol w:w="344"/>
        <w:gridCol w:w="109"/>
        <w:gridCol w:w="109"/>
        <w:gridCol w:w="109"/>
        <w:gridCol w:w="377"/>
        <w:gridCol w:w="377"/>
        <w:gridCol w:w="378"/>
        <w:gridCol w:w="109"/>
        <w:gridCol w:w="109"/>
        <w:gridCol w:w="109"/>
        <w:gridCol w:w="341"/>
        <w:gridCol w:w="341"/>
        <w:gridCol w:w="342"/>
        <w:gridCol w:w="109"/>
        <w:gridCol w:w="109"/>
        <w:gridCol w:w="109"/>
        <w:gridCol w:w="404"/>
        <w:gridCol w:w="404"/>
        <w:gridCol w:w="405"/>
        <w:gridCol w:w="109"/>
        <w:gridCol w:w="109"/>
        <w:gridCol w:w="109"/>
        <w:gridCol w:w="394"/>
        <w:gridCol w:w="331"/>
        <w:gridCol w:w="483"/>
      </w:tblGrid>
      <w:tr>
        <w:trPr/>
        <w:tc>
          <w:tcPr>
            <w:tcW w:w="4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 Covered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Amount</w:t>
            </w:r>
          </w:p>
        </w:tc>
      </w:tr>
      <w:tr>
        <w:trPr/>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$206,340</w:t>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$188,896</w:t>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$65,588</w:t>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the three months ended March 31, 2024 and March 31, 2023, dividend payments were made to GLPI restricted stock award holders in the amount of $0.2 million and $0.3 million, respectively. On February 22, 2023, the Company the Company declared a first quarter dividend of $0.72 per share in addition to a special earnings and profit dividend related to the sale of the Tropicana Las Vegas building of $0.25 per share on the Company's common stock.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Stock-Based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accounts for stock compensation under ASC 718 - </w:t>
      </w:r>
      <w:r>
        <w:rPr>
          <w:rFonts w:ascii="Times New Roman;sans-serif" w:hAnsi="Times New Roman;sans-serif"/>
          <w:b w:val="false"/>
          <w:i/>
          <w:color w:val="000000"/>
          <w:sz w:val="20"/>
        </w:rPr>
        <w:t xml:space="preserve">Compensation - Stock Compensation, </w:t>
      </w:r>
      <w:r>
        <w:rPr>
          <w:rFonts w:ascii="Times New Roman;sans-serif" w:hAnsi="Times New Roman;sans-serif"/>
          <w:b w:val="false"/>
          <w:color w:val="000000"/>
          <w:sz w:val="20"/>
        </w:rPr>
        <w:t xml:space="preserve">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prior to grant. The Company utilizes a third party valuation firm to measure the fair value of performance-based restricted stock awards at grant date using the Monte Carlo model.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was $8.7 million of total unrecognized compensation cost for restricted stock awards that will be recognized over the grants' remaining weighted average vesting period of 1.96 years. For the three months ended March 31, 2024, the Company recognized $4.2 million of compensation expense associated with these awards, compared to $4.3 million for the three months ended March 31, 2023, within general and administrative expenses on the condensed consolidated statements of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restricted stock award activity for the three months ended March 31, 2024:</w:t>
      </w:r>
    </w:p>
    <w:tbl>
      <w:tblPr>
        <w:tblW w:w="4449" w:type="dxa"/>
        <w:jc w:val="center"/>
        <w:tblInd w:w="0" w:type="dxa"/>
        <w:tblLayout w:type="fixed"/>
        <w:tblCellMar>
          <w:top w:w="28" w:type="dxa"/>
          <w:left w:w="28" w:type="dxa"/>
          <w:bottom w:w="28" w:type="dxa"/>
          <w:right w:w="28" w:type="dxa"/>
        </w:tblCellMar>
      </w:tblPr>
      <w:tblGrid>
        <w:gridCol w:w="1065"/>
        <w:gridCol w:w="935"/>
        <w:gridCol w:w="940"/>
        <w:gridCol w:w="450"/>
        <w:gridCol w:w="450"/>
        <w:gridCol w:w="60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Award</w:t>
              <w:br/>
              <w:t>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269,929 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260,095 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(215,685)</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314,339 </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March 31, 2024, there was $27.3 million of total unrecognized compensation cost, which will be recognized over the performance-based restricted stock awards' remaining weighted average vesting period of 2.13 years.  For the three months ended March 31, 2024, the Company recognized $3.9 million of compensation expense associated with these awards within general and administrative expenses on the condensed consolidated statements of income compared to $3.5 million for the corresponding periods in the prior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information on performance-based restricted stock award activity for the three months ended March 31, 2024:</w:t>
      </w:r>
    </w:p>
    <w:p>
      <w:pPr>
        <w:pStyle w:val="TextBody"/>
        <w:bidi w:val="0"/>
        <w:spacing w:before="0" w:after="0"/>
        <w:ind w:left="0" w:right="0" w:firstLine="720"/>
        <w:jc w:val="left"/>
        <w:rPr/>
      </w:pPr>
      <w:r>
        <w:rPr/>
      </w:r>
    </w:p>
    <w:tbl>
      <w:tblPr>
        <w:tblW w:w="6450" w:type="dxa"/>
        <w:jc w:val="center"/>
        <w:tblInd w:w="0" w:type="dxa"/>
        <w:tblLayout w:type="fixed"/>
        <w:tblCellMar>
          <w:top w:w="28" w:type="dxa"/>
          <w:left w:w="28" w:type="dxa"/>
          <w:bottom w:w="28" w:type="dxa"/>
          <w:right w:w="28" w:type="dxa"/>
        </w:tblCellMar>
      </w:tblPr>
      <w:tblGrid>
        <w:gridCol w:w="1065"/>
        <w:gridCol w:w="935"/>
        <w:gridCol w:w="940"/>
        <w:gridCol w:w="1025"/>
        <w:gridCol w:w="1025"/>
        <w:gridCol w:w="1460"/>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Performance-Based Award 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2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1,492,000 </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523,000 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(478,000)</w:t>
            </w:r>
          </w:p>
        </w:tc>
        <w:tc>
          <w:tcPr>
            <w:tcW w:w="1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Canceled</w:t>
            </w:r>
            <w:r>
              <w:rPr>
                <w:color w:val="000000"/>
              </w:rPr>
              <w:t xml:space="preserve"> </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2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1,537,000 </w:t>
            </w:r>
          </w:p>
        </w:tc>
        <w:tc>
          <w:tcPr>
            <w:tcW w:w="1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Supplemental Disclosures of Cash Flow Information and Noncash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are as follows:</w:t>
      </w:r>
    </w:p>
    <w:tbl>
      <w:tblPr>
        <w:tblW w:w="4953" w:type="dxa"/>
        <w:jc w:val="left"/>
        <w:tblInd w:w="0" w:type="dxa"/>
        <w:tblLayout w:type="fixed"/>
        <w:tblCellMar>
          <w:top w:w="28" w:type="dxa"/>
          <w:left w:w="28" w:type="dxa"/>
          <w:bottom w:w="28" w:type="dxa"/>
          <w:right w:w="28" w:type="dxa"/>
        </w:tblCellMar>
      </w:tblPr>
      <w:tblGrid>
        <w:gridCol w:w="668"/>
        <w:gridCol w:w="586"/>
        <w:gridCol w:w="591"/>
        <w:gridCol w:w="211"/>
        <w:gridCol w:w="721"/>
        <w:gridCol w:w="109"/>
        <w:gridCol w:w="109"/>
        <w:gridCol w:w="109"/>
        <w:gridCol w:w="109"/>
        <w:gridCol w:w="211"/>
        <w:gridCol w:w="721"/>
        <w:gridCol w:w="109"/>
        <w:gridCol w:w="109"/>
        <w:gridCol w:w="109"/>
        <w:gridCol w:w="109"/>
        <w:gridCol w:w="109"/>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as partial consideration for the closing of the real property assets under the Tioga Downs Lease, the Company’s operating partnership issued 434,304 newly-issued OP units to an affiliate of Tioga Downs which were valued at $19.6 million for accounting purposes at closing and assumed debt of $63.5 million that was repaid after closing with the offsetting increase to Investment in leases, financing receivables, net.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as part of the consideration for the land and real estate assets of Bally's Biloxi and Bally's Tiverton, the Company issued 286,643 OP Units to affiliates of Bally's that were valued at $14.9 million for accounting purposes at closing. The Company also recognized a right of use asset and liability of $37.1 million on a ground lease which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was subsequently remeasured due to a renegotiation and reduced the right of use asset and lease liability to $18.4 million for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Acquisitions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Company accounts for its acquisitions of real estate assets as asset acquisitions under ASC 805 -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Under asset acquisition accounting, incremental transaction costs incurred to acquire the purchased assets are also included as part of the asset cost.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Current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2024, the Company acquired the real estate assets of Tioga Downs, in Nichols, NY from American Racing for $175.0 million which comprised of cash, assumed debt that was repaid after closing, and OP Units. Simultaneously with the acquisition, GLPI entered into the Tioga Downs Lease. The transaction was accounted for as a failed sale leaseback and as such the purchase price, along with incremental transaction costs, was allocated to Investment in leases, financing receivables in the amount of $176.4 million.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Prior year 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 2023, the Company closed its previously announced acquisition from Bally's of the land and real estate assets of Bally's Biloxi and Bally's Tiverton. The properties were added to the Bally's Master Lease and annual rent was increased by $48.5 million. The purchase price allocation of these assets based on their fair values at the acquisition date are summarized below (in thousands).</w:t>
      </w:r>
    </w:p>
    <w:p>
      <w:pPr>
        <w:pStyle w:val="TextBody"/>
        <w:bidi w:val="0"/>
        <w:spacing w:before="0" w:after="0"/>
        <w:ind w:left="0" w:right="0" w:firstLine="720"/>
        <w:jc w:val="both"/>
        <w:rPr/>
      </w:pPr>
      <w:r>
        <w:rPr/>
      </w:r>
    </w:p>
    <w:tbl>
      <w:tblPr>
        <w:tblW w:w="3590" w:type="dxa"/>
        <w:jc w:val="left"/>
        <w:tblInd w:w="0" w:type="dxa"/>
        <w:tblLayout w:type="fixed"/>
        <w:tblCellMar>
          <w:top w:w="28" w:type="dxa"/>
          <w:left w:w="28" w:type="dxa"/>
          <w:bottom w:w="28" w:type="dxa"/>
          <w:right w:w="28" w:type="dxa"/>
        </w:tblCellMar>
      </w:tblPr>
      <w:tblGrid>
        <w:gridCol w:w="869"/>
        <w:gridCol w:w="763"/>
        <w:gridCol w:w="767"/>
        <w:gridCol w:w="211"/>
        <w:gridCol w:w="82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closing, the Company was credited its previously funded $200 million deposit that was recorded in other assets at December 31, 2022 as well as a $9.0 million transaction fee that was recorded against the purchase price. The Company continues to have the option, subject to receipt by Bally's of required consents, to acquire the real property assets of Bally's Lincoln prior to December 31, 2026 for a purchase price of $771.0 million and additional annual rent of $58.8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29, 2023, the Company acquired the land associated with a development project in Rockford, IL, that upon opening is intended to be managed by a subsidiary of Hard Rock, from an affiliate of 815 Entertainment. Simultaneously with the land acquisition, GLPI entered into the Rockford Lease. The transaction was accounted for as a failed sale leaseback and as such the purchase price was allocated to Investment in leases, financing receivables in the amount of $100.2 million.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6, 2023, the Company acquired the land and certain improvements at Casino Queen Marquette for $32.72 million. The property was added to the Casino Queen Master Lease and annual rent was increased by $2.7 million. The purchase price allocation of these assets based on their fair values at the acquisition date are summarized below (in thousands).</w:t>
      </w:r>
    </w:p>
    <w:p>
      <w:pPr>
        <w:pStyle w:val="TextBody"/>
        <w:bidi w:val="0"/>
        <w:spacing w:before="0" w:after="0"/>
        <w:ind w:left="0" w:right="0" w:firstLine="720"/>
        <w:jc w:val="both"/>
        <w:rPr/>
      </w:pPr>
      <w:r>
        <w:rPr/>
      </w:r>
    </w:p>
    <w:tbl>
      <w:tblPr>
        <w:tblW w:w="3485" w:type="dxa"/>
        <w:jc w:val="left"/>
        <w:tblInd w:w="0" w:type="dxa"/>
        <w:tblLayout w:type="fixed"/>
        <w:tblCellMar>
          <w:top w:w="28" w:type="dxa"/>
          <w:left w:w="28" w:type="dxa"/>
          <w:bottom w:w="28" w:type="dxa"/>
          <w:right w:w="28" w:type="dxa"/>
        </w:tblCellMar>
      </w:tblPr>
      <w:tblGrid>
        <w:gridCol w:w="869"/>
        <w:gridCol w:w="763"/>
        <w:gridCol w:w="767"/>
        <w:gridCol w:w="211"/>
        <w:gridCol w:w="72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Operations</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GLPI is a self-administered and self-managed Pennsylvania REIT. GLPI was incorporated on February 13, 2013,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assets and liabilities of GLPI were recorded at their respective historical carrying values at the time of the Spin-Off in accordance with the provisions of Financial Accounting Standards Board ("FASB") Accounting Standards Codification ("ASC") 505-60 - </w:t>
      </w:r>
      <w:r>
        <w:rPr>
          <w:rFonts w:ascii="Times New Roman;sans-serif" w:hAnsi="Times New Roman;sans-serif"/>
          <w:b w:val="false"/>
          <w:i/>
          <w:color w:val="000000"/>
          <w:sz w:val="20"/>
        </w:rPr>
        <w:t>Spinoffs and Reverse Spinoffs ("</w:t>
      </w:r>
      <w:r>
        <w:rPr>
          <w:rFonts w:ascii="Times New Roman;sans-serif" w:hAnsi="Times New Roman;sans-serif"/>
          <w:b w:val="false"/>
          <w:color w:val="000000"/>
          <w:sz w:val="20"/>
        </w:rPr>
        <w:t>ASC 505"</w:t>
      </w:r>
      <w:r>
        <w:rPr>
          <w:rFonts w:ascii="Times New Roman;sans-serif" w:hAnsi="Times New Roman;sans-serif"/>
          <w:b w:val="false"/>
          <w:i/>
          <w:color w:val="000000"/>
          <w:sz w:val="20"/>
        </w:rPr>
        <w: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on its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 In connection with the Spin-Off, PENN allocated its accumulated earnings and profits (as determined for U.S. federal income tax purposes) for periods prior to the consummation of the Spin-Off between PENN and GLPI. In connection with its election to be taxed as a REIT for U.S. federal income tax purposes, GLPI declared a special dividend to its shareholders to distribute any accumulated earnings and profits relating to the real property assets and attributable to any pre-REIT years, including any earnings and profits allocated to GLPI in connection with the Spin-Off, to comply with certain REIT qualification requirements.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2021, the Company sold the operations of Hollywood Casino Perryville to PENN and leased the real estate to PENN pursuant to a standalone lease. On December 17, 2021, the Company sold the operations of Hollywood Casino Baton Rouge to The Queen Casino &amp; Entertainment Inc., formerly known as CQ Holding Company, Inc., ("Casino Queen") and leased the real estate to Casino Queen pursuant to the Second Amended and Restated Casino Queen Master Lease as described below. On December 17, 2021, GLPI declared a special dividend to the Company's shareholders to distribute the accumulated earnings and profits attributable to these sales. In 2021, subsequent to the sale of the operations of the TRS Properties, GLP Holdings, Inc. was merged into GLP Capital, L.P., the operating partnership of GLPI ("GLP Capital").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and Tropicana LV, LLC, a wholly owned subsidiary of the Company that at the time held the real estate of the Tropicana Las Vegas Casino Hotel Resort ("Tropicana Las Vegas"), elected to treat Tropicana LV, LLC as a TRS. In September 2022, Bally's Corporation (NYSE: BALY) ("Bally's") acquired both the building assets from GLPI and PENN's outstanding equity interests in Tropicana Las Vegas. GLPI retained ownership of the land and entered into a ground lease with Bally's. In connection with this transaction, Tropicana LV, LLC was merged into GLP Capital. GLPI paid a special earnings and profits dividend of $0.25 per share in the first quarter of 2023 related to the sale of the building to Bally's.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partial consideration for the transactions with The Cordish Companies ("Cordish") described below, GLP Capital issued 7,366,683 newly-issued operating partnership units ("OP Units") to affiliates of Cordish. OP Units are exchangeable for common shares of the Company on a one-for-one basis, subject to certain terms and conditions. Such issuance of OP Units to Cordish in exchange for its contribution of certain real property assets resulted in GLP Capital becoming treated as a partnership for income tax purposes, with GLPI being deemed to contribute substantially all of the assets and liabilities of GLP Capital in exchange for the general partnership and a majority of the limited partnership interests, and a minority limited partnership interest being owned by Cordish (the "UPREIT Transaction"). In advance of the UPREIT Transaction, the Company, together with GLP Financing II, Inc. jointly elected for GLP Financing II, Inc. to be treated as a TRS effective December 23, 2021. On January 3, 2023, the Company issued 286,643 OP Units to affiliates of Bally's in connection with its acquisition of Bally's Hard Rock Hotel &amp; Casino Biloxi ("Bally's Biloxi") and Bally's Tiverton Casino &amp; Hotel ("Bally's Tiverton"). On February 6, 2024, the Company also issued 434,304 OP Units in connection with the acquisition of the real estate assets of Tioga Downs Casino Resort ("Tioga Downs") from American Racing &amp; Entertainment LLC ("American Racing"). There were 8,087,630 OP Units outstanding as of March 31, 2024.</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business consists of acquiring, financing, and owning real estate property to be leased to gaming operators in triple-net lease arrangements. As of March 31, 2024, GLPI’s portfolio consisted of interests in 62 gaming and related facilities, the real property associated with 34 gaming and related facilities operated by PENN, the real property associated with 6 gaming and related facilities operated by Caesars Entertainment Corporation (NASDAQ: CZR) ("Caesars"), the real property associated with 4 gaming and related facilities operated by Boyd Gaming Corporation (NYSE: BYD) ("Boyd"), the real property associated with 9 gaming and related facilities operated by Bally's, the real property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gaming and related facilities operated by Cordish, the real property associated with 4 gaming and related facilities operated by Casino Queen, 1 gaming facility under construction that upon opening is intended to be managed by a subsidiary of Hard Rock International ("Hard Rock") and 1 gaming and related facility operated by American Racing. These facilities, including our corporate headquarters building, are geographically diversified across 19 states and contain approximately 29.0 million square feet. As of March 31, 2024, the Company's properties were 100% occupied. GLPI expects to continue growing its portfolio by pursuing opportunities to acquire additional gaming facilities to lease to gaming operators under prudent terms.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PENN 2023 Master Lease and Amended PENN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Spin-Off, GLPI owns substantially all of PENN’s former real property assets (as of the consummation of the Spin-Off) and leases back most of those assets to PENN for use by its subsidiaries pursuant to a unitary master lease (the initial form of such lease the "Original PENN Master Lease"). The Original PENN Master Lease was a triple-net lease, the term of which was scheduled to expire on October 31, 2033, with no purchase option, followed by three remaining 5-year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10, 2022, the Company announced that it agreed to create a new master lease with PENN for seven of PENN's properties (the "PENN 2023 Master Lease"). The companies also agreed to a funding mechanism to support PENN's pursuit of relocation and development opportunities at several of the properties included in the new master lease.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the Original PENN Master Lease was amended (the "Amended PENN Master Lease") to remove PENN's properties in Aurora and Joliet, Illinois; Columbus and Toledo, Ohio; and Henderson, Nevada. The properties removed from the Original PENN Master Lease were added to the PENN 2023 Master Lease. In addition, the existing leases for the Hollywood Casino at The Meadows in Pennsylvania (the "Meadows Lease") and the Hollywood Casino Perryville in Maryland (the "Perryville Lease") were terminated and these properties were transferred into the PENN 2023 Master Lease. Both the Amended PENN Master Lease and the PENN 2023 Master Lease are triple-net operating leases, that became effective on January 1, 2023, the terms of which expire on October 31, 2033, with no purchase options, followed by three remaining 5-year renewal options (exercisable by the tenant) on the same terms and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 agreed to fund up to $225 million for the relocation of PENN's riverboat casino in Aurora at a 7.75% cap rate and, if requested by PENN, will fund up to $350 million for the relocation of the Hollywood Casino Joliet, as well as the construction of a hotel at Hollywood Casino Columbus and the construction of a second hotel tower at the M Resort Spa Casino at then current market rates.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Amended Pinnacle Master Lease, Boyd Master Lease and Belterra Park Lease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April 2016, the Company acquired substantially all of the real estate assets of Pinnacle Entertainment, Inc. ("Pinnacle") for approximately $4.8 billion. GLPI originally leased these assets back to Pinnacle, under a unitary triple-net lease, the term of which expires April 30, 2031, with no purchase option, followed by four remaining 5-year renewal options (exercisable by the tenant) on the same terms and conditions (the "Pinnacle Master Lease"). On October 15, 2018, the Company completed its previously announced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has an initial term of 10 years (from the original April 2016 commencement date of the Pinnacle Master Lease and expiring April 30, 2026), with no purchase option, followed by five 5-year renewal options (exercisable by the tenant) on the same terms and conditions. The Company also purchased the real estate assets of Plainridge Park Casino ("Plainridge Park") from PENN for $250.0 million, exclusive of transaction fees and taxes, and added this property to the Amended Pinnacle Master Lease. The Amended Pinnacle Master Lease was assumed by PENN at the consummation of the PENN-Pinnacle Merger. 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 Belterra Park in satisfaction of the Belterra Park Loan, subject to a long-term lease (the "Belterra Park Lease") with a Boyd affiliate operating the property.</w:t>
      </w:r>
      <w:r>
        <w:rPr>
          <w:color w:val="000000"/>
        </w:rPr>
        <w:t xml:space="preserve"> </w:t>
      </w:r>
      <w:r>
        <w:rPr>
          <w:rFonts w:ascii="Times New Roman;sans-serif" w:hAnsi="Times New Roman;sans-serif"/>
          <w:b w:val="false"/>
          <w:color w:val="000000"/>
          <w:sz w:val="20"/>
        </w:rPr>
        <w:t>The Belterra Park Lease rent terms are consistent with the Boyd Master Lease.</w:t>
      </w:r>
      <w:r>
        <w:rPr>
          <w:color w:val="000000"/>
        </w:rPr>
        <w:t xml:space="preserve"> </w:t>
      </w:r>
      <w:r>
        <w:rPr>
          <w:rFonts w:ascii="Times New Roman;sans-serif" w:hAnsi="Times New Roman;sans-serif"/>
          <w:b w:val="false"/>
          <w:color w:val="000000"/>
          <w:sz w:val="20"/>
        </w:rPr>
        <w:t xml:space="preserve">The annual rent is comprised of a fixed component, part of which is subject to an annual escalator of up to 2% if certain rent coverage ratio thresholds are met, and a component that is based on the performance of the facilities which is adjusted, subject to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floors, every two years to an amount equal to 4% of the average annual net revenues of Belterra Park during the preceding two years in excess of a contractual baseline.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Caesars Master Lease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closed its previously announced transaction to acquire certain real property assets from Tropicana Entertainment Inc. ("Tropicana") and certain of its affiliates pursuant to a Purchase and Sale Agreement dated April 15, 2018 between Tropicana and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(now doing business as Caesars) acquired the operating assets of these properties from Tropicana pursuant to an Agreement and Plan of Merger dated April 15, 2018 by and among Tropicana, GLP Capital, Caesars and a wholly-owned subsidiary of Caesars and leased the GLP Assets from the Company pursuant to the terms of a new unitary triple-net master lease with an initial term of 15 years, with no purchase option, followed by four successive 5-year renewal periods (exercisable by the tenant) on the same terms and conditions (the "Caesars Master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2020, the Company amended and restated the Caesars Master Lease (as amended, the "Amended and Restated Caesars Master Lease") to, (i) extend the initial term of 15 years to 20 years, with renewals of up to an additional 20 years at the option of Caesars, (ii) remove the variable rent component in its entirety commencing with the third lease year, (iii) in the third lease year, increase annual land base rent and annual building base rent, (iv) provide fixed escalation percentages that delay the escalation of building base rent until the commencement of the fifth lease year with building base rent increasing annually by 1.25% in the fifth and sixth lease years, 1.75% in the seventh and eighth lease years and 2% in the ninth lease year and each lease year thereafter, (v) subject to the satisfaction of certain conditions, permit Caesars to elect to replace the Tropicana Evansville and/or Trop Casino Greenville properties under the Amended and Restated Caesars Master Lease with one or more of Caesars Gaming Scioto Downs, The Row in Reno, Isle Casino Racing Pompano Park, Isle Casino Hotel – Black Hawk, Lady Luck Casino – Black Hawk, Isle Casino Waterloo ("Waterloo"), Isle Casino Bettendorf ("Bettendorf") or Isle of Capri Casino Boonville, provided that the aggregate value of such new property, individually or collectively, was at least equal to the value of Tropicana Evansville or Tropicana Greenville, as applicable, (vi) permit Caesars to elect to sell its interest in Belle of Baton Rouge and sever it from the Amended and Restated Caesars Master Lease (with no change to the rent obligation to the Company), subject to the satisfaction of certain conditions, and (vii) provide certain relief under the operating, capital expenditure and financial covenants thereunder in the event of facility closures due to pandemics, governmental restrictions and certain other instances of unavoidable delay. The effectiveness of the Amended and Restated Caesars Master Lease was subject to the review and approval of certain gaming regulatory agencies and the expiration of applicable gaming regulatory advance notice periods which conditions were satisfied on July 23,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18, 2020, the Company and Caesars amended and restated the Amended and Restated Caesars Master Lease (as amended and restated, the "Second Amended and Restated Caesars Master Lease") in connection with the completion of an Exchange Agreement (the "Exchange Agreement") with subsidiaries of Caesars in which Caesars transferred to the Company the real estate assets of Waterloo and Bettendorf in exchange for the transfer by the Company to Caesars of the real property assets of Tropicana Evansville, plus a cash payment of $5.7 million. In connection with the Exchange Agreement, the annual building base rent and the annual land base rent were increased.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November 13, 2023, the Company and Caesars amended and restated the Second Amended and Restated Caesars Master Lease (as amended and restated, the "Third Amended and Restated Caesars Master Lease") in connection with Caesars selling its interest in the Belle of Baton Rouge to Casino Queen with no change in rent obligation to the Company.</w:t>
      </w:r>
      <w:r>
        <w:rPr>
          <w:color w:val="000000"/>
        </w:rPr>
        <w:t xml:space="preserve">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Horseshoe St. Louis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2018, the Company entered into a loan agreement with Caesars in connection with Caesars’s acquisition of Lumière Place Casino, now known as Horseshoe St. Louis ("Horseshoe St. Louis"), whereby the Company loaned Caesars $246.0 million (the "CZR loan"). The CZR loan bore interest at a rate equal to (i) 9.09% until October 1, 2019 and (ii) 9.27% until its maturity. On the one-year anniversary of the CZR loan, the mortgage evidenced by a deed of trust on the Horseshoe St. Louis property terminated and the loan became unsecured. On June 24, 2020, the Company received approval from the Missouri Gaming Commission to own the real estate assets of the Horseshoe St. Louis property in satisfaction of the CZR loan. On September 29, 2020, the transaction closed and the Company entered into a new single property triple net lease with Caesars (the "Horseshoe St. Louis Lease") the initial term of which expires on October 31, 2033, with four separate renewal options of five years each, exercisable at the tenant's option. The Horseshoe St. Louis Lease rent terms were adjusted on December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2021 such that the annual escalator is now fixed at 1.25% for the second through fifth lease years, increasing to 1.75% for the sixth and seventh lease years and thereafter increasing by 2.0% for the remainder of the lease.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Bally's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2021, the Company completed its previously announced transaction pursuant to which a subsidiary of Bally's acquired 100% of the equity interests in the Caesars subsidiary that currently operates Tropicana Evansville and the Company reacquired the real property assets of Tropicana Evansville from Caesars for a cash purchase price of approximately $340.0 million. In addition, the Company purchased the real estate assets of Dover Downs Hotel &amp; Casino (now Bally's Dover Casino Resort) from Bally's for a cash purchase price of approximately $144.0 million. The real estate assets of these two facilities were added to a new triple net master lease (the "Bally's Master Lease") the annual rent of which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and January 3, 2023, the Company completed the acquisitions of the real estate assets of Bally's Black Hawk, Bally's Quad Cities, Bally's Biloxi, and Bally's Tiverton. These properties were added to the existing Bally's Master Lease with annual rent increases that are subject to the escalation clauses described above.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GLPI’s commitment to consummate the Bally’s Biloxi and Bally's Tiverton acquisitions, the Company also agreed to pre-fund, at Bally’s election, a deposit of up to $200.0 million, which was funded in September 2022. This amount was credited to GLPI along with a $9.0 million transaction fee payable at closing which occurred on January 3, 2023. The Company continues to have the option, subject to receipt by Bally's of required consents, to acquire the real property assets of Bally's Twin River Lincoln Casino Resort ("Bally's Lincoln") prior to December 31, 2026 for a purchase price of $771.0 million and additional rent of $58.8 million.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Tropicana Las Vegas Lease</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2020, the Company and certain of its subsidiaries closed on its previously announced transaction to acquire the real property associated with the Tropicana Las Vegas from PENN in exchange for $307.5 million of rent credits which were applied against future rent obligations due under the parties' existing leases during 2020.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All rent is subject to contractual escalations based on the CPI, with a 1% floor and 2% ceiling, subject to the CPI meeting a 0.5% threshold. The ground lease is supported by a Bally’s corporate guarantee and cross-defaulted with the Bally's Master Lease (the "Tropicana Las Vegas Lease").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2023, the Company, Tropicana Las Vegas, Inc., a Nevada corporation and wholly owned subsidiary of Bally’s, and Athletics Holdings LLC (“Athletics”), which owns the Major League Baseball team currently known as the Oakland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Morgantown Lease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2020, the Company and PENN closed on their previously announced transaction whereby GLPI acquired the land under PENN's gaming facility under construction in Morgantown, Pennsylvania in exchange for $30.0 million in rent credits that were utilized by PENN in the fourth quarter of 2020. The Company is leasing the land back to an affiliate of PENN for an initial term of 20 years, followed by six 5-year renewal options exercisable by the tenant. On the opening date of the gaming facility and on each anniversary thereafter for each of the following three lease years rent increased by 1.5% annually (on a prorated basis for the remainder of the lease year in which the gaming facility opened) and commencing on the fourth anniversary of the opening date and for each anniversary thereafter, (i) if the CPI increase is at least 0.5% for any lease year, the rent for such lease year shall increase by 1.25% of rent as of the immediately preceding lease year, and (ii) if the CPI increase is less than 0.5% for such lease year, then the rent shall not increase for such lease year (the "Morgantown Lease"). Hollywood Casino Morgantown opened on December 22, 2021.</w:t>
      </w:r>
    </w:p>
    <w:p>
      <w:pPr>
        <w:pStyle w:val="TextBody"/>
        <w:bidi w:val="0"/>
        <w:spacing w:before="0" w:after="0"/>
        <w:ind w:left="0" w:right="0" w:firstLine="720"/>
        <w:jc w:val="both"/>
        <w:rPr/>
      </w:pPr>
      <w:r>
        <w:rPr/>
      </w:r>
    </w:p>
    <w:p>
      <w:pPr>
        <w:pStyle w:val="TextBody"/>
        <w:bidi w:val="0"/>
        <w:spacing w:lineRule="auto" w:line="24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Amended and Restated Casino Queen Master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25, 2020, the Company entered into a definitive agreement to sell the operations of its Hollywood Casino Baton Rouge to Casino Queen for $28.2 million (the "HCBR transaction"). The HCBR transaction closed on December 17, 2021. The Company retained ownership of all real estate assets at Hollywood Casino Baton Rouge and simultaneously entered into a triple net master lease with Casino Queen, which includes the Casino Queen property in East St. Louis that was leased by the Company to Casino Queen and the Hollywood Casino Baton Rouge facility (the "Second Amended and Restated Casino Queen Master Lease"). The lease has an initial term of 15 years with four 5-year renewal options (exercisable by the tenant) on the same terms and conditions. The annual rent increases by 0.5% for the first six years. Beginning with the seventh lease year through the remainder of the lease term, if the CPI increases by at least 0.25% for any lease year then annual rent shall be increased by 1.25%, and if the CPI increase is less than 0.25% then rent will remain unchanged for such lease year. Additionally, the Company's landside development project at Casino Queen Baton Rouge was completed in late August 2023 and the rent under the Second Amended and Restated Casino Queen Master Lease was adjusted upon opening to reflect a yield of 8.25% on GLPI's project costs of $77 million. The Company then entered into an amendment to the Second Amended and Restated Casino Queen Master Lease, in connection with the acquisition of the land and certain improvements at Casino Queen Marquette for $32.72 million as of September 6, 2023 and annual rent was increased by $2.7 million for this acquisition. Additionally, the Company anticipates funding certain construction costs for an amount not to exceed $12.5 million, for a landside development project at Casino Queen Marquette. The rent will be adjusted to reflect a yield of 8.25% for the funded project costs. The Second Amended and Restated Casino Queen Master Lease was subsequently amended and restated on November 13, 2023 (the "Third Amended and Restated Casino Queen Master Lease").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Maryland Live! Lease and Pennsylvania Live! Master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2021, the Company announced that it agreed to acquire the real property assets of Live! Casino &amp; Hotel Maryland, Live! Casino &amp; Hotel Philadelphia, and Live! Casino Pittsburgh, including applicable long-term ground leases, from affiliates of Cordish for aggregate consideration of approximately $1.81 billion, excluding transaction costs at deal announcement. The transaction also includes a binding partnership on future Cordish casino developments, as well as potential financing partnerships between the Company and Cordish in other areas of Cordish's portfolio of real estate and operating businesses. 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for $689 million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The annual rent for both leases has a 1.75% fixed yearly escalator on the entirety of rent commencing on the leases' second anniversary.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Rockford Lease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29, 2023, the Company acquired the land associated with a casino development project in Rockford, IL, that upon opening is intended to be managed by a subsidiary of Hard Rock, from an affiliate of 815 Entertainment, LLC ("815 Entertainment") for $100.0 million. Simultaneously with the land acquisition, GLPI entered into a ground lease with 815 Entertainment for a 99 year term. The initial annual rent for the ground lease is $8.0 million, subject to fixed 2% annual escalation beginning with the lease's first anniversary and for the entirety of its term (the "Rockford Lease").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Rockford Lease, the Company has also committed to providing up to $150 million of development funding via a senior secured delayed draw term loan (the "Rockford Loan"). Borrowings under the Rockford Loan will be subject to an interest rate of 10%. The Rockford Loan has a maximum outstanding period of up to 6 years (5-year initial term with a 1-year extension). The Rockford Loan is prepayable without penalty following the opening of the Hard Rock Casino in Rockford, IL, which is expected in September 2024. The Rockford Loan advances are subject to typical construction lending terms and conditions. As of March 31, 2024, $54 million was advanced and outstanding under the Rockford Loan. Additionally, the Company also received a right of first refusal on the building improvements of the Hard Rock Casino in Rockford, IL if there is a future decision to sell them once completed.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Tioga Downs 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acquired the real estate assets of Tioga Downs in Nichols, NY from American Racing for $175.0 million. Simultaneous with the acquisition, GLPI and American Racing entered into a triple-net lease agreement for an initial 30 year term followed by two renewal options of 10 years each and a third renewal option of approximately 12 years and ten months. The initial annual rent is $14.5 million and is subject to annual fixed escalations of 1.75% beginning with the first anniversary which increases to 2% beginning in year fifteen of the lease through the remainder of its initial term (the "Tioga Downs Lease"). </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earnings are the result of the rental revenues we receive from our triple-net master leases with PENN, Boyd, Bally's, Cordish, Casino Queen and Caesars.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accordance with ASC 842, we record revenue for the ground lease rent paid by our tenants with an offsetting expense in land rights and ground lease expense within the Condensed Consolidated Statements of Income as we have concluded that as the lessee we are the primary obligor under the ground leases. We sublease these ground leases back to our tenants, who are responsible for payment directly to the landlord.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total revenues and income from operations of $376.0 million and $257.6 million, respectively, for the three months ended March 31, 2024, compared to $355.2 million and $266.8 million, respectively, for the corresponding period in the prior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 factors affecting our results for the three months ended March 31, 2024, as compared to the three months ended March 31, 2023, were as follows: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income from real estate increased by $20.8 million to $376.0 million for the three months ended March 31, 2024 compared to $355.2 million for the corresponding period in the prior year. The reason for the increase was primarily due to our recent acquisitions which in the aggregate increased cash rental income by $7.9 million for the three months ended March 31, 2024. Additionally, the three months ended March 31, 2024 benefited by $4.8 million compared to the corresponding period in the prior year from escalations on our leases. The Company also recognized higher accretion of $2.4 million on its Investment in leases, financing receivables and favorable straight-line rent adjustments of $7.0 million compared to the corresponding period in the prior year. Finally, the Company had unfavorable variable rents of $1.3 million for the three months ended March 31, 2024 compared to the corresponding period in the prior year primarily related to the trailing 5 year reset on the Amended PENN Master Lease that occurred on November 1, 2023 which was negatively impacted by the casino closures during the COVID-19 pandemic.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Total operating expenses increased by $30.0 million for the three months ended March 31, 2024 as compared to the corresponding period in the prior year. The provision for credit losses, net, increased by $28.9 million during the three months ended March 31, 2024. The provision increase was due to a decline in the estimated real estate values underlying the Company's Investment in leases, financing receivables and to a lesser extent the Company's real estate loans and related loan commitment (See Note 3 and Note 5 for further discussion). Additionally, the prior year period benefited from the underlying casino operations in the Pennsylvania Live! Master Lease outperforming the budgeted expectations that were utilized in the reserve calculation at December 31, 2022. Additionally, general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administrative expenses increased by $1.4 million due primarily to transaction related costs of $0.6 million, higher payroll and benefits costs of $0.4 million and higher stock based compensation costs of $0.3 million.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 expenses decreased by $0.2 million for the three months ended March 31, 2024, primarily due to higher interest income of $5.0 million as compared to the corresponding period in the prior year because of higher variable market interest rates earned on our cash balances and debt extinguishment charges of $0.6 million. These items were partially offset by higher interest expense of $5.3 million associated with the Company's increased borrowings to fund our recent acquisitions.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Net income decreased by $9.1 million for the three months ended March 31, 2024, as compared to the corresponding periods in the prior year, primarily due to the variances explained 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income taxes, and real estate investments as critical accounting estimates, as they are the most important to our financial statement presentation and require difficult, subjective and complex judgments.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months ended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most important factors and trends that contribute or may contribute to our operating performance:</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have announced or closed numerous transactions in recent years and expect to continue to grow our portfolio by pursuing opportunities to acquire additional gaming facilities to lease to gaming operators under prudent terms.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Several wholly-owned subsidiaries of PENN lease a substantial number of our properties and account for a significant portion of our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risks related to economic conditions, including stress in the banking sector, high inflation levels (that have been negatively impacted by the armed conflict between Russia and Ukraine as well as conflicts in the Middle East) and the effect of such conditions on consumer spending for leisure and gaming activities, which may negatively impact our gaming tenants and operators and the variable rent and certain annual rent escalators we receive from our tenants as outlined in the long-term triple-net leases with these tenants.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ability to refinance our significant levels of debt at attractive terms and obtain favorable funding in connection with future business opportunities.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 and its investors.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results of operations for the three months ended March 31, 2024 and 2023 are summarized below:</w:t>
      </w:r>
    </w:p>
    <w:p>
      <w:pPr>
        <w:pStyle w:val="TextBody"/>
        <w:bidi w:val="0"/>
        <w:spacing w:lineRule="auto" w:line="288" w:before="0" w:after="0"/>
        <w:jc w:val="center"/>
        <w:rPr>
          <w:color w:val="000000"/>
        </w:rPr>
      </w:pPr>
      <w:r>
        <w:rPr>
          <w:color w:val="000000"/>
        </w:rPr>
        <w:t>                                                                    </w:t>
      </w:r>
    </w:p>
    <w:tbl>
      <w:tblPr>
        <w:tblW w:w="9873" w:type="dxa"/>
        <w:jc w:val="center"/>
        <w:tblInd w:w="0" w:type="dxa"/>
        <w:tblLayout w:type="fixed"/>
        <w:tblCellMar>
          <w:top w:w="28" w:type="dxa"/>
          <w:left w:w="28" w:type="dxa"/>
          <w:bottom w:w="28" w:type="dxa"/>
          <w:right w:w="28" w:type="dxa"/>
        </w:tblCellMar>
      </w:tblPr>
      <w:tblGrid>
        <w:gridCol w:w="2370"/>
        <w:gridCol w:w="2087"/>
        <w:gridCol w:w="2098"/>
        <w:gridCol w:w="211"/>
        <w:gridCol w:w="826"/>
        <w:gridCol w:w="109"/>
        <w:gridCol w:w="109"/>
        <w:gridCol w:w="109"/>
        <w:gridCol w:w="109"/>
        <w:gridCol w:w="211"/>
        <w:gridCol w:w="826"/>
        <w:gridCol w:w="109"/>
        <w:gridCol w:w="109"/>
        <w:gridCol w:w="109"/>
        <w:gridCol w:w="109"/>
        <w:gridCol w:w="109"/>
        <w:gridCol w:w="109"/>
        <w:gridCol w:w="154"/>
      </w:tblGrid>
      <w:tr>
        <w:trPr/>
        <w:tc>
          <w:tcPr>
            <w:tcW w:w="237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the Operating Partnership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FFO, AFFO and Adjusted EBITDA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net of tax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financing receivables; non-cash adjustments to financing lease liabilities; property transfer tax recoveries and impairment charges; straight-line rent adjustments; losses on debt extinguishment; and provision (benefit)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net, reduced by capital maintenance expenditures. Finally, we define Adjusted EBITDA as net income excluding, as applicable to the particular period, interest, net; income tax expense; real estate depreciation; other depreciation; (gains) or losses from dispositions of property, net of tax; stock based compensation expense; straight-line rent adjustments; amortization of land rights; accretion on Investment in leases, financing receivables; non-cash adjustments to financing lease liabilities; property transfer tax recoveries and impairment charges; losses on debt extinguishment; and provision (benefit) for credit losses,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20"/>
        </w:rPr>
        <w:t>The reconciliation of the Company’s net income per GAAP to FFO, AFFO, and Adjusted EBITDA for the three months ended March 31, 2024 and 2023 is as follows:                                                                                                                </w:t>
      </w:r>
    </w:p>
    <w:tbl>
      <w:tblPr>
        <w:tblW w:w="10205" w:type="dxa"/>
        <w:jc w:val="left"/>
        <w:tblInd w:w="0" w:type="dxa"/>
        <w:tblLayout w:type="fixed"/>
        <w:tblCellMar>
          <w:top w:w="28" w:type="dxa"/>
          <w:left w:w="28" w:type="dxa"/>
          <w:bottom w:w="28" w:type="dxa"/>
          <w:right w:w="28" w:type="dxa"/>
        </w:tblCellMar>
      </w:tblPr>
      <w:tblGrid>
        <w:gridCol w:w="2370"/>
        <w:gridCol w:w="2067"/>
        <w:gridCol w:w="2091"/>
        <w:gridCol w:w="109"/>
        <w:gridCol w:w="109"/>
        <w:gridCol w:w="109"/>
        <w:gridCol w:w="211"/>
        <w:gridCol w:w="841"/>
        <w:gridCol w:w="109"/>
        <w:gridCol w:w="109"/>
        <w:gridCol w:w="109"/>
        <w:gridCol w:w="109"/>
        <w:gridCol w:w="211"/>
        <w:gridCol w:w="841"/>
        <w:gridCol w:w="109"/>
        <w:gridCol w:w="109"/>
        <w:gridCol w:w="109"/>
        <w:gridCol w:w="109"/>
        <w:gridCol w:w="109"/>
        <w:gridCol w:w="109"/>
        <w:gridCol w:w="156"/>
      </w:tblGrid>
      <w:tr>
        <w:trPr/>
        <w:tc>
          <w:tcPr>
            <w:tcW w:w="2370"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w:t>
              <w:br/>
              <w:t>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74" w:type="dxa"/>
            <w:gridSpan w:val="3"/>
            <w:tcBorders/>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179,526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188,670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from dispositions of property,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244,403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 adjustments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credit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land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investment in leases,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 to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funds from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258,615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248,630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maintenance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bond premiums and original issuance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333,426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323,099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Current year amount includes $0.1 million of tenant improvement allowance amortization.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FFO, AFFO and Adjusted EBITDA were $179.5 million, $244.4 million, $258.6 million, and $333.4 million for the three months ended March 31, 2024, respectively. This compares to net income, FFO, AFFO and Adjusted EBITDA of $188.7 million, $253.8 million, $248.6 million and $323.1 million for the corresponding period in the prior year. The decrease in net income of $9.1 million was primarily attributable to increased operating expenses by $30.0 million (which was driven by the increase in provision for credit losses of $28.9 million) partially offset by an increase in total revenues of $20.8 million and lower other expenses of $0.2 million.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FFO for the three months ended March 31, 2024 was due to the items described above, excluding gains from dispositions of property and real estate depreciation. The increases in AFFO and Adjusted EBITDA were due to the items described above, as well as the adjustments mentioned in the tables above.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for the three months ended March 31, 2024 and 2023 were as follows (in thousands):</w:t>
      </w:r>
    </w:p>
    <w:p>
      <w:pPr>
        <w:pStyle w:val="TextBody"/>
        <w:bidi w:val="0"/>
        <w:spacing w:before="0" w:after="0"/>
        <w:ind w:left="0" w:right="0" w:firstLine="720"/>
        <w:jc w:val="left"/>
        <w:rPr/>
      </w:pPr>
      <w:r>
        <w:rPr/>
      </w:r>
    </w:p>
    <w:tbl>
      <w:tblPr>
        <w:tblW w:w="8840" w:type="dxa"/>
        <w:jc w:val="left"/>
        <w:tblInd w:w="0" w:type="dxa"/>
        <w:tblLayout w:type="fixed"/>
        <w:tblCellMar>
          <w:top w:w="28" w:type="dxa"/>
          <w:left w:w="28" w:type="dxa"/>
          <w:bottom w:w="28" w:type="dxa"/>
          <w:right w:w="28" w:type="dxa"/>
        </w:tblCellMar>
      </w:tblPr>
      <w:tblGrid>
        <w:gridCol w:w="1129"/>
        <w:gridCol w:w="990"/>
        <w:gridCol w:w="100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69"/>
      </w:tblGrid>
      <w:tr>
        <w:trPr/>
        <w:tc>
          <w:tcPr>
            <w:tcW w:w="112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from real estate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real estate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from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Total income from real estate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 xml:space="preserve">Total income from real estate increased by $20.8 million to $376.0 million for the three months ended March 31, 2024 compared to $355.2 million for the corresponding period in the prior year. The reason for the increase was primarily due to our recent acquisitions which in the aggregate increased cash rental income by $7.9 million for the three months ended March 31, 2024. Additionally, the three months ended March 31, 2024 benefited by $4.8 million compared to the corresponding period in the prior year from escalations on our leases. The Company also recognized higher accretion of $2.4 million on its Investment in leases, financing receivables and favorable straight-line rent adjustments of $7.0 million compared to the corresponding period in the prior year. Finally, the Company had unfavorable variable rent of $1.3 million for the three months ended March 31, 2024 compared to the corresponding period in the prior year primarily related to the trailing 5 year reset on the Amended PENN Master Lease that occurred on November 1, 2023 which was negatively impacted by the casino closures during the COVID-19 pandemic. </w:t>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Details of the Company's income from real estate for the three months ended March 31, 2024 was as follows (in thousands)</w:t>
      </w:r>
    </w:p>
    <w:p>
      <w:pPr>
        <w:pStyle w:val="TextBody"/>
        <w:bidi w:val="0"/>
        <w:spacing w:before="0" w:after="0"/>
        <w:ind w:left="0" w:right="0" w:firstLine="720"/>
        <w:jc w:val="left"/>
        <w:rPr/>
      </w:pPr>
      <w:r>
        <w:rPr/>
      </w:r>
    </w:p>
    <w:tbl>
      <w:tblPr>
        <w:tblW w:w="10630" w:type="dxa"/>
        <w:jc w:val="left"/>
        <w:tblInd w:w="0" w:type="dxa"/>
        <w:tblLayout w:type="fixed"/>
        <w:tblCellMar>
          <w:top w:w="28" w:type="dxa"/>
          <w:left w:w="28" w:type="dxa"/>
          <w:bottom w:w="28" w:type="dxa"/>
          <w:right w:w="28" w:type="dxa"/>
        </w:tblCellMar>
      </w:tblPr>
      <w:tblGrid>
        <w:gridCol w:w="794"/>
        <w:gridCol w:w="210"/>
        <w:gridCol w:w="212"/>
        <w:gridCol w:w="211"/>
        <w:gridCol w:w="826"/>
        <w:gridCol w:w="109"/>
        <w:gridCol w:w="211"/>
        <w:gridCol w:w="721"/>
        <w:gridCol w:w="109"/>
        <w:gridCol w:w="211"/>
        <w:gridCol w:w="721"/>
        <w:gridCol w:w="109"/>
        <w:gridCol w:w="211"/>
        <w:gridCol w:w="616"/>
        <w:gridCol w:w="109"/>
        <w:gridCol w:w="211"/>
        <w:gridCol w:w="826"/>
        <w:gridCol w:w="109"/>
        <w:gridCol w:w="211"/>
        <w:gridCol w:w="721"/>
        <w:gridCol w:w="109"/>
        <w:gridCol w:w="211"/>
        <w:gridCol w:w="616"/>
        <w:gridCol w:w="109"/>
        <w:gridCol w:w="211"/>
        <w:gridCol w:w="616"/>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Building base rent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Land base rent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 and other rental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 on real estate loans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income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 (1)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Ground rent in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income from real estate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PENN Master Lease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PENN 2023 Master Lease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Pinnacle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Morgantown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St. Louis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Belterra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Bally's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Queen Master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Las Vegas Lease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Rockford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Tioga Downs Lease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Current year amount includes $0.1 million of tenant improvement allowance amortization.</w:t>
      </w:r>
    </w:p>
    <w:tbl>
      <w:tblPr>
        <w:tblW w:w="10205" w:type="dxa"/>
        <w:jc w:val="left"/>
        <w:tblInd w:w="0" w:type="dxa"/>
        <w:tblLayout w:type="fixed"/>
        <w:tblCellMar>
          <w:top w:w="28" w:type="dxa"/>
          <w:left w:w="28" w:type="dxa"/>
          <w:bottom w:w="28" w:type="dxa"/>
          <w:right w:w="28" w:type="dxa"/>
        </w:tblCellMar>
      </w:tblPr>
      <w:tblGrid>
        <w:gridCol w:w="803"/>
        <w:gridCol w:w="237"/>
        <w:gridCol w:w="240"/>
        <w:gridCol w:w="198"/>
        <w:gridCol w:w="746"/>
        <w:gridCol w:w="110"/>
        <w:gridCol w:w="197"/>
        <w:gridCol w:w="652"/>
        <w:gridCol w:w="110"/>
        <w:gridCol w:w="214"/>
        <w:gridCol w:w="705"/>
        <w:gridCol w:w="119"/>
        <w:gridCol w:w="217"/>
        <w:gridCol w:w="451"/>
        <w:gridCol w:w="121"/>
        <w:gridCol w:w="198"/>
        <w:gridCol w:w="746"/>
        <w:gridCol w:w="110"/>
        <w:gridCol w:w="239"/>
        <w:gridCol w:w="698"/>
        <w:gridCol w:w="134"/>
        <w:gridCol w:w="204"/>
        <w:gridCol w:w="581"/>
        <w:gridCol w:w="113"/>
        <w:gridCol w:w="208"/>
        <w:gridCol w:w="591"/>
        <w:gridCol w:w="115"/>
        <w:gridCol w:w="204"/>
        <w:gridCol w:w="769"/>
        <w:gridCol w:w="175"/>
      </w:tblGrid>
      <w:tr>
        <w:trPr/>
        <w:tc>
          <w:tcPr>
            <w:tcW w:w="8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March 31, 2023</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Building base 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Land base rent</w:t>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rent and other rental revenue</w:t>
            </w:r>
          </w:p>
        </w:tc>
        <w:tc>
          <w:tcPr>
            <w:tcW w:w="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 on real estate loans</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income</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Straight-line rent adjustments</w:t>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Ground rent in revenue</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Accretion on financing leases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income from real estate</w:t>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PENN Master Lease</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67,814 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2023 Master Lease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Pinnacle Master Lease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 Morgantown Lease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Master Lease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Horseshoe St. Louis Lease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Master Lease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Boyd Belterra Lease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Bally's Master Lease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 Live! Lease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 Live! Master Lease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Queen Master Lease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Las Vegas Lease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28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273,147 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332,340 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355,214 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earnings on Investment in leases, financing receivables, based on the effective yield method using the discount rate implicit in the leases. The amounts in the table above labeled accretion on financing leases represent earnings recognized in excess of cash received during the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three months ended March 31, 2024 and 2023 were as follows (in thousands):</w:t>
      </w:r>
    </w:p>
    <w:p>
      <w:pPr>
        <w:pStyle w:val="TextBody"/>
        <w:bidi w:val="0"/>
        <w:spacing w:before="0" w:after="0"/>
        <w:ind w:left="0" w:right="0" w:firstLine="720"/>
        <w:jc w:val="left"/>
        <w:rPr/>
      </w:pPr>
      <w:r>
        <w:rPr/>
      </w:r>
    </w:p>
    <w:tbl>
      <w:tblPr>
        <w:tblW w:w="8741" w:type="dxa"/>
        <w:jc w:val="left"/>
        <w:tblInd w:w="0" w:type="dxa"/>
        <w:tblLayout w:type="fixed"/>
        <w:tblCellMar>
          <w:top w:w="28" w:type="dxa"/>
          <w:left w:w="28" w:type="dxa"/>
          <w:bottom w:w="28" w:type="dxa"/>
          <w:right w:w="28" w:type="dxa"/>
        </w:tblCellMar>
      </w:tblPr>
      <w:tblGrid>
        <w:gridCol w:w="1152"/>
        <w:gridCol w:w="1010"/>
        <w:gridCol w:w="1018"/>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343"/>
        <w:gridCol w:w="347"/>
        <w:gridCol w:w="508"/>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rights and ground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Land rights and ground lease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Land rights and ground lease expense includes the amortization of land rights and rent expense related to the Company's long-term ground leases. Land rights and ground lease expense decreased by $0.2 million for the three months ended March 31, 2024, as compared to the corresponding period in the prior year.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include items such as compensation costs (including stock based compensation), professional services and costs associated with development activities. General and administrative expenses increased by $1.4 million for the three months ended March 31, 2024 as compared to the corresponding period in the prior year. The reason for the increase for the three months ended March 31, 2024 was primarily due to higher transaction related costs, higher payroll and benefit costs and higher stock based compensation expense.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Depreciation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decreased by $0.2 million for the three months ended March 31, 2024 as compared to the corresponding period in the prior year.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Provision for credit losses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provision for credit losses of $23.3 million for the three months ended March 31, 2024 compared to a benefit of $5.7 million for the corresponding period in the prior year. As described in Note 3, the Company follows ASC 326 “Credit Losses”, which requires that the Company measure and record current expected credit losses, the scope of which includes our Investments in leases, - financing receivables, net as well as the Company's real estate loans and related loan commitment.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reason for the increased provision during the three months ended March 31, 2024 was due to a decline in the estimated real estate values underlying the Company's Investment in leases, financing receivables and, to a lesser extent, the Company's real estate loans and related loan commitment. These values are estimated based on long term projections of the Commercial Real Estate Price Index which, as of March 31, 2024, have declined relative to December 31, 2023. Commercial real estate prices are anticipated to remain at low levels for several quarters based on the third party economic forecast the Company utilizes to calculate its reserve for credit losses.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recorded a benefit for credit losses, net of $5.7 million. The majority of this benefit was the result of the underlying casino operations in the Pennsylvania Live! Master Lease outperforming the budgeted expectations that were utilized in the reserve calculation at December 31,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Future changes in economic probability factors, changes in the estimated value of our real estate property and earnings assumptions at the underlying facilities may result in non-cash provisions or recoveries in future periods that could materially impact our results of operations.</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income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 for the three months ended March 31, 2024 and 2023 were as follows (in thousands):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8375" w:type="dxa"/>
        <w:jc w:val="left"/>
        <w:tblInd w:w="0" w:type="dxa"/>
        <w:tblLayout w:type="fixed"/>
        <w:tblCellMar>
          <w:top w:w="28" w:type="dxa"/>
          <w:left w:w="28" w:type="dxa"/>
          <w:bottom w:w="28" w:type="dxa"/>
          <w:right w:w="28" w:type="dxa"/>
        </w:tblCellMar>
      </w:tblPr>
      <w:tblGrid>
        <w:gridCol w:w="956"/>
        <w:gridCol w:w="838"/>
        <w:gridCol w:w="845"/>
        <w:gridCol w:w="109"/>
        <w:gridCol w:w="109"/>
        <w:gridCol w:w="109"/>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08"/>
        <w:gridCol w:w="308"/>
        <w:gridCol w:w="569"/>
      </w:tblGrid>
      <w:tr>
        <w:trPr/>
        <w:tc>
          <w:tcPr>
            <w:tcW w:w="95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$5.3 million for the three months ended March 31, 2024, as compared to the corresponding period in the prior year. The increase was due to increased borrowings that partially funded our recent acquisitions.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Interest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$5.0 million for the three months ended March 31, 2024 as compared to the corresponding period in the prior year due to higher average cash deposits year over year.</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Losses on debt extinguishmen</w:t>
      </w:r>
      <w:r>
        <w:rPr>
          <w:rFonts w:ascii="Times New Roman;sans-serif" w:hAnsi="Times New Roman;sans-serif"/>
          <w:b w:val="false"/>
          <w:color w:val="000000"/>
          <w:sz w:val="20"/>
        </w:rPr>
        <w:t>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redeemed its $500 million, 5.375% Senior Notes that were scheduled to mature in November 2023 during the three months ended March 31, 2023. In connection with this transaction, the Company wrote-off deferred issuance costs of $0.6 million.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Net income attributable to noncontrolling interest in the Operating Partnership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 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and capital resources are cash flow from operations, borrowings from banks, and proceeds from the issuance of debt and equity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$257.9 million and $241.2 million during the three months ended March 31, 2024 and 2023, respectively. The increase in net cash provided by operating activities of $16.7 million for the three months ended March 31, 2024, as compared to the corresponding period in the prior year, was primarily comprised of an increase in cash receipts from customers of $11.4 million along with decreases in cash paid for operating expenses and cash paid for interest of $0.8 million and $3.0 million, respectively, and an increase in interest income of $2.7 million. This was partially offset by increases in cash paid for employees of $1.2 million. The increase in cash receipts collected from our customers for the three months ended March 31, 2024, as compared to the corresponding period in the prior year, was due to increased rental income from the Company's recent acquisitions and lease escalations. The increase in interest income was due to higher average cash deposits in the current year.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used cash of $448.4 million and $422.1 million during the three months ended March 31, 2024 and 2023, respectively.  Net cash used in investing activities during the three months ended March 31, 2024 primarily consisted of $93.3 million for the acquisition of the real estate assets contained within the Tioga Downs Lease which was accounted for as an Investment in leases, financing receivables, Rockford Loan fundings of $14.0 million, the purchase of zero coupon U.S. Treasury Bills totaling $341.0 million, and capital expenditures of $0.1 million. The net cash used in investing activities for the three months ended March 31, 2023 consisted primarily of $412.3 million for the acquisition of the real estate assets which were added to the Bally's Master Lease, and capital expenditures of $9.8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Financing activities used cash of $281.9 million and $51.4 million during the three months ended March 31, 2024 and 2023, respectively. Net cash used in financing activities during the three months ended March 31, 2024 was driven by the repayment of long term debt of $63.5 million, dividend payments of $206.6 million, non-controlling interest distributions of $6.1 million, and taxes paid related to shares withheld for tax purposes on restricted stock award vestings of $14.7 million which were partially offset by proceeds from the issuance of common stock, net of costs, totaling $9.0 million. Cash used in financing activities during the three months ended March 31, 2023 was driven by the repayment of long term debt of $500.0 million, dividend payments of $254.8 million, noncontrolling interest distributions of $7.4 million and taxes paid related to shares withheld for tax purposes on restricted stock award vestings of $13.4 million, partially offset by proceeds from the issuance of long term debt, net of costs of $660.0 million and proceeds from the issuance of common stock, net of costs of $64.3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we spent approximately $0.1 million and $9.8 million, respectively, for capital expenditures. The majority of the capital expenditures in 2023 were related to a land side development project at Hollywood Casino Baton Rouge that was completed in August 2023.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Term Loan Credit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GLP Capital entered into a term loan credit agreement (the “Term Loan Credit Agreement”) with Wells Fargo Bank, National Association, as administrative agent (“Term Loan Agent”), and the other agents and lenders party thereto from time to time, providing for a $600 million delayed draw credit facility with a maturity date of September 2, 2027 (the “Term Loan Credit Facility”). The Term Loan Credit Facility is guaranteed by GLPI.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of loans under the Term Loan Credit Facility is subject to customary conditions, including pro forma compliance with financial covenants, and the receipt by Term Loan Agent of a conditional guarantee of the Term Loan Credit Facility by Bally’s on a secondary basis, subject to enforcement of all remedies against GLP Capital, GLPI and all sources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than Bally’s. The loans under the Term Loan Credit Facility may be used solely to finance a portion of the purchase price of the acquisition of one or more specified properties of Bally’s in one or a series of related transactions (the “Acquisition”) and to pay fees, costs and expenses incurred in connection therewith. The Company drew down the entire $600 million Term Loan Credit Facility on January 3, 2023 in connection with the closing of Bally's Biloxi and Bally's Tiverton.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customary conditions, including pro forma compliance with financial covenants, GLP Capital can obtain additional term loan commitments and incur incremental term loans under the Term Loan Credit Agreement, so long as the aggregate principal amount of all term loans outstanding under the Term Loan Credit Facility does not exceed $1.2 billion plus up to $60 million of transaction fees and costs incurred in connection with the Acquisition. There is currently no commitment in respect of such incremental loans and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and Fees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rates per annum applicable to loans under the Term Loan Credit Facility are, at GLP Capital's option, equal to either a Secured Overnight Financing Rate ("SOFR") based rate or a base rate plus an applicable margin, which ranges from 0.85% to 1.7% per annum for SOFR loans and 0.0% to 0.7% per annum for base rate loans, in each case, depending on the credit ratings assigned to the Term Loan Credit Facility. The current applicable margin is 1.30% for SOFR loans and 0.30% for base rate loans. In addition, GLP Capital will pay a commitment fee on the unused commitments under the Term Loan Credit Facility at a rate that ranges from 0.125% to 0.3% per annum, depending on the credit ratings assigned to the Credit Facility from time to time. The current commitment fee rate is 0.25%. The weighted average interest rate under the Term Loan Credit Facility at March 31, 2024 was 6.72%.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Credit Facility is not subject to interim amortization. GLP Capital is required to prepay outstanding term loans with 100% of the net cash proceeds from the issuance of other debt that is unconditionally guaranteed by GLPI and conditionally guaranteed by Bally’s (“Alternative Acquisition Debt”) that is received by GLPI, GLP Capital or any of their subsidiaries after the funding date of the Term Loan Facility (other than any incremental term loans under the Term Loan Credit Agreement and loans under the Bridge Revolving Facility (as defined below)) except to the extent such net cash proceeds are applied to repaying outstanding loans under the Bridge Revolving Facility. GLP Capital is not otherwise required to repay any loans under the Term Loan Credit Facility prior to maturity. GLP Capital may prepay all or any portion of the loans under the Term Loan Credit Facility prior to maturity without premium or penalty, subject to reimbursement of any SOFR breakage costs of the lenders, and may reborrow loans that it has repaid.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Covenants and Events of Default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Loan Credit Facility contains customary covenants that, among other things, restrict, subject to certain exceptions, the ability of GLPI and its subsidiaries, including GLP Capital, to grant liens on their assets, incur indebtedness, sell assets, engage in acquisitions, mergers or consolidations, or pay certain dividends and make other restricted payments. The financial covenants include the following, which are measured quarterly on a trailing four-quarter basis: (i) maximum total debt to total asset value ratio, (ii) maximum senior secured debt to total asset value ratio, (iii) maximum ratio of certain recourse debt to unencumbered asset value, and (iv) minimum fixed charge coverage ratio. GLPI is required to maintain its status as a REIT and is permitted to pay dividends to its shareholders as may be required in order to maintain REIT status. GLPI is also permitted to make other dividends and distributions, subject to pro forma compliance with the financial covenants and the absence of defaults. The Term Loan Credit Facility also contains certain customary affirmative covenants and events of default. The occurrence and continuance of an event of default, which includes, among others, nonpayment of principal or interest, material inaccuracy of representations and failure to comply with covenants, will enable the lenders to accelerate the loans and terminate the commitments thereunder. At March 31, 2024, the Company was in compliance with all required financial covenants under the Term Loan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Credit Agreement and Amended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13, 2022, GLP Capital entered into a credit agreement (the "Credit Agreement") providing for a $1.75 billion revolving credit facility (the "Initial Revolving Credit Facility") maturing in May 2026, plus two six-month extensions at GLP Capital's option. The majority of our debt is at fixed rates and our exposure to variable interest rates is currently limited to outstanding obligations, if any, under the Initial Revolving Credit Facility and our Term Loan Credit Agreement. GLP Capital is the primary obligor under the Credit Agreement, which was guaranteed by GLPI.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 2022, GLP Capital entered into an amendment No.1 (the "Amendment") to the Credit Agreement (as amended, the "Amended Credit Agreement") among GLP Capital, Wells Fargo Bank, National Association, as administrative agent (“Agent”), and the several banks and other financial institutions or entities party thereto (as amended by such amendment, the "Amended Credit Agreement"). Pursuant to the Amended Credit Agreement, GLP Capital has the right, at any time until December 31, 2024, to elect to re-allocate up to $700 million in existing revolving commitments under the Amended Credit Agreement to a new revolving credit facility (the “Bridge Revolving Facility” and, collectively with the Initial Revolving Credit Facility, the "Revolver").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Loans under the Bridge Revolving Facility are subject to 1% amortization per annum. Amounts repaid under the Bridge Revolving Facility cannot be reborrowed and the corresponding commitments are automatically re-allocated to the existing revolving facility under the Amended Credit Agreement. GLP Capital is required to prepay the loans under the Bridge Revolving Facility with 100% of the net cash proceeds from the issuance of Alternative Acquisition Debt that is received by GLPI, GLP Capital or any of their subsidiaries (other than any term loans under the Term Loan Credit Agreement and any loans under the Bridge Revolving Facility). Any outstanding commitments under the Bridge Revolving Facility that have not been borrowed by December 31, 2024 are automatically re-allocated to the existing revolving facility under the Amended 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 Capital's ability to borrow under the Bridge Revolving Facility is subject to certain conditions including pro forma compliance with GLP Capital's financial covenants, as well as the receipt by Agent of a conditional guarantee of the loans under the Bridge Revolving Facility by Bally’s on a secondary basis, subject to enforcement of all remedies against GLP Capital, GLPI and all sources other than Bally’s. Loans under the Bridge Revolving Facility will not be treated pro rata with loans under the existing revolving credit facility.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no amounts were outstanding under the Amended Credit Agreement. Additionally, at March 31, 2024, the Company was contingently obligated under letters of credit issued pursuant to the Amended Credit Agreement with face amounts aggregating approximately $0.4 million, resulting in $1,749.6 million of available borrowing capacity under the Amended Credit Agreement as of March 31,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payable on the loans borrowed under the Revolver are, at GLP Capital's option, equal to either a SOFR based rate or a base rate plus an applicable margin, which ranges from 0.725% to 1.40% per annum for SOFR loans and 0.0% to 0.4% per annum for base rate loans, in each case, depending on the credit ratings assigned to the Amended Credit Agreement. The current applicable margin is 1.05% for SOFR loans and 0.05% for base rate loans. Notwithstanding the foregoing, in no event shall the base rate be less than 1.00%. In addition, GLP Capital will pay a facility fee on the commitments under the revolving facility, regardless of usage, at a rate that ranges from 0.125% to 0.3% per annum, depending on the credit rating assigned to the Amended Credit Agreement from time to time. The current facility fee rate is 0.25%. The Amended Credit Agreement is not subject to interim amortization except with respect to the Bridge Revolving Facility. GLP Capital is not required to repay any loans under the Amended Credit Agreement prior to maturity except as set forth above with respect to the Bridge Revolving Facility. GLP Capital may prepay all or any portion of the loans under the Amended Credit Agreement prior to maturity without premium or penalty, subject to reimbursement of any SOFR breakage costs of the lenders and may reborrow loans that it has repaid.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make other restricted payments. The Amended Credit Agreement includes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Amended Credit Agreement also contains certain customary affirmative covenants and events of default, including the occurrence of a change of control and termination of the Amended PENN Master Lease (subject to certain replacement rights). The occurrence and continuance of an event of default under the Amended Credit Agreement will enable the lenders under the Amended Credit Agreement to accelerate the loans and terminate the commitments thereunder. At March 31, 2024, the Company was in compliance with all required financial covenants under the Amended Credit Agreement.</w:t>
      </w:r>
    </w:p>
    <w:p>
      <w:pPr>
        <w:pStyle w:val="TextBody"/>
        <w:bidi w:val="0"/>
        <w:spacing w:before="0" w:after="0"/>
        <w:ind w:left="0" w:right="0" w:firstLine="72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$6,075.0 million of outstanding senior unsecured notes (the "Senior Notes"). Each of the Company's Senior Notes contain covenants limiting the Company’s ability to: incur additional debt and use its assets to secure debt; merge or consolidate with another company; and make certain amendments to the Amended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Senior Notes of any series at any time, and from time to time, at a redemption price of 100% of the principal amount of the Senior Notes redeemed, plus a "make-whole" redemption premium described in the indenture governing the Senior Notes, together with accrued and unpaid interest to, but not including, the redemption date, except that if Senior Notes of a series are redeemed 90 or fewer days prior to their maturity, the redemption price will be 100% of the principal amount of the Senior Notes redeemed, together with accrued and unpaid interest to, but not including, the redemption date. If GLPI experiences a change of control accompanied by a decline in the credit rating of the Senior Notes of a particular series, the Company will be required to give holders of the Senior Notes of such series the opportunity to sell their Senior Notes of such series at a price equal to 101% of the principal amount of the Senior Notes of such series, together with accrued and unpaid interest to, but not including, the repurchase date. The Senior Notes also are subject to mandatory redemption requirements imposed by gaming laws and regulations. </w:t>
      </w:r>
    </w:p>
    <w:p>
      <w:pPr>
        <w:pStyle w:val="TextBody"/>
        <w:bidi w:val="0"/>
        <w:spacing w:lineRule="auto" w:line="288" w:before="160" w:after="160"/>
        <w:ind w:left="0" w:right="0" w:firstLine="720"/>
        <w:jc w:val="both"/>
        <w:rPr/>
      </w:pPr>
      <w:r>
        <w:rPr>
          <w:rFonts w:ascii="Times New Roman;sans-serif" w:hAnsi="Times New Roman;sans-serif"/>
          <w:b w:val="false"/>
          <w:color w:val="000000"/>
          <w:sz w:val="20"/>
        </w:rPr>
        <w:t xml:space="preserve">The Senior Notes were issued by GLP Capital, L.P. and GLP Financing II, Inc. (the "Issuers"), two consolidated subsidiaries of GLPI, and are guaranteed on a senior unsecured basis by GLPI. The guarantees of GLPI are full and unconditional. The Senior Notes are the Issuers' senior unsecured obligations and rank </w:t>
      </w:r>
      <w:r>
        <w:rPr>
          <w:rFonts w:ascii="Times New Roman;sans-serif" w:hAnsi="Times New Roman;sans-serif"/>
          <w:b w:val="false"/>
          <w:i/>
          <w:color w:val="000000"/>
          <w:sz w:val="20"/>
        </w:rPr>
        <w:t xml:space="preserve">pari passu </w:t>
      </w:r>
      <w:r>
        <w:rPr>
          <w:rFonts w:ascii="Times New Roman;sans-serif" w:hAnsi="Times New Roman;sans-serif"/>
          <w:b w:val="false"/>
          <w:color w:val="000000"/>
          <w:sz w:val="20"/>
        </w:rPr>
        <w:t>in right of payment with all of the Issuers' senior indebtedness, including the Amended Credit Agreement, and senior in right of payment to all of the Issuers' subordinated indebtedness, without giving effect to collateral arrangements.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Notes contain covenants limiting the Company’s ability to: incur additional debt and use its assets to secure debt; merge or consolidate with another company; and make certain amendments to the PENN Master Lease. The Senior Notes also require the Company to maintain a specified ratio of unencumbered assets to unsecured debt. These covenants are subject to a number of important and significant limitations, qualifications and exceptions.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GLPI owns all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 </w:t>
      </w:r>
    </w:p>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was in compliance with all required financial covenants under its Senior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Outlook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level of operations and anticipated earnings, we believe that cash generated from operations and cash on hand, together with amounts available under our Revolver and potential sales of common shares, will be adequate to meet our anticipated debt service requirements, capital expenditures, working capital needs and dividend requirements.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late December 2022, the Company refreshed its ATM capacity to $1 billion (the "2022 ATM Program"). As of March 31, 2024, the Company had</w:t>
      </w:r>
      <w:r>
        <w:rPr>
          <w:color w:val="000000"/>
          <w:shd w:fill="FFFFFF" w:val="clear"/>
        </w:rPr>
        <w:t xml:space="preserve"> </w:t>
      </w:r>
      <w:r>
        <w:rPr>
          <w:rFonts w:ascii="Times New Roman;sans-serif" w:hAnsi="Times New Roman;sans-serif"/>
          <w:b w:val="false"/>
          <w:color w:val="000000"/>
          <w:sz w:val="20"/>
          <w:shd w:fill="FFFFFF" w:val="clear"/>
        </w:rPr>
        <w:t xml:space="preserve">$584.6 </w:t>
      </w:r>
      <w:r>
        <w:rPr>
          <w:rFonts w:ascii="Times New Roman;sans-serif" w:hAnsi="Times New Roman;sans-serif"/>
          <w:b w:val="false"/>
          <w:color w:val="000000"/>
          <w:sz w:val="20"/>
        </w:rPr>
        <w:t xml:space="preserve">million remaining for issuance under the 2022 ATM Program.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majority of our future growth to come from acquisitions of gaming and other properties to lease to third parties. If we consummate significant acquisitions in the future, our cash requirements may increase significantly and we would likely need to raise additional proceeds through a combination of either common equity (including under our 2022 ATM Program), issuance of additional OP Units, and/or debt offerings. In addition, the Company intends to redeem its 3.350% Notes which are due in September 2024.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2023, for a discussion of the risk related to our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GLPI’s primary market risk exposure is interest rate risk with respect to its indebtedness of $6,675.4 million at March 31, 2024. Furthermore, $6,075.0 million of our obligations at March 31, 2024 are the senior unsecured notes that have fixed interest rates with maturity dates ranging from approximately six months to nine and three quarters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at March 31, 2024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March 31, 2024.</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1968" w:type="dxa"/>
        <w:jc w:val="left"/>
        <w:tblInd w:w="0" w:type="dxa"/>
        <w:tblLayout w:type="fixed"/>
        <w:tblCellMar>
          <w:top w:w="28" w:type="dxa"/>
          <w:left w:w="28" w:type="dxa"/>
          <w:bottom w:w="28" w:type="dxa"/>
          <w:right w:w="28" w:type="dxa"/>
        </w:tblCellMar>
      </w:tblPr>
      <w:tblGrid>
        <w:gridCol w:w="326"/>
        <w:gridCol w:w="287"/>
        <w:gridCol w:w="28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04/01/24- 12/31/24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1/01/25- 12/31/25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1/01/26- 12/31/26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1/01/27- 12/31/27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1/01/28- 12/31/28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3/31/2024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6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Long-term debt:</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rate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5,800,865 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interest rate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Average interest rate </w:t>
            </w:r>
            <w:r>
              <w:rPr>
                <w:rFonts w:ascii="Times New Roman;sans-serif" w:hAnsi="Times New Roman;sans-serif"/>
                <w:b w:val="false"/>
                <w:color w:val="000000"/>
                <w:sz w:val="10"/>
              </w:rPr>
              <w:t>(1)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(1) </w:t>
      </w:r>
      <w:r>
        <w:rPr>
          <w:color w:val="000000"/>
        </w:rPr>
        <w:t xml:space="preserve">          </w:t>
      </w:r>
      <w:r>
        <w:rPr>
          <w:rFonts w:ascii="Times New Roman;sans-serif" w:hAnsi="Times New Roman;sans-serif"/>
          <w:b w:val="false"/>
          <w:color w:val="000000"/>
          <w:sz w:val="18"/>
        </w:rPr>
        <w:t xml:space="preserve">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2024,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2024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 response to this Item is incorporated by reference to the information set forth in "Note 9: Commitments and Contingencies" in the Notes to the condensed consolidated financial statements in Part I of this Quarterly Report on Form 10-Q.</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in our risk factors from those previously disclosed in our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repurchase any shares of common stock or sell any unregistered securities during the three months ended March 31, 2024.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Insider Trading Arrangements and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15, 2024, Steven Ladany, the Company's Chief Development Officer, entered into a pre-arranged written stock sale plan in accordance with Rule 10b5-1 (the “Ladany Rule 10b5-1 Plan”) under the Exchange Act for the sale of shares of the Company’s common stock. The Ladany Rule 10b5-1 Plan was entered into during an open trading window in accordance with the Company’s policies regarding transactions in the Company’s securities and is intended to satisfy the affirmative defense of Rule 10b5-1(c) under the Exchange Act. The Ladany Rule 10b5-1 Plan provides for the potential sale of shares of the Company’s common stock, including upon the vesting and settlement of restricted stock awards, between January 2, 2025 and February 4, 2025. The aggregate number of shares of common stock that will be available for sale under the Ladany Rule 10b5-1 Plan is not yet determinable because certain awards are subject to Company performance award metrics and will be net of shares sold to satisfy tax withholding obligations that arise in connection with the vesting and settlement of such restricted stock awards. As such, for purposes of this disclosure, the aggregate number of shares of common stock available for sale prior to tax withholding on vested shares is 75,000.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Ladany Rule 10b5-1 Plan includes a representation from Mr. Ladany to the broker administering the plan that he was not in possession of any material nonpublic information regarding the Company or the securities subject to the Ladany Rule 10b5-1 Plan at the time it was entered into. A similar representation was made to the Company in connection with the adoption of the Ladany Rule 10b5-1 Plan under the Company’s policies regarding transactions in the Company’s securities. Those representations were made as of the date of adoption of the Ladany Rule 10b5-1 Plan, and speak only as of such date. In making those representations, there is no assurance with respect to any material nonpublic information of which Mr. Ladany was unaware, or with respect to any material nonpublic information acquired by Mr. Ladany or the Company after the date of the representation.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37"/>
        <w:gridCol w:w="207"/>
        <w:gridCol w:w="209"/>
        <w:gridCol w:w="109"/>
        <w:gridCol w:w="109"/>
        <w:gridCol w:w="109"/>
        <w:gridCol w:w="2701"/>
        <w:gridCol w:w="2701"/>
        <w:gridCol w:w="3823"/>
      </w:tblGrid>
      <w:tr>
        <w:trPr/>
        <w:tc>
          <w:tcPr>
            <w:tcW w:w="2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glpi-2024331ex221.htm">
              <w:r>
                <w:rPr>
                  <w:rStyle w:val="InternetLink"/>
                  <w:rFonts w:ascii="Times New Roman;sans-serif" w:hAnsi="Times New Roman;sans-serif"/>
                  <w:b w:val="false"/>
                  <w:color w:val="0000FF"/>
                  <w:sz w:val="20"/>
                  <w:u w:val="single"/>
                </w:rPr>
                <w:t>List of Subsidiary Issuers of Guaranteed Securities</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331exhibit311.htm">
              <w:r>
                <w:rPr>
                  <w:rStyle w:val="InternetLink"/>
                  <w:rFonts w:ascii="Times New Roman;sans-serif" w:hAnsi="Times New Roman;sans-serif"/>
                  <w:b w:val="false"/>
                  <w:color w:val="0000FF"/>
                  <w:sz w:val="20"/>
                  <w:u w:val="single"/>
                </w:rPr>
                <w:t xml:space="preserve">Principal Executive Officer Certification pursuant to Rule 13a-14(a) or 15d-14(a) of the Securities Exchange Act of 1934. </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331exhibit312.htm">
              <w:r>
                <w:rPr>
                  <w:rStyle w:val="InternetLink"/>
                  <w:rFonts w:ascii="Times New Roman;sans-serif" w:hAnsi="Times New Roman;sans-serif"/>
                  <w:b w:val="false"/>
                  <w:color w:val="0000FF"/>
                  <w:sz w:val="20"/>
                  <w:u w:val="single"/>
                </w:rPr>
                <w:t>Principal Financial Officer Certification pursuant to Rule 13a-14(a) or 15d-14(a) of the Securities Exchange Act of 1934.</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331exhibit321.htm">
              <w:r>
                <w:rPr>
                  <w:rStyle w:val="InternetLink"/>
                  <w:rFonts w:ascii="Times New Roman;sans-serif" w:hAnsi="Times New Roman;sans-serif"/>
                  <w:b w:val="false"/>
                  <w:color w:val="0000FF"/>
                  <w:sz w:val="20"/>
                  <w:u w:val="single"/>
                </w:rPr>
                <w:t>Principal Executive Officer Certification pursuant to 18 U.S.C. Section 1350, as adopted pursuant to Section 906 of the Sarbanes-Oxley Act of 2002.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lpi-2024331exhibit322.htm">
              <w:r>
                <w:rPr>
                  <w:rStyle w:val="InternetLink"/>
                  <w:rFonts w:ascii="Times New Roman;sans-serif" w:hAnsi="Times New Roman;sans-serif"/>
                  <w:b w:val="false"/>
                  <w:color w:val="0000FF"/>
                  <w:sz w:val="20"/>
                  <w:u w:val="single"/>
                </w:rPr>
                <w:t>Principal Financial Officer Certification pursuant to 18 U.S.C. Section 1350, as adopted pursuant to Section 906 of the Sarbanes-Oxley Act of 2022.</w:t>
              </w:r>
            </w:hyperlink>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Gaming and Leisure Properties, Inc.'s Quarterly Report on Form 10-Q for the quarter ended March 31, 2024,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5" w:type="dxa"/>
            <w:gridSpan w:val="3"/>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2024, formatted in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18"/>
        </w:rPr>
        <w:t>*    </w:t>
      </w:r>
      <w:r>
        <w:rPr>
          <w:rFonts w:ascii="Times New Roman;sans-serif" w:hAnsi="Times New Roman;sans-serif"/>
          <w:b w:val="false"/>
          <w:color w:val="000000"/>
          <w:sz w:val="20"/>
        </w:rPr>
        <w:t>Filed herewith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377" w:type="dxa"/>
        <w:jc w:val="left"/>
        <w:tblInd w:w="0" w:type="dxa"/>
        <w:tblLayout w:type="fixed"/>
        <w:tblCellMar>
          <w:top w:w="28" w:type="dxa"/>
          <w:left w:w="28" w:type="dxa"/>
          <w:bottom w:w="28" w:type="dxa"/>
          <w:right w:w="28" w:type="dxa"/>
        </w:tblCellMar>
      </w:tblPr>
      <w:tblGrid>
        <w:gridCol w:w="473"/>
        <w:gridCol w:w="415"/>
        <w:gridCol w:w="417"/>
        <w:gridCol w:w="601"/>
        <w:gridCol w:w="601"/>
        <w:gridCol w:w="601"/>
        <w:gridCol w:w="952"/>
        <w:gridCol w:w="952"/>
        <w:gridCol w:w="1365"/>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AND LEISURE PROPERTIES, INC.</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300" w:before="0" w:after="160"/>
        <w:jc w:val="right"/>
        <w:rPr>
          <w:rFonts w:ascii="Times New Roman;sans-serif" w:hAnsi="Times New Roman;sans-serif"/>
          <w:b/>
          <w:color w:val="000000"/>
          <w:sz w:val="24"/>
        </w:rPr>
      </w:pPr>
      <w:r>
        <w:rPr>
          <w:rFonts w:ascii="Times New Roman;sans-serif" w:hAnsi="Times New Roman;sans-serif"/>
          <w:b/>
          <w:color w:val="000000"/>
          <w:sz w:val="24"/>
        </w:rPr>
        <w:t>Exhibit 22.1</w:t>
      </w:r>
    </w:p>
    <w:p>
      <w:pPr>
        <w:pStyle w:val="TextBody"/>
        <w:bidi w:val="0"/>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List of Subsidiary Issuers of Guaranteed Securities</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subsidiaries of Gaming and Leisure Properties, Inc. (the “Company”) were, as of March 31, 2024, issuers of the (i) $400 million 3.35% senior unsecured notes due September 2024, (ii) $850 million 5.25% senior unsecured notes due June 2025, (iii) $975 million 5.375% senior unsecured notes due April 2026, (iv) $500 million 5.75% senior unsecured notes due June 2028, (v) $750 million 5.30% senior unsecured notes due January 2029, (vi) $700 million 4.00% senior unsecured notes due January 2030, (vii) $700 million 4.000% senior unsecured notes due January 2031, (viii) $800 million 3.25% senior unsecured notes due January 2032, and (ix) $400 million 6.75% senior unsecured notes due December 2033 each guaranteed by the Company:</w:t>
      </w:r>
    </w:p>
    <w:tbl>
      <w:tblPr>
        <w:tblW w:w="6793" w:type="dxa"/>
        <w:jc w:val="left"/>
        <w:tblInd w:w="0" w:type="dxa"/>
        <w:tblLayout w:type="fixed"/>
        <w:tblCellMar>
          <w:top w:w="28" w:type="dxa"/>
          <w:left w:w="28" w:type="dxa"/>
          <w:bottom w:w="28" w:type="dxa"/>
          <w:right w:w="28" w:type="dxa"/>
        </w:tblCellMar>
      </w:tblPr>
      <w:tblGrid>
        <w:gridCol w:w="826"/>
        <w:gridCol w:w="724"/>
        <w:gridCol w:w="729"/>
        <w:gridCol w:w="1320"/>
        <w:gridCol w:w="1320"/>
        <w:gridCol w:w="1874"/>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Entity</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Jurisdiction of Incorporation or Formation</w:t>
            </w:r>
          </w:p>
        </w:tc>
      </w:tr>
      <w:tr>
        <w:trPr/>
        <w:tc>
          <w:tcPr>
            <w:tcW w:w="22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tc>
        <w:tc>
          <w:tcPr>
            <w:tcW w:w="4514"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Pennsylvania</w:t>
            </w:r>
          </w:p>
        </w:tc>
      </w:tr>
      <w:tr>
        <w:trPr/>
        <w:tc>
          <w:tcPr>
            <w:tcW w:w="227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GLP Financing II, Inc.</w:t>
            </w:r>
          </w:p>
        </w:tc>
        <w:tc>
          <w:tcPr>
            <w:tcW w:w="4514"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Peter M. Carlino,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6299"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03"/>
        <w:gridCol w:w="1303"/>
        <w:gridCol w:w="184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M. Carlino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Desiree A. Burke,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Gaming and Leisure Properties,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(d) </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7528"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663"/>
        <w:gridCol w:w="1663"/>
        <w:gridCol w:w="23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Desiree A. Burke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Treasurer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Gaming and Leisure Properties, Inc. (the “Company”) on Form 10-Q for the quarter ended March 31, 2024,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49" w:type="dxa"/>
        <w:jc w:val="left"/>
        <w:tblInd w:w="0" w:type="dxa"/>
        <w:tblLayout w:type="fixed"/>
        <w:tblCellMar>
          <w:top w:w="28" w:type="dxa"/>
          <w:left w:w="28" w:type="dxa"/>
          <w:bottom w:w="28" w:type="dxa"/>
          <w:right w:w="28" w:type="dxa"/>
        </w:tblCellMar>
      </w:tblPr>
      <w:tblGrid>
        <w:gridCol w:w="200"/>
        <w:gridCol w:w="177"/>
        <w:gridCol w:w="178"/>
        <w:gridCol w:w="1372"/>
        <w:gridCol w:w="1372"/>
        <w:gridCol w:w="19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 Carlino</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Gaming and Leisure Properties, Inc. (the “Company”) on Form 10-Q for the quarter ended March 31, 2024,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80" w:type="dxa"/>
        <w:jc w:val="left"/>
        <w:tblInd w:w="0" w:type="dxa"/>
        <w:tblLayout w:type="fixed"/>
        <w:tblCellMar>
          <w:top w:w="28" w:type="dxa"/>
          <w:left w:w="28" w:type="dxa"/>
          <w:bottom w:w="28" w:type="dxa"/>
          <w:right w:w="28" w:type="dxa"/>
        </w:tblCellMar>
      </w:tblPr>
      <w:tblGrid>
        <w:gridCol w:w="200"/>
        <w:gridCol w:w="177"/>
        <w:gridCol w:w="178"/>
        <w:gridCol w:w="1382"/>
        <w:gridCol w:w="1382"/>
        <w:gridCol w:w="19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Desiree A. Burke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and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34491</Words>
  <Characters>185772</Characters>
  <CharactersWithSpaces>220437</CharactersWithSpaces>
  <Paragraphs>2672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