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60"/>
        <w:spacing w:after="0"/>
        <w:rPr>
          <w:sz w:val="20"/>
          <w:szCs w:val="20"/>
          <w:color w:val="auto"/>
        </w:rPr>
      </w:pPr>
      <w:r>
        <w:rPr>
          <w:rFonts w:ascii="Arial" w:cs="Arial" w:eastAsia="Arial" w:hAnsi="Arial"/>
          <w:sz w:val="27"/>
          <w:szCs w:val="27"/>
          <w:b w:val="1"/>
          <w:bCs w:val="1"/>
          <w:color w:val="auto"/>
        </w:rPr>
        <w:t>FORM 10-Q</w:t>
      </w:r>
    </w:p>
    <w:p>
      <w:pPr>
        <w:spacing w:after="0" w:line="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9"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7"/>
          <w:szCs w:val="17"/>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17"/>
          <w:szCs w:val="17"/>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51" w:lineRule="exact"/>
        <w:rPr>
          <w:sz w:val="24"/>
          <w:szCs w:val="24"/>
          <w:color w:val="auto"/>
        </w:rPr>
      </w:pPr>
    </w:p>
    <w:p>
      <w:pPr>
        <w:ind w:left="396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001-36124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Gaming and Leisure Properties, Inc.</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43" w:lineRule="exact"/>
        <w:rPr>
          <w:sz w:val="24"/>
          <w:szCs w:val="24"/>
          <w:color w:val="auto"/>
        </w:rPr>
      </w:pPr>
    </w:p>
    <w:p>
      <w:pPr>
        <w:ind w:left="2360"/>
        <w:spacing w:after="0"/>
        <w:tabs>
          <w:tab w:leader="none" w:pos="7920" w:val="left"/>
        </w:tabs>
        <w:rPr>
          <w:sz w:val="20"/>
          <w:szCs w:val="20"/>
          <w:color w:val="auto"/>
        </w:rPr>
      </w:pPr>
      <w:r>
        <w:rPr>
          <w:rFonts w:ascii="Arial" w:cs="Arial" w:eastAsia="Arial" w:hAnsi="Arial"/>
          <w:sz w:val="18"/>
          <w:szCs w:val="18"/>
          <w:b w:val="1"/>
          <w:bCs w:val="1"/>
          <w:color w:val="auto"/>
        </w:rPr>
        <w:t>Pennsylvania</w:t>
      </w:r>
      <w:r>
        <w:rPr>
          <w:sz w:val="20"/>
          <w:szCs w:val="20"/>
          <w:color w:val="auto"/>
        </w:rPr>
        <w:tab/>
      </w:r>
      <w:r>
        <w:rPr>
          <w:rFonts w:ascii="Arial" w:cs="Arial" w:eastAsia="Arial" w:hAnsi="Arial"/>
          <w:sz w:val="18"/>
          <w:szCs w:val="18"/>
          <w:b w:val="1"/>
          <w:bCs w:val="1"/>
          <w:color w:val="auto"/>
        </w:rPr>
        <w:t>46-2116489</w:t>
      </w:r>
    </w:p>
    <w:p>
      <w:pPr>
        <w:spacing w:after="0" w:line="67" w:lineRule="exact"/>
        <w:rPr>
          <w:sz w:val="24"/>
          <w:szCs w:val="24"/>
          <w:color w:val="auto"/>
        </w:rPr>
      </w:pPr>
    </w:p>
    <w:p>
      <w:pPr>
        <w:ind w:left="1820"/>
        <w:spacing w:after="0"/>
        <w:tabs>
          <w:tab w:leader="none" w:pos="7740"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6"/>
          <w:szCs w:val="16"/>
          <w:color w:val="auto"/>
        </w:rPr>
        <w:t>(I.R.S. Employer</w:t>
      </w:r>
    </w:p>
    <w:p>
      <w:pPr>
        <w:spacing w:after="0" w:line="63" w:lineRule="exact"/>
        <w:rPr>
          <w:sz w:val="24"/>
          <w:szCs w:val="24"/>
          <w:color w:val="auto"/>
        </w:rPr>
      </w:pPr>
    </w:p>
    <w:p>
      <w:pPr>
        <w:ind w:left="1780"/>
        <w:spacing w:after="0"/>
        <w:tabs>
          <w:tab w:leader="none" w:pos="7680" w:val="left"/>
        </w:tabs>
        <w:rPr>
          <w:sz w:val="20"/>
          <w:szCs w:val="20"/>
          <w:color w:val="auto"/>
        </w:rPr>
      </w:pPr>
      <w:r>
        <w:rPr>
          <w:rFonts w:ascii="Arial" w:cs="Arial" w:eastAsia="Arial" w:hAnsi="Arial"/>
          <w:sz w:val="18"/>
          <w:szCs w:val="18"/>
          <w:color w:val="auto"/>
        </w:rPr>
        <w:t>incorporation or organization)</w:t>
      </w:r>
      <w:r>
        <w:rPr>
          <w:sz w:val="20"/>
          <w:szCs w:val="20"/>
          <w:color w:val="auto"/>
        </w:rPr>
        <w:tab/>
      </w:r>
      <w:r>
        <w:rPr>
          <w:rFonts w:ascii="Arial" w:cs="Arial" w:eastAsia="Arial" w:hAnsi="Arial"/>
          <w:sz w:val="17"/>
          <w:szCs w:val="17"/>
          <w:color w:val="auto"/>
        </w:rPr>
        <w:t>Identification No.)</w:t>
      </w:r>
    </w:p>
    <w:p>
      <w:pPr>
        <w:spacing w:after="0" w:line="150"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845 Berkshire Blvd., Suite 200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Wyomissing, PA 19610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610-401-2900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Not Applicable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ectPr>
          <w:pgSz w:w="11900" w:h="16838" w:orient="portrait"/>
          <w:cols w:equalWidth="0" w:num="1">
            <w:col w:w="11240"/>
          </w:cols>
          <w:pgMar w:left="320" w:top="238" w:right="339" w:bottom="1440" w:gutter="0" w:footer="0" w:header="0"/>
        </w:sectPr>
      </w:pPr>
    </w:p>
    <w:p>
      <w:pPr>
        <w:spacing w:after="0" w:line="101" w:lineRule="exact"/>
        <w:rPr>
          <w:sz w:val="24"/>
          <w:szCs w:val="24"/>
          <w:color w:val="auto"/>
        </w:rPr>
      </w:pPr>
    </w:p>
    <w:p>
      <w:pPr>
        <w:ind w:left="340"/>
        <w:spacing w:after="0"/>
        <w:rPr>
          <w:sz w:val="20"/>
          <w:szCs w:val="20"/>
          <w:color w:val="auto"/>
        </w:rPr>
      </w:pPr>
      <w:r>
        <w:rPr>
          <w:rFonts w:ascii="Arial" w:cs="Arial" w:eastAsia="Arial" w:hAnsi="Arial"/>
          <w:sz w:val="15"/>
          <w:szCs w:val="15"/>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210820</wp:posOffset>
            </wp:positionH>
            <wp:positionV relativeFrom="paragraph">
              <wp:posOffset>47625</wp:posOffset>
            </wp:positionV>
            <wp:extent cx="2263140" cy="282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3140" cy="282575"/>
                    </a:xfrm>
                    <a:prstGeom prst="rect">
                      <a:avLst/>
                    </a:prstGeom>
                    <a:noFill/>
                  </pic:spPr>
                </pic:pic>
              </a:graphicData>
            </a:graphic>
          </wp:anchor>
        </w:drawing>
      </w:r>
    </w:p>
    <w:p>
      <w:pPr>
        <w:spacing w:after="0" w:line="73" w:lineRule="exact"/>
        <w:rPr>
          <w:sz w:val="24"/>
          <w:szCs w:val="24"/>
          <w:color w:val="auto"/>
        </w:rPr>
      </w:pPr>
    </w:p>
    <w:p>
      <w:pPr>
        <w:ind w:left="1580"/>
        <w:spacing w:after="0"/>
        <w:rPr>
          <w:sz w:val="20"/>
          <w:szCs w:val="20"/>
          <w:color w:val="auto"/>
        </w:rPr>
      </w:pPr>
      <w:r>
        <w:rPr>
          <w:rFonts w:ascii="Arial" w:cs="Arial" w:eastAsia="Arial" w:hAnsi="Arial"/>
          <w:sz w:val="14"/>
          <w:szCs w:val="14"/>
          <w:b w:val="1"/>
          <w:bCs w:val="1"/>
          <w:color w:val="auto"/>
        </w:rPr>
        <w:t>Title of each class</w:t>
      </w:r>
    </w:p>
    <w:p>
      <w:pPr>
        <w:spacing w:after="0" w:line="59" w:lineRule="exact"/>
        <w:rPr>
          <w:sz w:val="24"/>
          <w:szCs w:val="24"/>
          <w:color w:val="auto"/>
        </w:rPr>
      </w:pPr>
    </w:p>
    <w:p>
      <w:pPr>
        <w:ind w:left="360"/>
        <w:spacing w:after="0"/>
        <w:rPr>
          <w:sz w:val="20"/>
          <w:szCs w:val="20"/>
          <w:color w:val="auto"/>
        </w:rPr>
      </w:pPr>
      <w:r>
        <w:rPr>
          <w:rFonts w:ascii="Arial" w:cs="Arial" w:eastAsia="Arial" w:hAnsi="Arial"/>
          <w:sz w:val="14"/>
          <w:szCs w:val="14"/>
          <w:color w:val="auto"/>
        </w:rPr>
        <w:t>Common Stock, par value $.01 per share</w:t>
      </w:r>
    </w:p>
    <w:p>
      <w:pPr>
        <w:spacing w:after="0" w:line="20" w:lineRule="exact"/>
        <w:rPr>
          <w:sz w:val="24"/>
          <w:szCs w:val="24"/>
          <w:color w:val="auto"/>
        </w:rPr>
      </w:pPr>
      <w:r>
        <w:rPr>
          <w:sz w:val="24"/>
          <w:szCs w:val="24"/>
          <w:color w:val="auto"/>
        </w:rPr>
        <w:br w:type="column"/>
      </w:r>
    </w:p>
    <w:p>
      <w:pPr>
        <w:spacing w:after="0" w:line="346" w:lineRule="exact"/>
        <w:rPr>
          <w:sz w:val="24"/>
          <w:szCs w:val="24"/>
          <w:color w:val="auto"/>
        </w:rPr>
      </w:pPr>
    </w:p>
    <w:p>
      <w:pPr>
        <w:jc w:val="center"/>
        <w:ind w:right="880"/>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-295275</wp:posOffset>
            </wp:positionH>
            <wp:positionV relativeFrom="paragraph">
              <wp:posOffset>-98425</wp:posOffset>
            </wp:positionV>
            <wp:extent cx="1311275" cy="282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275" cy="282575"/>
                    </a:xfrm>
                    <a:prstGeom prst="rect">
                      <a:avLst/>
                    </a:prstGeom>
                    <a:noFill/>
                  </pic:spPr>
                </pic:pic>
              </a:graphicData>
            </a:graphic>
          </wp:anchor>
        </w:drawing>
      </w:r>
    </w:p>
    <w:p>
      <w:pPr>
        <w:spacing w:after="0" w:line="62" w:lineRule="exact"/>
        <w:rPr>
          <w:sz w:val="24"/>
          <w:szCs w:val="24"/>
          <w:color w:val="auto"/>
        </w:rPr>
      </w:pPr>
    </w:p>
    <w:p>
      <w:pPr>
        <w:jc w:val="center"/>
        <w:ind w:right="880"/>
        <w:spacing w:after="0"/>
        <w:rPr>
          <w:sz w:val="20"/>
          <w:szCs w:val="20"/>
          <w:color w:val="auto"/>
        </w:rPr>
      </w:pPr>
      <w:r>
        <w:rPr>
          <w:rFonts w:ascii="Arial" w:cs="Arial" w:eastAsia="Arial" w:hAnsi="Arial"/>
          <w:sz w:val="14"/>
          <w:szCs w:val="14"/>
          <w:color w:val="auto"/>
        </w:rPr>
        <w:t>GLPI</w:t>
      </w:r>
    </w:p>
    <w:p>
      <w:pPr>
        <w:spacing w:after="0" w:line="20" w:lineRule="exact"/>
        <w:rPr>
          <w:sz w:val="24"/>
          <w:szCs w:val="24"/>
          <w:color w:val="auto"/>
        </w:rPr>
      </w:pPr>
      <w:r>
        <w:rPr>
          <w:sz w:val="24"/>
          <w:szCs w:val="24"/>
          <w:color w:val="auto"/>
        </w:rPr>
        <w:br w:type="column"/>
      </w:r>
    </w:p>
    <w:p>
      <w:pPr>
        <w:spacing w:after="0" w:line="346" w:lineRule="exact"/>
        <w:rPr>
          <w:sz w:val="24"/>
          <w:szCs w:val="24"/>
          <w:color w:val="auto"/>
        </w:rPr>
      </w:pPr>
    </w:p>
    <w:p>
      <w:pPr>
        <w:jc w:val="center"/>
        <w:ind w:right="108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-483870</wp:posOffset>
            </wp:positionH>
            <wp:positionV relativeFrom="paragraph">
              <wp:posOffset>-98425</wp:posOffset>
            </wp:positionV>
            <wp:extent cx="2674620" cy="282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4620" cy="282575"/>
                    </a:xfrm>
                    <a:prstGeom prst="rect">
                      <a:avLst/>
                    </a:prstGeom>
                    <a:noFill/>
                  </pic:spPr>
                </pic:pic>
              </a:graphicData>
            </a:graphic>
          </wp:anchor>
        </w:drawing>
      </w:r>
    </w:p>
    <w:p>
      <w:pPr>
        <w:spacing w:after="0" w:line="62" w:lineRule="exact"/>
        <w:rPr>
          <w:sz w:val="24"/>
          <w:szCs w:val="24"/>
          <w:color w:val="auto"/>
        </w:rPr>
      </w:pPr>
    </w:p>
    <w:p>
      <w:pPr>
        <w:jc w:val="center"/>
        <w:ind w:right="1080"/>
        <w:spacing w:after="0"/>
        <w:rPr>
          <w:sz w:val="20"/>
          <w:szCs w:val="20"/>
          <w:color w:val="auto"/>
        </w:rPr>
      </w:pPr>
      <w:r>
        <w:rPr>
          <w:rFonts w:ascii="Arial" w:cs="Arial" w:eastAsia="Arial" w:hAnsi="Arial"/>
          <w:sz w:val="14"/>
          <w:szCs w:val="14"/>
          <w:color w:val="auto"/>
        </w:rPr>
        <w:t>Nasdaq</w:t>
      </w:r>
    </w:p>
    <w:p>
      <w:pPr>
        <w:spacing w:after="0" w:line="137" w:lineRule="exact"/>
        <w:rPr>
          <w:sz w:val="24"/>
          <w:szCs w:val="24"/>
          <w:color w:val="auto"/>
        </w:rPr>
      </w:pPr>
    </w:p>
    <w:p>
      <w:pPr>
        <w:sectPr>
          <w:pgSz w:w="11900" w:h="16838" w:orient="portrait"/>
          <w:cols w:equalWidth="0" w:num="3">
            <w:col w:w="4280" w:space="460"/>
            <w:col w:w="2020" w:space="720"/>
            <w:col w:w="3760"/>
          </w:cols>
          <w:pgMar w:left="320" w:top="238" w:right="339" w:bottom="1440" w:gutter="0" w:footer="0" w:header="0"/>
          <w:type w:val="continuous"/>
        </w:sectPr>
      </w:pPr>
    </w:p>
    <w:p>
      <w:pPr>
        <w:jc w:val="both"/>
        <w:ind w:firstLine="324"/>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2" w:lineRule="exact"/>
        <w:rPr>
          <w:sz w:val="24"/>
          <w:szCs w:val="24"/>
          <w:color w:val="auto"/>
        </w:rPr>
      </w:pPr>
    </w:p>
    <w:p>
      <w:pPr>
        <w:jc w:val="both"/>
        <w:ind w:firstLine="390"/>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2" w:lineRule="exact"/>
        <w:rPr>
          <w:sz w:val="24"/>
          <w:szCs w:val="24"/>
          <w:color w:val="auto"/>
        </w:rPr>
      </w:pPr>
    </w:p>
    <w:p>
      <w:pPr>
        <w:jc w:val="both"/>
        <w:ind w:firstLine="389"/>
        <w:spacing w:after="0" w:line="26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740" w:type="dxa"/>
        <w:tblCellMar>
          <w:top w:w="0" w:type="dxa"/>
          <w:left w:w="0" w:type="dxa"/>
          <w:bottom w:w="0" w:type="dxa"/>
          <w:right w:w="0" w:type="dxa"/>
        </w:tblCellMar>
      </w:tblPr>
      <w:tr>
        <w:trPr>
          <w:trHeight w:val="270"/>
        </w:trPr>
        <w:tc>
          <w:tcPr>
            <w:tcW w:w="2120" w:type="dxa"/>
            <w:vAlign w:val="bottom"/>
          </w:tcPr>
          <w:p>
            <w:pPr>
              <w:jc w:val="center"/>
              <w:ind w:right="430"/>
              <w:spacing w:after="0"/>
              <w:rPr>
                <w:sz w:val="20"/>
                <w:szCs w:val="20"/>
                <w:color w:val="auto"/>
              </w:rPr>
            </w:pPr>
            <w:r>
              <w:rPr>
                <w:rFonts w:ascii="Arial" w:cs="Arial" w:eastAsia="Arial" w:hAnsi="Arial"/>
                <w:sz w:val="18"/>
                <w:szCs w:val="18"/>
                <w:color w:val="auto"/>
                <w:w w:val="89"/>
              </w:rPr>
              <w:t>Large accelerated filer</w:t>
            </w:r>
          </w:p>
        </w:tc>
        <w:tc>
          <w:tcPr>
            <w:tcW w:w="13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jc w:val="center"/>
              <w:ind w:right="10"/>
              <w:spacing w:after="0"/>
              <w:rPr>
                <w:sz w:val="20"/>
                <w:szCs w:val="20"/>
                <w:color w:val="auto"/>
              </w:rPr>
            </w:pPr>
            <w:r>
              <w:rPr>
                <w:rFonts w:ascii="Arial" w:cs="Arial" w:eastAsia="Arial" w:hAnsi="Arial"/>
                <w:sz w:val="18"/>
                <w:szCs w:val="18"/>
                <w:color w:val="auto"/>
                <w:w w:val="92"/>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20" w:type="dxa"/>
            <w:vAlign w:val="bottom"/>
          </w:tcPr>
          <w:p>
            <w:pPr>
              <w:jc w:val="center"/>
              <w:ind w:right="390"/>
              <w:spacing w:after="0"/>
              <w:rPr>
                <w:sz w:val="20"/>
                <w:szCs w:val="20"/>
                <w:color w:val="auto"/>
              </w:rPr>
            </w:pPr>
            <w:r>
              <w:rPr>
                <w:rFonts w:ascii="Arial" w:cs="Arial" w:eastAsia="Arial" w:hAnsi="Arial"/>
                <w:sz w:val="18"/>
                <w:szCs w:val="18"/>
                <w:color w:val="auto"/>
                <w:w w:val="91"/>
              </w:rPr>
              <w:t>Non-accelerated filer</w:t>
            </w:r>
          </w:p>
        </w:tc>
        <w:tc>
          <w:tcPr>
            <w:tcW w:w="13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1"/>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4" w:lineRule="exact"/>
        <w:rPr>
          <w:sz w:val="24"/>
          <w:szCs w:val="24"/>
          <w:color w:val="auto"/>
        </w:rPr>
      </w:pPr>
    </w:p>
    <w:p>
      <w:pPr>
        <w:ind w:right="20" w:firstLine="324"/>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4"/>
          <w:szCs w:val="24"/>
          <w:color w:val="auto"/>
        </w:rPr>
      </w:pPr>
    </w:p>
    <w:p>
      <w:pPr>
        <w:jc w:val="both"/>
        <w:ind w:left="340" w:right="2080"/>
        <w:spacing w:after="0" w:line="24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the number of shares outstanding of each of the issuer’s classes of common stock, as of the latest practicable date.</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400" w:type="dxa"/>
            <w:vAlign w:val="bottom"/>
          </w:tcPr>
          <w:p>
            <w:pPr>
              <w:spacing w:after="0"/>
              <w:rPr>
                <w:sz w:val="16"/>
                <w:szCs w:val="16"/>
                <w:color w:val="auto"/>
              </w:rPr>
            </w:pP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October 23, 2020</w:t>
            </w:r>
          </w:p>
        </w:tc>
        <w:tc>
          <w:tcPr>
            <w:tcW w:w="600" w:type="dxa"/>
            <w:vAlign w:val="bottom"/>
          </w:tcPr>
          <w:p>
            <w:pPr>
              <w:spacing w:after="0"/>
              <w:rPr>
                <w:sz w:val="16"/>
                <w:szCs w:val="16"/>
                <w:color w:val="auto"/>
              </w:rPr>
            </w:pPr>
          </w:p>
        </w:tc>
      </w:tr>
      <w:tr>
        <w:trPr>
          <w:trHeight w:val="190"/>
        </w:trPr>
        <w:tc>
          <w:tcPr>
            <w:tcW w:w="5520" w:type="dxa"/>
            <w:vAlign w:val="bottom"/>
            <w:gridSpan w:val="2"/>
          </w:tcPr>
          <w:p>
            <w:pPr>
              <w:jc w:val="center"/>
              <w:ind w:right="380"/>
              <w:spacing w:after="0"/>
              <w:rPr>
                <w:sz w:val="20"/>
                <w:szCs w:val="20"/>
                <w:color w:val="auto"/>
              </w:rPr>
            </w:pPr>
            <w:r>
              <w:rPr>
                <w:rFonts w:ascii="Arial" w:cs="Arial" w:eastAsia="Arial" w:hAnsi="Arial"/>
                <w:sz w:val="14"/>
                <w:szCs w:val="14"/>
                <w:color w:val="auto"/>
                <w:w w:val="91"/>
              </w:rPr>
              <w:t>Common Stock, par value $.01 per share</w:t>
            </w:r>
          </w:p>
        </w:tc>
        <w:tc>
          <w:tcPr>
            <w:tcW w:w="5120" w:type="dxa"/>
            <w:vAlign w:val="bottom"/>
          </w:tcPr>
          <w:p>
            <w:pPr>
              <w:jc w:val="right"/>
              <w:ind w:right="2128"/>
              <w:spacing w:after="0"/>
              <w:rPr>
                <w:sz w:val="20"/>
                <w:szCs w:val="20"/>
                <w:color w:val="auto"/>
              </w:rPr>
            </w:pPr>
            <w:r>
              <w:rPr>
                <w:rFonts w:ascii="Arial" w:cs="Arial" w:eastAsia="Arial" w:hAnsi="Arial"/>
                <w:sz w:val="14"/>
                <w:szCs w:val="14"/>
                <w:color w:val="auto"/>
              </w:rPr>
              <w:t>220,705,735</w:t>
            </w:r>
          </w:p>
        </w:tc>
        <w:tc>
          <w:tcPr>
            <w:tcW w:w="600" w:type="dxa"/>
            <w:vAlign w:val="bottom"/>
          </w:tcPr>
          <w:p>
            <w:pPr>
              <w:spacing w:after="0"/>
              <w:rPr>
                <w:sz w:val="16"/>
                <w:szCs w:val="16"/>
                <w:color w:val="auto"/>
              </w:rPr>
            </w:pPr>
          </w:p>
        </w:tc>
      </w:tr>
      <w:tr>
        <w:trPr>
          <w:trHeight w:val="802"/>
        </w:trPr>
        <w:tc>
          <w:tcPr>
            <w:tcW w:w="5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 w:name="page2"/>
    <w:bookmarkEnd w:id="1"/>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Forward-looking statements in this document are subject to known and unknown risks, uncertainties and other factors that may cause actual results, performance or achievements of Gaming and Leisure Properties, Inc. ("GLPI") and its subsidiaries (collectively,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Forward-looking statements in this document include, but are not limited to, statements regarding the extent and duration of the economic disruptions related to the novel coronavirus COVID-19 ("COVID-19") global pandemic on our tenants' operations and our taxable real estate investment trust ("REIT") subsidiaries' ("TRS") operations.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191" w:lineRule="exact"/>
        <w:rPr>
          <w:sz w:val="20"/>
          <w:szCs w:val="20"/>
          <w:color w:val="auto"/>
        </w:rPr>
      </w:pPr>
    </w:p>
    <w:p>
      <w:pPr>
        <w:jc w:val="both"/>
        <w:ind w:left="660" w:hanging="328"/>
        <w:spacing w:after="0" w:line="296"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COVID-19 had, and may continue to have, a significant impact on our tenants' financial conditions and operations. As a result of the outbreak, our casino operations and those of our tenants were forced to close temporarily, as federal, state and local officials undertook various steps to mitigate the spread of infections from COVID-19. Although the majority of our tenants' operations have recommenced to strong results and our tenants have improved their liquidity profiles, there can be no assurance whether these encouraging results will continue in future periods, particularly with the potential for increased transmission of COVID-19 as the weather becomes cooler over the next several months;</w:t>
      </w:r>
    </w:p>
    <w:p>
      <w:pPr>
        <w:spacing w:after="0" w:line="188" w:lineRule="exact"/>
        <w:rPr>
          <w:rFonts w:ascii="Arial" w:cs="Arial" w:eastAsia="Arial" w:hAnsi="Arial"/>
          <w:sz w:val="16"/>
          <w:szCs w:val="16"/>
          <w:color w:val="auto"/>
        </w:rPr>
      </w:pPr>
    </w:p>
    <w:p>
      <w:pPr>
        <w:ind w:left="66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that the sharp increase in unemployment levels and uncertainty with respect to the future state of the economy could have on discretionary consumer spending, including on casino operations;</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and uncertain future impact of the COVID-19 outbreak, including its effect on the ability or desire of people to gather in large groups (including in casinos), which is expected to impact our financial results, operations, outlooks, plans, goals, growth, cash flows, liquidity, and stock price;</w:t>
      </w:r>
    </w:p>
    <w:p>
      <w:pPr>
        <w:spacing w:after="0" w:line="2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unforeseen consequences related to United States government stimulus packages or a failure to mitigate the sharp economic downturn from COVID-19;</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significant value for the real property assets of Tropicana Las Vegas which we acquired from Penn National Gaming, Inc. ("Penn") in return for $307.5 million of rent credits;</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the ability to identify suitable and attractive acquisition and development opportunities and the ability to acquire and lease the respective properties on favorable terms;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receive, or delays in obtaining, the regulatory approvals required to own and/or operate our properties, or other delays or impediments to completing our planned acquisitions or projects;</w:t>
      </w:r>
    </w:p>
    <w:p>
      <w:pPr>
        <w:spacing w:after="0" w:line="197"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our status as a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192"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satisfaction of certain asset, income, organizational, distribution, shareholder ownership and other requirements on a continuing basis in order for the Company to maintain its REIT status;</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tenants, operators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spacing w:after="0" w:line="210"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of our tenants and operators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tenants and operators to comply with laws, rules and regulations in the operation of our properties, to deliver high quality services, to attract and retain qualified personnel and to attract customers;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generate sufficient cash flows to service our outstanding indebtedness;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access to debt and equity capital markets, including for acquisitions or refinancings due to maturities;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our credit rating;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fluctuating interest rates and the potential phasing out of the London Interbank Offered Rate after 2021;</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global or regional economic conditions;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qualified personnel and our ability to retain our key management personnel;</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GLPI's obligation to indemnify Penn and its subsidiaries in certain circumstances if the spin-off transaction described in Note 1 to the condensed consolidated financial statements fails to be tax-free;</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United States tax law and other state, federal or local laws, whether or not specific to real estate, REITs or the gaming, lodging or hospitality industries;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standards;</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weather or climate events or conditions, natural disasters, acts of terrorism and other international hostilities, war or political instability;</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inherent in the real estate business, including potential liability relating to environmental matters and illiquidity of real estate investments; and</w:t>
      </w:r>
    </w:p>
    <w:p>
      <w:pPr>
        <w:spacing w:after="0" w:line="197"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additional factors as discussed in the Company’s Annual Report on Form 10-K for the year ended December 31, 2019 (our "Annual Report"), in this Quarterly Report on Form 10-Q and Current Reports on Form 8-K as filed with the United States Securities and Exchange Commission.</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of these factors and other factors, risks and uncertainties are discussed in the "Risk Factors" section in the Company’s Annual Report and this Quarterly Report on Form 10-Q. Other unknown or unpredictable factors may also cause actual results to differ materially from those projected by the forward-looking statements. Most of these factors are difficult to anticipate and are generally beyond the control of the Company.</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You should consider the areas of risk described above, as well as those set forth in the "Risk Factors" section in the Company’s Annual Report and this Quarterly Report on Form 10-Q, in connection with considering any forward-looking statements that may be made by the Company generally.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560" w:type="dxa"/>
            <w:vAlign w:val="bottom"/>
            <w:gridSpan w:val="6"/>
          </w:tcPr>
          <w:p>
            <w:pPr>
              <w:jc w:val="center"/>
              <w:ind w:right="2100"/>
              <w:spacing w:after="0"/>
              <w:rPr>
                <w:sz w:val="20"/>
                <w:szCs w:val="20"/>
                <w:color w:val="auto"/>
              </w:rPr>
            </w:pPr>
            <w:r>
              <w:rPr>
                <w:rFonts w:ascii="Arial" w:cs="Arial" w:eastAsia="Arial" w:hAnsi="Arial"/>
                <w:sz w:val="18"/>
                <w:szCs w:val="18"/>
                <w:b w:val="1"/>
                <w:bCs w:val="1"/>
                <w:color w:val="auto"/>
              </w:rPr>
              <w:t>GAMING AND LEISURE PROPERTIES, INC. AND SUBSIDIARIES</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560" w:type="dxa"/>
            <w:vAlign w:val="bottom"/>
            <w:gridSpan w:val="6"/>
          </w:tcPr>
          <w:p>
            <w:pPr>
              <w:jc w:val="center"/>
              <w:ind w:right="212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780" w:type="dxa"/>
            <w:vAlign w:val="bottom"/>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PART I.</w:t>
              </w:r>
            </w:hyperlink>
          </w:p>
        </w:tc>
        <w:tc>
          <w:tcPr>
            <w:tcW w:w="8660" w:type="dxa"/>
            <w:vAlign w:val="bottom"/>
            <w:gridSpan w:val="7"/>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FINANCIAL INFORMATION</w:t>
              </w:r>
            </w:hyperlink>
          </w:p>
        </w:tc>
        <w:tc>
          <w:tcPr>
            <w:tcW w:w="460" w:type="dxa"/>
            <w:vAlign w:val="bottom"/>
          </w:tcPr>
          <w:p>
            <w:pPr>
              <w:jc w:val="center"/>
              <w:ind w:left="190"/>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4</w:t>
              </w:r>
            </w:hyperlink>
          </w:p>
        </w:tc>
        <w:tc>
          <w:tcPr>
            <w:tcW w:w="0" w:type="dxa"/>
            <w:vAlign w:val="bottom"/>
          </w:tcPr>
          <w:p>
            <w:pPr>
              <w:spacing w:after="0"/>
              <w:rPr>
                <w:sz w:val="1"/>
                <w:szCs w:val="1"/>
                <w:color w:val="auto"/>
              </w:rPr>
            </w:pPr>
          </w:p>
        </w:tc>
      </w:tr>
      <w:tr>
        <w:trPr>
          <w:trHeight w:val="499"/>
        </w:trPr>
        <w:tc>
          <w:tcPr>
            <w:tcW w:w="178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8660" w:type="dxa"/>
            <w:vAlign w:val="bottom"/>
            <w:gridSpan w:val="7"/>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FINANCIAL STATEMENTS</w:t>
              </w:r>
            </w:hyperlink>
          </w:p>
        </w:tc>
        <w:tc>
          <w:tcPr>
            <w:tcW w:w="460" w:type="dxa"/>
            <w:vAlign w:val="bottom"/>
          </w:tcPr>
          <w:p>
            <w:pPr>
              <w:jc w:val="center"/>
              <w:ind w:left="190"/>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4</w:t>
              </w:r>
            </w:hyperlink>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8660" w:type="dxa"/>
            <w:vAlign w:val="bottom"/>
            <w:gridSpan w:val="7"/>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Balance Sheets - September 30, 2020 and December 31, 2019</w:t>
              </w:r>
            </w:hyperlink>
          </w:p>
        </w:tc>
        <w:tc>
          <w:tcPr>
            <w:tcW w:w="460" w:type="dxa"/>
            <w:vAlign w:val="bottom"/>
          </w:tcPr>
          <w:p>
            <w:pPr>
              <w:jc w:val="center"/>
              <w:ind w:left="190"/>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4</w:t>
              </w:r>
            </w:hyperlink>
          </w:p>
        </w:tc>
        <w:tc>
          <w:tcPr>
            <w:tcW w:w="0" w:type="dxa"/>
            <w:vAlign w:val="bottom"/>
          </w:tcPr>
          <w:p>
            <w:pPr>
              <w:spacing w:after="0"/>
              <w:rPr>
                <w:sz w:val="1"/>
                <w:szCs w:val="1"/>
                <w:color w:val="auto"/>
              </w:rPr>
            </w:pPr>
          </w:p>
        </w:tc>
      </w:tr>
      <w:tr>
        <w:trPr>
          <w:trHeight w:val="190"/>
        </w:trPr>
        <w:tc>
          <w:tcPr>
            <w:tcW w:w="1780" w:type="dxa"/>
            <w:vAlign w:val="bottom"/>
          </w:tcPr>
          <w:p>
            <w:pPr>
              <w:spacing w:after="0"/>
              <w:rPr>
                <w:sz w:val="16"/>
                <w:szCs w:val="16"/>
                <w:color w:val="auto"/>
              </w:rPr>
            </w:pPr>
          </w:p>
        </w:tc>
        <w:tc>
          <w:tcPr>
            <w:tcW w:w="8660" w:type="dxa"/>
            <w:vAlign w:val="bottom"/>
            <w:gridSpan w:val="7"/>
          </w:tcPr>
          <w:p>
            <w:pPr>
              <w:spacing w:after="0" w:line="190" w:lineRule="exact"/>
              <w:rPr>
                <w:rFonts w:ascii="Arial" w:cs="Arial" w:eastAsia="Arial" w:hAnsi="Arial"/>
                <w:sz w:val="18"/>
                <w:szCs w:val="18"/>
                <w:color w:val="0000FF"/>
                <w:w w:val="96"/>
              </w:rPr>
            </w:pPr>
            <w:hyperlink w:anchor="page5">
              <w:r>
                <w:rPr>
                  <w:rFonts w:ascii="Arial" w:cs="Arial" w:eastAsia="Arial" w:hAnsi="Arial"/>
                  <w:sz w:val="18"/>
                  <w:szCs w:val="18"/>
                  <w:color w:val="0000FF"/>
                  <w:w w:val="96"/>
                </w:rPr>
                <w:t xml:space="preserve">Condensed Consolidated Statements of Income - Three and Nine Months Ended </w:t>
              </w:r>
              <w:r>
                <w:rPr>
                  <w:rFonts w:ascii="Arial" w:cs="Arial" w:eastAsia="Arial" w:hAnsi="Arial"/>
                  <w:sz w:val="18"/>
                  <w:szCs w:val="18"/>
                  <w:u w:val="single" w:color="auto"/>
                  <w:color w:val="0000FF"/>
                  <w:w w:val="96"/>
                </w:rPr>
                <w:t>September 30, 2020 and 2019</w:t>
              </w:r>
            </w:hyperlink>
          </w:p>
        </w:tc>
        <w:tc>
          <w:tcPr>
            <w:tcW w:w="460" w:type="dxa"/>
            <w:vAlign w:val="bottom"/>
          </w:tcPr>
          <w:p>
            <w:pPr>
              <w:jc w:val="center"/>
              <w:ind w:left="190"/>
              <w:spacing w:after="0" w:line="190" w:lineRule="exact"/>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5</w:t>
              </w:r>
            </w:hyperlink>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80" w:type="dxa"/>
            <w:vAlign w:val="bottom"/>
          </w:tcPr>
          <w:p>
            <w:pPr>
              <w:spacing w:after="0"/>
              <w:rPr>
                <w:sz w:val="18"/>
                <w:szCs w:val="18"/>
                <w:color w:val="auto"/>
              </w:rPr>
            </w:pPr>
          </w:p>
        </w:tc>
        <w:tc>
          <w:tcPr>
            <w:tcW w:w="8660" w:type="dxa"/>
            <w:vAlign w:val="bottom"/>
            <w:gridSpan w:val="7"/>
          </w:tcPr>
          <w:p>
            <w:pPr>
              <w:spacing w:after="0"/>
              <w:rPr>
                <w:rFonts w:ascii="Arial" w:cs="Arial" w:eastAsia="Arial" w:hAnsi="Arial"/>
                <w:sz w:val="18"/>
                <w:szCs w:val="18"/>
                <w:color w:val="0000FF"/>
                <w:w w:val="92"/>
              </w:rPr>
            </w:pPr>
            <w:hyperlink w:anchor="page28">
              <w:r>
                <w:rPr>
                  <w:rFonts w:ascii="Arial" w:cs="Arial" w:eastAsia="Arial" w:hAnsi="Arial"/>
                  <w:sz w:val="18"/>
                  <w:szCs w:val="18"/>
                  <w:u w:val="single" w:color="auto"/>
                  <w:color w:val="0000FF"/>
                  <w:w w:val="92"/>
                </w:rPr>
                <w:t>Condensed Consolidated Statements of Changes in Shareholders' Equity - Three and</w:t>
              </w:r>
              <w:r>
                <w:rPr>
                  <w:rFonts w:ascii="Arial" w:cs="Arial" w:eastAsia="Arial" w:hAnsi="Arial"/>
                  <w:sz w:val="18"/>
                  <w:szCs w:val="18"/>
                  <w:color w:val="0000FF"/>
                  <w:w w:val="92"/>
                </w:rPr>
                <w:t xml:space="preserve"> </w:t>
              </w:r>
            </w:hyperlink>
            <w:r>
              <w:rPr>
                <w:rFonts w:ascii="Arial" w:cs="Arial" w:eastAsia="Arial" w:hAnsi="Arial"/>
                <w:sz w:val="18"/>
                <w:szCs w:val="18"/>
                <w:color w:val="0000FF"/>
                <w:w w:val="92"/>
              </w:rPr>
              <w:t xml:space="preserve">Nine </w:t>
            </w:r>
            <w:hyperlink w:anchor="page28">
              <w:r>
                <w:rPr>
                  <w:rFonts w:ascii="Arial" w:cs="Arial" w:eastAsia="Arial" w:hAnsi="Arial"/>
                  <w:sz w:val="18"/>
                  <w:szCs w:val="18"/>
                  <w:color w:val="0000FF"/>
                  <w:w w:val="92"/>
                </w:rPr>
                <w:t xml:space="preserve">Months Ended </w:t>
              </w:r>
            </w:hyperlink>
            <w:r>
              <w:rPr>
                <w:rFonts w:ascii="Arial" w:cs="Arial" w:eastAsia="Arial" w:hAnsi="Arial"/>
                <w:sz w:val="18"/>
                <w:szCs w:val="18"/>
                <w:u w:val="single" w:color="auto"/>
                <w:color w:val="0000FF"/>
                <w:w w:val="92"/>
              </w:rPr>
              <w:t>September</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780" w:type="dxa"/>
            <w:vAlign w:val="bottom"/>
          </w:tcPr>
          <w:p>
            <w:pPr>
              <w:spacing w:after="0"/>
              <w:rPr>
                <w:sz w:val="16"/>
                <w:szCs w:val="16"/>
                <w:color w:val="auto"/>
              </w:rPr>
            </w:pPr>
          </w:p>
        </w:tc>
        <w:tc>
          <w:tcPr>
            <w:tcW w:w="6120" w:type="dxa"/>
            <w:vAlign w:val="bottom"/>
            <w:gridSpan w:val="4"/>
          </w:tcPr>
          <w:p>
            <w:pPr>
              <w:ind w:left="160"/>
              <w:spacing w:after="0" w:line="195" w:lineRule="exact"/>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30, 2020 and 2019</w:t>
              </w:r>
            </w:hyperlink>
          </w:p>
        </w:tc>
        <w:tc>
          <w:tcPr>
            <w:tcW w:w="1500" w:type="dxa"/>
            <w:vAlign w:val="bottom"/>
            <w:tcBorders>
              <w:top w:val="single" w:sz="8" w:color="0000FF"/>
            </w:tcBorders>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center"/>
              <w:ind w:left="190"/>
              <w:spacing w:after="0" w:line="195" w:lineRule="exact"/>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6</w:t>
              </w:r>
            </w:hyperlink>
          </w:p>
        </w:tc>
        <w:tc>
          <w:tcPr>
            <w:tcW w:w="0" w:type="dxa"/>
            <w:vAlign w:val="bottom"/>
          </w:tcPr>
          <w:p>
            <w:pPr>
              <w:spacing w:after="0"/>
              <w:rPr>
                <w:sz w:val="1"/>
                <w:szCs w:val="1"/>
                <w:color w:val="auto"/>
              </w:rPr>
            </w:pPr>
          </w:p>
        </w:tc>
      </w:tr>
      <w:tr>
        <w:trPr>
          <w:trHeight w:val="190"/>
        </w:trPr>
        <w:tc>
          <w:tcPr>
            <w:tcW w:w="1780" w:type="dxa"/>
            <w:vAlign w:val="bottom"/>
          </w:tcPr>
          <w:p>
            <w:pPr>
              <w:spacing w:after="0"/>
              <w:rPr>
                <w:sz w:val="16"/>
                <w:szCs w:val="16"/>
                <w:color w:val="auto"/>
              </w:rPr>
            </w:pPr>
          </w:p>
        </w:tc>
        <w:tc>
          <w:tcPr>
            <w:tcW w:w="8660" w:type="dxa"/>
            <w:vAlign w:val="bottom"/>
            <w:gridSpan w:val="7"/>
          </w:tcPr>
          <w:p>
            <w:pPr>
              <w:spacing w:after="0" w:line="190" w:lineRule="exact"/>
              <w:rPr>
                <w:rFonts w:ascii="Arial" w:cs="Arial" w:eastAsia="Arial" w:hAnsi="Arial"/>
                <w:sz w:val="18"/>
                <w:szCs w:val="18"/>
                <w:color w:val="0000FF"/>
              </w:rPr>
            </w:pPr>
            <w:hyperlink w:anchor="page7">
              <w:r>
                <w:rPr>
                  <w:rFonts w:ascii="Arial" w:cs="Arial" w:eastAsia="Arial" w:hAnsi="Arial"/>
                  <w:sz w:val="18"/>
                  <w:szCs w:val="18"/>
                  <w:color w:val="0000FF"/>
                </w:rPr>
                <w:t xml:space="preserve">Condensed Consolidated Statements of Cash Flows - </w:t>
              </w:r>
            </w:hyperlink>
            <w:r>
              <w:rPr>
                <w:rFonts w:ascii="Arial" w:cs="Arial" w:eastAsia="Arial" w:hAnsi="Arial"/>
                <w:sz w:val="18"/>
                <w:szCs w:val="18"/>
                <w:color w:val="0000FF"/>
              </w:rPr>
              <w:t xml:space="preserve">Nine </w:t>
            </w:r>
            <w:hyperlink w:anchor="page7">
              <w:r>
                <w:rPr>
                  <w:rFonts w:ascii="Arial" w:cs="Arial" w:eastAsia="Arial" w:hAnsi="Arial"/>
                  <w:sz w:val="18"/>
                  <w:szCs w:val="18"/>
                  <w:color w:val="0000FF"/>
                </w:rPr>
                <w:t xml:space="preserve">Months Ended </w:t>
              </w:r>
              <w:r>
                <w:rPr>
                  <w:rFonts w:ascii="Arial" w:cs="Arial" w:eastAsia="Arial" w:hAnsi="Arial"/>
                  <w:sz w:val="18"/>
                  <w:szCs w:val="18"/>
                  <w:u w:val="single" w:color="auto"/>
                  <w:color w:val="0000FF"/>
                </w:rPr>
                <w:t>September 30, 2020 and 2019</w:t>
              </w:r>
            </w:hyperlink>
          </w:p>
        </w:tc>
        <w:tc>
          <w:tcPr>
            <w:tcW w:w="460" w:type="dxa"/>
            <w:vAlign w:val="bottom"/>
          </w:tcPr>
          <w:p>
            <w:pPr>
              <w:jc w:val="center"/>
              <w:ind w:left="190"/>
              <w:spacing w:after="0" w:line="190" w:lineRule="exact"/>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7</w:t>
              </w:r>
            </w:hyperlink>
          </w:p>
        </w:tc>
        <w:tc>
          <w:tcPr>
            <w:tcW w:w="0" w:type="dxa"/>
            <w:vAlign w:val="bottom"/>
          </w:tcPr>
          <w:p>
            <w:pPr>
              <w:spacing w:after="0"/>
              <w:rPr>
                <w:sz w:val="1"/>
                <w:szCs w:val="1"/>
                <w:color w:val="auto"/>
              </w:rPr>
            </w:pPr>
          </w:p>
        </w:tc>
      </w:tr>
      <w:tr>
        <w:trPr>
          <w:trHeight w:val="250"/>
        </w:trPr>
        <w:tc>
          <w:tcPr>
            <w:tcW w:w="1780" w:type="dxa"/>
            <w:vAlign w:val="bottom"/>
          </w:tcPr>
          <w:p>
            <w:pPr>
              <w:spacing w:after="0"/>
              <w:rPr>
                <w:sz w:val="21"/>
                <w:szCs w:val="21"/>
                <w:color w:val="auto"/>
              </w:rPr>
            </w:pPr>
          </w:p>
        </w:tc>
        <w:tc>
          <w:tcPr>
            <w:tcW w:w="5360" w:type="dxa"/>
            <w:vAlign w:val="bottom"/>
            <w:tcBorders>
              <w:top w:val="single" w:sz="8" w:color="0000FF"/>
            </w:tcBorders>
            <w:gridSpan w:val="2"/>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the Condensed Consolidated Financial Statements</w:t>
              </w:r>
            </w:hyperlink>
          </w:p>
        </w:tc>
        <w:tc>
          <w:tcPr>
            <w:tcW w:w="3300" w:type="dxa"/>
            <w:vAlign w:val="bottom"/>
            <w:gridSpan w:val="5"/>
          </w:tcPr>
          <w:p>
            <w:pPr>
              <w:spacing w:after="0"/>
              <w:rPr>
                <w:sz w:val="21"/>
                <w:szCs w:val="21"/>
                <w:color w:val="auto"/>
              </w:rPr>
            </w:pPr>
          </w:p>
        </w:tc>
        <w:tc>
          <w:tcPr>
            <w:tcW w:w="460" w:type="dxa"/>
            <w:vAlign w:val="bottom"/>
          </w:tcPr>
          <w:p>
            <w:pPr>
              <w:jc w:val="center"/>
              <w:ind w:left="190"/>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8</w:t>
              </w:r>
            </w:hyperlink>
          </w:p>
        </w:tc>
        <w:tc>
          <w:tcPr>
            <w:tcW w:w="0" w:type="dxa"/>
            <w:vAlign w:val="bottom"/>
          </w:tcPr>
          <w:p>
            <w:pPr>
              <w:spacing w:after="0"/>
              <w:rPr>
                <w:sz w:val="1"/>
                <w:szCs w:val="1"/>
                <w:color w:val="auto"/>
              </w:rPr>
            </w:pPr>
          </w:p>
        </w:tc>
      </w:tr>
      <w:tr>
        <w:trPr>
          <w:trHeight w:val="459"/>
        </w:trPr>
        <w:tc>
          <w:tcPr>
            <w:tcW w:w="1780" w:type="dxa"/>
            <w:vAlign w:val="bottom"/>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2.</w:t>
              </w:r>
            </w:hyperlink>
          </w:p>
        </w:tc>
        <w:tc>
          <w:tcPr>
            <w:tcW w:w="8660" w:type="dxa"/>
            <w:vAlign w:val="bottom"/>
            <w:gridSpan w:val="7"/>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MANAGEMENT’S DISCUSSION AND ANALYSIS OF FINANCIAL CONDITION AND RESULTS OF</w:t>
              </w:r>
            </w:hyperlink>
          </w:p>
        </w:tc>
        <w:tc>
          <w:tcPr>
            <w:tcW w:w="460" w:type="dxa"/>
            <w:vAlign w:val="bottom"/>
            <w:vMerge w:val="restart"/>
          </w:tcPr>
          <w:p>
            <w:pPr>
              <w:jc w:val="center"/>
              <w:ind w:left="190"/>
              <w:spacing w:after="0"/>
              <w:rPr>
                <w:rFonts w:ascii="Arial" w:cs="Arial" w:eastAsia="Arial" w:hAnsi="Arial"/>
                <w:sz w:val="18"/>
                <w:szCs w:val="18"/>
                <w:u w:val="single" w:color="auto"/>
                <w:color w:val="0000FF"/>
                <w:w w:val="89"/>
              </w:rPr>
            </w:pPr>
            <w:hyperlink w:anchor="page28">
              <w:r>
                <w:rPr>
                  <w:rFonts w:ascii="Arial" w:cs="Arial" w:eastAsia="Arial" w:hAnsi="Arial"/>
                  <w:sz w:val="18"/>
                  <w:szCs w:val="18"/>
                  <w:u w:val="single" w:color="auto"/>
                  <w:color w:val="0000FF"/>
                  <w:w w:val="89"/>
                </w:rPr>
                <w:t>28</w:t>
              </w:r>
            </w:hyperlink>
          </w:p>
        </w:tc>
        <w:tc>
          <w:tcPr>
            <w:tcW w:w="0" w:type="dxa"/>
            <w:vAlign w:val="bottom"/>
          </w:tcPr>
          <w:p>
            <w:pPr>
              <w:spacing w:after="0"/>
              <w:rPr>
                <w:sz w:val="1"/>
                <w:szCs w:val="1"/>
                <w:color w:val="auto"/>
              </w:rPr>
            </w:pPr>
          </w:p>
        </w:tc>
      </w:tr>
      <w:tr>
        <w:trPr>
          <w:trHeight w:val="155"/>
        </w:trPr>
        <w:tc>
          <w:tcPr>
            <w:tcW w:w="1780" w:type="dxa"/>
            <w:vAlign w:val="bottom"/>
          </w:tcPr>
          <w:p>
            <w:pPr>
              <w:spacing w:after="0"/>
              <w:rPr>
                <w:sz w:val="13"/>
                <w:szCs w:val="13"/>
                <w:color w:val="auto"/>
              </w:rPr>
            </w:pPr>
          </w:p>
        </w:tc>
        <w:tc>
          <w:tcPr>
            <w:tcW w:w="11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w:anchor="page28">
              <w:r>
                <w:rPr>
                  <w:rFonts w:ascii="Arial" w:cs="Arial" w:eastAsia="Arial" w:hAnsi="Arial"/>
                  <w:sz w:val="18"/>
                  <w:szCs w:val="18"/>
                  <w:color w:val="0000FF"/>
                  <w:w w:val="91"/>
                </w:rPr>
                <w:t>OPERATIONS</w:t>
              </w:r>
            </w:hyperlink>
          </w:p>
        </w:tc>
        <w:tc>
          <w:tcPr>
            <w:tcW w:w="6660" w:type="dxa"/>
            <w:vAlign w:val="bottom"/>
            <w:tcBorders>
              <w:top w:val="single" w:sz="8" w:color="0000FF"/>
            </w:tcBorders>
            <w:gridSpan w:val="5"/>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20"/>
        </w:trPr>
        <w:tc>
          <w:tcPr>
            <w:tcW w:w="1780" w:type="dxa"/>
            <w:vAlign w:val="bottom"/>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ITEM 3.</w:t>
              </w:r>
            </w:hyperlink>
          </w:p>
        </w:tc>
        <w:tc>
          <w:tcPr>
            <w:tcW w:w="8660" w:type="dxa"/>
            <w:vAlign w:val="bottom"/>
            <w:gridSpan w:val="7"/>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QUANTITATIVE AND QUALITATIVE DISCLOSURES ABOUT MARKET RISK</w:t>
              </w:r>
            </w:hyperlink>
          </w:p>
        </w:tc>
        <w:tc>
          <w:tcPr>
            <w:tcW w:w="460" w:type="dxa"/>
            <w:vAlign w:val="bottom"/>
          </w:tcPr>
          <w:p>
            <w:pPr>
              <w:jc w:val="center"/>
              <w:ind w:left="190"/>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45</w:t>
              </w:r>
            </w:hyperlink>
          </w:p>
        </w:tc>
        <w:tc>
          <w:tcPr>
            <w:tcW w:w="0" w:type="dxa"/>
            <w:vAlign w:val="bottom"/>
          </w:tcPr>
          <w:p>
            <w:pPr>
              <w:spacing w:after="0"/>
              <w:rPr>
                <w:sz w:val="1"/>
                <w:szCs w:val="1"/>
                <w:color w:val="auto"/>
              </w:rPr>
            </w:pPr>
          </w:p>
        </w:tc>
      </w:tr>
      <w:tr>
        <w:trPr>
          <w:trHeight w:val="499"/>
        </w:trPr>
        <w:tc>
          <w:tcPr>
            <w:tcW w:w="1780" w:type="dxa"/>
            <w:vAlign w:val="bottom"/>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ITEM 4.</w:t>
              </w:r>
            </w:hyperlink>
          </w:p>
        </w:tc>
        <w:tc>
          <w:tcPr>
            <w:tcW w:w="8660" w:type="dxa"/>
            <w:vAlign w:val="bottom"/>
            <w:gridSpan w:val="7"/>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CONTROLS AND PROCEDURES</w:t>
              </w:r>
            </w:hyperlink>
          </w:p>
        </w:tc>
        <w:tc>
          <w:tcPr>
            <w:tcW w:w="460" w:type="dxa"/>
            <w:vAlign w:val="bottom"/>
          </w:tcPr>
          <w:p>
            <w:pPr>
              <w:jc w:val="center"/>
              <w:ind w:left="190"/>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46</w:t>
              </w:r>
            </w:hyperlink>
          </w:p>
        </w:tc>
        <w:tc>
          <w:tcPr>
            <w:tcW w:w="0" w:type="dxa"/>
            <w:vAlign w:val="bottom"/>
          </w:tcPr>
          <w:p>
            <w:pPr>
              <w:spacing w:after="0"/>
              <w:rPr>
                <w:sz w:val="1"/>
                <w:szCs w:val="1"/>
                <w:color w:val="auto"/>
              </w:rPr>
            </w:pPr>
          </w:p>
        </w:tc>
      </w:tr>
      <w:tr>
        <w:trPr>
          <w:trHeight w:val="499"/>
        </w:trPr>
        <w:tc>
          <w:tcPr>
            <w:tcW w:w="1780" w:type="dxa"/>
            <w:vAlign w:val="bottom"/>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PART II.</w:t>
              </w:r>
            </w:hyperlink>
          </w:p>
        </w:tc>
        <w:tc>
          <w:tcPr>
            <w:tcW w:w="8660" w:type="dxa"/>
            <w:vAlign w:val="bottom"/>
            <w:gridSpan w:val="7"/>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OTHER INFORMATION</w:t>
              </w:r>
            </w:hyperlink>
          </w:p>
        </w:tc>
        <w:tc>
          <w:tcPr>
            <w:tcW w:w="460" w:type="dxa"/>
            <w:vAlign w:val="bottom"/>
          </w:tcPr>
          <w:p>
            <w:pPr>
              <w:jc w:val="center"/>
              <w:ind w:left="190"/>
              <w:spacing w:after="0"/>
              <w:rPr>
                <w:rFonts w:ascii="Arial" w:cs="Arial" w:eastAsia="Arial" w:hAnsi="Arial"/>
                <w:sz w:val="18"/>
                <w:szCs w:val="18"/>
                <w:u w:val="single" w:color="auto"/>
                <w:color w:val="0000FF"/>
                <w:w w:val="89"/>
              </w:rPr>
            </w:pPr>
            <w:hyperlink w:anchor="page47">
              <w:r>
                <w:rPr>
                  <w:rFonts w:ascii="Arial" w:cs="Arial" w:eastAsia="Arial" w:hAnsi="Arial"/>
                  <w:sz w:val="18"/>
                  <w:szCs w:val="18"/>
                  <w:u w:val="single" w:color="auto"/>
                  <w:color w:val="0000FF"/>
                  <w:w w:val="89"/>
                </w:rPr>
                <w:t>47</w:t>
              </w:r>
            </w:hyperlink>
          </w:p>
        </w:tc>
        <w:tc>
          <w:tcPr>
            <w:tcW w:w="0" w:type="dxa"/>
            <w:vAlign w:val="bottom"/>
          </w:tcPr>
          <w:p>
            <w:pPr>
              <w:spacing w:after="0"/>
              <w:rPr>
                <w:sz w:val="1"/>
                <w:szCs w:val="1"/>
                <w:color w:val="auto"/>
              </w:rPr>
            </w:pPr>
          </w:p>
        </w:tc>
      </w:tr>
      <w:tr>
        <w:trPr>
          <w:trHeight w:val="500"/>
        </w:trPr>
        <w:tc>
          <w:tcPr>
            <w:tcW w:w="1780" w:type="dxa"/>
            <w:vAlign w:val="bottom"/>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1.</w:t>
              </w:r>
            </w:hyperlink>
          </w:p>
        </w:tc>
        <w:tc>
          <w:tcPr>
            <w:tcW w:w="8660" w:type="dxa"/>
            <w:vAlign w:val="bottom"/>
            <w:gridSpan w:val="7"/>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LEGAL PROCEEDINGS</w:t>
              </w:r>
            </w:hyperlink>
          </w:p>
        </w:tc>
        <w:tc>
          <w:tcPr>
            <w:tcW w:w="460" w:type="dxa"/>
            <w:vAlign w:val="bottom"/>
          </w:tcPr>
          <w:p>
            <w:pPr>
              <w:jc w:val="center"/>
              <w:ind w:left="190"/>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47</w:t>
              </w:r>
            </w:hyperlink>
          </w:p>
        </w:tc>
        <w:tc>
          <w:tcPr>
            <w:tcW w:w="0" w:type="dxa"/>
            <w:vAlign w:val="bottom"/>
          </w:tcPr>
          <w:p>
            <w:pPr>
              <w:spacing w:after="0"/>
              <w:rPr>
                <w:sz w:val="1"/>
                <w:szCs w:val="1"/>
                <w:color w:val="auto"/>
              </w:rPr>
            </w:pPr>
          </w:p>
        </w:tc>
      </w:tr>
      <w:tr>
        <w:trPr>
          <w:trHeight w:val="499"/>
        </w:trPr>
        <w:tc>
          <w:tcPr>
            <w:tcW w:w="1780" w:type="dxa"/>
            <w:vAlign w:val="bottom"/>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1A.</w:t>
              </w:r>
            </w:hyperlink>
          </w:p>
        </w:tc>
        <w:tc>
          <w:tcPr>
            <w:tcW w:w="8660" w:type="dxa"/>
            <w:vAlign w:val="bottom"/>
            <w:gridSpan w:val="7"/>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RISK FACTORS</w:t>
              </w:r>
            </w:hyperlink>
          </w:p>
        </w:tc>
        <w:tc>
          <w:tcPr>
            <w:tcW w:w="460" w:type="dxa"/>
            <w:vAlign w:val="bottom"/>
          </w:tcPr>
          <w:p>
            <w:pPr>
              <w:jc w:val="center"/>
              <w:ind w:left="190"/>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47</w:t>
              </w:r>
            </w:hyperlink>
          </w:p>
        </w:tc>
        <w:tc>
          <w:tcPr>
            <w:tcW w:w="0" w:type="dxa"/>
            <w:vAlign w:val="bottom"/>
          </w:tcPr>
          <w:p>
            <w:pPr>
              <w:spacing w:after="0"/>
              <w:rPr>
                <w:sz w:val="1"/>
                <w:szCs w:val="1"/>
                <w:color w:val="auto"/>
              </w:rPr>
            </w:pPr>
          </w:p>
        </w:tc>
      </w:tr>
      <w:tr>
        <w:trPr>
          <w:trHeight w:val="500"/>
        </w:trPr>
        <w:tc>
          <w:tcPr>
            <w:tcW w:w="1780" w:type="dxa"/>
            <w:vAlign w:val="bottom"/>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2.</w:t>
              </w:r>
            </w:hyperlink>
          </w:p>
        </w:tc>
        <w:tc>
          <w:tcPr>
            <w:tcW w:w="8660" w:type="dxa"/>
            <w:vAlign w:val="bottom"/>
            <w:gridSpan w:val="7"/>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UNREGISTERED SALES OF EQUITY SECURITIES AND USE OF PROCEEDS</w:t>
              </w:r>
            </w:hyperlink>
          </w:p>
        </w:tc>
        <w:tc>
          <w:tcPr>
            <w:tcW w:w="460" w:type="dxa"/>
            <w:vAlign w:val="bottom"/>
          </w:tcPr>
          <w:p>
            <w:pPr>
              <w:jc w:val="center"/>
              <w:ind w:left="190"/>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47</w:t>
              </w:r>
            </w:hyperlink>
          </w:p>
        </w:tc>
        <w:tc>
          <w:tcPr>
            <w:tcW w:w="0" w:type="dxa"/>
            <w:vAlign w:val="bottom"/>
          </w:tcPr>
          <w:p>
            <w:pPr>
              <w:spacing w:after="0"/>
              <w:rPr>
                <w:sz w:val="1"/>
                <w:szCs w:val="1"/>
                <w:color w:val="auto"/>
              </w:rPr>
            </w:pPr>
          </w:p>
        </w:tc>
      </w:tr>
      <w:tr>
        <w:trPr>
          <w:trHeight w:val="499"/>
        </w:trPr>
        <w:tc>
          <w:tcPr>
            <w:tcW w:w="1780" w:type="dxa"/>
            <w:vAlign w:val="bottom"/>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3.</w:t>
              </w:r>
            </w:hyperlink>
          </w:p>
        </w:tc>
        <w:tc>
          <w:tcPr>
            <w:tcW w:w="8660" w:type="dxa"/>
            <w:vAlign w:val="bottom"/>
            <w:gridSpan w:val="7"/>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DEFAULTS UPON SENIOR SECURITIES</w:t>
              </w:r>
            </w:hyperlink>
          </w:p>
        </w:tc>
        <w:tc>
          <w:tcPr>
            <w:tcW w:w="460" w:type="dxa"/>
            <w:vAlign w:val="bottom"/>
          </w:tcPr>
          <w:p>
            <w:pPr>
              <w:jc w:val="center"/>
              <w:ind w:left="190"/>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47</w:t>
              </w:r>
            </w:hyperlink>
          </w:p>
        </w:tc>
        <w:tc>
          <w:tcPr>
            <w:tcW w:w="0" w:type="dxa"/>
            <w:vAlign w:val="bottom"/>
          </w:tcPr>
          <w:p>
            <w:pPr>
              <w:spacing w:after="0"/>
              <w:rPr>
                <w:sz w:val="1"/>
                <w:szCs w:val="1"/>
                <w:color w:val="auto"/>
              </w:rPr>
            </w:pPr>
          </w:p>
        </w:tc>
      </w:tr>
      <w:tr>
        <w:trPr>
          <w:trHeight w:val="500"/>
        </w:trPr>
        <w:tc>
          <w:tcPr>
            <w:tcW w:w="1780" w:type="dxa"/>
            <w:vAlign w:val="bottom"/>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4.</w:t>
              </w:r>
            </w:hyperlink>
          </w:p>
        </w:tc>
        <w:tc>
          <w:tcPr>
            <w:tcW w:w="8660" w:type="dxa"/>
            <w:vAlign w:val="bottom"/>
            <w:gridSpan w:val="7"/>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MINE SAFETY DISCLOSURES</w:t>
              </w:r>
            </w:hyperlink>
          </w:p>
        </w:tc>
        <w:tc>
          <w:tcPr>
            <w:tcW w:w="460" w:type="dxa"/>
            <w:vAlign w:val="bottom"/>
          </w:tcPr>
          <w:p>
            <w:pPr>
              <w:jc w:val="center"/>
              <w:ind w:left="190"/>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47</w:t>
              </w:r>
            </w:hyperlink>
          </w:p>
        </w:tc>
        <w:tc>
          <w:tcPr>
            <w:tcW w:w="0" w:type="dxa"/>
            <w:vAlign w:val="bottom"/>
          </w:tcPr>
          <w:p>
            <w:pPr>
              <w:spacing w:after="0"/>
              <w:rPr>
                <w:sz w:val="1"/>
                <w:szCs w:val="1"/>
                <w:color w:val="auto"/>
              </w:rPr>
            </w:pPr>
          </w:p>
        </w:tc>
      </w:tr>
      <w:tr>
        <w:trPr>
          <w:trHeight w:val="500"/>
        </w:trPr>
        <w:tc>
          <w:tcPr>
            <w:tcW w:w="1780" w:type="dxa"/>
            <w:vAlign w:val="bottom"/>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5.</w:t>
              </w:r>
            </w:hyperlink>
          </w:p>
        </w:tc>
        <w:tc>
          <w:tcPr>
            <w:tcW w:w="8660" w:type="dxa"/>
            <w:vAlign w:val="bottom"/>
            <w:gridSpan w:val="7"/>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OTHER INFORMATION</w:t>
              </w:r>
            </w:hyperlink>
          </w:p>
        </w:tc>
        <w:tc>
          <w:tcPr>
            <w:tcW w:w="460" w:type="dxa"/>
            <w:vAlign w:val="bottom"/>
          </w:tcPr>
          <w:p>
            <w:pPr>
              <w:jc w:val="center"/>
              <w:ind w:left="190"/>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47</w:t>
              </w:r>
            </w:hyperlink>
          </w:p>
        </w:tc>
        <w:tc>
          <w:tcPr>
            <w:tcW w:w="0" w:type="dxa"/>
            <w:vAlign w:val="bottom"/>
          </w:tcPr>
          <w:p>
            <w:pPr>
              <w:spacing w:after="0"/>
              <w:rPr>
                <w:sz w:val="1"/>
                <w:szCs w:val="1"/>
                <w:color w:val="auto"/>
              </w:rPr>
            </w:pPr>
          </w:p>
        </w:tc>
      </w:tr>
      <w:tr>
        <w:trPr>
          <w:trHeight w:val="499"/>
        </w:trPr>
        <w:tc>
          <w:tcPr>
            <w:tcW w:w="1780" w:type="dxa"/>
            <w:vAlign w:val="bottom"/>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6.</w:t>
              </w:r>
            </w:hyperlink>
          </w:p>
        </w:tc>
        <w:tc>
          <w:tcPr>
            <w:tcW w:w="8660" w:type="dxa"/>
            <w:vAlign w:val="bottom"/>
            <w:gridSpan w:val="7"/>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EXHIBITS</w:t>
              </w:r>
            </w:hyperlink>
          </w:p>
        </w:tc>
        <w:tc>
          <w:tcPr>
            <w:tcW w:w="460" w:type="dxa"/>
            <w:vAlign w:val="bottom"/>
          </w:tcPr>
          <w:p>
            <w:pPr>
              <w:jc w:val="center"/>
              <w:ind w:left="190"/>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48</w:t>
              </w:r>
            </w:hyperlink>
          </w:p>
        </w:tc>
        <w:tc>
          <w:tcPr>
            <w:tcW w:w="0" w:type="dxa"/>
            <w:vAlign w:val="bottom"/>
          </w:tcPr>
          <w:p>
            <w:pPr>
              <w:spacing w:after="0"/>
              <w:rPr>
                <w:sz w:val="1"/>
                <w:szCs w:val="1"/>
                <w:color w:val="auto"/>
              </w:rPr>
            </w:pPr>
          </w:p>
        </w:tc>
      </w:tr>
      <w:tr>
        <w:trPr>
          <w:trHeight w:val="500"/>
        </w:trPr>
        <w:tc>
          <w:tcPr>
            <w:tcW w:w="1780" w:type="dxa"/>
            <w:vAlign w:val="bottom"/>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SIGNATURE</w:t>
              </w:r>
            </w:hyperlink>
          </w:p>
        </w:tc>
        <w:tc>
          <w:tcPr>
            <w:tcW w:w="11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jc w:val="center"/>
              <w:ind w:left="190"/>
              <w:spacing w:after="0"/>
              <w:rPr>
                <w:rFonts w:ascii="Arial" w:cs="Arial" w:eastAsia="Arial" w:hAnsi="Arial"/>
                <w:sz w:val="18"/>
                <w:szCs w:val="18"/>
                <w:u w:val="single" w:color="auto"/>
                <w:color w:val="0000FF"/>
                <w:w w:val="89"/>
              </w:rPr>
            </w:pPr>
            <w:hyperlink w:anchor="page49">
              <w:r>
                <w:rPr>
                  <w:rFonts w:ascii="Arial" w:cs="Arial" w:eastAsia="Arial" w:hAnsi="Arial"/>
                  <w:sz w:val="18"/>
                  <w:szCs w:val="18"/>
                  <w:u w:val="single" w:color="auto"/>
                  <w:color w:val="0000FF"/>
                  <w:w w:val="89"/>
                </w:rPr>
                <w:t>49</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30" w:right="65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92"/>
        </w:trPr>
        <w:tc>
          <w:tcPr>
            <w:tcW w:w="8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Real estate investments,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7,240,311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7,100,555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and equipment, used in operations,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94,080</w:t>
            </w:r>
          </w:p>
        </w:tc>
        <w:tc>
          <w:tcPr>
            <w:tcW w:w="0" w:type="dxa"/>
            <w:vAlign w:val="bottom"/>
          </w:tcPr>
          <w:p>
            <w:pPr>
              <w:spacing w:after="0"/>
              <w:rPr>
                <w:sz w:val="1"/>
                <w:szCs w:val="1"/>
                <w:color w:val="auto"/>
              </w:rPr>
            </w:pP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Real estate of Tropicana Las Vegas, net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305,773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Real estate loans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303,684</w:t>
            </w:r>
          </w:p>
        </w:tc>
        <w:tc>
          <w:tcPr>
            <w:tcW w:w="0" w:type="dxa"/>
            <w:vAlign w:val="bottom"/>
          </w:tcPr>
          <w:p>
            <w:pPr>
              <w:spacing w:after="0"/>
              <w:rPr>
                <w:sz w:val="1"/>
                <w:szCs w:val="1"/>
                <w:color w:val="auto"/>
              </w:rPr>
            </w:pP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Right-of-use assets and land rights, net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828,130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838,734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16,067</w:t>
            </w:r>
          </w:p>
        </w:tc>
        <w:tc>
          <w:tcPr>
            <w:tcW w:w="0" w:type="dxa"/>
            <w:vAlign w:val="bottom"/>
          </w:tcPr>
          <w:p>
            <w:pPr>
              <w:spacing w:after="0"/>
              <w:rPr>
                <w:sz w:val="1"/>
                <w:szCs w:val="1"/>
                <w:color w:val="auto"/>
              </w:rPr>
            </w:pP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Other intangible assets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6,056</w:t>
            </w:r>
          </w:p>
        </w:tc>
        <w:tc>
          <w:tcPr>
            <w:tcW w:w="0" w:type="dxa"/>
            <w:vAlign w:val="bottom"/>
          </w:tcPr>
          <w:p>
            <w:pPr>
              <w:spacing w:after="0"/>
              <w:rPr>
                <w:sz w:val="1"/>
                <w:szCs w:val="1"/>
                <w:color w:val="auto"/>
              </w:rPr>
            </w:pP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34,063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34,494</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8,636,983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8,434,298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6,239</w:t>
            </w:r>
          </w:p>
        </w:tc>
        <w:tc>
          <w:tcPr>
            <w:tcW w:w="0" w:type="dxa"/>
            <w:vAlign w:val="bottom"/>
          </w:tcPr>
          <w:p>
            <w:pPr>
              <w:spacing w:after="0"/>
              <w:rPr>
                <w:sz w:val="1"/>
                <w:szCs w:val="1"/>
                <w:color w:val="auto"/>
              </w:rPr>
            </w:pP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83,165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60,695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Accrued salaries and wages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13,821</w:t>
            </w:r>
          </w:p>
        </w:tc>
        <w:tc>
          <w:tcPr>
            <w:tcW w:w="0" w:type="dxa"/>
            <w:vAlign w:val="bottom"/>
          </w:tcPr>
          <w:p>
            <w:pPr>
              <w:spacing w:after="0"/>
              <w:rPr>
                <w:sz w:val="1"/>
                <w:szCs w:val="1"/>
                <w:color w:val="auto"/>
              </w:rPr>
            </w:pP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Gaming, property, and other taxes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8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182,466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183,971</w:t>
            </w: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Long-term debt, net of unamortized debt issuance costs, bond premiums and original issuance discounts</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5,752,252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5,737,962</w:t>
            </w:r>
          </w:p>
        </w:tc>
        <w:tc>
          <w:tcPr>
            <w:tcW w:w="0" w:type="dxa"/>
            <w:vAlign w:val="bottom"/>
          </w:tcPr>
          <w:p>
            <w:pPr>
              <w:spacing w:after="0"/>
              <w:rPr>
                <w:sz w:val="1"/>
                <w:szCs w:val="1"/>
                <w:color w:val="auto"/>
              </w:rPr>
            </w:pP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Deferred rental revenue</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368,850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328,485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29,943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26,651</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6,427,707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6,360,053</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151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Shareholders’ equity</w:t>
      </w:r>
    </w:p>
    <w:p>
      <w:pPr>
        <w:sectPr>
          <w:pgSz w:w="11900" w:h="16838" w:orient="portrait"/>
          <w:cols w:equalWidth="0" w:num="1">
            <w:col w:w="11220"/>
          </w:cols>
          <w:pgMar w:left="320" w:top="130" w:right="359" w:bottom="1440" w:gutter="0" w:footer="0" w:header="0"/>
        </w:sectPr>
      </w:pPr>
    </w:p>
    <w:p>
      <w:pPr>
        <w:spacing w:after="0" w:line="270" w:lineRule="exact"/>
        <w:rPr>
          <w:sz w:val="20"/>
          <w:szCs w:val="20"/>
          <w:color w:val="auto"/>
        </w:rPr>
      </w:pPr>
    </w:p>
    <w:p>
      <w:pPr>
        <w:ind w:left="400" w:right="980"/>
        <w:spacing w:after="0" w:line="235" w:lineRule="auto"/>
        <w:rPr>
          <w:sz w:val="20"/>
          <w:szCs w:val="20"/>
          <w:color w:val="auto"/>
        </w:rPr>
      </w:pPr>
      <w:r>
        <w:rPr>
          <w:rFonts w:ascii="Arial" w:cs="Arial" w:eastAsia="Arial" w:hAnsi="Arial"/>
          <w:sz w:val="18"/>
          <w:szCs w:val="18"/>
          <w:color w:val="auto"/>
        </w:rPr>
        <w:t>Preferred stock ($.01 par value, 50,000,000 shares authorized, no shares issued or outstanding at September 30,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15175"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ind w:left="400" w:right="160"/>
        <w:spacing w:after="0" w:line="234" w:lineRule="auto"/>
        <w:rPr>
          <w:sz w:val="20"/>
          <w:szCs w:val="20"/>
          <w:color w:val="auto"/>
        </w:rPr>
      </w:pPr>
      <w:r>
        <w:rPr>
          <w:rFonts w:ascii="Arial" w:cs="Arial" w:eastAsia="Arial" w:hAnsi="Arial"/>
          <w:sz w:val="18"/>
          <w:szCs w:val="18"/>
          <w:color w:val="auto"/>
        </w:rPr>
        <w:t>Common stock ($.01 par value, 500,000,000 shares authorized, 220,697,128 and 214,694,165 shares issued and outstanding at September 30, 2020 and December 31,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shareholders’ equity</w:t>
      </w:r>
    </w:p>
    <w:p>
      <w:pPr>
        <w:spacing w:after="0" w:line="77" w:lineRule="exact"/>
        <w:rPr>
          <w:sz w:val="20"/>
          <w:szCs w:val="20"/>
          <w:color w:val="auto"/>
        </w:rPr>
      </w:pPr>
    </w:p>
    <w:p>
      <w:pPr>
        <w:ind w:left="20"/>
        <w:spacing w:after="0"/>
        <w:tabs>
          <w:tab w:leader="none" w:pos="8180" w:val="left"/>
        </w:tabs>
        <w:rPr>
          <w:sz w:val="20"/>
          <w:szCs w:val="20"/>
          <w:color w:val="auto"/>
        </w:rPr>
      </w:pPr>
      <w:r>
        <w:rPr>
          <w:rFonts w:ascii="Arial" w:cs="Arial" w:eastAsia="Arial" w:hAnsi="Arial"/>
          <w:sz w:val="18"/>
          <w:szCs w:val="18"/>
          <w:b w:val="1"/>
          <w:bCs w:val="1"/>
          <w:color w:val="auto"/>
        </w:rPr>
        <w:t>Total liabilities and shareholders’ equity</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05"/>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2,207</w:t>
            </w:r>
          </w:p>
        </w:tc>
        <w:tc>
          <w:tcPr>
            <w:tcW w:w="3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2,147</w:t>
            </w:r>
          </w:p>
        </w:tc>
      </w:tr>
      <w:tr>
        <w:trPr>
          <w:trHeight w:val="270"/>
        </w:trPr>
        <w:tc>
          <w:tcPr>
            <w:tcW w:w="1000" w:type="dxa"/>
            <w:vAlign w:val="bottom"/>
          </w:tcPr>
          <w:p>
            <w:pPr>
              <w:jc w:val="right"/>
              <w:ind w:right="110"/>
              <w:spacing w:after="0"/>
              <w:rPr>
                <w:sz w:val="20"/>
                <w:szCs w:val="20"/>
                <w:color w:val="auto"/>
              </w:rPr>
            </w:pPr>
            <w:r>
              <w:rPr>
                <w:rFonts w:ascii="Arial" w:cs="Arial" w:eastAsia="Arial" w:hAnsi="Arial"/>
                <w:sz w:val="18"/>
                <w:szCs w:val="18"/>
                <w:color w:val="auto"/>
                <w:w w:val="97"/>
              </w:rPr>
              <w:t>3,960,861</w:t>
            </w: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3,959,383</w:t>
            </w:r>
          </w:p>
        </w:tc>
      </w:tr>
      <w:tr>
        <w:trPr>
          <w:trHeight w:val="270"/>
        </w:trPr>
        <w:tc>
          <w:tcPr>
            <w:tcW w:w="1000" w:type="dxa"/>
            <w:vAlign w:val="bottom"/>
          </w:tcPr>
          <w:p>
            <w:pPr>
              <w:jc w:val="right"/>
              <w:ind w:right="70"/>
              <w:spacing w:after="0"/>
              <w:rPr>
                <w:sz w:val="20"/>
                <w:szCs w:val="20"/>
                <w:color w:val="auto"/>
              </w:rPr>
            </w:pPr>
            <w:r>
              <w:rPr>
                <w:rFonts w:ascii="Arial" w:cs="Arial" w:eastAsia="Arial" w:hAnsi="Arial"/>
                <w:sz w:val="18"/>
                <w:szCs w:val="18"/>
                <w:color w:val="auto"/>
                <w:w w:val="89"/>
              </w:rPr>
              <w:t>(1,753,792)</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(1,887,285)</w:t>
            </w:r>
          </w:p>
        </w:tc>
      </w:tr>
      <w:tr>
        <w:trPr>
          <w:trHeight w:val="27"/>
        </w:trPr>
        <w:tc>
          <w:tcPr>
            <w:tcW w:w="1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6"/>
        </w:trPr>
        <w:tc>
          <w:tcPr>
            <w:tcW w:w="1000" w:type="dxa"/>
            <w:vAlign w:val="bottom"/>
          </w:tcPr>
          <w:p>
            <w:pPr>
              <w:jc w:val="right"/>
              <w:ind w:right="110"/>
              <w:spacing w:after="0"/>
              <w:rPr>
                <w:sz w:val="20"/>
                <w:szCs w:val="20"/>
                <w:color w:val="auto"/>
              </w:rPr>
            </w:pPr>
            <w:r>
              <w:rPr>
                <w:rFonts w:ascii="Arial" w:cs="Arial" w:eastAsia="Arial" w:hAnsi="Arial"/>
                <w:sz w:val="18"/>
                <w:szCs w:val="18"/>
                <w:color w:val="auto"/>
                <w:w w:val="97"/>
              </w:rPr>
              <w:t>2,209,276</w:t>
            </w: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2,074,245</w:t>
            </w:r>
          </w:p>
        </w:tc>
      </w:tr>
      <w:tr>
        <w:trPr>
          <w:trHeight w:val="27"/>
        </w:trPr>
        <w:tc>
          <w:tcPr>
            <w:tcW w:w="1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6"/>
        </w:trPr>
        <w:tc>
          <w:tcPr>
            <w:tcW w:w="1000" w:type="dxa"/>
            <w:vAlign w:val="bottom"/>
          </w:tcPr>
          <w:p>
            <w:pPr>
              <w:jc w:val="right"/>
              <w:ind w:right="110"/>
              <w:spacing w:after="0"/>
              <w:rPr>
                <w:sz w:val="20"/>
                <w:szCs w:val="20"/>
                <w:color w:val="auto"/>
              </w:rPr>
            </w:pPr>
            <w:r>
              <w:rPr>
                <w:rFonts w:ascii="Arial" w:cs="Arial" w:eastAsia="Arial" w:hAnsi="Arial"/>
                <w:sz w:val="18"/>
                <w:szCs w:val="18"/>
                <w:color w:val="auto"/>
                <w:w w:val="97"/>
              </w:rPr>
              <w:t>8,636,983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8,434,298</w:t>
            </w:r>
          </w:p>
        </w:tc>
      </w:tr>
      <w:tr>
        <w:trPr>
          <w:trHeight w:val="27"/>
        </w:trPr>
        <w:tc>
          <w:tcPr>
            <w:tcW w:w="1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-33655</wp:posOffset>
            </wp:positionV>
            <wp:extent cx="9258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-8255</wp:posOffset>
            </wp:positionV>
            <wp:extent cx="9258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-213995</wp:posOffset>
            </wp:positionV>
            <wp:extent cx="9258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460"/>
            <w:col w:w="2460"/>
          </w:cols>
          <w:pgMar w:left="320" w:top="130" w:right="359" w:bottom="1440" w:gutter="0" w:footer="0" w:header="0"/>
          <w:type w:val="continuous"/>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condensed consolidated financial statements.</w:t>
      </w:r>
    </w:p>
    <w:p>
      <w:pPr>
        <w:sectPr>
          <w:pgSz w:w="11900" w:h="16838" w:orient="portrait"/>
          <w:cols w:equalWidth="0" w:num="1">
            <w:col w:w="11220"/>
          </w:cols>
          <w:pgMar w:left="320" w:top="130" w:right="35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5" w:name="page6"/>
    <w:bookmarkEnd w:id="5"/>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96"/>
        </w:trPr>
        <w:tc>
          <w:tcPr>
            <w:tcW w:w="52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36"/>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200" w:type="dxa"/>
            <w:vAlign w:val="bottom"/>
          </w:tcPr>
          <w:p>
            <w:pPr>
              <w:ind w:left="10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267,555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248,789</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762,711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745,030</w:t>
            </w: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Interest income from real estate loans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21,600</w:t>
            </w:r>
          </w:p>
        </w:tc>
      </w:tr>
      <w:tr>
        <w:trPr>
          <w:trHeight w:val="264"/>
        </w:trPr>
        <w:tc>
          <w:tcPr>
            <w:tcW w:w="5200" w:type="dxa"/>
            <w:vAlign w:val="bottom"/>
          </w:tcPr>
          <w:p>
            <w:pPr>
              <w:spacing w:after="0"/>
              <w:rPr>
                <w:sz w:val="20"/>
                <w:szCs w:val="20"/>
                <w:color w:val="auto"/>
              </w:rPr>
            </w:pPr>
            <w:r>
              <w:rPr>
                <w:rFonts w:ascii="Arial" w:cs="Arial" w:eastAsia="Arial" w:hAnsi="Arial"/>
                <w:sz w:val="18"/>
                <w:szCs w:val="18"/>
                <w:color w:val="auto"/>
              </w:rPr>
              <w:t>Total income from real estate</w:t>
            </w:r>
          </w:p>
        </w:tc>
        <w:tc>
          <w:tcPr>
            <w:tcW w:w="2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273,129</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255,995</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781,841</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766,630</w:t>
            </w:r>
          </w:p>
        </w:tc>
      </w:tr>
      <w:tr>
        <w:trPr>
          <w:trHeight w:val="270"/>
        </w:trPr>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34,425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71,163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97,859</w:t>
            </w: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307,554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287,612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853,004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864,489</w:t>
            </w: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5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56,739</w:t>
            </w:r>
          </w:p>
        </w:tc>
      </w:tr>
      <w:tr>
        <w:trPr>
          <w:trHeight w:val="243"/>
        </w:trPr>
        <w:tc>
          <w:tcPr>
            <w:tcW w:w="5200" w:type="dxa"/>
            <w:vAlign w:val="bottom"/>
          </w:tcPr>
          <w:p>
            <w:pPr>
              <w:ind w:left="100"/>
              <w:spacing w:after="0"/>
              <w:rPr>
                <w:sz w:val="20"/>
                <w:szCs w:val="20"/>
                <w:color w:val="auto"/>
              </w:rPr>
            </w:pPr>
            <w:r>
              <w:rPr>
                <w:rFonts w:ascii="Arial" w:cs="Arial" w:eastAsia="Arial" w:hAnsi="Arial"/>
                <w:sz w:val="18"/>
                <w:szCs w:val="18"/>
                <w:color w:val="auto"/>
              </w:rPr>
              <w:t>Land rights and ground lease expense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9,094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21,943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33,572</w:t>
            </w: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48,266</w:t>
            </w:r>
          </w:p>
        </w:tc>
      </w:tr>
      <w:tr>
        <w:trPr>
          <w:trHeight w:val="243"/>
        </w:trPr>
        <w:tc>
          <w:tcPr>
            <w:tcW w:w="5200" w:type="dxa"/>
            <w:vAlign w:val="bottom"/>
          </w:tcPr>
          <w:p>
            <w:pPr>
              <w:ind w:left="10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58,080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57,302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172,033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183,745</w:t>
            </w: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Loan impairment charges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106,853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99,987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285,237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335,322</w:t>
            </w:r>
          </w:p>
        </w:tc>
      </w:tr>
      <w:tr>
        <w:trPr>
          <w:trHeight w:val="27"/>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187,625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567,767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529,167</w:t>
            </w:r>
          </w:p>
        </w:tc>
      </w:tr>
      <w:tr>
        <w:trPr>
          <w:trHeight w:val="196"/>
        </w:trPr>
        <w:tc>
          <w:tcPr>
            <w:tcW w:w="5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50"/>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income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(70,179)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(75,111)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(211,657)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(228,362)</w:t>
            </w: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43"/>
        </w:trPr>
        <w:tc>
          <w:tcPr>
            <w:tcW w:w="5200" w:type="dxa"/>
            <w:vAlign w:val="bottom"/>
          </w:tcPr>
          <w:p>
            <w:pPr>
              <w:ind w:left="120"/>
              <w:spacing w:after="0"/>
              <w:rPr>
                <w:sz w:val="20"/>
                <w:szCs w:val="20"/>
                <w:color w:val="auto"/>
              </w:rPr>
            </w:pPr>
            <w:r>
              <w:rPr>
                <w:rFonts w:ascii="Arial" w:cs="Arial" w:eastAsia="Arial" w:hAnsi="Arial"/>
                <w:sz w:val="18"/>
                <w:szCs w:val="18"/>
                <w:color w:val="auto"/>
              </w:rPr>
              <w:t>Losses on debt extinguishment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(21,014)</w:t>
            </w:r>
          </w:p>
        </w:tc>
      </w:tr>
      <w:tr>
        <w:trPr>
          <w:trHeight w:val="27"/>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(70,936)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(248,804)</w:t>
            </w:r>
          </w:p>
        </w:tc>
      </w:tr>
      <w:tr>
        <w:trPr>
          <w:trHeight w:val="236"/>
        </w:trPr>
        <w:tc>
          <w:tcPr>
            <w:tcW w:w="5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50"/>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338,488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280,363</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3,773</w:t>
            </w:r>
          </w:p>
        </w:tc>
      </w:tr>
      <w:tr>
        <w:trPr>
          <w:trHeight w:val="27"/>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127,126</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90,547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336,370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276,590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0"/>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5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5"/>
          </w:tcPr>
          <w:p>
            <w:pPr>
              <w:ind w:left="940"/>
              <w:spacing w:after="0"/>
              <w:rPr>
                <w:sz w:val="20"/>
                <w:szCs w:val="20"/>
                <w:color w:val="auto"/>
              </w:rPr>
            </w:pPr>
            <w:r>
              <w:rPr>
                <w:rFonts w:ascii="Arial" w:cs="Arial" w:eastAsia="Arial" w:hAnsi="Arial"/>
                <w:sz w:val="14"/>
                <w:szCs w:val="14"/>
                <w:b w:val="1"/>
                <w:bCs w:val="1"/>
                <w:color w:val="auto"/>
                <w:w w:val="89"/>
              </w:rPr>
              <w:t>Common Stock</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13"/>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3"/>
            <w:vMerge w:val="restart"/>
          </w:tcPr>
          <w:p>
            <w:pPr>
              <w:jc w:val="center"/>
              <w:ind w:right="340"/>
              <w:spacing w:after="0" w:line="126" w:lineRule="exact"/>
              <w:rPr>
                <w:sz w:val="20"/>
                <w:szCs w:val="20"/>
                <w:color w:val="auto"/>
              </w:rPr>
            </w:pPr>
            <w:r>
              <w:rPr>
                <w:rFonts w:ascii="Arial" w:cs="Arial" w:eastAsia="Arial" w:hAnsi="Arial"/>
                <w:sz w:val="14"/>
                <w:szCs w:val="14"/>
                <w:b w:val="1"/>
                <w:bCs w:val="1"/>
                <w:color w:val="auto"/>
                <w:w w:val="98"/>
              </w:rPr>
              <w:t>Paid-In</w:t>
            </w: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gridSpan w:val="3"/>
            <w:vMerge w:val="restart"/>
          </w:tcPr>
          <w:p>
            <w:pPr>
              <w:jc w:val="center"/>
              <w:ind w:right="320"/>
              <w:spacing w:after="0" w:line="126" w:lineRule="exact"/>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vMerge w:val="restart"/>
          </w:tcPr>
          <w:p>
            <w:pPr>
              <w:jc w:val="center"/>
              <w:ind w:right="113"/>
              <w:spacing w:after="0" w:line="126" w:lineRule="exact"/>
              <w:rPr>
                <w:sz w:val="20"/>
                <w:szCs w:val="20"/>
                <w:color w:val="auto"/>
              </w:rPr>
            </w:pPr>
            <w:r>
              <w:rPr>
                <w:rFonts w:ascii="Arial" w:cs="Arial" w:eastAsia="Arial" w:hAnsi="Arial"/>
                <w:sz w:val="14"/>
                <w:szCs w:val="14"/>
                <w:b w:val="1"/>
                <w:bCs w:val="1"/>
                <w:color w:val="auto"/>
                <w:w w:val="92"/>
              </w:rPr>
              <w:t>Shareholders’</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4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6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13"/>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3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214,694,165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3,959,383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(1,887,285)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2,074,245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840" w:type="dxa"/>
            <w:vAlign w:val="bottom"/>
          </w:tcPr>
          <w:p>
            <w:pPr>
              <w:ind w:left="140"/>
              <w:spacing w:after="0" w:line="176" w:lineRule="exact"/>
              <w:rPr>
                <w:sz w:val="20"/>
                <w:szCs w:val="20"/>
                <w:color w:val="auto"/>
              </w:rPr>
            </w:pPr>
            <w:r>
              <w:rPr>
                <w:rFonts w:ascii="Arial" w:cs="Arial" w:eastAsia="Arial" w:hAnsi="Arial"/>
                <w:sz w:val="18"/>
                <w:szCs w:val="18"/>
                <w:color w:val="auto"/>
                <w:w w:val="95"/>
              </w:rPr>
              <w:t>ATM Program issuance of common stock, net of</w:t>
            </w: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color w:val="auto"/>
              </w:rPr>
              <w:t>7,971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costs</w:t>
            </w:r>
          </w:p>
        </w:tc>
        <w:tc>
          <w:tcPr>
            <w:tcW w:w="136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activity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405,093</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40" w:type="dxa"/>
            <w:vAlign w:val="bottom"/>
          </w:tcPr>
          <w:p>
            <w:pPr>
              <w:ind w:left="140"/>
              <w:spacing w:after="0"/>
              <w:rPr>
                <w:sz w:val="20"/>
                <w:szCs w:val="20"/>
                <w:color w:val="auto"/>
              </w:rPr>
            </w:pPr>
            <w:r>
              <w:rPr>
                <w:rFonts w:ascii="Arial" w:cs="Arial" w:eastAsia="Arial" w:hAnsi="Arial"/>
                <w:sz w:val="18"/>
                <w:szCs w:val="18"/>
                <w:color w:val="auto"/>
              </w:rPr>
              <w:t>Dividends paid ($0.70 per common share)</w:t>
            </w:r>
          </w:p>
        </w:tc>
        <w:tc>
          <w:tcPr>
            <w:tcW w:w="20" w:type="dxa"/>
            <w:vAlign w:val="bottom"/>
          </w:tcPr>
          <w:p>
            <w:pPr>
              <w:spacing w:after="0"/>
              <w:rPr>
                <w:sz w:val="23"/>
                <w:szCs w:val="23"/>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(150,796)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(150,796)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96,894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Balance, March 31, 2020</w:t>
            </w: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215,107,229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3,951,341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(1,941,187)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2,012,305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Program offering costs</w:t>
            </w:r>
          </w:p>
        </w:tc>
        <w:tc>
          <w:tcPr>
            <w:tcW w:w="2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40" w:type="dxa"/>
            <w:vAlign w:val="bottom"/>
          </w:tcPr>
          <w:p>
            <w:pPr>
              <w:ind w:left="140"/>
              <w:spacing w:after="0"/>
              <w:rPr>
                <w:sz w:val="20"/>
                <w:szCs w:val="20"/>
                <w:color w:val="auto"/>
              </w:rPr>
            </w:pPr>
            <w:r>
              <w:rPr>
                <w:rFonts w:ascii="Arial" w:cs="Arial" w:eastAsia="Arial" w:hAnsi="Arial"/>
                <w:sz w:val="18"/>
                <w:szCs w:val="18"/>
                <w:color w:val="auto"/>
              </w:rPr>
              <w:t>Restricted stock activity</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12,056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($0.60 per common share)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2,701,952</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(25,869)</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23"/>
                <w:szCs w:val="23"/>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112,350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112,350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13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217,821,237</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3,955,293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(1,854,706)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2,102,765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40" w:type="dxa"/>
            <w:vAlign w:val="bottom"/>
          </w:tcPr>
          <w:p>
            <w:pPr>
              <w:ind w:left="140"/>
              <w:spacing w:after="0"/>
              <w:rPr>
                <w:sz w:val="20"/>
                <w:szCs w:val="20"/>
                <w:color w:val="auto"/>
              </w:rPr>
            </w:pPr>
            <w:r>
              <w:rPr>
                <w:rFonts w:ascii="Arial" w:cs="Arial" w:eastAsia="Arial" w:hAnsi="Arial"/>
                <w:sz w:val="18"/>
                <w:szCs w:val="18"/>
                <w:color w:val="auto"/>
              </w:rPr>
              <w:t>ATM Program offering costs</w:t>
            </w:r>
          </w:p>
        </w:tc>
        <w:tc>
          <w:tcPr>
            <w:tcW w:w="20" w:type="dxa"/>
            <w:vAlign w:val="bottom"/>
          </w:tcPr>
          <w:p>
            <w:pPr>
              <w:spacing w:after="0"/>
              <w:rPr>
                <w:sz w:val="23"/>
                <w:szCs w:val="23"/>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activity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102,441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40" w:type="dxa"/>
            <w:vAlign w:val="bottom"/>
          </w:tcPr>
          <w:p>
            <w:pPr>
              <w:ind w:left="140"/>
              <w:spacing w:after="0"/>
              <w:rPr>
                <w:sz w:val="20"/>
                <w:szCs w:val="20"/>
                <w:color w:val="auto"/>
              </w:rPr>
            </w:pPr>
            <w:r>
              <w:rPr>
                <w:rFonts w:ascii="Arial" w:cs="Arial" w:eastAsia="Arial" w:hAnsi="Arial"/>
                <w:sz w:val="18"/>
                <w:szCs w:val="18"/>
                <w:color w:val="auto"/>
              </w:rPr>
              <w:t>Dividends paid ($0.60 per common share)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2,773,450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127,126</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Balance, September 30, 2020</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220,697,128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2,207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3,960,861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(1,753,792)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2,209,276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gridSpan w:val="8"/>
          </w:tcPr>
          <w:p>
            <w:pPr>
              <w:ind w:left="96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73"/>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3"/>
            <w:vMerge w:val="restart"/>
          </w:tcPr>
          <w:p>
            <w:pPr>
              <w:jc w:val="center"/>
              <w:ind w:right="300"/>
              <w:spacing w:after="0" w:line="126" w:lineRule="exact"/>
              <w:rPr>
                <w:sz w:val="20"/>
                <w:szCs w:val="20"/>
                <w:color w:val="auto"/>
              </w:rPr>
            </w:pPr>
            <w:r>
              <w:rPr>
                <w:rFonts w:ascii="Arial" w:cs="Arial" w:eastAsia="Arial" w:hAnsi="Arial"/>
                <w:sz w:val="14"/>
                <w:szCs w:val="14"/>
                <w:b w:val="1"/>
                <w:bCs w:val="1"/>
                <w:color w:val="auto"/>
                <w:w w:val="98"/>
              </w:rPr>
              <w:t>Paid-In</w:t>
            </w: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gridSpan w:val="3"/>
            <w:vMerge w:val="restart"/>
          </w:tcPr>
          <w:p>
            <w:pPr>
              <w:jc w:val="center"/>
              <w:ind w:right="280"/>
              <w:spacing w:after="0" w:line="126" w:lineRule="exact"/>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vMerge w:val="restart"/>
          </w:tcPr>
          <w:p>
            <w:pPr>
              <w:jc w:val="center"/>
              <w:ind w:right="73"/>
              <w:spacing w:after="0" w:line="126" w:lineRule="exact"/>
              <w:rPr>
                <w:sz w:val="20"/>
                <w:szCs w:val="20"/>
                <w:color w:val="auto"/>
              </w:rPr>
            </w:pPr>
            <w:r>
              <w:rPr>
                <w:rFonts w:ascii="Arial" w:cs="Arial" w:eastAsia="Arial" w:hAnsi="Arial"/>
                <w:sz w:val="14"/>
                <w:szCs w:val="14"/>
                <w:b w:val="1"/>
                <w:bCs w:val="1"/>
                <w:color w:val="auto"/>
                <w:w w:val="92"/>
              </w:rPr>
              <w:t>Shareholders’</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4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3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214,211,932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3,952,503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(1,689,038)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2,265,607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Stock option activity</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26,799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activity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406,769</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Dividends paid ($0.68 per common share)</w:t>
            </w:r>
          </w:p>
        </w:tc>
        <w:tc>
          <w:tcPr>
            <w:tcW w:w="20" w:type="dxa"/>
            <w:vAlign w:val="bottom"/>
          </w:tcPr>
          <w:p>
            <w:pPr>
              <w:spacing w:after="0"/>
              <w:rPr>
                <w:sz w:val="23"/>
                <w:szCs w:val="23"/>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(146,202)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(146,202)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23"/>
                <w:szCs w:val="23"/>
                <w:color w:val="auto"/>
              </w:rPr>
            </w:pPr>
          </w:p>
        </w:tc>
        <w:tc>
          <w:tcPr>
            <w:tcW w:w="13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93,010</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93,010</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Balance, March 31, 2019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214,645,500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2,146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3,947,768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(1,742,230)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2,207,684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activity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27,635</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Dividends paid ($0.68 per common share)</w:t>
            </w:r>
          </w:p>
        </w:tc>
        <w:tc>
          <w:tcPr>
            <w:tcW w:w="20" w:type="dxa"/>
            <w:vAlign w:val="bottom"/>
          </w:tcPr>
          <w:p>
            <w:pPr>
              <w:spacing w:after="0"/>
              <w:rPr>
                <w:sz w:val="23"/>
                <w:szCs w:val="23"/>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(146,212)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(146,212)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23"/>
                <w:szCs w:val="23"/>
                <w:color w:val="auto"/>
              </w:rPr>
            </w:pPr>
          </w:p>
        </w:tc>
        <w:tc>
          <w:tcPr>
            <w:tcW w:w="13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93,033</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93,033</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Balance, June 30, 2019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214,673,135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2,147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3,951,949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(1,795,409)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2,158,687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ATM Program offering costs</w:t>
            </w: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Stock option activity</w:t>
            </w:r>
          </w:p>
        </w:tc>
        <w:tc>
          <w:tcPr>
            <w:tcW w:w="20" w:type="dxa"/>
            <w:vAlign w:val="bottom"/>
          </w:tcPr>
          <w:p>
            <w:pPr>
              <w:spacing w:after="0"/>
              <w:rPr>
                <w:sz w:val="23"/>
                <w:szCs w:val="23"/>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activity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Dividends paid ($0.68 per common share)</w:t>
            </w:r>
          </w:p>
        </w:tc>
        <w:tc>
          <w:tcPr>
            <w:tcW w:w="20" w:type="dxa"/>
            <w:vAlign w:val="bottom"/>
          </w:tcPr>
          <w:p>
            <w:pPr>
              <w:spacing w:after="0"/>
              <w:rPr>
                <w:sz w:val="21"/>
                <w:szCs w:val="21"/>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(146,208)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(146,208)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23"/>
                <w:szCs w:val="23"/>
                <w:color w:val="auto"/>
              </w:rPr>
            </w:pPr>
          </w:p>
        </w:tc>
        <w:tc>
          <w:tcPr>
            <w:tcW w:w="13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90,547</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90,547</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Balance, September 30, 2019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214,682,856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2,147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3,955,555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(1,851,070)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2,106,632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7" w:name="page8"/>
    <w:bookmarkEnd w:id="7"/>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2019</w:t>
            </w:r>
          </w:p>
        </w:tc>
      </w:tr>
      <w:tr>
        <w:trPr>
          <w:trHeight w:val="148"/>
        </w:trPr>
        <w:tc>
          <w:tcPr>
            <w:tcW w:w="8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336,370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276,590</w:t>
            </w:r>
          </w:p>
        </w:tc>
      </w:tr>
      <w:tr>
        <w:trPr>
          <w:trHeight w:val="243"/>
        </w:trPr>
        <w:tc>
          <w:tcPr>
            <w:tcW w:w="8180" w:type="dxa"/>
            <w:vAlign w:val="bottom"/>
            <w:gridSpan w:val="2"/>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199,261</w:t>
            </w:r>
          </w:p>
        </w:tc>
      </w:tr>
      <w:tr>
        <w:trPr>
          <w:trHeight w:val="243"/>
        </w:trPr>
        <w:tc>
          <w:tcPr>
            <w:tcW w:w="8180" w:type="dxa"/>
            <w:vAlign w:val="bottom"/>
            <w:gridSpan w:val="2"/>
          </w:tcPr>
          <w:p>
            <w:pPr>
              <w:ind w:left="340"/>
              <w:spacing w:after="0"/>
              <w:rPr>
                <w:sz w:val="20"/>
                <w:szCs w:val="20"/>
                <w:color w:val="auto"/>
              </w:rPr>
            </w:pPr>
            <w:r>
              <w:rPr>
                <w:rFonts w:ascii="Arial" w:cs="Arial" w:eastAsia="Arial" w:hAnsi="Arial"/>
                <w:sz w:val="18"/>
                <w:szCs w:val="18"/>
                <w:color w:val="auto"/>
              </w:rPr>
              <w:t>Amortization of debt issuance costs, bond premiums and original issuance discounts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8,597</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(Gains) losses on dispositions of property</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r>
      <w:tr>
        <w:trPr>
          <w:trHeight w:val="243"/>
        </w:trPr>
        <w:tc>
          <w:tcPr>
            <w:tcW w:w="818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(528)</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12,353</w:t>
            </w:r>
          </w:p>
        </w:tc>
      </w:tr>
      <w:tr>
        <w:trPr>
          <w:trHeight w:val="243"/>
        </w:trPr>
        <w:tc>
          <w:tcPr>
            <w:tcW w:w="8180" w:type="dxa"/>
            <w:vAlign w:val="bottom"/>
            <w:gridSpan w:val="2"/>
          </w:tcPr>
          <w:p>
            <w:pPr>
              <w:ind w:left="340"/>
              <w:spacing w:after="0"/>
              <w:rPr>
                <w:sz w:val="20"/>
                <w:szCs w:val="20"/>
                <w:color w:val="auto"/>
              </w:rPr>
            </w:pPr>
            <w:r>
              <w:rPr>
                <w:rFonts w:ascii="Arial" w:cs="Arial" w:eastAsia="Arial" w:hAnsi="Arial"/>
                <w:sz w:val="18"/>
                <w:szCs w:val="18"/>
                <w:color w:val="auto"/>
              </w:rPr>
              <w:t>Straight-line rent adjustments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25,930</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 recognized</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(272,529)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gridSpan w:val="2"/>
          </w:tcPr>
          <w:p>
            <w:pPr>
              <w:ind w:left="340"/>
              <w:spacing w:after="0"/>
              <w:rPr>
                <w:sz w:val="20"/>
                <w:szCs w:val="20"/>
                <w:color w:val="auto"/>
              </w:rPr>
            </w:pPr>
            <w:r>
              <w:rPr>
                <w:rFonts w:ascii="Arial" w:cs="Arial" w:eastAsia="Arial" w:hAnsi="Arial"/>
                <w:sz w:val="18"/>
                <w:szCs w:val="18"/>
                <w:color w:val="auto"/>
              </w:rPr>
              <w:t>Losses on debt extinguishment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21,014</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Loan impairment charges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13,000</w:t>
            </w:r>
          </w:p>
        </w:tc>
      </w:tr>
      <w:tr>
        <w:trPr>
          <w:trHeight w:val="16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50"/>
        </w:trPr>
        <w:tc>
          <w:tcPr>
            <w:tcW w:w="8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(Increase), decrease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gridSpan w:val="2"/>
          </w:tcPr>
          <w:p>
            <w:pPr>
              <w:ind w:left="54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(2,123)</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Increase, (decrease)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gridSpan w:val="2"/>
          </w:tcPr>
          <w:p>
            <w:pPr>
              <w:ind w:left="54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(2,345)</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w:t>
            </w:r>
          </w:p>
        </w:tc>
      </w:tr>
      <w:tr>
        <w:trPr>
          <w:trHeight w:val="243"/>
        </w:trPr>
        <w:tc>
          <w:tcPr>
            <w:tcW w:w="8180" w:type="dxa"/>
            <w:vAlign w:val="bottom"/>
            <w:gridSpan w:val="2"/>
          </w:tcPr>
          <w:p>
            <w:pPr>
              <w:ind w:left="540"/>
              <w:spacing w:after="0"/>
              <w:rPr>
                <w:sz w:val="20"/>
                <w:szCs w:val="20"/>
                <w:color w:val="auto"/>
              </w:rPr>
            </w:pPr>
            <w:r>
              <w:rPr>
                <w:rFonts w:ascii="Arial" w:cs="Arial" w:eastAsia="Arial" w:hAnsi="Arial"/>
                <w:sz w:val="18"/>
                <w:szCs w:val="18"/>
                <w:color w:val="auto"/>
              </w:rPr>
              <w:t>Accrued interest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39,195</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Accrued salaries and wages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(6,795)</w:t>
            </w:r>
          </w:p>
        </w:tc>
      </w:tr>
      <w:tr>
        <w:trPr>
          <w:trHeight w:val="243"/>
        </w:trPr>
        <w:tc>
          <w:tcPr>
            <w:tcW w:w="8180" w:type="dxa"/>
            <w:vAlign w:val="bottom"/>
            <w:gridSpan w:val="2"/>
          </w:tcPr>
          <w:p>
            <w:pPr>
              <w:ind w:left="540"/>
              <w:spacing w:after="0"/>
              <w:rPr>
                <w:sz w:val="20"/>
                <w:szCs w:val="20"/>
                <w:color w:val="auto"/>
              </w:rPr>
            </w:pPr>
            <w:r>
              <w:rPr>
                <w:rFonts w:ascii="Arial" w:cs="Arial" w:eastAsia="Arial" w:hAnsi="Arial"/>
                <w:sz w:val="18"/>
                <w:szCs w:val="18"/>
                <w:color w:val="auto"/>
              </w:rPr>
              <w:t>Gaming, property and other taxes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gridSpan w:val="2"/>
          </w:tcPr>
          <w:p>
            <w:pPr>
              <w:ind w:left="54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(1,340)</w:t>
            </w:r>
          </w:p>
        </w:tc>
      </w:tr>
      <w:tr>
        <w:trPr>
          <w:trHeight w:val="27"/>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310,531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583,686</w:t>
            </w: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 maintenance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r>
      <w:tr>
        <w:trPr>
          <w:trHeight w:val="243"/>
        </w:trPr>
        <w:tc>
          <w:tcPr>
            <w:tcW w:w="8180" w:type="dxa"/>
            <w:vAlign w:val="bottom"/>
            <w:gridSpan w:val="2"/>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210</w:t>
            </w:r>
          </w:p>
        </w:tc>
      </w:tr>
      <w:tr>
        <w:trPr>
          <w:trHeight w:val="27"/>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(438,622)</w:t>
            </w:r>
          </w:p>
        </w:tc>
      </w:tr>
      <w:tr>
        <w:trPr>
          <w:trHeight w:val="270"/>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Taxes paid related to shares withheld for tax purposes on restricted stock award vestings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(15,291)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(9,057)</w:t>
            </w:r>
          </w:p>
        </w:tc>
      </w:tr>
      <w:tr>
        <w:trPr>
          <w:trHeight w:val="250"/>
        </w:trPr>
        <w:tc>
          <w:tcPr>
            <w:tcW w:w="81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issuance of stock from ATM Program net of offering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43"/>
        </w:trPr>
        <w:tc>
          <w:tcPr>
            <w:tcW w:w="8180" w:type="dxa"/>
            <w:vAlign w:val="bottom"/>
            <w:gridSpan w:val="2"/>
          </w:tcPr>
          <w:p>
            <w:pPr>
              <w:ind w:left="12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2,076,383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1,312,853</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Financing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(10,005)</w:t>
            </w:r>
          </w:p>
        </w:tc>
      </w:tr>
      <w:tr>
        <w:trPr>
          <w:trHeight w:val="243"/>
        </w:trPr>
        <w:tc>
          <w:tcPr>
            <w:tcW w:w="8180" w:type="dxa"/>
            <w:vAlign w:val="bottom"/>
            <w:gridSpan w:val="2"/>
          </w:tcPr>
          <w:p>
            <w:pPr>
              <w:ind w:left="120"/>
              <w:spacing w:after="0"/>
              <w:rPr>
                <w:sz w:val="20"/>
                <w:szCs w:val="20"/>
                <w:color w:val="auto"/>
              </w:rPr>
            </w:pPr>
            <w:r>
              <w:rPr>
                <w:rFonts w:ascii="Arial" w:cs="Arial" w:eastAsia="Arial" w:hAnsi="Arial"/>
                <w:sz w:val="18"/>
                <w:szCs w:val="18"/>
                <w:color w:val="auto"/>
              </w:rPr>
              <w:t>Repayments of long-term debt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(2,060,850)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(1,417,918)</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Premium and related costs paid on tender of senior unsecured notes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(18,879)</w:t>
            </w:r>
          </w:p>
        </w:tc>
      </w:tr>
      <w:tr>
        <w:trPr>
          <w:trHeight w:val="236"/>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(229,846)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(581,867)</w:t>
            </w:r>
          </w:p>
        </w:tc>
      </w:tr>
      <w:tr>
        <w:trPr>
          <w:trHeight w:val="27"/>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25,783</w:t>
            </w:r>
          </w:p>
        </w:tc>
      </w:tr>
      <w:tr>
        <w:trPr>
          <w:trHeight w:val="27"/>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105,894</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25,556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See Note 17 to the condensed consolidated financial statements for supplemental cash flow information and noncash investing and financing activities.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8" w:name="page9"/>
    <w:bookmarkEnd w:id="8"/>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Operations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Gaming and Leisure Properties, Inc. ("GLPI") is a self-administered and self-managed Pennsylvania real estate investment trust ("REIT"). GLPI (together with its subsidiaries, the "Company") was incorporated on February 13, 2013, as a wholly-owned subsidiary of Penn National Gaming, Inc. (NASDAQ: PENN)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Arial" w:cs="Arial" w:eastAsia="Arial" w:hAnsi="Arial"/>
          <w:sz w:val="17"/>
          <w:szCs w:val="17"/>
          <w:i w:val="1"/>
          <w:iCs w:val="1"/>
          <w:color w:val="auto"/>
        </w:rPr>
        <w:t>Spinoffs and Reverse Spinoffs.</w:t>
      </w:r>
    </w:p>
    <w:p>
      <w:pPr>
        <w:spacing w:after="0" w:line="2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w:t>
      </w:r>
    </w:p>
    <w:p>
      <w:pPr>
        <w:spacing w:after="0" w:line="20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As a result of the Spin-Off, GLPI owns substantially all of Penn’s former real property assets (as of the consummation of the Spin-Off) and leases back most of those assets to Penn for use by its subsidiaries, under a unitary master lease, a triple-net operating lease with an initial term of 15 years (expiring October 31, 2028), with no purchase option, followed by four 5-year renewal options (exercisable by Penn) on the same terms and conditions (the "Penn Master Lease"), and GLPI also owns and operates the TRS Properties through an indirect wholly-owned subsidiary, GLP Holdings, Inc. In April 2016, the Company acquired substantially all of the real estate assets of Pinnacle Entertainment, Inc. ("Pinnacle") for approximately $4.8 billion. GLPI originally leased these assets back to Pinnacle, under a unitary triple-net lease with an initial term of 10 years (expiring April 30, 2026), with no purchase option, followed by five 5-year renewal options (exercisable by Pinnacle) on the same terms and conditions (the "Pinnacle Master Lease"). On October 15, 2018, the Company completed its previously announced transactions with Penn, Pinnacle and Boyd Gaming Corporation (NYSE: BYD)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Boyd)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In May 2020, the Company acquired the real estate of Belterra Park in satisfaction of the loan, subject to a long-term lease (the "Belterra Park Lease") with a Boyd affiliate operating the property. The Belterra Park Lease has an initial term that expires on April 30, 2026 and has 5 separate renewal options for five years each, exercisable at the tenants' option. See Note 12 for further details.</w:t>
      </w:r>
    </w:p>
    <w:p>
      <w:pPr>
        <w:spacing w:after="0" w:line="20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 acquisition of Plainridge Park described above, 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L.P., the operating partnership of GLPI ("GLP Capital"), which was subsequently amended on October 1, 2018 (as amended,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Entertainment Corporation (NASDAQ: CZR) ("Caesars")), acquired the operating assets of these properties from Tropicana pursuant to an Agreement and Plan of Merger dated April 15, 2018 by and among Tropicana, GLP Capital, Eldorado Resorts, Inc. and a wholly-owned subsidiary of Eldorado Resorts, Inc.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 On June 15, 2020, the Company amended the Caesars Master Lease subject to certain regulatory approvals which were received on July 23, 2020. See Note 12 for a description of this amendment.</w:t>
      </w:r>
    </w:p>
    <w:p>
      <w:pPr>
        <w:spacing w:after="0" w:line="2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Additionally, on October 1, 2018, the Company made a loan to Caesars in the amount of $246.0 million (the "CZR loan") in connection with Caesars acquisition of Lumière Place Casino and Hotel ("Lumière Place") (and together with the Tropicana Acquisition, the "Tropicana Transactions"). The CZR loan bore interest at a rate equal to (i) 9.09% until October 1, 2019 and (ii) 9.27% until its maturity. On the one-year anniversary of the CZR loan, the mortgage evidenced by a deed of trust on the Lumière Place property terminated and the loan became unsecured. On June 24, 2020, the Company received approval from the Missouri Gaming Commission to own the Lumière Place real estate in satisfaction for the CZR loan. The Company closed this transaction on September 29, 2020 and entered into a new triple net lease for this asset whose initial term expires October 31, 2033, with no purchase option, followed by four successive 5-year renewal periods (exercisable by the tenant) on the same terms and conditions (the "Lumière Place Lease").</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April 16, 2020, the Company and certain of its subsidiaries acquired the real property associated with the Tropicana Las Vegas Casino Hotel Resort ("Tropicana Las Vegas") from Penn in exchange for $307.5 million of rent credits to be applied against future rent obligations. This asset has been placed in our TRS subsidiary. See Note 6 for further details related to this transaction.</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GLPI’s primary business consists of acquiring, financing, and owning real estate property to be leased to gaming operators in triple-net lease arrangements. As of September 30, 2020, GLPI’s portfolio consisted of interests in 46 gaming and related facilities, including the TRS Properties and Tropicana Las Vegas, the real property associated with 32 gaming and related facilities operated by Penn, the real property associated with 6 gaming and related facilities operated by Caesars, the real property associated with 4 gaming and related facilities operated by Boyd and the real property associated with the Casino Queen in East St. Louis, Illinois. These facilities are geographically diversified across 16 states, contain approximately 24.1 million square feet and were 100% occupied at September 30, 2020.</w:t>
      </w:r>
    </w:p>
    <w:p>
      <w:pPr>
        <w:spacing w:after="0" w:line="21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first quarter of 2020, it became clear that there was a global outbreak of a new strain of novel coronavirus COVID-19 ("COVID-19"). The global, domestic and local response to the COVID-19 outbreak continues to evolve rapidly. Thus far, responses to the COVID-19 outbreak have included mandates from federal, state and/or local authorities that required temporary closures of or imposed limitations on the operations of non-essential businesses. All of the Company's tenants' casino operations, in addition to the Company's two TRS Properties, were closed in mid-March. Our properties began reopening at limited capacity in May and by early July nearly all had resumed operations at limited capacity. As of the date of this filing, the only property that had not reopened was Zia Park Casino in the Penn Master Lease.</w:t>
      </w:r>
    </w:p>
    <w:p>
      <w:pPr>
        <w:spacing w:after="0" w:line="20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w:t>
      </w:r>
    </w:p>
    <w:p>
      <w:pPr>
        <w:spacing w:after="0" w:line="19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condensed consolidated financial statements include the accounts of GLPI and its subsidiaries. All intercompany accounts and transactions have been eliminated in consolidation.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Operating results for the three and nine months ended September 30, 2020 are not necessarily indicative of the results that may be expected for the year ending December 31, 2020, particularly given the uncertainty related to the COVID-19</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outbreak described in Note 1. The notes to the consolidated financial statements contained in our Annual Report on Form 10-K for the year ended December 31, 2019 (our "Annual Report") should be read in conjunction with these condensed consolidated financial statements. The December 31, 2019 financial information has been derived from the Company’s audited consolidated financial statements.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significant accounting policies are described in Note 2 of the notes to the consolidated financial statements included in the Company’s Annual Report and since the date of those financial statements, the Company has not had any significant changes to these accounting policies that have had a material impact on the Company's financial statements.</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New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 - Goodwill and Other - Internal 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Implementation Costs Incurred in a Cloud Computing Arrangement that is a Service Contract (a consensus of the FASB Emerging Issues Task Force</w:t>
      </w:r>
      <w:r>
        <w:rPr>
          <w:rFonts w:ascii="Arial" w:cs="Arial" w:eastAsia="Arial" w:hAnsi="Arial"/>
          <w:sz w:val="16"/>
          <w:szCs w:val="16"/>
          <w:color w:val="auto"/>
        </w:rPr>
        <w:t>) ("ASU 2018-15"). This ASU clarifies that entities should follow the guidance for capitalizing implementation costs incurred to develop or</w:t>
      </w:r>
      <w:r>
        <w:rPr>
          <w:rFonts w:ascii="Arial" w:cs="Arial" w:eastAsia="Arial" w:hAnsi="Arial"/>
          <w:sz w:val="16"/>
          <w:szCs w:val="16"/>
          <w:i w:val="1"/>
          <w:iCs w:val="1"/>
          <w:color w:val="auto"/>
        </w:rPr>
        <w:t xml:space="preserve"> </w:t>
      </w:r>
      <w:r>
        <w:rPr>
          <w:rFonts w:ascii="Arial" w:cs="Arial" w:eastAsia="Arial" w:hAnsi="Arial"/>
          <w:sz w:val="16"/>
          <w:szCs w:val="16"/>
          <w:color w:val="auto"/>
        </w:rPr>
        <w:t>obtain internal-use software to account for implementation costs of cloud computing arrangements that are service contracts. ASU 2018-15 does not change the accounting for the service component of a cloud computing arrangement. ASU 2018-15 is effective for fiscal years beginning after December 15, 2019, with early adoption permitted. The Company's adoption of ASU 2018-15 did not have an impact on its condensed consolidated financial statements.</w:t>
      </w:r>
    </w:p>
    <w:p>
      <w:pPr>
        <w:spacing w:after="0" w:line="19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This ASU introduces a new model for estimating credit losses for certain types of financial instruments, including mortgage</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loans receivable, amongst other financial instruments. ASU 2016-13 sets forth an "expected credit loss" impairment model to replace the current "incurred loss" method of recognizing credit losses, which is intended to improve financial reporting by requiring timely recording of credit losses on loans and other financial instruments. ASU 2016-13 is effective for fiscal years beginning after December 15, 2019, with early adoption permitted for fiscal years beginning after December 15, 2018. The impact of the adoption of this pronouncement was immaterial.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w:t>
      </w:r>
      <w:r>
        <w:rPr>
          <w:rFonts w:ascii="Arial" w:cs="Arial" w:eastAsia="Arial" w:hAnsi="Arial"/>
          <w:sz w:val="17"/>
          <w:szCs w:val="17"/>
          <w:color w:val="auto"/>
        </w:rPr>
        <w:t xml:space="preserve"> ("ASU 2020-04"). Reference rates such as London Interbank Offered Rate ("LIBOR") are widely used in a broad range of financial instruments and other agreements. Regulators and market participants in various jurisdictions have undertaken efforts, generally referred to as "reference rate reform", to eliminate certain reference rates and introduce new reference rates that are based on a larger and more liquid population of observable transactions. As a result of this reform initiative, certain widely used rates such as LIBOR are expected to be discontinued. ASU 2020-04 provides optional expedients for applying the guidance for contract modifications or other situations affected by reference rate reform, specifically addressing the accounting for modifications of contracts within the scope of ASC Topics 310 on receivables, ASC 470 on debt, and ASC 842 on leases and ASC subtopic 815-15 on embedded derivatives. The Company is in the process of evaluating this pronouncement on its condensed consolidated financial statements.</w:t>
      </w:r>
    </w:p>
    <w:p>
      <w:pPr>
        <w:spacing w:after="0" w:line="201"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Real estate investments, net, represents investments in 43 rental properties and the corporate headquarters building and is summarized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20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gridSpan w:val="5"/>
          </w:tcPr>
          <w:p>
            <w:pPr>
              <w:ind w:left="9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3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2,590,904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2,552,285</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3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6,014,276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5,749,211</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real estate investments</w:t>
            </w:r>
          </w:p>
        </w:tc>
        <w:tc>
          <w:tcPr>
            <w:tcW w:w="3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8,605,180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8,301,496</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3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ind w:left="400"/>
              <w:spacing w:after="0"/>
              <w:rPr>
                <w:sz w:val="20"/>
                <w:szCs w:val="20"/>
                <w:color w:val="auto"/>
              </w:rPr>
            </w:pPr>
            <w:r>
              <w:rPr>
                <w:rFonts w:ascii="Arial" w:cs="Arial" w:eastAsia="Arial" w:hAnsi="Arial"/>
                <w:sz w:val="18"/>
                <w:szCs w:val="18"/>
                <w:color w:val="auto"/>
                <w:w w:val="93"/>
              </w:rPr>
              <w:t>(1,364,869)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ind w:left="380"/>
              <w:spacing w:after="0"/>
              <w:rPr>
                <w:sz w:val="20"/>
                <w:szCs w:val="20"/>
                <w:color w:val="auto"/>
              </w:rPr>
            </w:pPr>
            <w:r>
              <w:rPr>
                <w:rFonts w:ascii="Arial" w:cs="Arial" w:eastAsia="Arial" w:hAnsi="Arial"/>
                <w:sz w:val="18"/>
                <w:szCs w:val="18"/>
                <w:color w:val="auto"/>
                <w:w w:val="93"/>
              </w:rPr>
              <w:t>(1,200,941)</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investments, net</w:t>
            </w:r>
          </w:p>
        </w:tc>
        <w:tc>
          <w:tcPr>
            <w:tcW w:w="3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7,240,311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7,100,555</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bottom w:val="single" w:sz="8" w:color="CCEEFF"/>
            </w:tcBorders>
            <w:vMerge w:val="restart"/>
          </w:tcPr>
          <w:p>
            <w:pPr>
              <w:jc w:val="right"/>
              <w:ind w:right="1630"/>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88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real estate investments is due to the Company acquiring the real estate of Belterra Park in satisfaction of the loan in May 2020 and the acquisition of the real estate of Lumière Place in satisfaction of the CZR loan in September 2020 for $57.7 million ($11.7 million of which was allocated to land and land improvements and $46.0 million to building and improvements) and $246.0 million ($26.9 million of which was allocated to land and land improvements and $219.1 million to building and improvements), respectively.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Used in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Property and equipment used in operations, net, consists of the following and primarily represents the assets utilized in the TRS Properties:</w:t>
      </w:r>
    </w:p>
    <w:p>
      <w:pPr>
        <w:spacing w:after="0" w:line="5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r>
      <w:tr>
        <w:trPr>
          <w:trHeight w:val="196"/>
        </w:trPr>
        <w:tc>
          <w:tcPr>
            <w:tcW w:w="7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gridSpan w:val="4"/>
          </w:tcPr>
          <w:p>
            <w:pPr>
              <w:jc w:val="right"/>
              <w:ind w:right="99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30,499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30,492</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18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117,187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116,904</w:t>
            </w:r>
          </w:p>
        </w:tc>
      </w:tr>
      <w:tr>
        <w:trPr>
          <w:trHeight w:val="27"/>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111,626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118,766</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120</w:t>
            </w:r>
          </w:p>
        </w:tc>
      </w:tr>
      <w:tr>
        <w:trPr>
          <w:trHeight w:val="27"/>
        </w:trPr>
        <w:tc>
          <w:tcPr>
            <w:tcW w:w="7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7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259,531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266,282</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(170,212)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(172,202)</w:t>
            </w:r>
          </w:p>
        </w:tc>
      </w:tr>
      <w:tr>
        <w:trPr>
          <w:trHeight w:val="27"/>
        </w:trPr>
        <w:tc>
          <w:tcPr>
            <w:tcW w:w="7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89,319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94,080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Tropicana Las Vegas Acquisition</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previously discussed in Note 1, the impact of COVID-19 resulted in casino-wide closures at all of our tenants. As a result of COVID-19, on April 16, 2020, the Company and certain of its subsidiaries acquired the real property associated with the Tropicana Las Vegas from Penn in exchange for $307.5 million of rent credits, which are to be applied for rent due under the parties' existing leases for the months of May, June, July, August, and October. Penn will otherwise continue making cash rent payments to GLPI for the month of April, September, November and December 2020.</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 affiliate of Penn will continue to operate the casino and hotel business of the Tropicana Las Vegas pursuant to a triple net lease with GLPI for nominal rent for the earlier of two years (subject to three one-year extensions at the Company's option) or until the Tropicana Las Vegas is sold. The Company will conduct a sale process with respect to the Tropicana Las Vegas, with Penn receiving 75% of the net proceeds above $307.5 million (plus certain taxes, expenses and costs) if a sale agreement is signed during the first 12 months following closing and 50% of net proceeds above $307.5 million (plus certain taxes, expenses and costs) if a sale agreement is signed during the subsequent 12 months following closing. Penn will not be entitled to receive any net sale proceeds if the relevant sale agreement is signed at any time after 24 months from closing.</w:t>
      </w:r>
    </w:p>
    <w:p>
      <w:pPr>
        <w:spacing w:after="0" w:line="20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recorded an initial land and building value of $226.2 million and $81.3 million, respectively. During the three and nine months ended September 30, 2020 depreciation expense of $0.9 million and $1.7 million was recorded. Additionally, deferred rent of $307.5 million was recorded at the acquisition date, with $141.7 million and $272.5 million of deferred rent recognized during the three and nine months ended September 30, 2020.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Tropicana Las Vegas assets are summarized below: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40" w:type="dxa"/>
            <w:vAlign w:val="bottom"/>
            <w:gridSpan w:val="4"/>
          </w:tcPr>
          <w:p>
            <w:pPr>
              <w:ind w:left="60"/>
              <w:spacing w:after="0"/>
              <w:rPr>
                <w:sz w:val="20"/>
                <w:szCs w:val="20"/>
                <w:color w:val="auto"/>
              </w:rPr>
            </w:pPr>
            <w:r>
              <w:rPr>
                <w:rFonts w:ascii="Arial" w:cs="Arial" w:eastAsia="Arial" w:hAnsi="Arial"/>
                <w:sz w:val="16"/>
                <w:szCs w:val="16"/>
                <w:b w:val="1"/>
                <w:bCs w:val="1"/>
                <w:color w:val="auto"/>
              </w:rPr>
              <w:t>September 30, 2020</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20" w:type="dxa"/>
            <w:vAlign w:val="bottom"/>
            <w:gridSpan w:val="3"/>
          </w:tcPr>
          <w:p>
            <w:pPr>
              <w:ind w:left="1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21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226,160</w:t>
            </w:r>
          </w:p>
        </w:tc>
        <w:tc>
          <w:tcPr>
            <w:tcW w:w="120" w:type="dxa"/>
            <w:vAlign w:val="bottom"/>
            <w:tcBorders>
              <w:bottom w:val="single" w:sz="8" w:color="CCEEFF"/>
            </w:tcBorders>
            <w:shd w:val="clear" w:color="auto" w:fill="CCEEFF"/>
          </w:tcPr>
          <w:p>
            <w:pPr>
              <w:spacing w:after="0"/>
              <w:rPr>
                <w:sz w:val="22"/>
                <w:szCs w:val="22"/>
                <w:color w:val="auto"/>
              </w:rPr>
            </w:pP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1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81,340</w:t>
            </w:r>
          </w:p>
        </w:tc>
        <w:tc>
          <w:tcPr>
            <w:tcW w:w="1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real estate of Tropicana Las Vegas</w:t>
            </w:r>
          </w:p>
        </w:tc>
        <w:tc>
          <w:tcPr>
            <w:tcW w:w="1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307,500</w:t>
            </w:r>
          </w:p>
        </w:tc>
        <w:tc>
          <w:tcPr>
            <w:tcW w:w="120" w:type="dxa"/>
            <w:vAlign w:val="bottom"/>
            <w:tcBorders>
              <w:bottom w:val="single" w:sz="8" w:color="CCEEFF"/>
            </w:tcBorders>
            <w:shd w:val="clear" w:color="auto" w:fill="CCEEFF"/>
          </w:tcPr>
          <w:p>
            <w:pPr>
              <w:spacing w:after="0"/>
              <w:rPr>
                <w:sz w:val="21"/>
                <w:szCs w:val="21"/>
                <w:color w:val="auto"/>
              </w:rPr>
            </w:pP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(1,727)</w:t>
            </w:r>
          </w:p>
        </w:tc>
        <w:tc>
          <w:tcPr>
            <w:tcW w:w="1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of Tropicana Las Vegas , net</w:t>
            </w:r>
          </w:p>
        </w:tc>
        <w:tc>
          <w:tcPr>
            <w:tcW w:w="214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305,773</w:t>
            </w:r>
          </w:p>
        </w:tc>
        <w:tc>
          <w:tcPr>
            <w:tcW w:w="120" w:type="dxa"/>
            <w:vAlign w:val="bottom"/>
            <w:shd w:val="clear" w:color="auto" w:fill="CCEEFF"/>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CCEEFF"/>
            </w:tcBorders>
            <w:vMerge w:val="restart"/>
          </w:tcPr>
          <w:p>
            <w:pPr>
              <w:jc w:val="right"/>
              <w:ind w:right="390"/>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28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9840" w:firstLine="8"/>
        <w:spacing w:after="0" w:line="601" w:lineRule="auto"/>
        <w:tabs>
          <w:tab w:leader="none" w:pos="18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Receivables Real Estate Loans</w:t>
      </w:r>
    </w:p>
    <w:p>
      <w:pPr>
        <w:spacing w:after="0" w:line="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discussed in Note 1, the Company historically had the CZR loan outstanding which was utilized by Caesars in connection with its acquisition of Lumière Place. On June 24, 2020, the Company received approval from the Missouri Gaming Commission to own the Lumière Place real estate in satisfaction of the CZR loan, subject to the Lumière Place Lease, and closed this transaction on September 29, 2020.</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15, 2018, Boyd purchased the real estate assets of Belterra Park from Pinnacle for a cash purchase price of $57.7 million, exclusive of transaction fees. Financing for the transaction was provided by the Company in the form of a $57.7 million secured mortgage loan on Belterra Park (the "Belterra Park Loan"). The Belterra Park Loan bore interest at an initial rate equal to 11.11% and matures in connection with the expiration of the Boyd Master Lease (as may be extended at the tenant's option to April 30, 2051). In May 2020, the Company acquired the real estate of Belterra Park in satisfaction of the loan, subject to the Belterra Park Lease.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Receivable</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2014, the Company completed the asset acquisition of the real property associated with the Casino Queen in East St. Louis, Illinois. GLPI leases the property back to Casino Queen on a triple-net basis on terms similar to those in the Company's existing master leases. The lease has an initial term of 15 years and the tenant has an option to renew it at the same terms and conditions for four successive five-year periods (the "Casino Queen Lease").</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Simultaneously with the Casino Queen acquisition, GLPI provided Casino Queen with a $43.0 million, 5-year term loan at 7% interest, pre-payable at any time, which, together with the sale proceeds, completely refinanced and retired all of Casino Queen’s outstanding long-term debt obligations. On March 13, 2017, the outstanding principal and interest on this loan was repaid in full and GLPI simultaneously provided a new unsecured $13.0 million, 5.5-year term loan (the "Casino Queen Loan") to CQ Holding Company, Inc., an affiliate of Casino Queen ("CQ Holding Company"), to partially finance its acquisition of Lady Luck Casino in Marquette, Iowa. The Casino Queen Loan bears an interest rate of 15% and is pre-payable at any time.</w:t>
      </w:r>
    </w:p>
    <w:p>
      <w:pPr>
        <w:spacing w:after="0" w:line="2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June 12, 2018, the Company received a Notice of Event of Default under the senior credit agreement of CQ Holding Company from the secured lender under such agreement, which reported a covenant default under its senior secured agreement. Under the terms of that agreement, when an event of default occurs, CQ Holding Company is prohibited from making cash payments to unsecured lenders such as GLPI. Therefore, beginning in June 2018 and through September 30, 2020, the interest due from CQ Holding Company under the Company's Casino Queen Loan was paid in kind. In addition to the covenant violation noted above under its senior credit agreement, CQ Holding Company also had a payment default under the senior credit agreement. Furthermore, the Company notified Casino Queen of events of default under the Casino Queen Loan, related to financial covenant violations during the year ended December 31, 2018.</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2019, the operating results of Casino Queen continued to decline, the secured debt of Casino Queen was sold to a third-party casino operator at a discount and the Company no longer expected the loan to be repaid. Thus, because the Company did not expect Casino Queen to be able to repay the remaining term loan balance of $13.0 million due to the Company, this amount was written off and an impairment charge was recorded for the nine months ended September 30, 2019.</w:t>
      </w:r>
    </w:p>
    <w:p>
      <w:pPr>
        <w:spacing w:after="0" w:line="1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September 30, 2020, Casino Queen was in violation of the rent coverage ratio required under the Casino Queen Lease and was in payment default in April 2020. The Company provided notice and a reservation of rights to Casino Queen and its secured lenders of such default. At September 30, 2020, Casino Queen has made partial payments on its rental obligations and the Company is working on a deferred rental agreement. The Company is recording income as cash rental payments are received on the Casino Queen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1010285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ind w:right="8460" w:firstLine="8"/>
        <w:spacing w:after="0" w:line="534" w:lineRule="auto"/>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 Assets and Lease Liabilities Lease Assets</w:t>
      </w:r>
    </w:p>
    <w:p>
      <w:pPr>
        <w:spacing w:after="0" w:line="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CPI, and have maturity dates ranging from 2028 to 2108, when considering all renewal options. For certain of these ground leases, the Company’s tenants are responsible for payment directly to the third-party landlord. Under ASC 842, the Company is required to gross-up its condensed consolidated financial statements for these ground leases as the Company is considered the primary obligor. In conjunction with the adoption of ASU 2016-02 on January 1, 2019, the Company recorded right-of-use assets and related lease liabilities on its condensed consolidated balance sheet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condensed consolidated balance sheet in conjunction with the Company's assumption of below market leases at the time it acquired the related land and building assets, the Company is required to report the right-of-use assets and land rights in the aggregate on the condensed consolidated balance sheet.</w:t>
      </w:r>
    </w:p>
    <w:p>
      <w:pPr>
        <w:spacing w:after="0" w:line="2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the Company's right-of use assets and land rights, net are detailed below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80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2020</w:t>
            </w:r>
          </w:p>
        </w:tc>
        <w:tc>
          <w:tcPr>
            <w:tcW w:w="240" w:type="dxa"/>
            <w:vAlign w:val="bottom"/>
          </w:tcPr>
          <w:p>
            <w:pPr>
              <w:spacing w:after="0"/>
              <w:rPr>
                <w:sz w:val="16"/>
                <w:szCs w:val="16"/>
                <w:color w:val="auto"/>
              </w:rPr>
            </w:pPr>
          </w:p>
        </w:tc>
        <w:tc>
          <w:tcPr>
            <w:tcW w:w="1720" w:type="dxa"/>
            <w:vAlign w:val="bottom"/>
          </w:tcPr>
          <w:p>
            <w:pPr>
              <w:jc w:val="right"/>
              <w:ind w:right="335"/>
              <w:spacing w:after="0"/>
              <w:rPr>
                <w:sz w:val="20"/>
                <w:szCs w:val="20"/>
                <w:color w:val="auto"/>
              </w:rPr>
            </w:pPr>
            <w:r>
              <w:rPr>
                <w:rFonts w:ascii="Arial" w:cs="Arial" w:eastAsia="Arial" w:hAnsi="Arial"/>
                <w:sz w:val="14"/>
                <w:szCs w:val="14"/>
                <w:b w:val="1"/>
                <w:bCs w:val="1"/>
                <w:color w:val="auto"/>
              </w:rPr>
              <w:t>December 31, 2019</w:t>
            </w: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Right-of use assets - operating leases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182,520</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184,063</w:t>
            </w:r>
          </w:p>
        </w:tc>
      </w:tr>
      <w:tr>
        <w:trPr>
          <w:trHeight w:val="27"/>
        </w:trPr>
        <w:tc>
          <w:tcPr>
            <w:tcW w:w="5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rights, net</w:t>
            </w:r>
          </w:p>
        </w:tc>
        <w:tc>
          <w:tcPr>
            <w:tcW w:w="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645,610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654,671</w:t>
            </w:r>
          </w:p>
        </w:tc>
      </w:tr>
      <w:tr>
        <w:trPr>
          <w:trHeight w:val="263"/>
        </w:trPr>
        <w:tc>
          <w:tcPr>
            <w:tcW w:w="5640" w:type="dxa"/>
            <w:vAlign w:val="bottom"/>
          </w:tcPr>
          <w:p>
            <w:pPr>
              <w:spacing w:after="0"/>
              <w:rPr>
                <w:sz w:val="20"/>
                <w:szCs w:val="20"/>
                <w:color w:val="auto"/>
              </w:rPr>
            </w:pPr>
            <w:r>
              <w:rPr>
                <w:rFonts w:ascii="Arial" w:cs="Arial" w:eastAsia="Arial" w:hAnsi="Arial"/>
                <w:sz w:val="18"/>
                <w:szCs w:val="18"/>
                <w:color w:val="auto"/>
              </w:rPr>
              <w:t>Right-of-use assets and land rights,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828,130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838,734</w:t>
            </w:r>
          </w:p>
        </w:tc>
      </w:tr>
      <w:tr>
        <w:trPr>
          <w:trHeight w:val="21"/>
        </w:trPr>
        <w:tc>
          <w:tcPr>
            <w:tcW w:w="5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Rights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land rights are amortized over the individual lease term of the related ground lease, including all renewal options, which ranged from 10 years to 92 years at their respective acquisition dates. Land rights net, consist of the following:</w:t>
      </w: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0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r>
      <w:tr>
        <w:trPr>
          <w:trHeight w:val="196"/>
        </w:trPr>
        <w:tc>
          <w:tcPr>
            <w:tcW w:w="6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gridSpan w:val="4"/>
          </w:tcPr>
          <w:p>
            <w:pPr>
              <w:ind w:left="82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694,077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694,077</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180" w:type="dxa"/>
            <w:vAlign w:val="bottom"/>
          </w:tcPr>
          <w:p>
            <w:pPr>
              <w:spacing w:after="0"/>
              <w:rPr>
                <w:sz w:val="21"/>
                <w:szCs w:val="21"/>
                <w:color w:val="auto"/>
              </w:rPr>
            </w:pPr>
          </w:p>
        </w:tc>
        <w:tc>
          <w:tcPr>
            <w:tcW w:w="1220" w:type="dxa"/>
            <w:vAlign w:val="bottom"/>
          </w:tcPr>
          <w:p>
            <w:pPr>
              <w:ind w:left="560"/>
              <w:spacing w:after="0"/>
              <w:rPr>
                <w:sz w:val="20"/>
                <w:szCs w:val="20"/>
                <w:color w:val="auto"/>
              </w:rPr>
            </w:pPr>
            <w:r>
              <w:rPr>
                <w:rFonts w:ascii="Arial" w:cs="Arial" w:eastAsia="Arial" w:hAnsi="Arial"/>
                <w:sz w:val="18"/>
                <w:szCs w:val="18"/>
                <w:color w:val="auto"/>
                <w:w w:val="95"/>
              </w:rPr>
              <w:t>(48,467)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ind w:left="540"/>
              <w:spacing w:after="0"/>
              <w:rPr>
                <w:sz w:val="20"/>
                <w:szCs w:val="20"/>
                <w:color w:val="auto"/>
              </w:rPr>
            </w:pPr>
            <w:r>
              <w:rPr>
                <w:rFonts w:ascii="Arial" w:cs="Arial" w:eastAsia="Arial" w:hAnsi="Arial"/>
                <w:sz w:val="18"/>
                <w:szCs w:val="18"/>
                <w:color w:val="auto"/>
                <w:w w:val="95"/>
              </w:rPr>
              <w:t>(39,406)</w:t>
            </w:r>
          </w:p>
        </w:tc>
      </w:tr>
      <w:tr>
        <w:trPr>
          <w:trHeight w:val="27"/>
        </w:trPr>
        <w:tc>
          <w:tcPr>
            <w:tcW w:w="6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645,610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654,671</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2020, estimated future amortization expense related to the Company’s land rights by fiscal year is as follows (in thousands):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5200" w:type="dxa"/>
            <w:vAlign w:val="bottom"/>
            <w:gridSpan w:val="4"/>
          </w:tcPr>
          <w:p>
            <w:pPr>
              <w:spacing w:after="0"/>
              <w:rPr>
                <w:sz w:val="20"/>
                <w:szCs w:val="20"/>
                <w:color w:val="auto"/>
              </w:rPr>
            </w:pPr>
            <w:r>
              <w:rPr>
                <w:rFonts w:ascii="Arial" w:cs="Arial" w:eastAsia="Arial" w:hAnsi="Arial"/>
                <w:sz w:val="14"/>
                <w:szCs w:val="14"/>
                <w:b w:val="1"/>
                <w:bCs w:val="1"/>
                <w:color w:val="auto"/>
              </w:rPr>
              <w:t>Year ending December 31,</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2020 (remainder of year)</w:t>
            </w:r>
          </w:p>
        </w:tc>
        <w:tc>
          <w:tcPr>
            <w:tcW w:w="9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43"/>
        </w:trPr>
        <w:tc>
          <w:tcPr>
            <w:tcW w:w="2480" w:type="dxa"/>
            <w:vAlign w:val="bottom"/>
            <w:gridSpan w:val="2"/>
          </w:tcPr>
          <w:p>
            <w:pPr>
              <w:ind w:left="10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12,081</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4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12,081</w:t>
            </w:r>
          </w:p>
        </w:tc>
        <w:tc>
          <w:tcPr>
            <w:tcW w:w="0" w:type="dxa"/>
            <w:vAlign w:val="bottom"/>
          </w:tcPr>
          <w:p>
            <w:pPr>
              <w:spacing w:after="0"/>
              <w:rPr>
                <w:sz w:val="1"/>
                <w:szCs w:val="1"/>
                <w:color w:val="auto"/>
              </w:rPr>
            </w:pPr>
          </w:p>
        </w:tc>
      </w:tr>
      <w:tr>
        <w:trPr>
          <w:trHeight w:val="243"/>
        </w:trPr>
        <w:tc>
          <w:tcPr>
            <w:tcW w:w="2480" w:type="dxa"/>
            <w:vAlign w:val="bottom"/>
            <w:gridSpan w:val="2"/>
          </w:tcPr>
          <w:p>
            <w:pPr>
              <w:ind w:left="104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12,081</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4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12,081</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5200" w:type="dxa"/>
            <w:vAlign w:val="bottom"/>
            <w:gridSpan w:val="4"/>
          </w:tcPr>
          <w:p>
            <w:pPr>
              <w:spacing w:after="0"/>
              <w:rPr>
                <w:sz w:val="20"/>
                <w:szCs w:val="20"/>
                <w:color w:val="auto"/>
              </w:rPr>
            </w:pPr>
            <w:r>
              <w:rPr>
                <w:rFonts w:ascii="Arial" w:cs="Arial" w:eastAsia="Arial" w:hAnsi="Arial"/>
                <w:sz w:val="18"/>
                <w:szCs w:val="18"/>
                <w:color w:val="auto"/>
              </w:rPr>
              <w:t>Thereafter</w:t>
            </w:r>
          </w:p>
        </w:tc>
        <w:tc>
          <w:tcPr>
            <w:tcW w:w="9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594,266</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1040" w:type="dxa"/>
            <w:vAlign w:val="bottom"/>
          </w:tcPr>
          <w:p>
            <w:pPr>
              <w:spacing w:after="0"/>
              <w:rPr>
                <w:sz w:val="24"/>
                <w:szCs w:val="24"/>
                <w:color w:val="auto"/>
              </w:rPr>
            </w:pPr>
          </w:p>
        </w:tc>
        <w:tc>
          <w:tcPr>
            <w:tcW w:w="5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gridSpan w:val="2"/>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645,610</w:t>
            </w:r>
          </w:p>
        </w:tc>
        <w:tc>
          <w:tcPr>
            <w:tcW w:w="0" w:type="dxa"/>
            <w:vAlign w:val="bottom"/>
          </w:tcPr>
          <w:p>
            <w:pPr>
              <w:spacing w:after="0"/>
              <w:rPr>
                <w:sz w:val="1"/>
                <w:szCs w:val="1"/>
                <w:color w:val="auto"/>
              </w:rPr>
            </w:pPr>
          </w:p>
        </w:tc>
      </w:tr>
      <w:tr>
        <w:trPr>
          <w:trHeight w:val="20"/>
        </w:trPr>
        <w:tc>
          <w:tcPr>
            <w:tcW w:w="62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Lease Liabilities</w:t>
            </w: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6240" w:type="dxa"/>
            <w:vAlign w:val="bottom"/>
            <w:gridSpan w:val="5"/>
            <w:vMerge w:val="continue"/>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320" w:type="dxa"/>
            <w:vAlign w:val="bottom"/>
            <w:gridSpan w:val="9"/>
          </w:tcPr>
          <w:p>
            <w:pPr>
              <w:jc w:val="right"/>
              <w:ind w:right="650"/>
              <w:spacing w:after="0"/>
              <w:rPr>
                <w:sz w:val="20"/>
                <w:szCs w:val="20"/>
                <w:color w:val="auto"/>
              </w:rPr>
            </w:pPr>
            <w:r>
              <w:rPr>
                <w:rFonts w:ascii="Arial" w:cs="Arial" w:eastAsia="Arial" w:hAnsi="Arial"/>
                <w:sz w:val="18"/>
                <w:szCs w:val="18"/>
                <w:color w:val="auto"/>
                <w:w w:val="98"/>
              </w:rPr>
              <w:t>At September 30, 2020, maturities of the Company's operating lease liabilities were as follows (in thousands):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440" w:type="dxa"/>
            <w:vAlign w:val="bottom"/>
            <w:tcBorders>
              <w:right w:val="single" w:sz="8" w:color="CCEEFF"/>
            </w:tcBorders>
          </w:tcPr>
          <w:p>
            <w:pPr>
              <w:spacing w:after="0"/>
              <w:rPr>
                <w:sz w:val="21"/>
                <w:szCs w:val="21"/>
                <w:color w:val="auto"/>
              </w:rPr>
            </w:pPr>
          </w:p>
        </w:tc>
        <w:tc>
          <w:tcPr>
            <w:tcW w:w="3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2020 (remainder of year)</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3,440</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gridSpan w:val="4"/>
          </w:tcPr>
          <w:p>
            <w:pPr>
              <w:ind w:left="2480"/>
              <w:spacing w:after="0"/>
              <w:rPr>
                <w:sz w:val="20"/>
                <w:szCs w:val="20"/>
                <w:color w:val="auto"/>
              </w:rPr>
            </w:pPr>
            <w:r>
              <w:rPr>
                <w:rFonts w:ascii="Arial" w:cs="Arial" w:eastAsia="Arial" w:hAnsi="Arial"/>
                <w:sz w:val="18"/>
                <w:szCs w:val="18"/>
                <w:color w:val="auto"/>
              </w:rPr>
              <w:t>2021</w:t>
            </w:r>
          </w:p>
        </w:tc>
        <w:tc>
          <w:tcPr>
            <w:tcW w:w="2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13,759</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8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2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right w:val="single" w:sz="8" w:color="CCEEFF"/>
            </w:tcBorders>
            <w:gridSpan w:val="2"/>
          </w:tcPr>
          <w:p>
            <w:pPr>
              <w:spacing w:after="0"/>
              <w:rPr>
                <w:sz w:val="21"/>
                <w:szCs w:val="21"/>
                <w:color w:val="auto"/>
              </w:rPr>
            </w:pPr>
          </w:p>
        </w:tc>
        <w:tc>
          <w:tcPr>
            <w:tcW w:w="1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2022</w:t>
            </w:r>
          </w:p>
        </w:tc>
        <w:tc>
          <w:tcPr>
            <w:tcW w:w="2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13,707</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gridSpan w:val="4"/>
          </w:tcPr>
          <w:p>
            <w:pPr>
              <w:ind w:left="2480"/>
              <w:spacing w:after="0"/>
              <w:rPr>
                <w:sz w:val="20"/>
                <w:szCs w:val="20"/>
                <w:color w:val="auto"/>
              </w:rPr>
            </w:pPr>
            <w:r>
              <w:rPr>
                <w:rFonts w:ascii="Arial" w:cs="Arial" w:eastAsia="Arial" w:hAnsi="Arial"/>
                <w:sz w:val="18"/>
                <w:szCs w:val="18"/>
                <w:color w:val="auto"/>
              </w:rPr>
              <w:t>2023</w:t>
            </w:r>
          </w:p>
        </w:tc>
        <w:tc>
          <w:tcPr>
            <w:tcW w:w="2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13,638</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8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2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right w:val="single" w:sz="8" w:color="CCEEFF"/>
            </w:tcBorders>
            <w:gridSpan w:val="2"/>
          </w:tcPr>
          <w:p>
            <w:pPr>
              <w:spacing w:after="0"/>
              <w:rPr>
                <w:sz w:val="21"/>
                <w:szCs w:val="21"/>
                <w:color w:val="auto"/>
              </w:rPr>
            </w:pPr>
          </w:p>
        </w:tc>
        <w:tc>
          <w:tcPr>
            <w:tcW w:w="1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2024</w:t>
            </w:r>
          </w:p>
        </w:tc>
        <w:tc>
          <w:tcPr>
            <w:tcW w:w="2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13,617</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94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644,059</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20" w:type="dxa"/>
            <w:vAlign w:val="bottom"/>
            <w:tcBorders>
              <w:bottom w:val="single" w:sz="8" w:color="CCEEFF"/>
            </w:tcBorders>
            <w:gridSpan w:val="2"/>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440" w:type="dxa"/>
            <w:vAlign w:val="bottom"/>
            <w:tcBorders>
              <w:right w:val="single" w:sz="8" w:color="CCEEFF"/>
            </w:tcBorders>
          </w:tcPr>
          <w:p>
            <w:pPr>
              <w:spacing w:after="0"/>
              <w:rPr>
                <w:sz w:val="21"/>
                <w:szCs w:val="21"/>
                <w:color w:val="auto"/>
              </w:rPr>
            </w:pPr>
          </w:p>
        </w:tc>
        <w:tc>
          <w:tcPr>
            <w:tcW w:w="3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702,220</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Less: interest</w:t>
            </w:r>
          </w:p>
        </w:tc>
        <w:tc>
          <w:tcPr>
            <w:tcW w:w="9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(519,754)</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20" w:type="dxa"/>
            <w:vAlign w:val="bottom"/>
            <w:tcBorders>
              <w:bottom w:val="single" w:sz="8" w:color="CCEEFF"/>
            </w:tcBorders>
            <w:gridSpan w:val="2"/>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1040" w:type="dxa"/>
            <w:vAlign w:val="bottom"/>
          </w:tcPr>
          <w:p>
            <w:pPr>
              <w:spacing w:after="0"/>
              <w:rPr>
                <w:sz w:val="24"/>
                <w:szCs w:val="24"/>
                <w:color w:val="auto"/>
              </w:rPr>
            </w:pPr>
          </w:p>
        </w:tc>
        <w:tc>
          <w:tcPr>
            <w:tcW w:w="1440" w:type="dxa"/>
            <w:vAlign w:val="bottom"/>
            <w:tcBorders>
              <w:right w:val="single" w:sz="8" w:color="CCEEFF"/>
            </w:tcBorders>
          </w:tcPr>
          <w:p>
            <w:pPr>
              <w:spacing w:after="0"/>
              <w:rPr>
                <w:sz w:val="24"/>
                <w:szCs w:val="24"/>
                <w:color w:val="auto"/>
              </w:rPr>
            </w:pPr>
          </w:p>
        </w:tc>
        <w:tc>
          <w:tcPr>
            <w:tcW w:w="3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182,466</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Expense</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Operating lease costs represent the entire amount of expense recognized for operating leases that are recorded on the condensed consolidated balance sheet.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316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Three Months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3"/>
          </w:tcPr>
          <w:p>
            <w:pPr>
              <w:jc w:val="right"/>
              <w:ind w:right="61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3760" w:type="dxa"/>
            <w:vAlign w:val="bottom"/>
          </w:tcPr>
          <w:p>
            <w:pPr>
              <w:spacing w:after="0"/>
              <w:rPr>
                <w:sz w:val="17"/>
                <w:szCs w:val="17"/>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2019</w:t>
            </w:r>
          </w:p>
        </w:tc>
      </w:tr>
      <w:tr>
        <w:trPr>
          <w:trHeight w:val="196"/>
        </w:trPr>
        <w:tc>
          <w:tcPr>
            <w:tcW w:w="3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6"/>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34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16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10,625</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11,722</w:t>
            </w:r>
          </w:p>
        </w:tc>
      </w:tr>
      <w:tr>
        <w:trPr>
          <w:trHeight w:val="270"/>
        </w:trPr>
        <w:tc>
          <w:tcPr>
            <w:tcW w:w="3760" w:type="dxa"/>
            <w:vAlign w:val="bottom"/>
          </w:tcPr>
          <w:p>
            <w:pPr>
              <w:ind w:left="20"/>
              <w:spacing w:after="0"/>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18"/>
                <w:szCs w:val="18"/>
                <w:color w:val="auto"/>
                <w:vertAlign w:val="superscript"/>
              </w:rPr>
              <w:t>(1)</w:t>
            </w:r>
          </w:p>
        </w:tc>
        <w:tc>
          <w:tcPr>
            <w:tcW w:w="1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1,651</w:t>
            </w:r>
          </w:p>
        </w:tc>
        <w:tc>
          <w:tcPr>
            <w:tcW w:w="1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2,319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2,461</w:t>
            </w:r>
          </w:p>
        </w:tc>
        <w:tc>
          <w:tcPr>
            <w:tcW w:w="4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6,823</w:t>
            </w: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Amortization of land right assets</w:t>
            </w:r>
          </w:p>
        </w:tc>
        <w:tc>
          <w:tcPr>
            <w:tcW w:w="1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3,021</w:t>
            </w:r>
          </w:p>
        </w:tc>
        <w:tc>
          <w:tcPr>
            <w:tcW w:w="1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9,061</w:t>
            </w:r>
          </w:p>
        </w:tc>
        <w:tc>
          <w:tcPr>
            <w:tcW w:w="4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15,516</w:t>
            </w:r>
          </w:p>
        </w:tc>
      </w:tr>
      <w:tr>
        <w:trPr>
          <w:trHeight w:val="27"/>
        </w:trPr>
        <w:tc>
          <w:tcPr>
            <w:tcW w:w="37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9"/>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w:t>
            </w:r>
          </w:p>
        </w:tc>
        <w:tc>
          <w:tcPr>
            <w:tcW w:w="116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22,572</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34,826</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656"/>
        <w:spacing w:after="0" w:line="257" w:lineRule="auto"/>
        <w:tabs>
          <w:tab w:leader="none" w:pos="829"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Variable lease costs for the nine months ended September 30, 2020 included a true up of the monthly rental payments paid by our tenants on certain ground leases that are based on estimated current year annual performance which were impacted by casino closures due to COVID-19. As discussed previously, under ASC 842, the Company is required to gross up its financial statements by recording both expense and revenue (recorded within rental income on the condensed consolidated statements of income) for these payments since the Company is considered the primary obligor.</w:t>
      </w:r>
    </w:p>
    <w:p>
      <w:pPr>
        <w:spacing w:after="0" w:line="2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Amortization expense related to the land right intangibles, as well as variable lease costs and the majority of the Company's operating lease costs, are recorded within land rights and ground lease expense in the condensed consolidated statements of income. The Company's short-term lease costs as well as a small portion of operating lease costs are recorded in</w:t>
      </w:r>
    </w:p>
    <w:p>
      <w:pPr>
        <w:sectPr>
          <w:pgSz w:w="11900" w:h="16838" w:orient="portrait"/>
          <w:cols w:equalWidth="0" w:num="1">
            <w:col w:w="11240"/>
          </w:cols>
          <w:pgMar w:left="320" w:top="1180"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0"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color w:val="auto"/>
        </w:rPr>
        <w:t>both gaming, food, beverage and other expense and general and administrative expense in the condensed consolidated statements of income.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Disclosures Related to Leases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the Company's operating leases was as follows:</w:t>
      </w:r>
    </w:p>
    <w:p>
      <w:pPr>
        <w:spacing w:after="0" w:line="298" w:lineRule="exact"/>
        <w:rPr>
          <w:sz w:val="20"/>
          <w:szCs w:val="20"/>
          <w:color w:val="auto"/>
        </w:rPr>
      </w:pPr>
    </w:p>
    <w:tbl>
      <w:tblPr>
        <w:tblLayout w:type="fixed"/>
        <w:tblInd w:w="166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 2020</w:t>
            </w:r>
          </w:p>
        </w:tc>
      </w:tr>
      <w:tr>
        <w:trPr>
          <w:trHeight w:val="242"/>
        </w:trPr>
        <w:tc>
          <w:tcPr>
            <w:tcW w:w="5740" w:type="dxa"/>
            <w:vAlign w:val="bottom"/>
          </w:tcPr>
          <w:p>
            <w:pPr>
              <w:ind w:left="20"/>
              <w:spacing w:after="0"/>
              <w:rPr>
                <w:sz w:val="20"/>
                <w:szCs w:val="20"/>
                <w:color w:val="auto"/>
              </w:rPr>
            </w:pPr>
            <w:r>
              <w:rPr>
                <w:rFonts w:ascii="Arial" w:cs="Arial" w:eastAsia="Arial" w:hAnsi="Arial"/>
                <w:sz w:val="18"/>
                <w:szCs w:val="18"/>
                <w:color w:val="auto"/>
              </w:rPr>
              <w:t>Weighted average remaining lease term - operating leases</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53.04 years</w:t>
            </w:r>
          </w:p>
        </w:tc>
      </w:tr>
      <w:tr>
        <w:trPr>
          <w:trHeight w:val="27"/>
        </w:trPr>
        <w:tc>
          <w:tcPr>
            <w:tcW w:w="57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4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6.7%</w:t>
            </w:r>
          </w:p>
        </w:tc>
      </w:tr>
      <w:tr>
        <w:trPr>
          <w:trHeight w:val="27"/>
        </w:trPr>
        <w:tc>
          <w:tcPr>
            <w:tcW w:w="574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the Company's operating leases was as follows: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jc w:val="right"/>
              <w:ind w:right="141"/>
              <w:spacing w:after="0"/>
              <w:rPr>
                <w:sz w:val="20"/>
                <w:szCs w:val="20"/>
                <w:color w:val="auto"/>
              </w:rPr>
            </w:pPr>
            <w:r>
              <w:rPr>
                <w:rFonts w:ascii="Arial" w:cs="Arial" w:eastAsia="Arial" w:hAnsi="Arial"/>
                <w:sz w:val="14"/>
                <w:szCs w:val="14"/>
                <w:b w:val="1"/>
                <w:bCs w:val="1"/>
                <w:color w:val="auto"/>
                <w:w w:val="98"/>
              </w:rPr>
              <w:t>Three Months Ended</w:t>
            </w:r>
          </w:p>
        </w:tc>
        <w:tc>
          <w:tcPr>
            <w:tcW w:w="220" w:type="dxa"/>
            <w:vAlign w:val="bottom"/>
          </w:tcPr>
          <w:p>
            <w:pPr>
              <w:spacing w:after="0"/>
              <w:rPr>
                <w:sz w:val="14"/>
                <w:szCs w:val="14"/>
                <w:color w:val="auto"/>
              </w:rPr>
            </w:pPr>
          </w:p>
        </w:tc>
        <w:tc>
          <w:tcPr>
            <w:tcW w:w="1600" w:type="dxa"/>
            <w:vAlign w:val="bottom"/>
          </w:tcPr>
          <w:p>
            <w:pPr>
              <w:jc w:val="right"/>
              <w:ind w:right="199"/>
              <w:spacing w:after="0"/>
              <w:rPr>
                <w:sz w:val="20"/>
                <w:szCs w:val="20"/>
                <w:color w:val="auto"/>
              </w:rPr>
            </w:pPr>
            <w:r>
              <w:rPr>
                <w:rFonts w:ascii="Arial" w:cs="Arial" w:eastAsia="Arial" w:hAnsi="Arial"/>
                <w:sz w:val="14"/>
                <w:szCs w:val="14"/>
                <w:b w:val="1"/>
                <w:bCs w:val="1"/>
                <w:color w:val="auto"/>
                <w:w w:val="99"/>
              </w:rPr>
              <w:t>Nine Months Ended</w:t>
            </w:r>
          </w:p>
        </w:tc>
      </w:tr>
      <w:tr>
        <w:trPr>
          <w:trHeight w:val="192"/>
        </w:trPr>
        <w:tc>
          <w:tcPr>
            <w:tcW w:w="6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w w:val="99"/>
              </w:rPr>
              <w:t>September 30, 2020</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7"/>
              </w:rPr>
              <w:t>September 30, 2020</w:t>
            </w:r>
          </w:p>
        </w:tc>
      </w:tr>
      <w:tr>
        <w:trPr>
          <w:trHeight w:val="196"/>
        </w:trPr>
        <w:tc>
          <w:tcPr>
            <w:tcW w:w="6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20" w:type="dxa"/>
            <w:vAlign w:val="bottom"/>
            <w:gridSpan w:val="3"/>
          </w:tcPr>
          <w:p>
            <w:pPr>
              <w:jc w:val="right"/>
              <w:ind w:right="1279"/>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leases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70"/>
        </w:trPr>
        <w:tc>
          <w:tcPr>
            <w:tcW w:w="6480" w:type="dxa"/>
            <w:vAlign w:val="bottom"/>
          </w:tcPr>
          <w:p>
            <w:pPr>
              <w:ind w:left="120"/>
              <w:spacing w:after="0"/>
              <w:rPr>
                <w:sz w:val="20"/>
                <w:szCs w:val="20"/>
                <w:color w:val="auto"/>
              </w:rPr>
            </w:pPr>
            <w:r>
              <w:rPr>
                <w:rFonts w:ascii="Arial" w:cs="Arial" w:eastAsia="Arial" w:hAnsi="Arial"/>
                <w:sz w:val="18"/>
                <w:szCs w:val="18"/>
                <w:color w:val="auto"/>
              </w:rPr>
              <w:t xml:space="preserve">Operating cash flows from operating leases </w:t>
            </w:r>
            <w:r>
              <w:rPr>
                <w:rFonts w:ascii="Arial" w:cs="Arial" w:eastAsia="Arial" w:hAnsi="Arial"/>
                <w:sz w:val="23"/>
                <w:szCs w:val="23"/>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1,373</w:t>
            </w:r>
          </w:p>
        </w:tc>
      </w:tr>
      <w:tr>
        <w:trPr>
          <w:trHeight w:val="257"/>
        </w:trPr>
        <w:tc>
          <w:tcPr>
            <w:tcW w:w="6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lease obligations:</w:t>
            </w: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6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firstLine="656"/>
        <w:spacing w:after="0" w:line="300" w:lineRule="auto"/>
        <w:tabs>
          <w:tab w:leader="none" w:pos="813" w:val="left"/>
        </w:tabs>
        <w:numPr>
          <w:ilvl w:val="1"/>
          <w:numId w:val="12"/>
        </w:numPr>
        <w:rPr>
          <w:rFonts w:ascii="Arial" w:cs="Arial" w:eastAsia="Arial" w:hAnsi="Arial"/>
          <w:sz w:val="19"/>
          <w:szCs w:val="19"/>
          <w:color w:val="auto"/>
          <w:vertAlign w:val="superscript"/>
        </w:rPr>
      </w:pPr>
      <w:r>
        <w:rPr>
          <w:rFonts w:ascii="Arial" w:cs="Arial" w:eastAsia="Arial" w:hAnsi="Arial"/>
          <w:sz w:val="15"/>
          <w:szCs w:val="15"/>
          <w:color w:val="auto"/>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financial statements under ASC 842.</w:t>
      </w:r>
    </w:p>
    <w:p>
      <w:pPr>
        <w:spacing w:after="0" w:line="182" w:lineRule="exact"/>
        <w:rPr>
          <w:rFonts w:ascii="Arial" w:cs="Arial" w:eastAsia="Arial" w:hAnsi="Arial"/>
          <w:sz w:val="19"/>
          <w:szCs w:val="19"/>
          <w:color w:val="auto"/>
          <w:vertAlign w:val="superscript"/>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is as follows:</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4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196"/>
        </w:trPr>
        <w:tc>
          <w:tcPr>
            <w:tcW w:w="8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gridSpan w:val="4"/>
          </w:tcPr>
          <w:p>
            <w:pPr>
              <w:jc w:val="right"/>
              <w:ind w:right="972"/>
              <w:spacing w:after="0"/>
              <w:rPr>
                <w:sz w:val="20"/>
                <w:szCs w:val="20"/>
                <w:color w:val="auto"/>
              </w:rPr>
            </w:pPr>
            <w:r>
              <w:rPr>
                <w:rFonts w:ascii="Arial" w:cs="Arial" w:eastAsia="Arial" w:hAnsi="Arial"/>
                <w:sz w:val="14"/>
                <w:szCs w:val="14"/>
                <w:b w:val="1"/>
                <w:bCs w:val="1"/>
                <w:color w:val="auto"/>
              </w:rPr>
              <w:t>(in thousands)</w:t>
            </w:r>
          </w:p>
        </w:tc>
      </w:tr>
      <w:tr>
        <w:trPr>
          <w:trHeight w:val="27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$1,175 million revolver</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Unsecured term loan A-1</w:t>
            </w:r>
          </w:p>
        </w:tc>
        <w:tc>
          <w:tcPr>
            <w:tcW w:w="2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449,000</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Unsecured term loans A-2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424,019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180" w:type="dxa"/>
            <w:vAlign w:val="bottom"/>
          </w:tcPr>
          <w:p>
            <w:pPr>
              <w:ind w:left="20"/>
              <w:spacing w:after="0"/>
              <w:rPr>
                <w:sz w:val="20"/>
                <w:szCs w:val="20"/>
                <w:color w:val="auto"/>
              </w:rPr>
            </w:pPr>
            <w:r>
              <w:rPr>
                <w:rFonts w:ascii="Arial" w:cs="Arial" w:eastAsia="Arial" w:hAnsi="Arial"/>
                <w:sz w:val="18"/>
                <w:szCs w:val="18"/>
                <w:color w:val="auto"/>
              </w:rPr>
              <w:t>$1,000 million 4.875% senior unsecured notes due November 2020</w:t>
            </w:r>
          </w:p>
        </w:tc>
        <w:tc>
          <w:tcPr>
            <w:tcW w:w="20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215,174</w:t>
            </w:r>
          </w:p>
        </w:tc>
      </w:tr>
      <w:tr>
        <w:trPr>
          <w:trHeight w:val="27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$400 million 4.375% senior unsecured notes due April 2021</w:t>
            </w:r>
          </w:p>
        </w:tc>
        <w:tc>
          <w:tcPr>
            <w:tcW w:w="2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70"/>
        </w:trPr>
        <w:tc>
          <w:tcPr>
            <w:tcW w:w="8180" w:type="dxa"/>
            <w:vAlign w:val="bottom"/>
          </w:tcPr>
          <w:p>
            <w:pPr>
              <w:ind w:left="20"/>
              <w:spacing w:after="0"/>
              <w:rPr>
                <w:sz w:val="20"/>
                <w:szCs w:val="20"/>
                <w:color w:val="auto"/>
              </w:rPr>
            </w:pPr>
            <w:r>
              <w:rPr>
                <w:rFonts w:ascii="Arial" w:cs="Arial" w:eastAsia="Arial" w:hAnsi="Arial"/>
                <w:sz w:val="18"/>
                <w:szCs w:val="18"/>
                <w:color w:val="auto"/>
              </w:rPr>
              <w:t>$500 million 5.375% senior unsecured notes due November 2023</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7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$400 million 3.35% senior unsecured notes due September 2024</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70"/>
        </w:trPr>
        <w:tc>
          <w:tcPr>
            <w:tcW w:w="8180" w:type="dxa"/>
            <w:vAlign w:val="bottom"/>
          </w:tcPr>
          <w:p>
            <w:pPr>
              <w:ind w:left="20"/>
              <w:spacing w:after="0"/>
              <w:rPr>
                <w:sz w:val="20"/>
                <w:szCs w:val="20"/>
                <w:color w:val="auto"/>
              </w:rPr>
            </w:pPr>
            <w:r>
              <w:rPr>
                <w:rFonts w:ascii="Arial" w:cs="Arial" w:eastAsia="Arial" w:hAnsi="Arial"/>
                <w:sz w:val="18"/>
                <w:szCs w:val="18"/>
                <w:color w:val="auto"/>
              </w:rPr>
              <w:t>$850 million 5.25% senior unsecured notes due June 2025</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850,000</w:t>
            </w:r>
          </w:p>
        </w:tc>
      </w:tr>
      <w:tr>
        <w:trPr>
          <w:trHeight w:val="27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$975 million 5.375% senior unsecured notes due April 2026</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975,000</w:t>
            </w:r>
          </w:p>
        </w:tc>
      </w:tr>
      <w:tr>
        <w:trPr>
          <w:trHeight w:val="270"/>
        </w:trPr>
        <w:tc>
          <w:tcPr>
            <w:tcW w:w="8180" w:type="dxa"/>
            <w:vAlign w:val="bottom"/>
          </w:tcPr>
          <w:p>
            <w:pPr>
              <w:ind w:left="20"/>
              <w:spacing w:after="0"/>
              <w:rPr>
                <w:sz w:val="20"/>
                <w:szCs w:val="20"/>
                <w:color w:val="auto"/>
              </w:rPr>
            </w:pPr>
            <w:r>
              <w:rPr>
                <w:rFonts w:ascii="Arial" w:cs="Arial" w:eastAsia="Arial" w:hAnsi="Arial"/>
                <w:sz w:val="18"/>
                <w:szCs w:val="18"/>
                <w:color w:val="auto"/>
              </w:rPr>
              <w:t>$500 million 5.75% senior unsecured notes due June 2028</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7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$750 million 5.30% senior unsecured notes due January 2029</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r>
      <w:tr>
        <w:trPr>
          <w:trHeight w:val="270"/>
        </w:trPr>
        <w:tc>
          <w:tcPr>
            <w:tcW w:w="8180" w:type="dxa"/>
            <w:vAlign w:val="bottom"/>
          </w:tcPr>
          <w:p>
            <w:pPr>
              <w:ind w:left="20"/>
              <w:spacing w:after="0"/>
              <w:rPr>
                <w:sz w:val="20"/>
                <w:szCs w:val="20"/>
                <w:color w:val="auto"/>
              </w:rPr>
            </w:pPr>
            <w:r>
              <w:rPr>
                <w:rFonts w:ascii="Arial" w:cs="Arial" w:eastAsia="Arial" w:hAnsi="Arial"/>
                <w:sz w:val="18"/>
                <w:szCs w:val="18"/>
                <w:color w:val="auto"/>
              </w:rPr>
              <w:t>$700 million 4.00% senior unsecured notes due January 2030</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700,000</w:t>
            </w:r>
          </w:p>
        </w:tc>
      </w:tr>
      <w:tr>
        <w:trPr>
          <w:trHeight w:val="27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$700 million 4.00% senior unsecured notes due January 2031</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Finance lease liability</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989</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5,799,912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5,786,163</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Less: unamortized debt issuance costs, bond premiums and original issuance discounts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(47,660)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(48,201)</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Total long-term debt, net of unamortized debt issuance costs, bond premiums and original issuance discounts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5,752,252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5,737,962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6" w:name="page17"/>
    <w:bookmarkEnd w:id="16"/>
    <w:p>
      <w:pPr>
        <w:ind w:left="660"/>
        <w:spacing w:after="0"/>
        <w:rPr>
          <w:sz w:val="20"/>
          <w:szCs w:val="20"/>
          <w:color w:val="auto"/>
        </w:rPr>
      </w:pPr>
      <w:r>
        <w:rPr>
          <w:rFonts w:ascii="Arial" w:cs="Arial" w:eastAsia="Arial" w:hAnsi="Arial"/>
          <w:sz w:val="18"/>
          <w:szCs w:val="18"/>
          <w:color w:val="auto"/>
        </w:rPr>
        <w:t>The following is a schedule of future minimum repayments of long-term debt as of September 30, 2020 (in thousands):</w:t>
      </w:r>
    </w:p>
    <w:p>
      <w:pPr>
        <w:spacing w:after="0" w:line="50" w:lineRule="exact"/>
        <w:rPr>
          <w:sz w:val="20"/>
          <w:szCs w:val="20"/>
          <w:color w:val="auto"/>
        </w:rPr>
      </w:pPr>
    </w:p>
    <w:tbl>
      <w:tblPr>
        <w:tblLayout w:type="fixed"/>
        <w:tblInd w:w="1820" w:type="dxa"/>
        <w:tblCellMar>
          <w:top w:w="0" w:type="dxa"/>
          <w:left w:w="0" w:type="dxa"/>
          <w:bottom w:w="0" w:type="dxa"/>
          <w:right w:w="0" w:type="dxa"/>
        </w:tblCellMar>
      </w:tblPr>
      <w:tr>
        <w:trPr>
          <w:trHeight w:val="27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43"/>
        </w:trPr>
        <w:tc>
          <w:tcPr>
            <w:tcW w:w="5960" w:type="dxa"/>
            <w:vAlign w:val="bottom"/>
          </w:tcPr>
          <w:p>
            <w:pPr>
              <w:spacing w:after="0"/>
              <w:rPr>
                <w:sz w:val="20"/>
                <w:szCs w:val="20"/>
                <w:color w:val="auto"/>
              </w:rPr>
            </w:pPr>
            <w:r>
              <w:rPr>
                <w:rFonts w:ascii="Arial" w:cs="Arial" w:eastAsia="Arial" w:hAnsi="Arial"/>
                <w:sz w:val="18"/>
                <w:szCs w:val="18"/>
                <w:color w:val="auto"/>
              </w:rPr>
              <w:t>2-3 years</w:t>
            </w:r>
          </w:p>
        </w:tc>
        <w:tc>
          <w:tcPr>
            <w:tcW w:w="4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424,307</w:t>
            </w:r>
          </w:p>
        </w:tc>
      </w:tr>
      <w:tr>
        <w:trPr>
          <w:trHeight w:val="27"/>
        </w:trPr>
        <w:tc>
          <w:tcPr>
            <w:tcW w:w="5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4-5 years</w:t>
            </w: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1,750,316</w:t>
            </w:r>
          </w:p>
        </w:tc>
      </w:tr>
      <w:tr>
        <w:trPr>
          <w:trHeight w:val="243"/>
        </w:trPr>
        <w:tc>
          <w:tcPr>
            <w:tcW w:w="5960" w:type="dxa"/>
            <w:vAlign w:val="bottom"/>
          </w:tcPr>
          <w:p>
            <w:pPr>
              <w:spacing w:after="0"/>
              <w:rPr>
                <w:sz w:val="20"/>
                <w:szCs w:val="20"/>
                <w:color w:val="auto"/>
              </w:rPr>
            </w:pPr>
            <w:r>
              <w:rPr>
                <w:rFonts w:ascii="Arial" w:cs="Arial" w:eastAsia="Arial" w:hAnsi="Arial"/>
                <w:sz w:val="18"/>
                <w:szCs w:val="18"/>
                <w:color w:val="auto"/>
              </w:rPr>
              <w:t>Over 5 years</w:t>
            </w:r>
          </w:p>
        </w:tc>
        <w:tc>
          <w:tcPr>
            <w:tcW w:w="4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3,625,155</w:t>
            </w:r>
          </w:p>
        </w:tc>
      </w:tr>
      <w:tr>
        <w:trPr>
          <w:trHeight w:val="27"/>
        </w:trPr>
        <w:tc>
          <w:tcPr>
            <w:tcW w:w="59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5,799,912</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Credit Facility</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Prior to June 25, 2020, the Company's senior unsecured credit facility (the "Credit Facility") consisted of a $1,175 million revolving credit facility (the "Revolver"), with a maturity date of May 21, 2023, and a $449 million Term Loan A-1 facility, with a maturity date of April 28, 2021. At September 30, 2020, the interest rate on the term loan facility and Revolver was LIBOR plus 1.50%.</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fully drew down on its Revolver in the first quarter of 2020 to increase its liquidity position and repay certain senior unsecured notes as described below. On June 25, 2020, the Company entered into an amendment to the Credit Facility (as amended, the "Amended Credit Facility" which extended the maturity date of approximately $224 million of outstanding Term Loan A-1 facility borrowings to May 21, 2023, which term loans are now classified as a new tranche of term loans (Term Loans A-2). Additionally, the Company borrowed incremental Term Loans A-2 totaling $200 million. Furthermore, on June 25, 2020, the Company also closed on an offering of $500 million of 4.00% unsecured senior notes due in January 2031 priced at a slight discount to par. The Company utilized the proceeds from these two financings along with cash on hand to repay all outstanding obligations under its Revolver. On August 18, 2020, the Company borrowed an additional $200 million of 4.00% unsecured senior notes due in January 2031 priced at a premium to par. The Company utilized the net proceeds from this additional borrowing to repay indebtedness under the Term Loan A-1 facility.</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September 30, 2020, the Amended Credit Facility had a gross outstanding balance of $424.0 million, consisting of the $424.0 million Term Loans A-2 facility. No amounts were outstanding under the Revolver. Additionally, at September 30, 2020, the Company was contingently obligated under letters of credit issued pursuant to the Amended Credit Facility with face amounts aggregating approximately $0.4 million, resulting in $1,174.6 million of available borrowing capacity under the Revolver as of September 30, 2020.</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Amended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Amended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Amended Credit Facility will enable the lenders under the Amended Credit Facility to accelerate the loans and terminate the commitments thereunder.</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September 30, 2020, the Company was in compliance with all required financial covenants under the Amended Credit Facility. Additionally, the Company entered into an amendment at March 30, 2020 with the Company's credit facility lenders which permits the fair value of non-cash assets received for rental payments from our tenants to be recognized within net operating income to the extent earned in accordance with GAAP for debt covenant purposes as well as the inclusion of cash in the definition of unencumbered assets.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first quarter of 2020, the Company redeemed all $215.2 million aggregate principal amount of the Company’s outstanding 4.875% senior unsecured notes due in November 2020 and all $400 million aggregate principal amount of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Company’s outstanding 4.375% senior unsecured notes due in April 2021, incurring a loss on the early extinguishment of debt related to the redemption of $17.3 million, primarily for call premium charges and debt issuance write-offs.</w:t>
      </w:r>
    </w:p>
    <w:p>
      <w:pPr>
        <w:spacing w:after="0" w:line="19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On June 25, 2020, the Company issued $500 million of 4.00% senior unsecured notes due January 2031 priced at a slight discount to par to repay indebtedness under its Revolver. On August 18, 2020 the Company issued an additional $200 million of 4.00% senior unsecured notes due January 2031 at a premium to repay Term Loan A-1 indebtedness, incurring a loss on the early extinguishment of debt of $0.8 million, related to debt issuance write-offs. These bond offerings have extended the maturities of our long-term debt.</w:t>
      </w:r>
    </w:p>
    <w:p>
      <w:pPr>
        <w:spacing w:after="0" w:line="21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At September 30, 2020, the Company had $5,375.0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September 30, 2020, the Company was in compliance with all required financial covenants under its Senior Notes.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of Financial Assets and Liabilities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spacing w:after="0" w:line="21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w:t>
      </w:r>
    </w:p>
    <w:p>
      <w:pPr>
        <w:spacing w:after="0" w:line="25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3: Unobservable inputs that reflect the reporting entity's own assumptions, as there is little, if any, related market activity.</w:t>
      </w:r>
    </w:p>
    <w:p>
      <w:pPr>
        <w:spacing w:after="0" w:line="225" w:lineRule="exact"/>
        <w:rPr>
          <w:sz w:val="20"/>
          <w:szCs w:val="20"/>
          <w:color w:val="auto"/>
        </w:rPr>
      </w:pPr>
    </w:p>
    <w:p>
      <w:pPr>
        <w:jc w:val="both"/>
        <w:ind w:firstLine="241"/>
        <w:spacing w:after="0" w:line="277" w:lineRule="auto"/>
        <w:rPr>
          <w:sz w:val="20"/>
          <w:szCs w:val="20"/>
          <w:color w:val="auto"/>
        </w:rPr>
      </w:pPr>
      <w:r>
        <w:rPr>
          <w:rFonts w:ascii="Arial" w:cs="Arial" w:eastAsia="Arial" w:hAnsi="Arial"/>
          <w:sz w:val="18"/>
          <w:szCs w:val="18"/>
          <w:color w:val="auto"/>
        </w:rPr>
        <w:t>The Company's assessment of the significance of a particular input to the fair value measurement requires judgment and may affect the valuation of assets and liabilities and their placement within the fair value hierarchy.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methods and assumptions are used to estimate the fair value of each class of financial instruments for which it is practicable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estimate.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the Company’s cash and cash equivalents approximates the carrying value of the Company’s cash and cash equivalents, due to the short maturity of the cash equivalents.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Compensation Plan Assets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deferred compensation plan assets consist of open-ended mutual funds and as such the fair value measurement of the assets is considered a Level 1 measurement as defined under ASC 820. Deferred compensation plan assets are included within other assets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i w:val="1"/>
          <w:iCs w:val="1"/>
          <w:color w:val="auto"/>
        </w:rPr>
        <w:t>Real Estate Loans</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fair value of the real estate loans approximates the carrying value of the Company's real estate loans, as collection on the outstanding loan balances is reasonably assured. The fair value measurement of the real estate loans is considered a Level 3 measurement as defined under ASC 820.</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the Senior Unsecured Notes are estimated based on quoted prices in active markets and as such are Level 1 measurements as defined under ASC 820. The fair value of the obligations in our Amended Credit Facility is based on indicative pricing from market information (Level 2 inputs).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financial instruments are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2020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920" w:type="dxa"/>
            <w:vAlign w:val="bottom"/>
            <w:tcBorders>
              <w:bottom w:val="single" w:sz="8" w:color="auto"/>
            </w:tcBorders>
          </w:tcPr>
          <w:p>
            <w:pPr>
              <w:spacing w:after="0"/>
              <w:rPr>
                <w:sz w:val="16"/>
                <w:szCs w:val="16"/>
                <w:color w:val="auto"/>
              </w:rPr>
            </w:pPr>
          </w:p>
        </w:tc>
      </w:tr>
      <w:tr>
        <w:trPr>
          <w:trHeight w:val="152"/>
        </w:trPr>
        <w:tc>
          <w:tcPr>
            <w:tcW w:w="5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rPr>
              <w:t>Carrying</w:t>
            </w:r>
          </w:p>
        </w:tc>
        <w:tc>
          <w:tcPr>
            <w:tcW w:w="560" w:type="dxa"/>
            <w:vAlign w:val="bottom"/>
          </w:tcPr>
          <w:p>
            <w:pPr>
              <w:spacing w:after="0"/>
              <w:rPr>
                <w:sz w:val="13"/>
                <w:szCs w:val="13"/>
                <w:color w:val="auto"/>
              </w:rPr>
            </w:pPr>
          </w:p>
        </w:tc>
        <w:tc>
          <w:tcPr>
            <w:tcW w:w="1020" w:type="dxa"/>
            <w:vAlign w:val="bottom"/>
            <w:gridSpan w:val="2"/>
          </w:tcPr>
          <w:p>
            <w:pPr>
              <w:jc w:val="center"/>
              <w:ind w:right="660"/>
              <w:spacing w:after="0" w:line="153"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540" w:type="dxa"/>
            <w:vAlign w:val="bottom"/>
          </w:tcPr>
          <w:p>
            <w:pPr>
              <w:spacing w:after="0"/>
              <w:rPr>
                <w:sz w:val="13"/>
                <w:szCs w:val="13"/>
                <w:color w:val="auto"/>
              </w:rPr>
            </w:pPr>
          </w:p>
        </w:tc>
        <w:tc>
          <w:tcPr>
            <w:tcW w:w="920" w:type="dxa"/>
            <w:vAlign w:val="bottom"/>
          </w:tcPr>
          <w:p>
            <w:pPr>
              <w:jc w:val="right"/>
              <w:ind w:right="515"/>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6"/>
                <w:szCs w:val="16"/>
                <w:color w:val="auto"/>
              </w:rPr>
            </w:pPr>
          </w:p>
        </w:tc>
        <w:tc>
          <w:tcPr>
            <w:tcW w:w="10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540" w:type="dxa"/>
            <w:vAlign w:val="bottom"/>
          </w:tcPr>
          <w:p>
            <w:pPr>
              <w:spacing w:after="0"/>
              <w:rPr>
                <w:sz w:val="16"/>
                <w:szCs w:val="16"/>
                <w:color w:val="auto"/>
              </w:rPr>
            </w:pPr>
          </w:p>
        </w:tc>
        <w:tc>
          <w:tcPr>
            <w:tcW w:w="920" w:type="dxa"/>
            <w:vAlign w:val="bottom"/>
          </w:tcPr>
          <w:p>
            <w:pPr>
              <w:jc w:val="right"/>
              <w:ind w:right="475"/>
              <w:spacing w:after="0"/>
              <w:rPr>
                <w:sz w:val="20"/>
                <w:szCs w:val="20"/>
                <w:color w:val="auto"/>
              </w:rPr>
            </w:pPr>
            <w:r>
              <w:rPr>
                <w:rFonts w:ascii="Arial" w:cs="Arial" w:eastAsia="Arial" w:hAnsi="Arial"/>
                <w:sz w:val="14"/>
                <w:szCs w:val="14"/>
                <w:b w:val="1"/>
                <w:bCs w:val="1"/>
                <w:color w:val="auto"/>
                <w:w w:val="90"/>
              </w:rPr>
              <w:t>Value</w:t>
            </w:r>
          </w:p>
        </w:tc>
      </w:tr>
      <w:tr>
        <w:trPr>
          <w:trHeight w:val="236"/>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70"/>
        </w:trPr>
        <w:tc>
          <w:tcPr>
            <w:tcW w:w="50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105,894</w:t>
            </w:r>
          </w:p>
        </w:tc>
        <w:tc>
          <w:tcPr>
            <w:tcW w:w="100" w:type="dxa"/>
            <w:vAlign w:val="bottom"/>
          </w:tcPr>
          <w:p>
            <w:pPr>
              <w:spacing w:after="0"/>
              <w:rPr>
                <w:sz w:val="23"/>
                <w:szCs w:val="23"/>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105,894</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26,823</w:t>
            </w:r>
          </w:p>
        </w:tc>
        <w:tc>
          <w:tcPr>
            <w:tcW w:w="100" w:type="dxa"/>
            <w:vAlign w:val="bottom"/>
          </w:tcPr>
          <w:p>
            <w:pPr>
              <w:spacing w:after="0"/>
              <w:rPr>
                <w:sz w:val="23"/>
                <w:szCs w:val="23"/>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26,823</w:t>
            </w:r>
          </w:p>
        </w:tc>
      </w:tr>
      <w:tr>
        <w:trPr>
          <w:trHeight w:val="27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compensation plan assets</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31,298</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28,855</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28,855</w:t>
            </w:r>
          </w:p>
        </w:tc>
      </w:tr>
      <w:tr>
        <w:trPr>
          <w:trHeight w:val="270"/>
        </w:trPr>
        <w:tc>
          <w:tcPr>
            <w:tcW w:w="5040" w:type="dxa"/>
            <w:vAlign w:val="bottom"/>
          </w:tcPr>
          <w:p>
            <w:pPr>
              <w:ind w:left="180"/>
              <w:spacing w:after="0"/>
              <w:rPr>
                <w:sz w:val="20"/>
                <w:szCs w:val="20"/>
                <w:color w:val="auto"/>
              </w:rPr>
            </w:pPr>
            <w:r>
              <w:rPr>
                <w:rFonts w:ascii="Arial" w:cs="Arial" w:eastAsia="Arial" w:hAnsi="Arial"/>
                <w:sz w:val="18"/>
                <w:szCs w:val="18"/>
                <w:color w:val="auto"/>
              </w:rPr>
              <w:t>Real estate loans</w:t>
            </w:r>
          </w:p>
        </w:tc>
        <w:tc>
          <w:tcPr>
            <w:tcW w:w="28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303,684</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303,684</w:t>
            </w: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Senior unsecured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424,019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424,019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495,000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493,533</w:t>
            </w:r>
          </w:p>
        </w:tc>
      </w:tr>
      <w:tr>
        <w:trPr>
          <w:trHeight w:val="243"/>
        </w:trPr>
        <w:tc>
          <w:tcPr>
            <w:tcW w:w="5040" w:type="dxa"/>
            <w:vAlign w:val="bottom"/>
          </w:tcPr>
          <w:p>
            <w:pPr>
              <w:ind w:left="340"/>
              <w:spacing w:after="0"/>
              <w:rPr>
                <w:sz w:val="20"/>
                <w:szCs w:val="20"/>
                <w:color w:val="auto"/>
              </w:rPr>
            </w:pPr>
            <w:r>
              <w:rPr>
                <w:rFonts w:ascii="Arial" w:cs="Arial" w:eastAsia="Arial" w:hAnsi="Arial"/>
                <w:sz w:val="18"/>
                <w:szCs w:val="18"/>
                <w:color w:val="auto"/>
              </w:rPr>
              <w:t>Senior unsecured notes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5,375,000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5,802,923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5,290,174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5,707,996</w:t>
            </w: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liabilities measured at fair value on a nonrecurring basis during the nine months ended September 30, 2020 and 2019. There were no assets measured at fair value on a nonrecurring basis during the nine months ended September 30, 2020; however, assets measured at fair value on a nonrecurring basis during the nine months ended September 30, 2019 are described below.</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Receivable</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first quarter of 2019, the Company recorded an impairment charge of $13.0 million related to the write-off of the principal due to the Company under the Casino Queen Loan. During 2019, the operating results of Casino Queen continued to decline, the secured debt of Casino Queen was sold to a third-party casino operator at a discount and the Company no longer expected the loan to be repaid. Thus, because the Company did not expect Casino Queen to repay the remaining term loan principal balance of $13.0 million due to the Company, this amount was written off and an impairment charge was recorded in the condensed consolidated statement of income for the nine months ended September 30, 2019. See Note 7 for further details surrounding the Casino Queen Loan.</w:t>
      </w:r>
    </w:p>
    <w:p>
      <w:pPr>
        <w:spacing w:after="0" w:line="215" w:lineRule="exact"/>
        <w:rPr>
          <w:sz w:val="20"/>
          <w:szCs w:val="20"/>
          <w:color w:val="auto"/>
        </w:rPr>
      </w:pPr>
    </w:p>
    <w:p>
      <w:pPr>
        <w:ind w:right="8240" w:firstLine="8"/>
        <w:spacing w:after="0" w:line="518" w:lineRule="auto"/>
        <w:tabs>
          <w:tab w:leader="none" w:pos="43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w:t>
      </w:r>
    </w:p>
    <w:p>
      <w:pPr>
        <w:spacing w:after="0" w:line="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or results of operations. Further, no assurance can be given that the amount or scope of existing insurance coverage will be sufficient to cover losses arising from such matters.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12. Revenue Recognition</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September 30, 2020, 19 of the Company’s real estate investment properties were leased to a subsidiary of Penn under the Penn Master Lease, an additional 12 of the Company's real estate investment properties were leased to a subsidiary of Penn under the Amended Pinnacle Master Lease, 6 of the Company's real estate investment properties were leased to a subsidiary of Caesars under the Caesars Master Lease and the Lumière Place Lease and 4 of the Company's real estate investment properties were leased to a subsidiary of Boyd under the Boyd Master Lease and the Belterra Park Lease. Additionally, the Meadows real estate assets are leased to Penn under a single property triple-net lease (the "Meadows Lease") and the Casino Queen real estate assets are leased back to the operator under the Casino Queen Lease.</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obligations under the Penn Master Lease and Amended Pinnacle Master Lease, as well as the Meadows Lease, are guaranteed by Penn and, with respect to each lease, jointly and severally by Penn's subsidiaries that occupy and operate the facilities covered by such lease. Similarly, the obligations under the Caesars Master Lease are jointly and severally guaranteed by Caesars and by most of Caesar's subsidiaries that occupy and operate the facilities leased under the Caesars Master Lease. The obligations under the Boyd Master Lease are jointly and severally guaranteed by Boyd's subsidiaries that occupy and operate the facilities leased under the Boyd Master Lease.</w:t>
      </w:r>
    </w:p>
    <w:p>
      <w:pPr>
        <w:spacing w:after="0" w:line="1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rent structure under the Penn Master Lease includes a fixed component, a portion of which is subject to an annual 2% escalator if certain rent coverage ratio thresholds are met, and a component that is based on the performance of the facilities, which is adjusted, subject to certain floors (i) every five years to an amount equal to 4% of the average net revenues of all facilities under the Penn Master Lease (other than Hollywood Casino Columbus and Hollywood Casino Toledo) during the preceding five years, and (ii) monthly by an amount equal to 20% of the net revenues of Hollywood Casino Columbus and Hollywood Casino Toledo during the preceding month, although Hollywood Casino Toledo has a monthly percentage rent floor which equals $22.9 million annually.</w:t>
      </w:r>
    </w:p>
    <w:p>
      <w:pPr>
        <w:spacing w:after="0" w:line="21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Similar to the Penn Master Lease, the Amended Pinnacle Master Lease also includes a fixed component, a portion of which is subject to an annual 2% escalator if certain rent coverage ratio thresholds are met and a component that is based on the performance of the facilities, which is adjusted, subject to certain floors, every two years to an amount equal to 4% of the average annual net revenues of all facilities under the Amended Pinnacle Master Lease during the preceding two years. The Amended Pinnacle Master Lease reset on May 1, 2020 which resulted in an annual decline of $5.0 million.</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to approximately $23.6 million and annual building base rent to approximately $62.1 million, (iv) provide fixed escalation percentages that delay the escalation of building base rent until the commencement of the fifth lease year with building base rent increasing annually by 1.25% in the fifth and sixth lease year,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w:t>
      </w:r>
    </w:p>
    <w:p>
      <w:pPr>
        <w:spacing w:after="0" w:line="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Black Hawk, Isle Casino Waterloo, Isle Casino Bettendorf or Isle of Capri Casino Boonville, provided that the aggregate value of such new property, individually or collectively, is at least equal to the value of Tropicana Evansville or Tropicana Greenville, as applicable (see Note 18 for further discussion)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of certain gaming regulatory agencies and the expiration of applicable gaming regulatory advance notice periods which were received on July 23, 2020.</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This modification was accounted for as a new lease which the Company concluded continued to meet the criteria for operating lease treatment. As a result, the existing deferred revenue at the time of the amendment of $21.2 million will be recognized to the income statement over the Amended and Restated Caesars Master Lease's new initial lease term, which now expires in September 2038. The Company has concluded the renewal options of up to an additional 20 years at the tenants' option are not reasonably certain of being exercised as failure to renew would not result in a significant penalty to the tenant. In addition, the guaranteed fixed escalations in the new initial lease term will be recognized on a straight line basis.</w:t>
      </w:r>
    </w:p>
    <w:p>
      <w:pPr>
        <w:spacing w:after="0" w:line="18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Boyd Master Lease includes a fixed component, a portion of which is subject to an annual 2% escalator if certain rent coverage ratio thresholds are met, and a component that is based on the performance of the facilities, which is adjusted,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jc w:val="both"/>
        <w:ind w:right="20"/>
        <w:spacing w:after="0" w:line="277" w:lineRule="auto"/>
        <w:rPr>
          <w:sz w:val="20"/>
          <w:szCs w:val="20"/>
          <w:color w:val="auto"/>
        </w:rPr>
      </w:pPr>
      <w:r>
        <w:rPr>
          <w:rFonts w:ascii="Arial" w:cs="Arial" w:eastAsia="Arial" w:hAnsi="Arial"/>
          <w:sz w:val="18"/>
          <w:szCs w:val="18"/>
          <w:color w:val="auto"/>
        </w:rPr>
        <w:t>subject to certain floors, every two years to an amount equal to 4% of the average annual net revenues of all facilities under the Boyd Master Lease during the preceding two years. The Boyd Master Lease reset on May 1, 2020 which resulted in an annual rent decline of $1.5 million.</w:t>
      </w:r>
    </w:p>
    <w:p>
      <w:pPr>
        <w:spacing w:after="0" w:line="19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May 2020, the Company acquired the real estate of Belterra Park in satisfaction of the loan, subject to the Belterra Park Lease. The Belterra Park Lease has an initial term that expires on April 30, 2026 and has 5 separate renewal options for five years each, exercisable at the tenants option. The Belterra Park Lease rent terms are consistent with the Boyd Master Lease in that the rent includes a fixed component which totals $4.6 million, $2.7 million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w:t>
      </w:r>
    </w:p>
    <w:p>
      <w:pPr>
        <w:spacing w:after="0" w:line="21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On September 29, 2020, the Company acquired the real estate of Lumière Place in satisfaction of the CZR loan, subject to the Lumière Place Lease, whose initial term expires on October 31, 2033 and has 4 separate renewal options of five years each, exercisable at the tenants' option. The Lumière Place Lease rent is $22.8 million annually and is subject to an annual escalator of up to 2% if certain rent coverage ratio thresholds are met.</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$31.0 million, at which point the escalator will be reduced to 2% annually thereafter. The percentage rent reset for the two year period ended September 30, 2020 recently concluded which will result in an annual reduction of $2.1 million.</w:t>
      </w: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rent structure under the Casino Queen Lease also includes a fixed component, a portion of which is subject to an annual 2% escalator if certain rent coverage ratio thresholds are met, and a component that is based on the performance of the facility, which is reset every five years to an amount equal to the greater of (i) the annual amount of non-fixed rent applicable for the lease year immediately preceding such rent reset year and (ii) an amount equal to 4% of the average annual net revenues of the facility for the trailing five-year period.</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Furthermore, the Company's master leases provide for a floor on the percentage rent described above, should the Company's tenants acquire or commence operating a competing facility within a restricted area (typically 60 miles from a property under the existing master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 For example, a percentage rent floor of $22.9 million per year was triggered on Penn's Hollywood Casino Toledo property as a result of Penn's May 2019 purchase of the operations of the Greektown Casino-Hotel in Detroit, Michigan.</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rent, as triple-net lessees, all of the Company's tenants are required to pay the following executory costs: (1) all facility maintenance,</w:t>
      </w:r>
    </w:p>
    <w:p>
      <w:pPr>
        <w:spacing w:after="0" w:line="46" w:lineRule="exact"/>
        <w:rPr>
          <w:sz w:val="20"/>
          <w:szCs w:val="20"/>
          <w:color w:val="auto"/>
        </w:rPr>
      </w:pPr>
    </w:p>
    <w:p>
      <w:pPr>
        <w:jc w:val="both"/>
        <w:ind w:firstLine="8"/>
        <w:spacing w:after="0" w:line="255" w:lineRule="auto"/>
        <w:tabs>
          <w:tab w:leader="none" w:pos="25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determined, based on facts and circumstances prevailing at the time of each lease's inception, that neither Penn nor Casino Queen</w:t>
      </w:r>
    </w:p>
    <w:p>
      <w:pPr>
        <w:spacing w:after="0" w:line="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could continue as a going concern without the property(ies) that are leased to them under the Penn Master Lease and Casino Queen Lease, respectively. At lease inception, all of Casino Queen's revenues and substantially all of Penn's revenues were generated from operations in connection with the leased properties. There are also various legal restrictions in the jurisdictions in which Penn and Casino Queen operate that limit the availability and location of gaming facilities, which makes relocation or replacement of the leased gaming facilities restrictive and potentially impracticable. Moreover, under the terms of the Penn Master Lease, Penn must make renewal elections with respect to all of the leased property together; the tenant is not entitled to selectively renew certain of the leased property while not renewing other property. Accordingly, the Company concluded that failure by Penn or Casino Queen to renew the Penn Master Lease or Casino Queen Lease, respectively, would impose a significant penalty on such tenant such that renewal of all lease renewal options appeared at lease inception to be reasonably assured. Therefore, the Company concluded that the term of the Penn Master Lease and the Casino Queen Lease is 35 years, equal to the initial 15-year term plus all four of the 5-year renewal options.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jc w:val="both"/>
        <w:ind w:firstLine="648"/>
        <w:spacing w:after="0" w:line="272" w:lineRule="auto"/>
        <w:rPr>
          <w:sz w:val="20"/>
          <w:szCs w:val="20"/>
          <w:color w:val="auto"/>
        </w:rPr>
      </w:pPr>
      <w:r>
        <w:rPr>
          <w:rFonts w:ascii="Arial" w:cs="Arial" w:eastAsia="Arial" w:hAnsi="Arial"/>
          <w:sz w:val="17"/>
          <w:szCs w:val="17"/>
          <w:color w:val="auto"/>
        </w:rPr>
        <w:t>On October 15, 2018, in conjunction with the Penn-Pinnacle Merger, the Pinnacle Master Lease was amended by a fourth amendment to allow for the sale of the operating assets of Ameristar Casino Hotel Kansas City, Ameristar Casino Resort Spa St. Charles and Belterra Casino Resort from Pinnacle to Boyd. As a result of this amendment, the Company reassessed the lease's classification and determined the Amended Pinnacle Master Lease qualified for operating lease treatment under ASC 840. Therefore, subsequent to the Penn-Pinnacle Merger, the Amended Pinnacle Master Lease is treated as an operating lease in its entirety. Because the properties under the Amended Pinnacle Master Lease did not represent a meaningful portion of Penn's business at the time Penn assumed the Amended Pinnacle Master Lease, the Company concluded that the lease term of the Amended Pinnacle Master Lease is 10 years, equal to the initial 10-year term only.</w:t>
      </w:r>
    </w:p>
    <w:p>
      <w:pPr>
        <w:spacing w:after="0" w:line="20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Because the Meadows Lease was a single property lease operated by a large multi-property operator, GLPI concluded it was not reasonably assured at lease inception that the operator would elect to exercise all lease renewal options. Therefore, the Company concluded that the lease term of the Meadows Lease is 10 years, equal to the initial 10-year term only. In conjunction with the Penn-Pinnacle Merger, Penn assumed the Meadows Lease from Pinnacle. The accounting for the Meadows Lease, including the lease term, was not impacted by the change in tenant. Based upon similar fact patterns, the Company concluded it was not reasonably assured at lease inception that Caesars or Boyd would elect to exercise all lease renewal options under the Caesars Master Lease and the Boyd Master Lease as the earnings from these properties did not represent a meaningful portion of either Caesars or Boyd's business at lease inception. Therefore, the Company concluded that the lease term of the Caesars Master Lease was 15 years and the lease term of the Boyd Master Lease is 10 years, equal to only the initial terms of such master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Details of the Company's rental income for the three and nine months ended September 30, 2020 was as follows (in thousands):</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600" w:type="dxa"/>
            <w:vAlign w:val="bottom"/>
          </w:tcPr>
          <w:p>
            <w:pPr>
              <w:jc w:val="right"/>
              <w:ind w:right="194"/>
              <w:spacing w:after="0"/>
              <w:rPr>
                <w:sz w:val="20"/>
                <w:szCs w:val="20"/>
                <w:color w:val="auto"/>
              </w:rPr>
            </w:pPr>
            <w:r>
              <w:rPr>
                <w:rFonts w:ascii="Arial" w:cs="Arial" w:eastAsia="Arial" w:hAnsi="Arial"/>
                <w:sz w:val="14"/>
                <w:szCs w:val="14"/>
                <w:b w:val="1"/>
                <w:bCs w:val="1"/>
                <w:color w:val="auto"/>
                <w:w w:val="99"/>
              </w:rPr>
              <w:t>Nine Months Ended</w:t>
            </w:r>
          </w:p>
        </w:tc>
      </w:tr>
      <w:tr>
        <w:trPr>
          <w:trHeight w:val="192"/>
        </w:trPr>
        <w:tc>
          <w:tcPr>
            <w:tcW w:w="4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2020</w:t>
            </w:r>
          </w:p>
        </w:tc>
        <w:tc>
          <w:tcPr>
            <w:tcW w:w="200" w:type="dxa"/>
            <w:vAlign w:val="bottom"/>
          </w:tcPr>
          <w:p>
            <w:pPr>
              <w:spacing w:after="0"/>
              <w:rPr>
                <w:sz w:val="16"/>
                <w:szCs w:val="16"/>
                <w:color w:val="auto"/>
              </w:rPr>
            </w:pPr>
          </w:p>
        </w:tc>
        <w:tc>
          <w:tcPr>
            <w:tcW w:w="1600" w:type="dxa"/>
            <w:vAlign w:val="bottom"/>
          </w:tcPr>
          <w:p>
            <w:pPr>
              <w:jc w:val="right"/>
              <w:ind w:right="214"/>
              <w:spacing w:after="0"/>
              <w:rPr>
                <w:sz w:val="20"/>
                <w:szCs w:val="20"/>
                <w:color w:val="auto"/>
              </w:rPr>
            </w:pPr>
            <w:r>
              <w:rPr>
                <w:rFonts w:ascii="Arial" w:cs="Arial" w:eastAsia="Arial" w:hAnsi="Arial"/>
                <w:sz w:val="14"/>
                <w:szCs w:val="14"/>
                <w:b w:val="1"/>
                <w:bCs w:val="1"/>
                <w:color w:val="auto"/>
                <w:w w:val="97"/>
              </w:rPr>
              <w:t>September 30, 2020</w:t>
            </w:r>
          </w:p>
        </w:tc>
      </w:tr>
      <w:tr>
        <w:trPr>
          <w:trHeight w:val="269"/>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Building base rent </w:t>
            </w:r>
            <w:r>
              <w:rPr>
                <w:rFonts w:ascii="Arial" w:cs="Arial" w:eastAsia="Arial" w:hAnsi="Arial"/>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167,362</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500,431</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Land base rent</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48,065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143,566</w:t>
            </w:r>
          </w:p>
        </w:tc>
      </w:tr>
      <w:tr>
        <w:trPr>
          <w:trHeight w:val="27"/>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Percentage rent </w:t>
            </w:r>
            <w:r>
              <w:rPr>
                <w:rFonts w:ascii="Arial" w:cs="Arial" w:eastAsia="Arial" w:hAnsi="Arial"/>
                <w:sz w:val="23"/>
                <w:szCs w:val="23"/>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112,708</w:t>
            </w: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Total cash rental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258,117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756,705</w:t>
            </w:r>
          </w:p>
        </w:tc>
      </w:tr>
      <w:tr>
        <w:trPr>
          <w:trHeight w:val="27"/>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Straight-line rent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(5,394)</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Ground rent in revenue</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4,476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11,239</w:t>
            </w:r>
          </w:p>
        </w:tc>
      </w:tr>
      <w:tr>
        <w:trPr>
          <w:trHeight w:val="27"/>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rental revenue</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63"/>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Total rental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267,555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762,711</w:t>
            </w:r>
          </w:p>
        </w:tc>
      </w:tr>
      <w:tr>
        <w:trPr>
          <w:trHeight w:val="21"/>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Building base rent is subject to the annual rent escalators described above.</w:t>
      </w:r>
    </w:p>
    <w:p>
      <w:pPr>
        <w:spacing w:after="0" w:line="217"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Percentage rent is subject to the certain floors as described above.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2020, the future minimum rental income from the Company's rental properties under non-cancelable operating leases, including any reasonably assured renewal periods, was as follows (in thousands):</w:t>
      </w:r>
    </w:p>
    <w:p>
      <w:pPr>
        <w:spacing w:after="0" w:line="24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4"/>
              </w:rPr>
              <w:t>Future Income to be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97"/>
              </w:rPr>
              <w:t>Future Income to be</w:t>
            </w:r>
          </w:p>
        </w:tc>
        <w:tc>
          <w:tcPr>
            <w:tcW w:w="0" w:type="dxa"/>
            <w:vAlign w:val="bottom"/>
          </w:tcPr>
          <w:p>
            <w:pPr>
              <w:spacing w:after="0"/>
              <w:rPr>
                <w:sz w:val="1"/>
                <w:szCs w:val="1"/>
                <w:color w:val="auto"/>
              </w:rPr>
            </w:pPr>
          </w:p>
        </w:tc>
      </w:tr>
      <w:tr>
        <w:trPr>
          <w:trHeight w:val="128"/>
        </w:trPr>
        <w:tc>
          <w:tcPr>
            <w:tcW w:w="1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3"/>
              </w:rPr>
              <w:t>Future Rental Payments</w:t>
            </w:r>
          </w:p>
        </w:tc>
        <w:tc>
          <w:tcPr>
            <w:tcW w:w="140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Straight-Line Rent</w:t>
            </w: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4"/>
          </w:tcPr>
          <w:p>
            <w:pPr>
              <w:jc w:val="center"/>
              <w:spacing w:after="0" w:line="129" w:lineRule="exact"/>
              <w:rPr>
                <w:sz w:val="20"/>
                <w:szCs w:val="20"/>
                <w:color w:val="auto"/>
              </w:rPr>
            </w:pPr>
            <w:r>
              <w:rPr>
                <w:rFonts w:ascii="Arial" w:cs="Arial" w:eastAsia="Arial" w:hAnsi="Arial"/>
                <w:sz w:val="14"/>
                <w:szCs w:val="14"/>
                <w:b w:val="1"/>
                <w:bCs w:val="1"/>
                <w:color w:val="auto"/>
                <w:w w:val="87"/>
              </w:rPr>
              <w:t>Recognized Related</w:t>
            </w:r>
          </w:p>
        </w:tc>
        <w:tc>
          <w:tcPr>
            <w:tcW w:w="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gridSpan w:val="5"/>
            <w:vMerge w:val="continue"/>
          </w:tcPr>
          <w:p>
            <w:pPr>
              <w:spacing w:after="0" w:line="20" w:lineRule="exact"/>
              <w:rPr>
                <w:sz w:val="1"/>
                <w:szCs w:val="1"/>
                <w:color w:val="auto"/>
              </w:rPr>
            </w:pPr>
          </w:p>
        </w:tc>
        <w:tc>
          <w:tcPr>
            <w:tcW w:w="1400" w:type="dxa"/>
            <w:vAlign w:val="bottom"/>
            <w:gridSpan w:val="5"/>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Future Rental Income</w:t>
            </w:r>
          </w:p>
        </w:tc>
        <w:tc>
          <w:tcPr>
            <w:tcW w:w="180" w:type="dxa"/>
            <w:vAlign w:val="bottom"/>
          </w:tcPr>
          <w:p>
            <w:pPr>
              <w:spacing w:after="0"/>
              <w:rPr>
                <w:sz w:val="11"/>
                <w:szCs w:val="11"/>
                <w:color w:val="auto"/>
              </w:rPr>
            </w:pPr>
          </w:p>
        </w:tc>
        <w:tc>
          <w:tcPr>
            <w:tcW w:w="1860" w:type="dxa"/>
            <w:vAlign w:val="bottom"/>
            <w:gridSpan w:val="5"/>
            <w:vMerge w:val="continue"/>
          </w:tcPr>
          <w:p>
            <w:pPr>
              <w:spacing w:after="0"/>
              <w:rPr>
                <w:sz w:val="11"/>
                <w:szCs w:val="11"/>
                <w:color w:val="auto"/>
              </w:rPr>
            </w:pPr>
          </w:p>
        </w:tc>
        <w:tc>
          <w:tcPr>
            <w:tcW w:w="140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4"/>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to Ground Leases</w:t>
            </w:r>
          </w:p>
        </w:tc>
        <w:tc>
          <w:tcPr>
            <w:tcW w:w="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32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w w:val="86"/>
              </w:rPr>
              <w:t>Recognized Related to</w:t>
            </w:r>
          </w:p>
        </w:tc>
        <w:tc>
          <w:tcPr>
            <w:tcW w:w="0" w:type="dxa"/>
            <w:vAlign w:val="bottom"/>
          </w:tcPr>
          <w:p>
            <w:pPr>
              <w:spacing w:after="0"/>
              <w:rPr>
                <w:sz w:val="1"/>
                <w:szCs w:val="1"/>
                <w:color w:val="auto"/>
              </w:rPr>
            </w:pPr>
          </w:p>
        </w:tc>
      </w:tr>
      <w:tr>
        <w:trPr>
          <w:trHeight w:val="128"/>
        </w:trPr>
        <w:tc>
          <w:tcPr>
            <w:tcW w:w="28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0"/>
              </w:rPr>
              <w:t>Receivable</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Borders>
              <w:top w:val="single" w:sz="8" w:color="auto"/>
            </w:tcBorders>
            <w:gridSpan w:val="3"/>
          </w:tcPr>
          <w:p>
            <w:pPr>
              <w:jc w:val="right"/>
              <w:ind w:right="180"/>
              <w:spacing w:after="0" w:line="129" w:lineRule="exact"/>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3"/>
              </w:rPr>
              <w:t>(Non Cash)</w:t>
            </w:r>
          </w:p>
        </w:tc>
        <w:tc>
          <w:tcPr>
            <w:tcW w:w="10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4"/>
          </w:tcPr>
          <w:p>
            <w:pPr>
              <w:ind w:left="80"/>
              <w:spacing w:after="0" w:line="129" w:lineRule="exact"/>
              <w:rPr>
                <w:sz w:val="20"/>
                <w:szCs w:val="20"/>
                <w:color w:val="auto"/>
              </w:rPr>
            </w:pPr>
            <w:r>
              <w:rPr>
                <w:rFonts w:ascii="Arial" w:cs="Arial" w:eastAsia="Arial" w:hAnsi="Arial"/>
                <w:sz w:val="14"/>
                <w:szCs w:val="14"/>
                <w:b w:val="1"/>
                <w:bCs w:val="1"/>
                <w:color w:val="auto"/>
              </w:rPr>
              <w:t>Operating Leases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0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auto"/>
            </w:tcBorders>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5"/>
          </w:tcPr>
          <w:p>
            <w:pPr>
              <w:jc w:val="right"/>
              <w:ind w:right="140"/>
              <w:spacing w:after="0"/>
              <w:rPr>
                <w:sz w:val="20"/>
                <w:szCs w:val="20"/>
                <w:color w:val="auto"/>
              </w:rPr>
            </w:pPr>
            <w:r>
              <w:rPr>
                <w:rFonts w:ascii="Arial" w:cs="Arial" w:eastAsia="Arial" w:hAnsi="Arial"/>
                <w:sz w:val="18"/>
                <w:szCs w:val="18"/>
                <w:color w:val="auto"/>
              </w:rPr>
              <w:t>253,693</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814</w:t>
            </w:r>
          </w:p>
        </w:tc>
        <w:tc>
          <w:tcPr>
            <w:tcW w:w="80" w:type="dxa"/>
            <w:vAlign w:val="bottom"/>
          </w:tcPr>
          <w:p>
            <w:pPr>
              <w:spacing w:after="0"/>
              <w:rPr>
                <w:sz w:val="22"/>
                <w:szCs w:val="22"/>
                <w:color w:val="auto"/>
              </w:rPr>
            </w:pPr>
          </w:p>
        </w:tc>
        <w:tc>
          <w:tcPr>
            <w:tcW w:w="1300" w:type="dxa"/>
            <w:vAlign w:val="bottom"/>
            <w:gridSpan w:val="6"/>
          </w:tcPr>
          <w:p>
            <w:pPr>
              <w:jc w:val="right"/>
              <w:spacing w:after="0"/>
              <w:rPr>
                <w:sz w:val="20"/>
                <w:szCs w:val="20"/>
                <w:color w:val="auto"/>
              </w:rPr>
            </w:pPr>
            <w:r>
              <w:rPr>
                <w:rFonts w:ascii="Arial" w:cs="Arial" w:eastAsia="Arial" w:hAnsi="Arial"/>
                <w:sz w:val="18"/>
                <w:szCs w:val="18"/>
                <w:color w:val="auto"/>
              </w:rPr>
              <w:t>3,010</w:t>
            </w:r>
          </w:p>
        </w:tc>
        <w:tc>
          <w:tcPr>
            <w:tcW w:w="20" w:type="dxa"/>
            <w:vAlign w:val="bottom"/>
          </w:tcPr>
          <w:p>
            <w:pPr>
              <w:spacing w:after="0"/>
              <w:rPr>
                <w:sz w:val="22"/>
                <w:szCs w:val="22"/>
                <w:color w:val="auto"/>
              </w:rPr>
            </w:pPr>
          </w:p>
        </w:tc>
        <w:tc>
          <w:tcPr>
            <w:tcW w:w="1380" w:type="dxa"/>
            <w:vAlign w:val="bottom"/>
            <w:gridSpan w:val="5"/>
          </w:tcPr>
          <w:p>
            <w:pPr>
              <w:jc w:val="right"/>
              <w:spacing w:after="0"/>
              <w:rPr>
                <w:sz w:val="20"/>
                <w:szCs w:val="20"/>
                <w:color w:val="auto"/>
              </w:rPr>
            </w:pPr>
            <w:r>
              <w:rPr>
                <w:rFonts w:ascii="Arial" w:cs="Arial" w:eastAsia="Arial" w:hAnsi="Arial"/>
                <w:sz w:val="18"/>
                <w:szCs w:val="18"/>
                <w:color w:val="auto"/>
              </w:rPr>
              <w:t>257,517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1,014,961</w:t>
            </w:r>
          </w:p>
        </w:tc>
        <w:tc>
          <w:tcPr>
            <w:tcW w:w="13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12,045</w:t>
            </w:r>
          </w:p>
        </w:tc>
        <w:tc>
          <w:tcPr>
            <w:tcW w:w="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1,030,261</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5"/>
          </w:tcPr>
          <w:p>
            <w:pPr>
              <w:jc w:val="right"/>
              <w:ind w:right="140"/>
              <w:spacing w:after="0"/>
              <w:rPr>
                <w:sz w:val="20"/>
                <w:szCs w:val="20"/>
                <w:color w:val="auto"/>
              </w:rPr>
            </w:pPr>
            <w:r>
              <w:rPr>
                <w:rFonts w:ascii="Arial" w:cs="Arial" w:eastAsia="Arial" w:hAnsi="Arial"/>
                <w:sz w:val="18"/>
                <w:szCs w:val="18"/>
                <w:color w:val="auto"/>
              </w:rPr>
              <w:t>987,266</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22,124</w:t>
            </w:r>
          </w:p>
        </w:tc>
        <w:tc>
          <w:tcPr>
            <w:tcW w:w="80" w:type="dxa"/>
            <w:vAlign w:val="bottom"/>
          </w:tcPr>
          <w:p>
            <w:pPr>
              <w:spacing w:after="0"/>
              <w:rPr>
                <w:sz w:val="21"/>
                <w:szCs w:val="21"/>
                <w:color w:val="auto"/>
              </w:rPr>
            </w:pPr>
          </w:p>
        </w:tc>
        <w:tc>
          <w:tcPr>
            <w:tcW w:w="1300" w:type="dxa"/>
            <w:vAlign w:val="bottom"/>
            <w:gridSpan w:val="6"/>
          </w:tcPr>
          <w:p>
            <w:pPr>
              <w:jc w:val="right"/>
              <w:spacing w:after="0"/>
              <w:rPr>
                <w:sz w:val="20"/>
                <w:szCs w:val="20"/>
                <w:color w:val="auto"/>
              </w:rPr>
            </w:pPr>
            <w:r>
              <w:rPr>
                <w:rFonts w:ascii="Arial" w:cs="Arial" w:eastAsia="Arial" w:hAnsi="Arial"/>
                <w:sz w:val="18"/>
                <w:szCs w:val="18"/>
                <w:color w:val="auto"/>
              </w:rPr>
              <w:t>12,051</w:t>
            </w:r>
          </w:p>
        </w:tc>
        <w:tc>
          <w:tcPr>
            <w:tcW w:w="20" w:type="dxa"/>
            <w:vAlign w:val="bottom"/>
          </w:tcPr>
          <w:p>
            <w:pPr>
              <w:spacing w:after="0"/>
              <w:rPr>
                <w:sz w:val="21"/>
                <w:szCs w:val="21"/>
                <w:color w:val="auto"/>
              </w:rPr>
            </w:pPr>
          </w:p>
        </w:tc>
        <w:tc>
          <w:tcPr>
            <w:tcW w:w="1380" w:type="dxa"/>
            <w:vAlign w:val="bottom"/>
            <w:gridSpan w:val="5"/>
          </w:tcPr>
          <w:p>
            <w:pPr>
              <w:jc w:val="right"/>
              <w:spacing w:after="0"/>
              <w:rPr>
                <w:sz w:val="20"/>
                <w:szCs w:val="20"/>
                <w:color w:val="auto"/>
              </w:rPr>
            </w:pPr>
            <w:r>
              <w:rPr>
                <w:rFonts w:ascii="Arial" w:cs="Arial" w:eastAsia="Arial" w:hAnsi="Arial"/>
                <w:sz w:val="18"/>
                <w:szCs w:val="18"/>
                <w:color w:val="auto"/>
              </w:rPr>
              <w:t>1,021,441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961,807</w:t>
            </w:r>
          </w:p>
        </w:tc>
        <w:tc>
          <w:tcPr>
            <w:tcW w:w="13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30,877</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12,057</w:t>
            </w:r>
          </w:p>
        </w:tc>
        <w:tc>
          <w:tcPr>
            <w:tcW w:w="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1,004,741</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5"/>
          </w:tcPr>
          <w:p>
            <w:pPr>
              <w:jc w:val="right"/>
              <w:ind w:right="140"/>
              <w:spacing w:after="0"/>
              <w:rPr>
                <w:sz w:val="20"/>
                <w:szCs w:val="20"/>
                <w:color w:val="auto"/>
              </w:rPr>
            </w:pPr>
            <w:r>
              <w:rPr>
                <w:rFonts w:ascii="Arial" w:cs="Arial" w:eastAsia="Arial" w:hAnsi="Arial"/>
                <w:sz w:val="18"/>
                <w:szCs w:val="18"/>
                <w:color w:val="auto"/>
              </w:rPr>
              <w:t>929,486</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30,008</w:t>
            </w:r>
          </w:p>
        </w:tc>
        <w:tc>
          <w:tcPr>
            <w:tcW w:w="80" w:type="dxa"/>
            <w:vAlign w:val="bottom"/>
          </w:tcPr>
          <w:p>
            <w:pPr>
              <w:spacing w:after="0"/>
              <w:rPr>
                <w:sz w:val="21"/>
                <w:szCs w:val="21"/>
                <w:color w:val="auto"/>
              </w:rPr>
            </w:pPr>
          </w:p>
        </w:tc>
        <w:tc>
          <w:tcPr>
            <w:tcW w:w="1300" w:type="dxa"/>
            <w:vAlign w:val="bottom"/>
            <w:gridSpan w:val="6"/>
          </w:tcPr>
          <w:p>
            <w:pPr>
              <w:jc w:val="right"/>
              <w:spacing w:after="0"/>
              <w:rPr>
                <w:sz w:val="20"/>
                <w:szCs w:val="20"/>
                <w:color w:val="auto"/>
              </w:rPr>
            </w:pPr>
            <w:r>
              <w:rPr>
                <w:rFonts w:ascii="Arial" w:cs="Arial" w:eastAsia="Arial" w:hAnsi="Arial"/>
                <w:sz w:val="18"/>
                <w:szCs w:val="18"/>
                <w:color w:val="auto"/>
              </w:rPr>
              <w:t>12,063</w:t>
            </w:r>
          </w:p>
        </w:tc>
        <w:tc>
          <w:tcPr>
            <w:tcW w:w="20" w:type="dxa"/>
            <w:vAlign w:val="bottom"/>
          </w:tcPr>
          <w:p>
            <w:pPr>
              <w:spacing w:after="0"/>
              <w:rPr>
                <w:sz w:val="21"/>
                <w:szCs w:val="21"/>
                <w:color w:val="auto"/>
              </w:rPr>
            </w:pPr>
          </w:p>
        </w:tc>
        <w:tc>
          <w:tcPr>
            <w:tcW w:w="1380" w:type="dxa"/>
            <w:vAlign w:val="bottom"/>
            <w:gridSpan w:val="5"/>
          </w:tcPr>
          <w:p>
            <w:pPr>
              <w:jc w:val="right"/>
              <w:spacing w:after="0"/>
              <w:rPr>
                <w:sz w:val="20"/>
                <w:szCs w:val="20"/>
                <w:color w:val="auto"/>
              </w:rPr>
            </w:pPr>
            <w:r>
              <w:rPr>
                <w:rFonts w:ascii="Arial" w:cs="Arial" w:eastAsia="Arial" w:hAnsi="Arial"/>
                <w:sz w:val="18"/>
                <w:szCs w:val="18"/>
                <w:color w:val="auto"/>
              </w:rPr>
              <w:t>971,557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13,411,936</w:t>
            </w:r>
          </w:p>
        </w:tc>
        <w:tc>
          <w:tcPr>
            <w:tcW w:w="13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246,801</w:t>
            </w:r>
          </w:p>
        </w:tc>
        <w:tc>
          <w:tcPr>
            <w:tcW w:w="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123,028</w:t>
            </w:r>
          </w:p>
        </w:tc>
        <w:tc>
          <w:tcPr>
            <w:tcW w:w="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13,781,765</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8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17,559,149</w:t>
            </w:r>
          </w:p>
        </w:tc>
        <w:tc>
          <w:tcPr>
            <w:tcW w:w="13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333,879</w:t>
            </w:r>
          </w:p>
        </w:tc>
        <w:tc>
          <w:tcPr>
            <w:tcW w:w="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color w:val="auto"/>
              </w:rPr>
              <w:t>174,254</w:t>
            </w:r>
          </w:p>
        </w:tc>
        <w:tc>
          <w:tcPr>
            <w:tcW w:w="2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18,067,282</w:t>
            </w:r>
          </w:p>
        </w:tc>
        <w:tc>
          <w:tcPr>
            <w:tcW w:w="6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table above presents the cash rent the Company expects to receive from its tenants (incorporating the events that were completed on October 1, 2020 discussed in Note 18), offset by adjustments to recognize this rent on a straight-line basis over the lease term. The Company also includes the future non-cash revenue it expects to recognize from the fixed portion of tenant paid ground leases in the table above.</w:t>
      </w:r>
    </w:p>
    <w:p>
      <w:pPr>
        <w:spacing w:after="0" w:line="3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may periodically loan funds to casino owner-operators for the purchase of real estate. Interest income related to real estate loans is recorded as interest income from real estate loans within the Company's condensed consolidated statements of income in the period earned. At September 30, 2020, the Company no longer has any loans outstanding. See Note 7 for additional details.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Food, Beverage and Other Revenues</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Gaming revenue generated by the TRS Properties mainly consists of revenue from slot machines, and to a lesser extent, table game and poker revenue. Gaming revenue is recognized net of certain sales incentives, including promotional allowances in accordance with ASC 606 -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The Company also defers a portion of the revenue received from customers (who participate in points-based loyalty programs)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play until a later period when the points are redeemed or forfeited. Other revenues at our TRS Properties are derived from our dining, retail and certain other ancillary activities.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13. Earnings Per Share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Company calculates earnings per share ("EPS") in accordance with ASC 260 -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("ASC 260"</w:t>
      </w:r>
      <w:r>
        <w:rPr>
          <w:rFonts w:ascii="Arial" w:cs="Arial" w:eastAsia="Arial" w:hAnsi="Arial"/>
          <w:sz w:val="16"/>
          <w:szCs w:val="16"/>
          <w:i w:val="1"/>
          <w:iCs w:val="1"/>
          <w:color w:val="auto"/>
        </w:rPr>
        <w:t>)</w:t>
      </w:r>
      <w:r>
        <w:rPr>
          <w:rFonts w:ascii="Arial" w:cs="Arial" w:eastAsia="Arial" w:hAnsi="Arial"/>
          <w:sz w:val="16"/>
          <w:szCs w:val="16"/>
          <w:color w:val="auto"/>
        </w:rPr>
        <w:t>.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and unvested performance-based restricted shares. In accordance with ASC 260, the Company includes all performance-based restricted shares that would have vested based upon the Company’s performance at quarter-end in the calculation of diluted EPS. Diluted EPS for the Company's common stock is computed using the more dilutive of the two-class method or the treasury stock method.</w:t>
      </w:r>
    </w:p>
    <w:p>
      <w:pPr>
        <w:spacing w:after="0" w:line="19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 reconciles the weighted-average common shares outstanding used in the calculation of basic EPS to the weighted-average common shares outstanding used in the calculation of diluted EPS for the three and nine months ended September 30, 2020 and 2019:</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5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60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96"/>
        </w:trPr>
        <w:tc>
          <w:tcPr>
            <w:tcW w:w="508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196"/>
        </w:trPr>
        <w:tc>
          <w:tcPr>
            <w:tcW w:w="50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3"/>
          </w:tcPr>
          <w:p>
            <w:pPr>
              <w:ind w:left="106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56"/>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Determination of shares:</w:t>
            </w: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1440" w:type="dxa"/>
            <w:vAlign w:val="bottom"/>
          </w:tcPr>
          <w:p>
            <w:pPr>
              <w:jc w:val="right"/>
              <w:spacing w:after="0"/>
              <w:rPr>
                <w:sz w:val="20"/>
                <w:szCs w:val="20"/>
                <w:color w:val="auto"/>
              </w:rPr>
            </w:pPr>
            <w:r>
              <w:rPr>
                <w:rFonts w:ascii="Arial" w:cs="Arial" w:eastAsia="Arial" w:hAnsi="Arial"/>
                <w:sz w:val="18"/>
                <w:szCs w:val="18"/>
                <w:color w:val="auto"/>
              </w:rPr>
              <w:t>218,042</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214,683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216,140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214,658</w:t>
            </w:r>
          </w:p>
        </w:tc>
      </w:tr>
      <w:tr>
        <w:trPr>
          <w:trHeight w:val="27"/>
        </w:trPr>
        <w:tc>
          <w:tcPr>
            <w:tcW w:w="5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Assumed conversion of restricted stock awards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7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3"/>
              </w:rPr>
              <w:t>Assumed conversion of performance-based restricted stock awards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r>
      <w:tr>
        <w:trPr>
          <w:trHeight w:val="289"/>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218,847</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215,325</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216,912</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215,218</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table presents the calculation of basic and diluted EPS for the Company’s common stock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gridSpan w:val="6"/>
          </w:tcPr>
          <w:p>
            <w:pPr>
              <w:ind w:left="60"/>
              <w:spacing w:after="0"/>
              <w:rPr>
                <w:sz w:val="20"/>
                <w:szCs w:val="20"/>
                <w:color w:val="auto"/>
              </w:rPr>
            </w:pPr>
            <w:r>
              <w:rPr>
                <w:rFonts w:ascii="Arial" w:cs="Arial" w:eastAsia="Arial" w:hAnsi="Arial"/>
                <w:sz w:val="14"/>
                <w:szCs w:val="14"/>
                <w:b w:val="1"/>
                <w:bCs w:val="1"/>
                <w:color w:val="auto"/>
                <w:w w:val="95"/>
              </w:rPr>
              <w:t>(in thousands, except per share and share data)</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Calculation of basic EPS:</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127,126</w:t>
            </w:r>
          </w:p>
        </w:tc>
        <w:tc>
          <w:tcPr>
            <w:tcW w:w="120" w:type="dxa"/>
            <w:vAlign w:val="bottom"/>
          </w:tcPr>
          <w:p>
            <w:pPr>
              <w:spacing w:after="0"/>
              <w:rPr>
                <w:sz w:val="21"/>
                <w:szCs w:val="21"/>
                <w:color w:val="auto"/>
              </w:rPr>
            </w:pP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90,547</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336,370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276,590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income allocated to participating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Net income attributable to common shareholders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126,974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90,409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335,964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276,170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214,683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216,140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214,658</w:t>
            </w: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Basic EPS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1"/>
                <w:szCs w:val="21"/>
                <w:color w:val="auto"/>
              </w:rPr>
            </w:pP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b w:val="1"/>
                <w:bCs w:val="1"/>
                <w:color w:val="auto"/>
              </w:rPr>
              <w:t>Calculation of diluted EPS:</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90,547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336,370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276,590</w:t>
            </w: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Diluted weighted-average common shares outstanding</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218,847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215,325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216,912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215,218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EPS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4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1"/>
              </w:rPr>
              <w:t>Antidilutive securities excluded from the computation of diluted</w:t>
            </w: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6,892</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38,459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57,494</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earnings per share (in shares)</w:t>
            </w:r>
          </w:p>
        </w:tc>
        <w:tc>
          <w:tcPr>
            <w:tcW w:w="2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9160" w:firstLine="8"/>
        <w:spacing w:after="0" w:line="534" w:lineRule="auto"/>
        <w:tabs>
          <w:tab w:leader="none" w:pos="445"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Common Stock</w:t>
      </w:r>
    </w:p>
    <w:p>
      <w:pPr>
        <w:spacing w:after="0" w:line="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14, 2019, the Company commenced a continuous equity offering under which the Company may sell up to an aggregate of $600 million of its common stock from time to time through a sales agent in "at the market" offerings (the "ATM Program"). Actual sales will depend on a variety of factors, including market conditions, the trading price of the Company's common stock and determinations of the appropriate sources of funding. The Company may sell the shares in</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4" w:name="page25"/>
    <w:bookmarkEnd w:id="24"/>
    <w:p>
      <w:pPr>
        <w:jc w:val="both"/>
        <w:spacing w:after="0" w:line="291" w:lineRule="auto"/>
        <w:rPr>
          <w:sz w:val="20"/>
          <w:szCs w:val="20"/>
          <w:color w:val="auto"/>
        </w:rPr>
      </w:pPr>
      <w:r>
        <w:rPr>
          <w:rFonts w:ascii="Arial" w:cs="Arial" w:eastAsia="Arial" w:hAnsi="Arial"/>
          <w:sz w:val="16"/>
          <w:szCs w:val="16"/>
          <w:color w:val="auto"/>
        </w:rPr>
        <w:t>amounts and at times to be determined by the Company, but has no obligation to sell any of the shares in the ATM Program. The ATM Program also allows the Company to enter into forward sale agreements. In no event will the aggregate number of shares sold under the ATM Program (whether under any forward sale agreement or through a sales agent), have an aggregate sales price in excess of $600 million. If the Company enters into a forward sale contract, the Company expects to physically settle such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proceeds may or may not be received or cash may be owed to the forward purchaser.</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the ATM Program, the Company engaged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w:t>
      </w:r>
    </w:p>
    <w:p>
      <w:pPr>
        <w:spacing w:after="0" w:line="1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and nine months ended September 30, 2020, the Company sold zero shares and 7,971 shares of its common stock under the ATM Program at an average price of $45.90 per share, which generated gross proceeds of approximately $0.4 million (net proceeds of approximately $0.2 million). As of September 30, 2020, the Company had $599.6 million remaining for issuance under the ATM Program and had not entered into any forward sale agreements.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lists the dividends declared and paid by the Company during the nine months ended September 30, 2020 and 2019:</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Shareholder Record</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Securities</w:t>
            </w:r>
          </w:p>
        </w:tc>
        <w:tc>
          <w:tcPr>
            <w:tcW w:w="1080" w:type="dxa"/>
            <w:vAlign w:val="bottom"/>
            <w:gridSpan w:val="3"/>
          </w:tcPr>
          <w:p>
            <w:pPr>
              <w:ind w:left="40"/>
              <w:spacing w:after="0"/>
              <w:rPr>
                <w:sz w:val="20"/>
                <w:szCs w:val="20"/>
                <w:color w:val="auto"/>
              </w:rPr>
            </w:pPr>
            <w:r>
              <w:rPr>
                <w:rFonts w:ascii="Arial" w:cs="Arial" w:eastAsia="Arial" w:hAnsi="Arial"/>
                <w:sz w:val="16"/>
                <w:szCs w:val="16"/>
                <w:b w:val="1"/>
                <w:bCs w:val="1"/>
                <w:color w:val="auto"/>
              </w:rPr>
              <w:t>Dividend Per</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3"/>
              </w:rPr>
              <w:t>Dividend Amount</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Declaration Date</w:t>
            </w:r>
          </w:p>
        </w:tc>
        <w:tc>
          <w:tcPr>
            <w:tcW w:w="120" w:type="dxa"/>
            <w:vAlign w:val="bottom"/>
            <w:vMerge w:val="restart"/>
          </w:tcPr>
          <w:p>
            <w:pPr>
              <w:spacing w:after="0"/>
              <w:rPr>
                <w:sz w:val="8"/>
                <w:szCs w:val="8"/>
                <w:color w:val="auto"/>
              </w:rPr>
            </w:pPr>
          </w:p>
        </w:tc>
        <w:tc>
          <w:tcPr>
            <w:tcW w:w="1680" w:type="dxa"/>
            <w:vAlign w:val="bottom"/>
            <w:vMerge w:val="restart"/>
          </w:tcPr>
          <w:p>
            <w:pPr>
              <w:ind w:left="680"/>
              <w:spacing w:after="0"/>
              <w:rPr>
                <w:sz w:val="20"/>
                <w:szCs w:val="20"/>
                <w:color w:val="auto"/>
              </w:rPr>
            </w:pPr>
            <w:r>
              <w:rPr>
                <w:rFonts w:ascii="Arial" w:cs="Arial" w:eastAsia="Arial" w:hAnsi="Arial"/>
                <w:sz w:val="16"/>
                <w:szCs w:val="16"/>
                <w:b w:val="1"/>
                <w:bCs w:val="1"/>
                <w:color w:val="auto"/>
              </w:rPr>
              <w:t>Date</w:t>
            </w:r>
          </w:p>
        </w:tc>
        <w:tc>
          <w:tcPr>
            <w:tcW w:w="100" w:type="dxa"/>
            <w:vAlign w:val="bottom"/>
            <w:vMerge w:val="restart"/>
          </w:tcPr>
          <w:p>
            <w:pPr>
              <w:spacing w:after="0"/>
              <w:rPr>
                <w:sz w:val="8"/>
                <w:szCs w:val="8"/>
                <w:color w:val="auto"/>
              </w:rPr>
            </w:pPr>
          </w:p>
        </w:tc>
        <w:tc>
          <w:tcPr>
            <w:tcW w:w="10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Class</w:t>
            </w:r>
          </w:p>
        </w:tc>
        <w:tc>
          <w:tcPr>
            <w:tcW w:w="1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vMerge w:val="restart"/>
          </w:tcPr>
          <w:p>
            <w:pPr>
              <w:jc w:val="right"/>
              <w:ind w:right="218"/>
              <w:spacing w:after="0"/>
              <w:rPr>
                <w:sz w:val="20"/>
                <w:szCs w:val="20"/>
                <w:color w:val="auto"/>
              </w:rPr>
            </w:pPr>
            <w:r>
              <w:rPr>
                <w:rFonts w:ascii="Arial" w:cs="Arial" w:eastAsia="Arial" w:hAnsi="Arial"/>
                <w:sz w:val="16"/>
                <w:szCs w:val="16"/>
                <w:b w:val="1"/>
                <w:bCs w:val="1"/>
                <w:color w:val="auto"/>
              </w:rPr>
              <w:t>Share</w:t>
            </w:r>
          </w:p>
        </w:tc>
        <w:tc>
          <w:tcPr>
            <w:tcW w:w="100" w:type="dxa"/>
            <w:vAlign w:val="bottom"/>
            <w:vMerge w:val="restart"/>
          </w:tcPr>
          <w:p>
            <w:pPr>
              <w:spacing w:after="0"/>
              <w:rPr>
                <w:sz w:val="8"/>
                <w:szCs w:val="8"/>
                <w:color w:val="auto"/>
              </w:rPr>
            </w:pPr>
          </w:p>
        </w:tc>
        <w:tc>
          <w:tcPr>
            <w:tcW w:w="180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Period Covered</w:t>
            </w:r>
          </w:p>
        </w:tc>
        <w:tc>
          <w:tcPr>
            <w:tcW w:w="120" w:type="dxa"/>
            <w:vAlign w:val="bottom"/>
            <w:vMerge w:val="restart"/>
          </w:tcPr>
          <w:p>
            <w:pPr>
              <w:spacing w:after="0"/>
              <w:rPr>
                <w:sz w:val="8"/>
                <w:szCs w:val="8"/>
                <w:color w:val="auto"/>
              </w:rPr>
            </w:pPr>
          </w:p>
        </w:tc>
        <w:tc>
          <w:tcPr>
            <w:tcW w:w="168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Distribution Date</w:t>
            </w:r>
          </w:p>
        </w:tc>
        <w:tc>
          <w:tcPr>
            <w:tcW w:w="100" w:type="dxa"/>
            <w:vAlign w:val="bottom"/>
            <w:vMerge w:val="restart"/>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6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8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6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b w:val="1"/>
                <w:bCs w:val="1"/>
                <w:color w:val="auto"/>
                <w:w w:val="88"/>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2020</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5"/>
              </w:rPr>
              <w:t>Common</w:t>
            </w:r>
          </w:p>
        </w:tc>
        <w:tc>
          <w:tcPr>
            <w:tcW w:w="20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60" w:type="dxa"/>
            <w:vAlign w:val="bottom"/>
            <w:gridSpan w:val="3"/>
          </w:tcPr>
          <w:p>
            <w:pPr>
              <w:spacing w:after="0"/>
              <w:rPr>
                <w:sz w:val="20"/>
                <w:szCs w:val="20"/>
                <w:color w:val="auto"/>
              </w:rPr>
            </w:pPr>
            <w:r>
              <w:rPr>
                <w:rFonts w:ascii="Arial" w:cs="Arial" w:eastAsia="Arial" w:hAnsi="Arial"/>
                <w:sz w:val="16"/>
                <w:szCs w:val="16"/>
                <w:color w:val="auto"/>
              </w:rPr>
              <w:t>February 20, 2020</w:t>
            </w:r>
          </w:p>
        </w:tc>
        <w:tc>
          <w:tcPr>
            <w:tcW w:w="1780" w:type="dxa"/>
            <w:vAlign w:val="bottom"/>
            <w:gridSpan w:val="2"/>
          </w:tcPr>
          <w:p>
            <w:pPr>
              <w:ind w:left="20"/>
              <w:spacing w:after="0"/>
              <w:rPr>
                <w:sz w:val="20"/>
                <w:szCs w:val="20"/>
                <w:color w:val="auto"/>
              </w:rPr>
            </w:pPr>
            <w:r>
              <w:rPr>
                <w:rFonts w:ascii="Arial" w:cs="Arial" w:eastAsia="Arial" w:hAnsi="Arial"/>
                <w:sz w:val="16"/>
                <w:szCs w:val="16"/>
                <w:color w:val="auto"/>
              </w:rPr>
              <w:t>March 6, 2020</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Stock</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0.70</w:t>
            </w:r>
          </w:p>
        </w:tc>
        <w:tc>
          <w:tcPr>
            <w:tcW w:w="100" w:type="dxa"/>
            <w:vAlign w:val="bottom"/>
          </w:tcPr>
          <w:p>
            <w:pPr>
              <w:spacing w:after="0"/>
              <w:rPr>
                <w:sz w:val="17"/>
                <w:szCs w:val="17"/>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First Quarter 2020</w:t>
            </w:r>
          </w:p>
        </w:tc>
        <w:tc>
          <w:tcPr>
            <w:tcW w:w="1780" w:type="dxa"/>
            <w:vAlign w:val="bottom"/>
            <w:gridSpan w:val="2"/>
          </w:tcPr>
          <w:p>
            <w:pPr>
              <w:ind w:left="20"/>
              <w:spacing w:after="0"/>
              <w:rPr>
                <w:sz w:val="20"/>
                <w:szCs w:val="20"/>
                <w:color w:val="auto"/>
              </w:rPr>
            </w:pPr>
            <w:r>
              <w:rPr>
                <w:rFonts w:ascii="Arial" w:cs="Arial" w:eastAsia="Arial" w:hAnsi="Arial"/>
                <w:sz w:val="16"/>
                <w:szCs w:val="16"/>
                <w:color w:val="auto"/>
              </w:rPr>
              <w:t>March 20, 2020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150,574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Common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April 29, 2020</w:t>
            </w: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May 13, 2020</w:t>
            </w:r>
          </w:p>
        </w:tc>
        <w:tc>
          <w:tcPr>
            <w:tcW w:w="1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Stock</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1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Second Quarter 2020</w:t>
            </w: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26,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129,071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Common</w:t>
            </w: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60" w:type="dxa"/>
            <w:vAlign w:val="bottom"/>
            <w:gridSpan w:val="3"/>
          </w:tcPr>
          <w:p>
            <w:pPr>
              <w:spacing w:after="0"/>
              <w:rPr>
                <w:sz w:val="20"/>
                <w:szCs w:val="20"/>
                <w:color w:val="auto"/>
              </w:rPr>
            </w:pPr>
            <w:r>
              <w:rPr>
                <w:rFonts w:ascii="Arial" w:cs="Arial" w:eastAsia="Arial" w:hAnsi="Arial"/>
                <w:sz w:val="16"/>
                <w:szCs w:val="16"/>
                <w:color w:val="auto"/>
              </w:rPr>
              <w:t>August 6, 2020</w:t>
            </w:r>
          </w:p>
        </w:tc>
        <w:tc>
          <w:tcPr>
            <w:tcW w:w="1780" w:type="dxa"/>
            <w:vAlign w:val="bottom"/>
            <w:gridSpan w:val="2"/>
          </w:tcPr>
          <w:p>
            <w:pPr>
              <w:ind w:left="20"/>
              <w:spacing w:after="0"/>
              <w:rPr>
                <w:sz w:val="20"/>
                <w:szCs w:val="20"/>
                <w:color w:val="auto"/>
              </w:rPr>
            </w:pPr>
            <w:r>
              <w:rPr>
                <w:rFonts w:ascii="Arial" w:cs="Arial" w:eastAsia="Arial" w:hAnsi="Arial"/>
                <w:sz w:val="16"/>
                <w:szCs w:val="16"/>
                <w:color w:val="auto"/>
              </w:rPr>
              <w:t>August 17, 2020</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Stock</w:t>
            </w:r>
          </w:p>
        </w:tc>
        <w:tc>
          <w:tcPr>
            <w:tcW w:w="20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Third Quarter 2020</w:t>
            </w:r>
          </w:p>
        </w:tc>
        <w:tc>
          <w:tcPr>
            <w:tcW w:w="1780" w:type="dxa"/>
            <w:vAlign w:val="bottom"/>
            <w:gridSpan w:val="2"/>
          </w:tcPr>
          <w:p>
            <w:pPr>
              <w:ind w:left="20"/>
              <w:spacing w:after="0"/>
              <w:rPr>
                <w:sz w:val="20"/>
                <w:szCs w:val="20"/>
                <w:color w:val="auto"/>
              </w:rPr>
            </w:pPr>
            <w:r>
              <w:rPr>
                <w:rFonts w:ascii="Arial" w:cs="Arial" w:eastAsia="Arial" w:hAnsi="Arial"/>
                <w:sz w:val="16"/>
                <w:szCs w:val="16"/>
                <w:color w:val="auto"/>
              </w:rPr>
              <w:t>September 25, 2020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130,697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960" w:type="dxa"/>
            <w:vAlign w:val="bottom"/>
            <w:gridSpan w:val="3"/>
          </w:tcPr>
          <w:p>
            <w:pPr>
              <w:ind w:left="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Common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February 19, 2019</w:t>
            </w: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8, 2019</w:t>
            </w:r>
          </w:p>
        </w:tc>
        <w:tc>
          <w:tcPr>
            <w:tcW w:w="1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Stock</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1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First Quarter 2019</w:t>
            </w: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22,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145,954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Common</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60" w:type="dxa"/>
            <w:vAlign w:val="bottom"/>
            <w:gridSpan w:val="3"/>
          </w:tcPr>
          <w:p>
            <w:pPr>
              <w:spacing w:after="0"/>
              <w:rPr>
                <w:sz w:val="20"/>
                <w:szCs w:val="20"/>
                <w:color w:val="auto"/>
              </w:rPr>
            </w:pPr>
            <w:r>
              <w:rPr>
                <w:rFonts w:ascii="Arial" w:cs="Arial" w:eastAsia="Arial" w:hAnsi="Arial"/>
                <w:sz w:val="16"/>
                <w:szCs w:val="16"/>
                <w:color w:val="auto"/>
              </w:rPr>
              <w:t>May 28, 2019</w:t>
            </w:r>
          </w:p>
        </w:tc>
        <w:tc>
          <w:tcPr>
            <w:tcW w:w="1780" w:type="dxa"/>
            <w:vAlign w:val="bottom"/>
            <w:gridSpan w:val="2"/>
          </w:tcPr>
          <w:p>
            <w:pPr>
              <w:ind w:left="20"/>
              <w:spacing w:after="0"/>
              <w:rPr>
                <w:sz w:val="20"/>
                <w:szCs w:val="20"/>
                <w:color w:val="auto"/>
              </w:rPr>
            </w:pPr>
            <w:r>
              <w:rPr>
                <w:rFonts w:ascii="Arial" w:cs="Arial" w:eastAsia="Arial" w:hAnsi="Arial"/>
                <w:sz w:val="16"/>
                <w:szCs w:val="16"/>
                <w:color w:val="auto"/>
              </w:rPr>
              <w:t>June 14, 2019</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Stock</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17"/>
                <w:szCs w:val="17"/>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Second Quarter 2019</w:t>
            </w:r>
          </w:p>
        </w:tc>
        <w:tc>
          <w:tcPr>
            <w:tcW w:w="1780" w:type="dxa"/>
            <w:vAlign w:val="bottom"/>
            <w:gridSpan w:val="2"/>
          </w:tcPr>
          <w:p>
            <w:pPr>
              <w:ind w:left="20"/>
              <w:spacing w:after="0"/>
              <w:rPr>
                <w:sz w:val="20"/>
                <w:szCs w:val="20"/>
                <w:color w:val="auto"/>
              </w:rPr>
            </w:pPr>
            <w:r>
              <w:rPr>
                <w:rFonts w:ascii="Arial" w:cs="Arial" w:eastAsia="Arial" w:hAnsi="Arial"/>
                <w:sz w:val="16"/>
                <w:szCs w:val="16"/>
                <w:color w:val="auto"/>
              </w:rPr>
              <w:t>June 28, 2019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145,978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Common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0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August 20, 2019</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6, 2019</w:t>
            </w: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Stock</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10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Third Quarter 2019</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20, 2019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145,984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656"/>
        <w:spacing w:after="0" w:line="234" w:lineRule="auto"/>
        <w:tabs>
          <w:tab w:leader="none" w:pos="844"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Dividend distributed on June 26, 2020 was paid $25.8 million in cash and $103.2 million in stock (2,697,946 shares at $38.2643). Dividend distributed on September 25, 2020 was paid $26.2 million in cash and $104.5 million in stock (2,767,704 shares at $37.7635). For accounting purposes, since the Company is in an accumulated deficit position the value of the stock dividend was recorded at its par value.</w:t>
      </w:r>
    </w:p>
    <w:p>
      <w:pPr>
        <w:jc w:val="both"/>
        <w:ind w:firstLine="648"/>
        <w:spacing w:after="0" w:line="253" w:lineRule="auto"/>
        <w:rPr>
          <w:rFonts w:ascii="Arial" w:cs="Arial" w:eastAsia="Arial" w:hAnsi="Arial"/>
          <w:sz w:val="23"/>
          <w:szCs w:val="23"/>
          <w:color w:val="auto"/>
          <w:vertAlign w:val="superscript"/>
        </w:rPr>
      </w:pPr>
      <w:r>
        <w:rPr>
          <w:rFonts w:ascii="Arial" w:cs="Arial" w:eastAsia="Arial" w:hAnsi="Arial"/>
          <w:sz w:val="18"/>
          <w:szCs w:val="18"/>
          <w:color w:val="auto"/>
        </w:rPr>
        <w:t>In addition, for both the three and nine months ended September 30, 2020 and 2019, dividend payments were made to GLPI restricted stock award holders in the amount of $0.2 million and $0.6 million, respectively. Dividends distributed to the Company's employees on June 26, 2020 were paid $33 thousand in cash and $153 thousand in stock (4,006 shares at $38.2643). Dividends distributed to the Company's employees on September 25, 2020 were paid $32 thousand in cash and $217 thousand in stock (5,746 shares at $37.7635).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15. Stock-Based Compensation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 accounts for stock compensation under ASC 718 -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prior to grant. The Company utilizes a third party valuation firm to measure the fair value of performance-based restricted stock awards at grant date using the Monte Carlo model.</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September 30, 2020, there was $4.5 million of total unrecognized compensation cost for restricted stock awards that will be recognized over the grants' remaining weighted average vesting period of 1.56 years. For the three and nine months ended September 30, 2020, the Company recognized $4.5 million and $8.0 million of compensation expense associated with these awards, compared to $1.7 million and $5.8 million for the three and nine months ended September 30, 2019. The increase from prior year is primarily related to the stock acceleration charges related to the departure of our former chief financial officer.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information on restricted stock award activity for the nine months ended September 30, 2020:</w:t>
      </w:r>
    </w:p>
    <w:p>
      <w:pPr>
        <w:spacing w:after="0" w:line="42" w:lineRule="exact"/>
        <w:rPr>
          <w:sz w:val="20"/>
          <w:szCs w:val="20"/>
          <w:color w:val="auto"/>
        </w:rPr>
      </w:pPr>
    </w:p>
    <w:tbl>
      <w:tblPr>
        <w:tblLayout w:type="fixed"/>
        <w:tblInd w:w="238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860" w:type="dxa"/>
            <w:vAlign w:val="bottom"/>
          </w:tcPr>
          <w:p>
            <w:pPr>
              <w:jc w:val="right"/>
              <w:ind w:right="295"/>
              <w:spacing w:after="0"/>
              <w:rPr>
                <w:sz w:val="20"/>
                <w:szCs w:val="20"/>
                <w:color w:val="auto"/>
              </w:rPr>
            </w:pPr>
            <w:r>
              <w:rPr>
                <w:rFonts w:ascii="Arial" w:cs="Arial" w:eastAsia="Arial" w:hAnsi="Arial"/>
                <w:sz w:val="14"/>
                <w:szCs w:val="14"/>
                <w:b w:val="1"/>
                <w:bCs w:val="1"/>
                <w:color w:val="auto"/>
              </w:rPr>
              <w:t>Number of Award</w:t>
            </w:r>
          </w:p>
        </w:tc>
      </w:tr>
      <w:tr>
        <w:trPr>
          <w:trHeight w:val="192"/>
        </w:trPr>
        <w:tc>
          <w:tcPr>
            <w:tcW w:w="4640" w:type="dxa"/>
            <w:vAlign w:val="bottom"/>
          </w:tcPr>
          <w:p>
            <w:pPr>
              <w:spacing w:after="0"/>
              <w:rPr>
                <w:sz w:val="16"/>
                <w:szCs w:val="16"/>
                <w:color w:val="auto"/>
              </w:rPr>
            </w:pPr>
          </w:p>
        </w:tc>
        <w:tc>
          <w:tcPr>
            <w:tcW w:w="18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Shares</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Outstanding at December 31, 2019</w:t>
            </w:r>
          </w:p>
        </w:tc>
        <w:tc>
          <w:tcPr>
            <w:tcW w:w="1860" w:type="dxa"/>
            <w:vAlign w:val="bottom"/>
          </w:tcPr>
          <w:p>
            <w:pPr>
              <w:jc w:val="right"/>
              <w:ind w:right="15"/>
              <w:spacing w:after="0"/>
              <w:rPr>
                <w:sz w:val="20"/>
                <w:szCs w:val="20"/>
                <w:color w:val="auto"/>
              </w:rPr>
            </w:pPr>
            <w:r>
              <w:rPr>
                <w:rFonts w:ascii="Arial" w:cs="Arial" w:eastAsia="Arial" w:hAnsi="Arial"/>
                <w:sz w:val="18"/>
                <w:szCs w:val="18"/>
                <w:color w:val="auto"/>
              </w:rPr>
              <w:t>316,971</w:t>
            </w:r>
          </w:p>
        </w:tc>
      </w:tr>
      <w:tr>
        <w:trPr>
          <w:trHeight w:val="27"/>
        </w:trPr>
        <w:tc>
          <w:tcPr>
            <w:tcW w:w="4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275,456</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Released</w:t>
            </w:r>
          </w:p>
        </w:tc>
        <w:tc>
          <w:tcPr>
            <w:tcW w:w="1860" w:type="dxa"/>
            <w:vAlign w:val="bottom"/>
          </w:tcPr>
          <w:p>
            <w:pPr>
              <w:jc w:val="right"/>
              <w:spacing w:after="0"/>
              <w:rPr>
                <w:sz w:val="20"/>
                <w:szCs w:val="20"/>
                <w:color w:val="auto"/>
              </w:rPr>
            </w:pPr>
            <w:r>
              <w:rPr>
                <w:rFonts w:ascii="Arial" w:cs="Arial" w:eastAsia="Arial" w:hAnsi="Arial"/>
                <w:sz w:val="18"/>
                <w:szCs w:val="18"/>
                <w:color w:val="auto"/>
              </w:rPr>
              <w:t>(323,128)</w:t>
            </w:r>
          </w:p>
        </w:tc>
      </w:tr>
      <w:tr>
        <w:trPr>
          <w:trHeight w:val="27"/>
        </w:trPr>
        <w:tc>
          <w:tcPr>
            <w:tcW w:w="4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(7,999)</w:t>
            </w:r>
          </w:p>
        </w:tc>
      </w:tr>
      <w:tr>
        <w:trPr>
          <w:trHeight w:val="263"/>
        </w:trPr>
        <w:tc>
          <w:tcPr>
            <w:tcW w:w="4640" w:type="dxa"/>
            <w:vAlign w:val="bottom"/>
          </w:tcPr>
          <w:p>
            <w:pPr>
              <w:ind w:left="20"/>
              <w:spacing w:after="0"/>
              <w:rPr>
                <w:sz w:val="20"/>
                <w:szCs w:val="20"/>
                <w:color w:val="auto"/>
              </w:rPr>
            </w:pPr>
            <w:r>
              <w:rPr>
                <w:rFonts w:ascii="Arial" w:cs="Arial" w:eastAsia="Arial" w:hAnsi="Arial"/>
                <w:sz w:val="18"/>
                <w:szCs w:val="18"/>
                <w:color w:val="auto"/>
              </w:rPr>
              <w:t>Outstanding at September 30, 2020</w:t>
            </w:r>
          </w:p>
        </w:tc>
        <w:tc>
          <w:tcPr>
            <w:tcW w:w="1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261,300</w:t>
            </w:r>
          </w:p>
        </w:tc>
      </w:tr>
      <w:tr>
        <w:trPr>
          <w:trHeight w:val="21"/>
        </w:trPr>
        <w:tc>
          <w:tcPr>
            <w:tcW w:w="46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40" w:firstLine="648"/>
        <w:spacing w:after="0" w:line="253" w:lineRule="auto"/>
        <w:rPr>
          <w:sz w:val="20"/>
          <w:szCs w:val="20"/>
          <w:color w:val="auto"/>
        </w:rPr>
      </w:pPr>
      <w:r>
        <w:rPr>
          <w:rFonts w:ascii="Arial" w:cs="Arial" w:eastAsia="Arial" w:hAnsi="Arial"/>
          <w:sz w:val="17"/>
          <w:szCs w:val="17"/>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The triple-net measurement group includes publicly traded REITs, which the Company believes derive at least 75% of revenues from triple-net leases. As of September 30, 2020, there was $11.1 million of total unrecognized compensation cost, which will be recognized over the performance-based restricted stock awards' remaining weighted average vesting period of 1.87 years. For the three and nine months ended September 30, 2020, the Company recognized $3.9 million and $8.7 million of compensation expense associated with these awards, compared to $2.1 million and $6.5 million for the three and nine months ended September 30, 2019. The increase from prior year is primarily related to the stock acceleration charges related to the departure of our former chief financial officer.</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contains information on performance-based restricted stock award activity for the nine months ended September 30, 2020:</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Outstanding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46355</wp:posOffset>
            </wp:positionV>
            <wp:extent cx="449199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491990" cy="171450"/>
                    </a:xfrm>
                    <a:prstGeom prst="rect">
                      <a:avLst/>
                    </a:prstGeom>
                    <a:noFill/>
                  </pic:spPr>
                </pic:pic>
              </a:graphicData>
            </a:graphic>
          </wp:anchor>
        </w:drawing>
      </w:r>
    </w:p>
    <w:p>
      <w:pPr>
        <w:spacing w:after="0" w:line="6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31750</wp:posOffset>
            </wp:positionV>
            <wp:extent cx="449199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491990" cy="171450"/>
                    </a:xfrm>
                    <a:prstGeom prst="rect">
                      <a:avLst/>
                    </a:prstGeom>
                    <a:noFill/>
                  </pic:spPr>
                </pic:pic>
              </a:graphicData>
            </a:graphic>
          </wp:anchor>
        </w:drawing>
      </w:r>
    </w:p>
    <w:p>
      <w:pPr>
        <w:spacing w:after="0" w:line="4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Canceled</w:t>
      </w:r>
    </w:p>
    <w:p>
      <w:pPr>
        <w:spacing w:after="0" w:line="104"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Outstanding at September 30, 2020</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ind w:right="2280"/>
        <w:spacing w:after="0"/>
        <w:rPr>
          <w:sz w:val="20"/>
          <w:szCs w:val="20"/>
          <w:color w:val="auto"/>
        </w:rPr>
      </w:pPr>
      <w:r>
        <w:rPr>
          <w:rFonts w:ascii="Arial" w:cs="Arial" w:eastAsia="Arial" w:hAnsi="Arial"/>
          <w:sz w:val="14"/>
          <w:szCs w:val="14"/>
          <w:b w:val="1"/>
          <w:bCs w:val="1"/>
          <w:color w:val="auto"/>
        </w:rPr>
        <w:t>Number of</w:t>
      </w:r>
    </w:p>
    <w:p>
      <w:pPr>
        <w:spacing w:after="0" w:line="4" w:lineRule="exact"/>
        <w:rPr>
          <w:sz w:val="20"/>
          <w:szCs w:val="20"/>
          <w:color w:val="auto"/>
        </w:rPr>
      </w:pPr>
    </w:p>
    <w:p>
      <w:pPr>
        <w:jc w:val="center"/>
        <w:ind w:right="2240"/>
        <w:spacing w:after="0"/>
        <w:rPr>
          <w:sz w:val="20"/>
          <w:szCs w:val="20"/>
          <w:color w:val="auto"/>
        </w:rPr>
      </w:pPr>
      <w:r>
        <w:rPr>
          <w:rFonts w:ascii="Arial" w:cs="Arial" w:eastAsia="Arial" w:hAnsi="Arial"/>
          <w:sz w:val="12"/>
          <w:szCs w:val="12"/>
          <w:b w:val="1"/>
          <w:bCs w:val="1"/>
          <w:color w:val="auto"/>
        </w:rPr>
        <w:t>Performance-Based Award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27940</wp:posOffset>
            </wp:positionV>
            <wp:extent cx="15430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0" w:lineRule="exact"/>
        <w:rPr>
          <w:sz w:val="20"/>
          <w:szCs w:val="20"/>
          <w:color w:val="auto"/>
        </w:rPr>
      </w:pPr>
    </w:p>
    <w:p>
      <w:pPr>
        <w:jc w:val="right"/>
        <w:ind w:right="2160"/>
        <w:spacing w:after="0"/>
        <w:rPr>
          <w:sz w:val="20"/>
          <w:szCs w:val="20"/>
          <w:color w:val="auto"/>
        </w:rPr>
      </w:pPr>
      <w:r>
        <w:rPr>
          <w:rFonts w:ascii="Arial" w:cs="Arial" w:eastAsia="Arial" w:hAnsi="Arial"/>
          <w:sz w:val="18"/>
          <w:szCs w:val="18"/>
          <w:color w:val="auto"/>
        </w:rPr>
        <w:t>1,383,334</w:t>
      </w:r>
    </w:p>
    <w:p>
      <w:pPr>
        <w:spacing w:after="0" w:line="63" w:lineRule="exact"/>
        <w:rPr>
          <w:sz w:val="20"/>
          <w:szCs w:val="20"/>
          <w:color w:val="auto"/>
        </w:rPr>
      </w:pPr>
    </w:p>
    <w:p>
      <w:pPr>
        <w:jc w:val="right"/>
        <w:ind w:right="2160"/>
        <w:spacing w:after="0"/>
        <w:rPr>
          <w:sz w:val="20"/>
          <w:szCs w:val="20"/>
          <w:color w:val="auto"/>
        </w:rPr>
      </w:pPr>
      <w:r>
        <w:rPr>
          <w:rFonts w:ascii="Arial" w:cs="Arial" w:eastAsia="Arial" w:hAnsi="Arial"/>
          <w:sz w:val="18"/>
          <w:szCs w:val="18"/>
          <w:color w:val="auto"/>
        </w:rPr>
        <w:t>504,000</w:t>
      </w:r>
    </w:p>
    <w:p>
      <w:pPr>
        <w:spacing w:after="0" w:line="63" w:lineRule="exact"/>
        <w:rPr>
          <w:sz w:val="20"/>
          <w:szCs w:val="20"/>
          <w:color w:val="auto"/>
        </w:rPr>
      </w:pPr>
    </w:p>
    <w:p>
      <w:pPr>
        <w:jc w:val="right"/>
        <w:ind w:right="2120"/>
        <w:spacing w:after="0"/>
        <w:rPr>
          <w:sz w:val="20"/>
          <w:szCs w:val="20"/>
          <w:color w:val="auto"/>
        </w:rPr>
      </w:pPr>
      <w:r>
        <w:rPr>
          <w:rFonts w:ascii="Arial" w:cs="Arial" w:eastAsia="Arial" w:hAnsi="Arial"/>
          <w:sz w:val="18"/>
          <w:szCs w:val="18"/>
          <w:color w:val="auto"/>
        </w:rPr>
        <w:t>(561,667)</w:t>
      </w:r>
    </w:p>
    <w:p>
      <w:pPr>
        <w:spacing w:after="0" w:line="63" w:lineRule="exact"/>
        <w:rPr>
          <w:sz w:val="20"/>
          <w:szCs w:val="20"/>
          <w:color w:val="auto"/>
        </w:rPr>
      </w:pPr>
    </w:p>
    <w:p>
      <w:pPr>
        <w:jc w:val="right"/>
        <w:ind w:right="2120"/>
        <w:spacing w:after="0"/>
        <w:rPr>
          <w:sz w:val="20"/>
          <w:szCs w:val="20"/>
          <w:color w:val="auto"/>
        </w:rPr>
      </w:pPr>
      <w:r>
        <w:rPr>
          <w:rFonts w:ascii="Arial" w:cs="Arial" w:eastAsia="Arial" w:hAnsi="Arial"/>
          <w:sz w:val="18"/>
          <w:szCs w:val="18"/>
          <w:color w:val="auto"/>
        </w:rPr>
        <w:t>(131,673)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31750</wp:posOffset>
            </wp:positionV>
            <wp:extent cx="15430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7" w:lineRule="exact"/>
        <w:rPr>
          <w:sz w:val="20"/>
          <w:szCs w:val="20"/>
          <w:color w:val="auto"/>
        </w:rPr>
      </w:pPr>
    </w:p>
    <w:p>
      <w:pPr>
        <w:jc w:val="right"/>
        <w:ind w:right="2160"/>
        <w:spacing w:after="0"/>
        <w:rPr>
          <w:sz w:val="20"/>
          <w:szCs w:val="20"/>
          <w:color w:val="auto"/>
        </w:rPr>
      </w:pPr>
      <w:r>
        <w:rPr>
          <w:rFonts w:ascii="Arial" w:cs="Arial" w:eastAsia="Arial" w:hAnsi="Arial"/>
          <w:sz w:val="18"/>
          <w:szCs w:val="18"/>
          <w:color w:val="auto"/>
        </w:rPr>
        <w:t>1,193,994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31750</wp:posOffset>
            </wp:positionV>
            <wp:extent cx="15430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43050" cy="8890"/>
                    </a:xfrm>
                    <a:prstGeom prst="rect">
                      <a:avLst/>
                    </a:prstGeom>
                    <a:noFill/>
                  </pic:spPr>
                </pic:pic>
              </a:graphicData>
            </a:graphic>
          </wp:anchor>
        </w:drawing>
        <w:drawing>
          <wp:anchor simplePos="0" relativeHeight="251657728" behindDoc="1" locked="0" layoutInCell="0" allowOverlap="1">
            <wp:simplePos x="0" y="0"/>
            <wp:positionH relativeFrom="column">
              <wp:posOffset>-93980</wp:posOffset>
            </wp:positionH>
            <wp:positionV relativeFrom="paragraph">
              <wp:posOffset>57785</wp:posOffset>
            </wp:positionV>
            <wp:extent cx="15430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6160" w:space="720"/>
            <w:col w:w="4360"/>
          </w:cols>
          <w:pgMar w:left="320" w:top="891" w:right="339"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Consistent with how the Company’s Chief Operating Decision Maker (as such term is defined in ASC 280 - </w:t>
      </w:r>
      <w:r>
        <w:rPr>
          <w:rFonts w:ascii="Arial" w:cs="Arial" w:eastAsia="Arial" w:hAnsi="Arial"/>
          <w:sz w:val="18"/>
          <w:szCs w:val="18"/>
          <w:i w:val="1"/>
          <w:iCs w:val="1"/>
          <w:color w:val="auto"/>
        </w:rPr>
        <w:t>Segment Reporting</w:t>
      </w:r>
      <w:r>
        <w:rPr>
          <w:rFonts w:ascii="Arial" w:cs="Arial" w:eastAsia="Arial" w:hAnsi="Arial"/>
          <w:sz w:val="18"/>
          <w:szCs w:val="18"/>
          <w:color w:val="auto"/>
        </w:rPr>
        <w:t>) reviews and assesses the Company’s financial performance, the Company has two reportable segments, GLP Capital (a wholly-owned subsidiary of GLPI through which GLPI owns substantially all of its assets) and the TRS Properties. The GLP Capital reportable segment consists of the leased real property and represents the majority of the Company’s business. The TRS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t>Properties reportable segment consists of Hollywood Casino Perryville, Hollywood Casino Baton Rouge and Tropicana Las Vegas.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certain information with respect to the Company’s segments.</w:t>
      </w:r>
    </w:p>
    <w:p>
      <w:pPr>
        <w:spacing w:after="0" w:line="298"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10"/>
          </w:tcPr>
          <w:p>
            <w:pPr>
              <w:jc w:val="right"/>
              <w:ind w:right="20"/>
              <w:spacing w:after="0"/>
              <w:rPr>
                <w:sz w:val="20"/>
                <w:szCs w:val="20"/>
                <w:color w:val="auto"/>
              </w:rPr>
            </w:pPr>
            <w:r>
              <w:rPr>
                <w:rFonts w:ascii="Arial" w:cs="Arial" w:eastAsia="Arial" w:hAnsi="Arial"/>
                <w:sz w:val="14"/>
                <w:szCs w:val="14"/>
                <w:b w:val="1"/>
                <w:bCs w:val="1"/>
                <w:color w:val="auto"/>
              </w:rPr>
              <w:t>Three months ended September 30, 2020</w:t>
            </w:r>
          </w:p>
        </w:tc>
        <w:tc>
          <w:tcPr>
            <w:tcW w:w="6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11"/>
          </w:tcPr>
          <w:p>
            <w:pPr>
              <w:ind w:left="580"/>
              <w:spacing w:after="0"/>
              <w:rPr>
                <w:sz w:val="20"/>
                <w:szCs w:val="20"/>
                <w:color w:val="auto"/>
              </w:rPr>
            </w:pPr>
            <w:r>
              <w:rPr>
                <w:rFonts w:ascii="Arial" w:cs="Arial" w:eastAsia="Arial" w:hAnsi="Arial"/>
                <w:sz w:val="14"/>
                <w:szCs w:val="14"/>
                <w:b w:val="1"/>
                <w:bCs w:val="1"/>
                <w:color w:val="auto"/>
              </w:rPr>
              <w:t>Three months ended September 30, 2019</w:t>
            </w:r>
          </w:p>
        </w:tc>
      </w:tr>
      <w:tr>
        <w:trPr>
          <w:trHeight w:val="196"/>
        </w:trPr>
        <w:tc>
          <w:tcPr>
            <w:tcW w:w="23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9"/>
              </w:rPr>
              <w:t xml:space="preserve">GLP Capital </w:t>
            </w:r>
            <w:r>
              <w:rPr>
                <w:rFonts w:ascii="Arial" w:cs="Arial" w:eastAsia="Arial" w:hAnsi="Arial"/>
                <w:sz w:val="9"/>
                <w:szCs w:val="9"/>
                <w:b w:val="1"/>
                <w:bCs w:val="1"/>
                <w:color w:val="auto"/>
                <w:w w:val="99"/>
              </w:rPr>
              <w:t>(1)</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6"/>
              </w:rPr>
              <w:t>TRS Properties</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xml:space="preserve">GLP Capital </w:t>
            </w:r>
            <w:r>
              <w:rPr>
                <w:rFonts w:ascii="Arial" w:cs="Arial" w:eastAsia="Arial" w:hAnsi="Arial"/>
                <w:sz w:val="9"/>
                <w:szCs w:val="9"/>
                <w:b w:val="1"/>
                <w:bCs w:val="1"/>
                <w:color w:val="auto"/>
              </w:rPr>
              <w:t>(1)</w:t>
            </w:r>
          </w:p>
        </w:tc>
        <w:tc>
          <w:tcPr>
            <w:tcW w:w="12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TRS Properties</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w:t>
            </w:r>
          </w:p>
        </w:tc>
      </w:tr>
      <w:tr>
        <w:trPr>
          <w:trHeight w:val="202"/>
        </w:trPr>
        <w:tc>
          <w:tcPr>
            <w:tcW w:w="2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revenues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273,129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34,425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307,554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255,995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31,617</w:t>
            </w:r>
          </w:p>
        </w:tc>
        <w:tc>
          <w:tcPr>
            <w:tcW w:w="2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287,612</w:t>
            </w:r>
          </w:p>
        </w:tc>
        <w:tc>
          <w:tcPr>
            <w:tcW w:w="40" w:type="dxa"/>
            <w:vAlign w:val="bottom"/>
            <w:shd w:val="clear" w:color="auto" w:fill="CCEEFF"/>
          </w:tcPr>
          <w:p>
            <w:pPr>
              <w:spacing w:after="0"/>
              <w:rPr>
                <w:sz w:val="17"/>
                <w:szCs w:val="17"/>
                <w:color w:val="auto"/>
              </w:rPr>
            </w:pPr>
          </w:p>
        </w:tc>
      </w:tr>
      <w:tr>
        <w:trPr>
          <w:trHeight w:val="197"/>
        </w:trPr>
        <w:tc>
          <w:tcPr>
            <w:tcW w:w="2440" w:type="dxa"/>
            <w:vAlign w:val="bottom"/>
            <w:gridSpan w:val="2"/>
          </w:tcPr>
          <w:p>
            <w:pPr>
              <w:spacing w:after="0"/>
              <w:rPr>
                <w:sz w:val="20"/>
                <w:szCs w:val="20"/>
                <w:color w:val="auto"/>
              </w:rPr>
            </w:pPr>
            <w:r>
              <w:rPr>
                <w:rFonts w:ascii="Arial" w:cs="Arial" w:eastAsia="Arial" w:hAnsi="Arial"/>
                <w:sz w:val="14"/>
                <w:szCs w:val="14"/>
                <w:color w:val="auto"/>
              </w:rPr>
              <w:t>Income from operations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192,369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8,332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200,701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181,947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5,678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187,625</w:t>
            </w:r>
          </w:p>
        </w:tc>
        <w:tc>
          <w:tcPr>
            <w:tcW w:w="40" w:type="dxa"/>
            <w:vAlign w:val="bottom"/>
          </w:tcPr>
          <w:p>
            <w:pPr>
              <w:spacing w:after="0"/>
              <w:rPr>
                <w:sz w:val="17"/>
                <w:szCs w:val="17"/>
                <w:color w:val="auto"/>
              </w:rPr>
            </w:pPr>
          </w:p>
        </w:tc>
      </w:tr>
      <w:tr>
        <w:trPr>
          <w:trHeight w:val="208"/>
        </w:trPr>
        <w:tc>
          <w:tcPr>
            <w:tcW w:w="2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65,720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75,111</w:t>
            </w:r>
          </w:p>
        </w:tc>
        <w:tc>
          <w:tcPr>
            <w:tcW w:w="40" w:type="dxa"/>
            <w:vAlign w:val="bottom"/>
            <w:shd w:val="clear" w:color="auto" w:fill="CCEEFF"/>
          </w:tcPr>
          <w:p>
            <w:pPr>
              <w:spacing w:after="0"/>
              <w:rPr>
                <w:sz w:val="18"/>
                <w:szCs w:val="18"/>
                <w:color w:val="auto"/>
              </w:rPr>
            </w:pPr>
          </w:p>
        </w:tc>
      </w:tr>
      <w:tr>
        <w:trPr>
          <w:trHeight w:val="197"/>
        </w:trPr>
        <w:tc>
          <w:tcPr>
            <w:tcW w:w="2440" w:type="dxa"/>
            <w:vAlign w:val="bottom"/>
            <w:gridSpan w:val="2"/>
          </w:tcPr>
          <w:p>
            <w:pPr>
              <w:spacing w:after="0"/>
              <w:rPr>
                <w:sz w:val="20"/>
                <w:szCs w:val="20"/>
                <w:color w:val="auto"/>
              </w:rPr>
            </w:pPr>
            <w:r>
              <w:rPr>
                <w:rFonts w:ascii="Arial" w:cs="Arial" w:eastAsia="Arial" w:hAnsi="Arial"/>
                <w:sz w:val="14"/>
                <w:szCs w:val="14"/>
                <w:color w:val="auto"/>
              </w:rPr>
              <w:t>Income before income taxes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125,892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3,873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129,765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88,657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3,078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91,735</w:t>
            </w:r>
          </w:p>
        </w:tc>
        <w:tc>
          <w:tcPr>
            <w:tcW w:w="40" w:type="dxa"/>
            <w:vAlign w:val="bottom"/>
          </w:tcPr>
          <w:p>
            <w:pPr>
              <w:spacing w:after="0"/>
              <w:rPr>
                <w:sz w:val="17"/>
                <w:szCs w:val="17"/>
                <w:color w:val="auto"/>
              </w:rPr>
            </w:pPr>
          </w:p>
        </w:tc>
      </w:tr>
      <w:tr>
        <w:trPr>
          <w:trHeight w:val="208"/>
        </w:trPr>
        <w:tc>
          <w:tcPr>
            <w:tcW w:w="2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w:t>
            </w:r>
          </w:p>
        </w:tc>
        <w:tc>
          <w:tcPr>
            <w:tcW w:w="40" w:type="dxa"/>
            <w:vAlign w:val="bottom"/>
            <w:shd w:val="clear" w:color="auto" w:fill="CCEEFF"/>
          </w:tcPr>
          <w:p>
            <w:pPr>
              <w:spacing w:after="0"/>
              <w:rPr>
                <w:sz w:val="18"/>
                <w:szCs w:val="18"/>
                <w:color w:val="auto"/>
              </w:rPr>
            </w:pPr>
          </w:p>
        </w:tc>
      </w:tr>
      <w:tr>
        <w:trPr>
          <w:trHeight w:val="197"/>
        </w:trPr>
        <w:tc>
          <w:tcPr>
            <w:tcW w:w="244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125,686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1,440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127,126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88,461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2,086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90,547</w:t>
            </w:r>
          </w:p>
        </w:tc>
        <w:tc>
          <w:tcPr>
            <w:tcW w:w="40" w:type="dxa"/>
            <w:vAlign w:val="bottom"/>
          </w:tcPr>
          <w:p>
            <w:pPr>
              <w:spacing w:after="0"/>
              <w:rPr>
                <w:sz w:val="17"/>
                <w:szCs w:val="17"/>
                <w:color w:val="auto"/>
              </w:rPr>
            </w:pPr>
          </w:p>
        </w:tc>
      </w:tr>
      <w:tr>
        <w:trPr>
          <w:trHeight w:val="208"/>
        </w:trPr>
        <w:tc>
          <w:tcPr>
            <w:tcW w:w="2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Depreciation</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55,595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55,544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57,302</w:t>
            </w:r>
          </w:p>
        </w:tc>
        <w:tc>
          <w:tcPr>
            <w:tcW w:w="40" w:type="dxa"/>
            <w:vAlign w:val="bottom"/>
            <w:shd w:val="clear" w:color="auto" w:fill="CCEEFF"/>
          </w:tcPr>
          <w:p>
            <w:pPr>
              <w:spacing w:after="0"/>
              <w:rPr>
                <w:sz w:val="18"/>
                <w:szCs w:val="18"/>
                <w:color w:val="auto"/>
              </w:rPr>
            </w:pPr>
          </w:p>
        </w:tc>
      </w:tr>
      <w:tr>
        <w:trPr>
          <w:trHeight w:val="191"/>
        </w:trPr>
        <w:tc>
          <w:tcPr>
            <w:tcW w:w="2440" w:type="dxa"/>
            <w:vAlign w:val="bottom"/>
            <w:gridSpan w:val="2"/>
          </w:tcPr>
          <w:p>
            <w:pPr>
              <w:spacing w:after="0"/>
              <w:rPr>
                <w:sz w:val="20"/>
                <w:szCs w:val="20"/>
                <w:color w:val="auto"/>
              </w:rPr>
            </w:pPr>
            <w:r>
              <w:rPr>
                <w:rFonts w:ascii="Arial" w:cs="Arial" w:eastAsia="Arial" w:hAnsi="Arial"/>
                <w:sz w:val="14"/>
                <w:szCs w:val="14"/>
                <w:color w:val="auto"/>
              </w:rPr>
              <w:t>Capital maintenance expenditures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477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709</w:t>
            </w:r>
          </w:p>
        </w:tc>
        <w:tc>
          <w:tcPr>
            <w:tcW w:w="40" w:type="dxa"/>
            <w:vAlign w:val="bottom"/>
          </w:tcPr>
          <w:p>
            <w:pPr>
              <w:spacing w:after="0"/>
              <w:rPr>
                <w:sz w:val="16"/>
                <w:szCs w:val="16"/>
                <w:color w:val="auto"/>
              </w:rPr>
            </w:pPr>
          </w:p>
        </w:tc>
      </w:tr>
      <w:tr>
        <w:trPr>
          <w:trHeight w:val="560"/>
        </w:trPr>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Nine Months Ended September 30, 2020</w:t>
            </w: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9"/>
          </w:tcPr>
          <w:p>
            <w:pPr>
              <w:ind w:left="580"/>
              <w:spacing w:after="0"/>
              <w:rPr>
                <w:sz w:val="20"/>
                <w:szCs w:val="20"/>
                <w:color w:val="auto"/>
              </w:rPr>
            </w:pPr>
            <w:r>
              <w:rPr>
                <w:rFonts w:ascii="Arial" w:cs="Arial" w:eastAsia="Arial" w:hAnsi="Arial"/>
                <w:sz w:val="14"/>
                <w:szCs w:val="14"/>
                <w:b w:val="1"/>
                <w:bCs w:val="1"/>
                <w:color w:val="auto"/>
                <w:w w:val="92"/>
              </w:rPr>
              <w:t>Nine Months Ended September 30, 2019</w:t>
            </w: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244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b w:val="1"/>
                <w:bCs w:val="1"/>
                <w:color w:val="auto"/>
              </w:rPr>
              <w:t>(in thousands)</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 xml:space="preserve">GLP Capital </w:t>
            </w:r>
            <w:r>
              <w:rPr>
                <w:rFonts w:ascii="Arial" w:cs="Arial" w:eastAsia="Arial" w:hAnsi="Arial"/>
                <w:sz w:val="9"/>
                <w:szCs w:val="9"/>
                <w:b w:val="1"/>
                <w:bCs w:val="1"/>
                <w:color w:val="auto"/>
              </w:rPr>
              <w:t>(1)</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TRS Properties</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xml:space="preserve">GLP Capital </w:t>
            </w: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6"/>
              </w:rPr>
              <w:t>TRS Properties</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w w:val="83"/>
              </w:rPr>
              <w:t>Total</w:t>
            </w:r>
          </w:p>
        </w:tc>
        <w:tc>
          <w:tcPr>
            <w:tcW w:w="40" w:type="dxa"/>
            <w:vAlign w:val="bottom"/>
          </w:tcPr>
          <w:p>
            <w:pPr>
              <w:spacing w:after="0"/>
              <w:rPr>
                <w:sz w:val="17"/>
                <w:szCs w:val="17"/>
                <w:color w:val="auto"/>
              </w:rPr>
            </w:pPr>
          </w:p>
        </w:tc>
      </w:tr>
      <w:tr>
        <w:trPr>
          <w:trHeight w:val="202"/>
        </w:trPr>
        <w:tc>
          <w:tcPr>
            <w:tcW w:w="2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revenues</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781,841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71,163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853,004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766,630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97,859</w:t>
            </w:r>
          </w:p>
        </w:tc>
        <w:tc>
          <w:tcPr>
            <w:tcW w:w="2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864,489</w:t>
            </w:r>
          </w:p>
        </w:tc>
        <w:tc>
          <w:tcPr>
            <w:tcW w:w="40" w:type="dxa"/>
            <w:vAlign w:val="bottom"/>
          </w:tcPr>
          <w:p>
            <w:pPr>
              <w:spacing w:after="0"/>
              <w:rPr>
                <w:sz w:val="17"/>
                <w:szCs w:val="17"/>
                <w:color w:val="auto"/>
              </w:rPr>
            </w:pPr>
          </w:p>
        </w:tc>
      </w:tr>
      <w:tr>
        <w:trPr>
          <w:trHeight w:val="197"/>
        </w:trPr>
        <w:tc>
          <w:tcPr>
            <w:tcW w:w="2440" w:type="dxa"/>
            <w:vAlign w:val="bottom"/>
            <w:gridSpan w:val="2"/>
          </w:tcPr>
          <w:p>
            <w:pPr>
              <w:spacing w:after="0"/>
              <w:rPr>
                <w:sz w:val="20"/>
                <w:szCs w:val="20"/>
                <w:color w:val="auto"/>
              </w:rPr>
            </w:pPr>
            <w:r>
              <w:rPr>
                <w:rFonts w:ascii="Arial" w:cs="Arial" w:eastAsia="Arial" w:hAnsi="Arial"/>
                <w:sz w:val="14"/>
                <w:szCs w:val="14"/>
                <w:color w:val="auto"/>
              </w:rPr>
              <w:t>Income from operations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557,751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10,016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567,767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510,884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18,283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529,167</w:t>
            </w:r>
          </w:p>
        </w:tc>
        <w:tc>
          <w:tcPr>
            <w:tcW w:w="40" w:type="dxa"/>
            <w:vAlign w:val="bottom"/>
          </w:tcPr>
          <w:p>
            <w:pPr>
              <w:spacing w:after="0"/>
              <w:rPr>
                <w:sz w:val="17"/>
                <w:szCs w:val="17"/>
                <w:color w:val="auto"/>
              </w:rPr>
            </w:pPr>
          </w:p>
        </w:tc>
      </w:tr>
      <w:tr>
        <w:trPr>
          <w:trHeight w:val="208"/>
        </w:trPr>
        <w:tc>
          <w:tcPr>
            <w:tcW w:w="2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200,137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211,657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220,558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228,362</w:t>
            </w:r>
          </w:p>
        </w:tc>
        <w:tc>
          <w:tcPr>
            <w:tcW w:w="40" w:type="dxa"/>
            <w:vAlign w:val="bottom"/>
          </w:tcPr>
          <w:p>
            <w:pPr>
              <w:spacing w:after="0"/>
              <w:rPr>
                <w:sz w:val="18"/>
                <w:szCs w:val="18"/>
                <w:color w:val="auto"/>
              </w:rPr>
            </w:pPr>
          </w:p>
        </w:tc>
      </w:tr>
      <w:tr>
        <w:trPr>
          <w:trHeight w:val="197"/>
        </w:trPr>
        <w:tc>
          <w:tcPr>
            <w:tcW w:w="2440" w:type="dxa"/>
            <w:vAlign w:val="bottom"/>
            <w:gridSpan w:val="2"/>
          </w:tcPr>
          <w:p>
            <w:pPr>
              <w:spacing w:after="0"/>
              <w:rPr>
                <w:sz w:val="20"/>
                <w:szCs w:val="20"/>
                <w:color w:val="auto"/>
              </w:rPr>
            </w:pPr>
            <w:r>
              <w:rPr>
                <w:rFonts w:ascii="Arial" w:cs="Arial" w:eastAsia="Arial" w:hAnsi="Arial"/>
                <w:sz w:val="14"/>
                <w:szCs w:val="14"/>
                <w:color w:val="auto"/>
              </w:rPr>
              <w:t>Income (loss) before income taxes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339,990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(1,502)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338,488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269,882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10,481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280,363</w:t>
            </w:r>
          </w:p>
        </w:tc>
        <w:tc>
          <w:tcPr>
            <w:tcW w:w="40" w:type="dxa"/>
            <w:vAlign w:val="bottom"/>
          </w:tcPr>
          <w:p>
            <w:pPr>
              <w:spacing w:after="0"/>
              <w:rPr>
                <w:sz w:val="17"/>
                <w:szCs w:val="17"/>
                <w:color w:val="auto"/>
              </w:rPr>
            </w:pPr>
          </w:p>
        </w:tc>
      </w:tr>
      <w:tr>
        <w:trPr>
          <w:trHeight w:val="208"/>
        </w:trPr>
        <w:tc>
          <w:tcPr>
            <w:tcW w:w="2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3,773</w:t>
            </w:r>
          </w:p>
        </w:tc>
        <w:tc>
          <w:tcPr>
            <w:tcW w:w="40" w:type="dxa"/>
            <w:vAlign w:val="bottom"/>
          </w:tcPr>
          <w:p>
            <w:pPr>
              <w:spacing w:after="0"/>
              <w:rPr>
                <w:sz w:val="18"/>
                <w:szCs w:val="18"/>
                <w:color w:val="auto"/>
              </w:rPr>
            </w:pPr>
          </w:p>
        </w:tc>
      </w:tr>
      <w:tr>
        <w:trPr>
          <w:trHeight w:val="197"/>
        </w:trPr>
        <w:tc>
          <w:tcPr>
            <w:tcW w:w="244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339,475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336,370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269,421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7,169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276,590</w:t>
            </w:r>
          </w:p>
        </w:tc>
        <w:tc>
          <w:tcPr>
            <w:tcW w:w="40" w:type="dxa"/>
            <w:vAlign w:val="bottom"/>
          </w:tcPr>
          <w:p>
            <w:pPr>
              <w:spacing w:after="0"/>
              <w:rPr>
                <w:sz w:val="17"/>
                <w:szCs w:val="17"/>
                <w:color w:val="auto"/>
              </w:rPr>
            </w:pPr>
          </w:p>
        </w:tc>
      </w:tr>
      <w:tr>
        <w:trPr>
          <w:trHeight w:val="208"/>
        </w:trPr>
        <w:tc>
          <w:tcPr>
            <w:tcW w:w="2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Depreciation</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165,420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177,786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183,745</w:t>
            </w:r>
          </w:p>
        </w:tc>
        <w:tc>
          <w:tcPr>
            <w:tcW w:w="40" w:type="dxa"/>
            <w:vAlign w:val="bottom"/>
          </w:tcPr>
          <w:p>
            <w:pPr>
              <w:spacing w:after="0"/>
              <w:rPr>
                <w:sz w:val="18"/>
                <w:szCs w:val="18"/>
                <w:color w:val="auto"/>
              </w:rPr>
            </w:pPr>
          </w:p>
        </w:tc>
      </w:tr>
      <w:tr>
        <w:trPr>
          <w:trHeight w:val="190"/>
        </w:trPr>
        <w:tc>
          <w:tcPr>
            <w:tcW w:w="2440" w:type="dxa"/>
            <w:vAlign w:val="bottom"/>
            <w:gridSpan w:val="2"/>
          </w:tcPr>
          <w:p>
            <w:pPr>
              <w:spacing w:after="0"/>
              <w:rPr>
                <w:sz w:val="20"/>
                <w:szCs w:val="20"/>
                <w:color w:val="auto"/>
              </w:rPr>
            </w:pPr>
            <w:r>
              <w:rPr>
                <w:rFonts w:ascii="Arial" w:cs="Arial" w:eastAsia="Arial" w:hAnsi="Arial"/>
                <w:sz w:val="14"/>
                <w:szCs w:val="14"/>
                <w:color w:val="auto"/>
              </w:rPr>
              <w:t>Capital maintenance expenditures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1,474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1,629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2,252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2,256</w:t>
            </w:r>
          </w:p>
        </w:tc>
        <w:tc>
          <w:tcPr>
            <w:tcW w:w="40" w:type="dxa"/>
            <w:vAlign w:val="bottom"/>
          </w:tcPr>
          <w:p>
            <w:pPr>
              <w:spacing w:after="0"/>
              <w:rPr>
                <w:sz w:val="16"/>
                <w:szCs w:val="16"/>
                <w:color w:val="auto"/>
              </w:rPr>
            </w:pPr>
          </w:p>
        </w:tc>
      </w:tr>
    </w:tbl>
    <w:p>
      <w:pPr>
        <w:spacing w:after="0" w:line="367" w:lineRule="exact"/>
        <w:rPr>
          <w:sz w:val="20"/>
          <w:szCs w:val="20"/>
          <w:color w:val="auto"/>
        </w:rPr>
      </w:pPr>
    </w:p>
    <w:p>
      <w:pPr>
        <w:ind w:firstLine="8"/>
        <w:spacing w:after="0" w:line="293" w:lineRule="auto"/>
        <w:tabs>
          <w:tab w:leader="none" w:pos="400" w:val="left"/>
        </w:tabs>
        <w:numPr>
          <w:ilvl w:val="0"/>
          <w:numId w:val="21"/>
        </w:numPr>
        <w:rPr>
          <w:rFonts w:ascii="Arial" w:cs="Arial" w:eastAsia="Arial" w:hAnsi="Arial"/>
          <w:sz w:val="11"/>
          <w:szCs w:val="11"/>
          <w:color w:val="auto"/>
        </w:rPr>
      </w:pPr>
      <w:r>
        <w:rPr>
          <w:rFonts w:ascii="Arial" w:cs="Arial" w:eastAsia="Arial" w:hAnsi="Arial"/>
          <w:sz w:val="16"/>
          <w:szCs w:val="16"/>
          <w:color w:val="auto"/>
        </w:rPr>
        <w:t>Interest expense is net of intercompany interest eliminations of $4.5 million and $11.5 million for the three and nine months ended September 30, 2020, respectively, compared to $2.6 million and $7.8 million for the three and nine months ended September 30, 2019,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Disclosures of Cash Flow Information and Noncash Activities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disclosures of cash flow information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6"/>
                <w:szCs w:val="16"/>
                <w:color w:val="auto"/>
              </w:rPr>
            </w:pPr>
          </w:p>
        </w:tc>
        <w:tc>
          <w:tcPr>
            <w:tcW w:w="256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96"/>
        </w:trPr>
        <w:tc>
          <w:tcPr>
            <w:tcW w:w="51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196"/>
        </w:trPr>
        <w:tc>
          <w:tcPr>
            <w:tcW w:w="5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7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income taxes, net of refunds received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1,945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1,054</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4,102</w:t>
            </w:r>
          </w:p>
        </w:tc>
      </w:tr>
      <w:tr>
        <w:trPr>
          <w:trHeight w:val="270"/>
        </w:trPr>
        <w:tc>
          <w:tcPr>
            <w:tcW w:w="518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43,647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41,163</w:t>
            </w:r>
          </w:p>
        </w:tc>
        <w:tc>
          <w:tcPr>
            <w:tcW w:w="10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182,257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180,494</w:t>
            </w:r>
          </w:p>
        </w:tc>
      </w:tr>
    </w:tbl>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January 1, 2019, in conjunction with its adoption of ASU 2016-02, the Company recorded right-of-use assets and related lease liabilities of $203 million on its condensed consolidated balance sheet to represent its rights to underlying assets and future lease obligations. On April 16, 2020, the Company acquired from Penn the real property associated with the Tropicana Las Vegas in exchange for rent credits of $307.5 million. Additionally, in the nine months ended September 30, 2020, the Company acquired the real property of Belterra Park in satisfaction of the real estate loan of $57.7 million held on the property, subject to the Belterra Park Lease and acquired the real property of Lumière Place in satisfaction of the $246.0 million loan subject to the Lumière Place Lease. Additionally, see Note 14 for a description of the stock dividend that has been distributed in 2020. The Company did not engage in any other noncash investing or any noncash financing activities during the 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October 1, 2020, the Company and Penn closed on their previously announced transaction whereby GLPI acquired the land under Penn's gaming facility under construction in Morgantown, Pennsylvania in exchange for $30.0 million in rent credits. The Company is leasing the land back to an affiliate of Penn for an initial annual rent of $3.0 million, subject to escalation provisions following the opening of the property. Additionally on October 1, 2020, Penn exercised the next scheduled five-year renewals under both the Penn Master Lease and the Amended Pinnacle Master Lease.</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As described in Note 12, the Caesars Amended and Restated Master Lease permits Caesars, subject to the satisfaction of certain conditions, to elect to replace the Tropicana Evansville and/or Tropicana Greenville properties under the lease with one or more properties owned by Caesars, provided that the aggregate value of such new property or properties, individually or collectively, is at least equal to the value of Tropicana Evansville or Tropicana Greenville, as applicable. On October 27, 2020, the Company entered into an Exchange Agreement with subsidiaries of Caesars that own, respectively, the Isle Casino &amp; Hotel, Waterloo, Iowa ("Waterloo") and the Isle Casino &amp; Hotel, Bettendorf, Iowa ("Bettendorf"). Pursuant to the terms of the agreement, Caesars will transfer to the Company the real estate assets of the Waterloo and Bettendorf properties in exchange for the transfer by the Company to Caesars of the real property assets of the Tropicana Evansville, plus a cash payment of $5.72 million. At the closing of the exchange transaction, which is expected by end of 2020, the Waterloo and Bettendorf facilities will be added to the Caesars Amended and Restated Master Lease and the rent will increase by approximately $520,000 annually.</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On October 27, 2020, the Company entered into a series of definitive agreements pursuant to which a subsidiary of Twin River Worldwide Holdings, Inc. (“Twin River”) (NYSE: TRWH) will acquire 100% of the equity interests in the Caesars subsidiary that currently operates Tropicana Evansville and the Company will reacquire the real property assets of Tropicana Evansville from Caesars for a cash purchase price of approximately $340.0 million. In addition, the Company entered into a real estate purchase agreement with Twin River pursuant to which the Company will purchase the real estate assets of the Dover Downs Hotel &amp; Casino, located in Dover, Delaware which is currently owned and operated by Twin River, for a cash purchase price of approximately $144.0 million. At the closing of the transactions, which are expected in mid-2021, subject to regulatory approvals, the Tropicana Evansville and Dover Downs Hotel and Casino facilities will be added to a new master lease between the Company and Twin River (the “Twin River Master Lease”). The Company anticipates that the Twin River Master Lease will have an initial term of 15 years, with no purchase option, followed by four five-year renewal options (exercisable by Twin River) on the same terms and conditions. Rent under the Twin River Master Lease will be $40.0 million annually and is subject to an annual escalator of up to 2% determined in relation to the annual increase in Consumer Price Index.</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Twin River is a multi-jurisdictional owner of gaming and racing facilities, including slot machines, video lottery terminals and various casino table games, and restaurant and hotel facilities. Twin River is a publicly traded company (NYSE: TRWH) that is subject to the informational filing requirements of the Securities and Exchange Act of 1934, as amended, and is required to file periodic reports on Form 10-K and Form 10-Q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25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Gaming and Leisure Properties, Inc. ("GLPI") is a self-administered and self-managed Real Estate Investment Trust ("REIT"). The Company was formed from the 2013 tax-free spin-off of the real estate assets of Penn National Gaming, Inc. (NASDAQ: PENN) ("Penn") and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Company elected on its U.S. federal income tax return for its taxable year that began on January 1, 2014 to be treated as a REIT and the Company, together with an indirect wholly-owned subsidiary of the Company, GLP Holdings, Inc., jointly elected to treat each of GLP Holdings, Inc., Louisiana Casino Cruises, Inc. (d/b/a Hollywood Casino Baton Rouge) and Penn Cecil Maryland, Inc. (d/b/a Hollywood Casino Perryville) as a "taxable REIT subsidiary" effective on the first day of the first taxable year of GLPI as a REIT. As a result of the Spin-Off, GLPI owns substantially all of Penn's former real property assets (as of the consummation of the Spin-Off) and leases back most of those assets to Penn for use by its subsidiaries, under a unitary master lease, a triple-net operating lease with an initial term of 15 years (expiring October 31, 2028), with no purchase option, followed by four 5-year renewal options (exercisable by Penn) on the same terms and conditions (the "Penn Master Lease"), and owns and operates the TRS Properties through its indirect wholly-owned subsidiary, GLP Holdings, Inc. The assets and liabilities of GLPI were recorded at their respective historical carrying values at the time of the Spin-Off.</w:t>
      </w:r>
    </w:p>
    <w:p>
      <w:pPr>
        <w:spacing w:after="0" w:line="20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April 2016, the Company acquired substantially all of the real estate assets of Pinnacle Entertainment, Inc. ("Pinnacle") for approximately $4.8 billion. GLPI originally leased these assets back to Pinnacle, under a unitary triple-net lease with an initial term of 10 years, with no purchase option, followed by five 5-year renewal options (exercisable by Pinnacle) on the same terms and conditions (the "Pinnacle Master Lease"). On October 15, 2018, the Company completed its previously announced transactions with Penn, Pinnacle and Boyd Gaming, Inc. (NYSE: BYD)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for these properties on terms similar to the Company’s Amended Pinnacle Master Lease (the "Boyd Master Lease"). The Boyd Master Lease has an initial term of 10 years (from the original April 2016 commencement date of the Pinnacle Master Lease and expiring April 30, 2026), with no purchase option, followed by five 5-year renewal options (exercisable by Boyd) on the same terms and conditions. The Company also purchased the real estate assets of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whereby the Company loaned Boyd $57.7 million. In May 2020, the Company acquired the real estate of Belterra Park in satisfaction of the loan, subject to a long-term lease (the "Belterra Park Lease") with a Boyd affiliate operating the property. The Belterra Park Lease rent terms are consistent with the Boyd Master Lease. The current annual rent is $6.4 million, which is comprised of fixed component which totals $4.6 million, $2.7 million of which is subject to an annual escalator of up to 2% if certain rent coverage ratio thresholds are met and a component that is based on the performance of the facilities that currently totals $1.8 million, which is adjusted, subject to certain floors, every two years to an amount equal to 4% of the average annual net revenues of Belterra Park during the preceding two years.</w:t>
      </w:r>
    </w:p>
    <w:p>
      <w:pPr>
        <w:spacing w:after="0" w:line="196"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6"/>
          <w:szCs w:val="16"/>
          <w:color w:val="auto"/>
        </w:rPr>
        <w:t>In addition to the acquisition of Plainridge Park described above, 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L.P., the operating partnership of GLPI ("GLP Capital"), which was subsequently amended on</w:t>
      </w:r>
    </w:p>
    <w:p>
      <w:pPr>
        <w:spacing w:after="0" w:line="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Entertainment Corporation (NASDAQ: CZR) ("Caesars")), acquired the operating assets of these properties from Tropicana pursuant to an Agreement and Plan of Merger dated April 15, 2018 by and among Tropicana, GLP Capital, Eldorado Resorts, Inc. and a wholly-owned subsidiary of Eldorado Resorts, Inc. and leased the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jc w:val="both"/>
        <w:spacing w:after="0" w:line="286" w:lineRule="auto"/>
        <w:rPr>
          <w:sz w:val="20"/>
          <w:szCs w:val="20"/>
          <w:color w:val="auto"/>
        </w:rPr>
      </w:pPr>
      <w:r>
        <w:rPr>
          <w:rFonts w:ascii="Arial" w:cs="Arial" w:eastAsia="Arial" w:hAnsi="Arial"/>
          <w:sz w:val="16"/>
          <w:szCs w:val="16"/>
          <w:color w:val="auto"/>
        </w:rPr>
        <w:t>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 Additionally, on October 1, 2018, the Company entered into a loan agreement with Caesars in connection with Caesars's acquisition of Lumière Place, whereby the Company loaned Caesars $246.0 million (the "CZR loan"). The CZR loan bore interest at a rate equal to (i) 9.09% until October 1, 2019 and</w:t>
      </w:r>
    </w:p>
    <w:p>
      <w:pPr>
        <w:spacing w:after="0" w:line="1" w:lineRule="exact"/>
        <w:rPr>
          <w:sz w:val="20"/>
          <w:szCs w:val="20"/>
          <w:color w:val="auto"/>
        </w:rPr>
      </w:pPr>
    </w:p>
    <w:p>
      <w:pPr>
        <w:jc w:val="both"/>
        <w:ind w:firstLine="8"/>
        <w:spacing w:after="0" w:line="252" w:lineRule="auto"/>
        <w:tabs>
          <w:tab w:leader="none" w:pos="2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9.27% until its maturity. On the one-year anniversary of the CZR loan, the mortgage evidenced by a deed of trust on the Lumière Place property terminated and the loan became unsecured. On June 24, 2020, the Company received approval from the Missouri Gaming Commission to own the Lumière Place property in satisfaction of the CZR loan. On September 29, 2020, the transaction closed and we entered into a new triple net lease with Caesars (the "Lumière Place Lease") whose initial term expires on October 31, 2033 with 4 separate renewal options of five years each, exercisable at the tenants' option. The Lumière Place Lease rent is $22.6 million annually and is subject to an annual escalator of up to 2% if certain rent coverage ratio thresholds are met.</w:t>
      </w:r>
    </w:p>
    <w:p>
      <w:pPr>
        <w:spacing w:after="0" w:line="2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April 16, 2020, the Company and certain of its subsidiaries closed on its previously announced transaction to acquire the real property associated with the Tropicana Las Vegas Casino Hotel Resort ("Tropicana Las Vegas") from Penn in exchange for rent credits of $307.5 million, which were applied against future rent obligations due under the parties' existing leases and as of the date of this filing have been fully utilized.</w:t>
      </w:r>
    </w:p>
    <w:p>
      <w:pPr>
        <w:spacing w:after="0" w:line="19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On June 15, 2020, the Company entered into an agreement, subject to regulatory approvals, to amend and restate the Caesars Master Lease (as amended, the "Amended and Restated Caesars Master Lease") to, (i) extend the initial term of 15 years to 20 years, with renewals of up to an additional 20 years at the option of the Caesars, (ii) remove the variable rent component in its entirety, commencing with the third lease year, (iii) in the third lease year increase annual land base rent to approximately $23.6 million and annual building base rent to approximately $62.1 million, (iv) provide fixed escalation percentages that delay the escalation of building base rent until the commencement of the fifth lease year with building base rent increasing annually by 1.25% in the fifth and sixth lease year,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 – Black Hawk, Isle Casino Waterloo, Isle Casino Bettendorf or Isle of Capri Casino Boonville, provided that the aggregate value of such new property, individually or collectively, is at least equal to the value of Tropicana Evansville or Tropicana Greenville, as applicable (see Note 18 to the Condensed Consolidated Financial Statements for further discussion), (vi) permit Caesars to elect to sell its interest in Belle of Baton Rouge and sever it from the Amended and Restated Caesars Master Lease, subject to the satisfaction of certain conditions, and</w:t>
      </w:r>
    </w:p>
    <w:p>
      <w:pPr>
        <w:spacing w:after="0" w:line="3" w:lineRule="exact"/>
        <w:rPr>
          <w:sz w:val="20"/>
          <w:szCs w:val="20"/>
          <w:color w:val="auto"/>
        </w:rPr>
      </w:pPr>
    </w:p>
    <w:p>
      <w:pPr>
        <w:jc w:val="both"/>
        <w:ind w:firstLine="8"/>
        <w:spacing w:after="0" w:line="255" w:lineRule="auto"/>
        <w:tabs>
          <w:tab w:leader="none" w:pos="3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certain relief under the operating, capital expenditure and financial covenants thereunder in the event of facility closures due to pandemics, governmental restrictions and certain other instances of unavoidable delay. The Caesars Amended and Restated Master Lease became effective on July 23, 2020 when all of the necessary regulatory approvals were received and notice periods were satisfied.</w:t>
      </w:r>
    </w:p>
    <w:p>
      <w:pPr>
        <w:spacing w:after="0" w:line="2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GLPI's primary business consists of acquiring, financing, and owning real estate property to be leased to gaming operators in triple-net lease arrangements. As of September 30, 2020, GLPI's portfolio consisted of interests in 46 gaming and related facilities, including the TRS Properties and Tropicana Las Vegas, the real property associated with 32 gaming and related facilities operated by Penn, the real property associated with 6 gaming and related facilities operated by Caesars, the real property associated with 4 gaming and related facilities operated by Boyd and the real property associated with the Casino Queen in East St. Louis, Illinois. These facilities, including our corporate headquarters building, are geographically diversified across 16 states and contain approximately 24.1 million square feet. As of September 30, 2020, our properties were 100% occupied.</w:t>
      </w:r>
    </w:p>
    <w:p>
      <w:pPr>
        <w:spacing w:after="0" w:line="20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As of September 30, 2020, the majority of our earnings are the result of the rental revenues we receive from our triple-net master leases with Penn, Boyd and Caesars. Additionally, we have rental revenue from triple-net leases on the following properties: the Casino Queen property which is leased back to a third-party operator (the "Casino Queen Lease"), the Meadows property which is leased to Penn (the "Meadows Lease"), the Belterra Park property which is leased to an affiliate of Boyd and the Lumière Place property which is leased to Caesars. In addition to rent, the tenants are required to pay the following executory costs: (1) all facility maintenance, (2) all insurance required in connection with the leased properties and the business conducted on the</w:t>
      </w:r>
    </w:p>
    <w:p>
      <w:pPr>
        <w:spacing w:after="0" w:line="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in accordance with Accounting Standards Codification ("ASC") 842, we record revenue for the ground lease rent paid by our tenants with an offsetting expense in land rights and ground lease expense within the condensed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consolidated statement of income as we have concluded that as the lessee we are the primary obligor under the ground leases. We sublease these ground leases back to our tenants, who are responsible for payment directly to the landlord.</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Gaming revenue for our TRS Properties is derived primarily from gaming on slot machines and to a lesser extent, table game and poker revenue, which is highly dependent upon the volume and spending levels of customers at our TRS Properties. Other revenues at our TRS Properties are derived from our dining, retail and certain other ancillary activities.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Business Outlook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spread of the novel coronavirus (COVID-19) and the recent developments surrounding the global pandemic are having material negative impacts on the global and United States economies that have resulted in an unprecedented drop in economic activity. In mid-March 2020, many businesses in the United States were forced to close by state governments in an effort to limit the spread of COVID-19, which resulted in record unemployment claims. As the U.S. economy began to reopen in the second quarter the unemployment rate, which was approximately 3.5% at the beginning of 2020, declined from its April 2020 peak of 14.7% to a still relatively high level of 7.9%. Additional impacts and recent developments include:</w:t>
      </w:r>
    </w:p>
    <w:p>
      <w:pPr>
        <w:spacing w:after="0" w:line="188" w:lineRule="exact"/>
        <w:rPr>
          <w:sz w:val="20"/>
          <w:szCs w:val="20"/>
          <w:color w:val="auto"/>
        </w:rPr>
      </w:pPr>
    </w:p>
    <w:p>
      <w:pPr>
        <w:jc w:val="both"/>
        <w:ind w:left="660" w:hanging="328"/>
        <w:spacing w:after="0" w:line="266"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During the initial stages of the COVID-19 outbreak, federal, state and local government officials took steps to require various non-essential businesses to close to slow the spread of COVID-19. In mid-March 2020, all casinos were closed across the country, which in turn had a significant negative impact on our tenants' and our own operating results. Although the majority of casinos have reopened throughout the country, it is possible that individual jurisdictions may elect to close them again (as was done in Arizona) to mitigate continued increases in COVID-19 cases. In addition, although the results of our tenants operations since they have reopened have been quite strong, the continuation of these impressive results is uncertain, given the extent of damage to the economy. Our major tenants have raised significant amounts of liquidity through public capital market transactions recently and are all current on their rental obligations. However, if our tenants' properties are required to be closed again for an extended period of time, it is possible that our tenants may not be able to service their rent obligations. We may elect to enter into rent deferral agreements or accept non-cash assets to satisfy rent obligations in a manner similar to the transaction with Penn, which is discussed below.</w:t>
      </w:r>
    </w:p>
    <w:p>
      <w:pPr>
        <w:spacing w:after="0" w:line="7" w:lineRule="exact"/>
        <w:rPr>
          <w:rFonts w:ascii="Arial" w:cs="Arial" w:eastAsia="Arial" w:hAnsi="Arial"/>
          <w:sz w:val="17"/>
          <w:szCs w:val="17"/>
          <w:color w:val="auto"/>
        </w:rPr>
      </w:pPr>
    </w:p>
    <w:p>
      <w:pPr>
        <w:jc w:val="both"/>
        <w:ind w:left="660" w:hanging="328"/>
        <w:spacing w:after="0" w:line="251"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affiliate of Penn will continue to operate the casino and hotel business of the Tropicana Las Vegas pursuant to a triple net lease with GLPI for nominal rent for the earlier of two years (subject to three one-year extensions at the Company's option) or until the Tropicana Las Vegas is sold. We will conduct a sale process with respect to the Tropicana Las Vegas, with Penn receiving 75% of the net proceeds above $307.5 million (plus certain taxes, expenses and costs) if a sale agreement is signed during the first 12 months following closing and 50% of net proceeds above $307.5 million (plus certain taxes, expenses and costs) if a sale agreement is signed during the subsequent 12 months following closing. Penn will not be entitled to receive any net sale proceeds if the relevant sale agreement is signed at any time after 24 months from closing. In addition, on October 1, 2020, we completed the acquisition of the land under Penn's gaming facility under construction in Morgantown, Pennsylvania, in exchange for $30 million in rent credits. We are leasing the property back to an affiliate of Penn for an initial annual rent of $3.0 million, subject to escalation provisions following the opening of the property to the public. Penn will guaranty the performance of its affiliates under the Tropicana Las Vegas and Morgantown leases.</w:t>
      </w:r>
    </w:p>
    <w:p>
      <w:pPr>
        <w:spacing w:after="0" w:line="209" w:lineRule="exact"/>
        <w:rPr>
          <w:rFonts w:ascii="Arial" w:cs="Arial" w:eastAsia="Arial" w:hAnsi="Arial"/>
          <w:sz w:val="17"/>
          <w:szCs w:val="17"/>
          <w:color w:val="auto"/>
        </w:rPr>
      </w:pPr>
    </w:p>
    <w:p>
      <w:pPr>
        <w:jc w:val="both"/>
        <w:ind w:left="660" w:hanging="328"/>
        <w:spacing w:after="0" w:line="275"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Company granted Penn the exclusive right until December 31, 2020 to purchase from the Company the operations of our Hollywood Casino Perryville, located in Perryville, Maryland, for $31.1 million, with the closing of such purchase, provided Penn exercises its option and subject to regulatory approvals, expected to occur during calendar year 2021 on a date selected by Penn with reasonable prior notice to the Company unless otherwise agreed by both parties. Upon closing, the Company will lease the real estate of the Perryville facility to Penn pursuant to a lease providing for initial annual rent of $7.77 million, subject to escalation provisions.</w:t>
      </w:r>
    </w:p>
    <w:p>
      <w:pPr>
        <w:spacing w:after="0" w:line="203" w:lineRule="exact"/>
        <w:rPr>
          <w:rFonts w:ascii="Arial" w:cs="Arial" w:eastAsia="Arial" w:hAnsi="Arial"/>
          <w:sz w:val="17"/>
          <w:szCs w:val="17"/>
          <w:color w:val="auto"/>
        </w:rPr>
      </w:pPr>
    </w:p>
    <w:p>
      <w:pPr>
        <w:jc w:val="both"/>
        <w:ind w:left="660" w:hanging="328"/>
        <w:spacing w:after="0" w:line="311"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October 1, 2020 Penn exercised the next scheduled five-year renewals under each of its two master leases with the Company, and the terms of the master lease covering Penn’s Hollywood Casino at Penn National Racecourse, located in Grantville, Pennsylvania, will be amended to provide the Company with protection from any adverse impact on the lease escalation provisions resulting from decreased net revenues from such facility.</w:t>
      </w:r>
    </w:p>
    <w:p>
      <w:pPr>
        <w:spacing w:after="0" w:line="175"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Also, the Company granted Penn the option to exercise an additional five-year renewal term at the end of the lease term for each of the two master leases, subject to certain regulatory approvals.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jc w:val="both"/>
        <w:ind w:left="660" w:hanging="328"/>
        <w:spacing w:after="0" w:line="279"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Company's wholly-owned and operated TRS Properties closed in mid-March 2020 due to the COVID-19 outbreak. Our property in Baton Rouge reopened on May 18, 2020 and our property in Perryville, Maryland reopened on June 19, 2020 with enhanced safety protocols and capacity restrictions. To date, both properties have performed well in spite of lower attendance levels; however we are unable to predict whether this will continue as we believe results have benefited from pent up demand and federal stimulus benefits.</w:t>
      </w:r>
    </w:p>
    <w:p>
      <w:pPr>
        <w:spacing w:after="0" w:line="198" w:lineRule="exact"/>
        <w:rPr>
          <w:rFonts w:ascii="Arial" w:cs="Arial" w:eastAsia="Arial" w:hAnsi="Arial"/>
          <w:sz w:val="17"/>
          <w:szCs w:val="17"/>
          <w:color w:val="auto"/>
        </w:rPr>
      </w:pPr>
    </w:p>
    <w:p>
      <w:pPr>
        <w:jc w:val="both"/>
        <w:ind w:left="660" w:hanging="328"/>
        <w:spacing w:after="0" w:line="284"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June 25, 2020, the Company enhanced its liquidity and financial flexibility by (i) extending the maturity date of its $224 million of Term Loan A-1, which term loans are now classified as a new tranche of term loans (the "Term Loans A-2") under its senior unsecured credit facility (the "Credit Facility") and (ii) raising $200 million of additional Term Loans A-2. The Term Loans A-2 mature on May 21, 2023. Additionally, the Company issued 4.00%, $500 million of senior unsecured notes at a slight discount to par which have a maturity date of January 15, 2031. The proceeds from these new debt obligations were utilized, along with cash on hand to repay all amounts that were outstanding under the Company's revolving credit facility. In August 2020, the Company issued an additional $200 million of 4.00% senior unsecured notes due on January 15, 2031 at a premium to par. The net proceeds from this offering were utilized to repay advances under our Term Loan A-1.</w:t>
      </w:r>
    </w:p>
    <w:p>
      <w:pPr>
        <w:spacing w:after="0" w:line="2" w:lineRule="exact"/>
        <w:rPr>
          <w:rFonts w:ascii="Arial" w:cs="Arial" w:eastAsia="Arial" w:hAnsi="Arial"/>
          <w:sz w:val="16"/>
          <w:szCs w:val="16"/>
          <w:color w:val="auto"/>
        </w:rPr>
      </w:pPr>
    </w:p>
    <w:p>
      <w:pPr>
        <w:jc w:val="both"/>
        <w:ind w:left="660" w:hanging="328"/>
        <w:spacing w:after="0" w:line="265"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entered into an amendment on March 30, 2020 with our creditors which permits the fair value as determined by us of non-cash assets received for rental payments from our tenants to be recognized within net operating income to the extent earned in accordance with generally accepted accounting principles for debt covenant purposes as well as the inclusion of cash in the definition of unencumbered assets. We comfortably passed all of our debt covenants at September 30, 2020 and, based on continuing compliance by our tenants with the provisions of their leases, we do not anticipate any need for additional covenant relief and have ample liquidity.</w:t>
      </w:r>
    </w:p>
    <w:p>
      <w:pPr>
        <w:ind w:left="660" w:hanging="328"/>
        <w:spacing w:after="0" w:line="26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collected all of our contractual rent through October 2020 from our tenants other than Casino Queen, from whom we are now collecting full rental payments and with whom we continue to work on a deferred rent agreement related to prior closed months.</w:t>
      </w:r>
    </w:p>
    <w:p>
      <w:pPr>
        <w:spacing w:after="0" w:line="212"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March 27, 2020, the Coronavirus Aid, Relief, and Economic Security Act (“CARES Act”) was enacted in response to the COVID-19 pandemic. The CARES Act, among other things, permits net operating loss (“NOL”)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Company is monitoring the availability of an NOL carryback at the TRS Properties to generate a future tax cash benefit.</w:t>
      </w:r>
    </w:p>
    <w:p>
      <w:pPr>
        <w:spacing w:after="0" w:line="214"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CARES Act modifies the limitation of business interest expense for tax years beginning in 2019 and 2020. The modifications increase the allowable business interest expense deduction from 30% of adjusted taxable income to 50% of adjusted taxable income, and allows taxpayers to calculate the 2020 limitation using 2019 adjusted taxable income. These modifications increase the anticipated allowable interest expense deduction of the TRS Properties.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Consistent with how our Chief Operating Decision Maker reviews and assesses our financial performance, we have two reportable segments, GLP Capital and the TRS Properties. The GLP Capital reportable segment consists of the leased real property and represents the majority of our business. The TRS Properties reportable segment consists of Hollywood Casino Perryville and Hollywood Casino Baton Rouge as well as the real estate of Tropicana Las Vegas.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reported total revenues and income from operations of $307.6 million and $200.7 million for the three months ended September 30, 2020, respectively, compared to $287.6 million and $187.6 million, respectively, for the corresponding period in the prior year. We reported total revenues and income from operations of $853.0 million and $567.8 million for the nine months ended September 30, 2020, respectively, compared to $864.5 million and $529.2 million, respectively, for the corresponding period in the prior year.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major factors affecting our results for the three and nine months ended September 30, 2020, as compared to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were as follows: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jc w:val="both"/>
        <w:ind w:left="328" w:hanging="328"/>
        <w:spacing w:after="0" w:line="285" w:lineRule="auto"/>
        <w:tabs>
          <w:tab w:leader="none" w:pos="323"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Total income from real estate was $273.1 million and $781.8 million for the three and nine months ended September 30, 2020, and $256.0 million and $766.6 million for the three and nine months ended September 30, 2019, respectively. Total income from real estate increased by $17.1 million for the three months ended September 30, 2020 and $15.2 million for the nine months ended September 30, 2020 as compared to the corresponding periods in the prior year. The reason for the increase for the three month period ended September 30, 2020 was primarily due to favorable non-cash straight-line rent adjustments of $13.6 million on our Amended Pinnacle Master Lease and Boyd Master Lease whose percentage rent anniversaries occurred on May 1, 2020 and the Amended Caesars Master Lease which as discussed in Note 12 to the Condensed Consolidating Financial Statements resulted in a change to the recognition of the existing deferred revenue amount and incorporated the recognition of a portion of the fixed escalations into current period earnings. The current quarter was also positively impacted by higher percentage rent from our Penn Master Lease of $4.7 million due to the strong reopening demand at Hollywood Casino Columbus and Hollywood Casino Toledo (as both properties were closed in mid-March 2020 and reopened on June 19, 2020) as well as the benefits Hollywood Casino Toledo experienced from the extended closures of competing casinos in Detroit, Michigan until August 5, 2020. We also experienced higher building base rents as the majority of our leases incurred escalators in 2019. This was partially offset by lower percentage rent from the Amended Pinnacle Master Lease and the Boyd Master Lease which reset on May 1, 2020 and due primarily from the impact of the casino closures from COVID-19, lowered annual percentage rent by $5.0 million and $1.5 million, respectively, as well as lower rental income from Casino Queen. The increase for the nine month period ended September 30, 2020 was primarily due to favorable non-cash straight-line rent adjustments of $20.5 million on our Amended Pinnacle Master Lease, Boyd Master Lease and Amended Caesars Master Lease and higher building base rents of $8.1 million for the reasons discussed above. These increases were partially offset by lower rental income from percentage rent of $6.7 million on the Penn Master Lease due to the temporary closure of Hollywood Casino Columbus and to a lesser extent, Hollywood Casino Toledo from mid-March 2020 to June 19, 2020 due to COVID-19 and the Amended Pinnacle Master Lease and the Boyd Master Lease for the reasons discussed above as well as lower rental income from ground leases.</w:t>
      </w:r>
    </w:p>
    <w:p>
      <w:pPr>
        <w:spacing w:after="0" w:line="200" w:lineRule="exact"/>
        <w:rPr>
          <w:rFonts w:ascii="Arial" w:cs="Arial" w:eastAsia="Arial" w:hAnsi="Arial"/>
          <w:sz w:val="16"/>
          <w:szCs w:val="16"/>
          <w:color w:val="auto"/>
        </w:rPr>
      </w:pPr>
    </w:p>
    <w:p>
      <w:pPr>
        <w:spacing w:after="0" w:line="211" w:lineRule="exact"/>
        <w:rPr>
          <w:rFonts w:ascii="Arial" w:cs="Arial" w:eastAsia="Arial" w:hAnsi="Arial"/>
          <w:sz w:val="16"/>
          <w:szCs w:val="16"/>
          <w:color w:val="auto"/>
        </w:rPr>
      </w:pPr>
    </w:p>
    <w:p>
      <w:pPr>
        <w:jc w:val="both"/>
        <w:ind w:left="328" w:hanging="328"/>
        <w:spacing w:after="0" w:line="296" w:lineRule="auto"/>
        <w:tabs>
          <w:tab w:leader="none" w:pos="323"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Revenues for our TRS Properties increased by $2.8 million for the three months ended September 30, 2020 and decreased $26.7 million for the nine months ended months ended September 30, 2020, as compared to the corresponding period in the prior year. These properties were closed in mid-March 2020 due to COVID-19. Hollywood Casino Baton Rouge reopened to the public on May 18, 2020 and Hollywood Casino Perryville reopened on June 19, 2020 with various restrictions to limit capacity in accordance with regulatory requirements. Revenues since reopening have exceeded the corresponding periods in the prior years as spend per visit has increased which has more than offset reduced visitation levels.</w:t>
      </w:r>
    </w:p>
    <w:p>
      <w:pPr>
        <w:spacing w:after="0" w:line="161" w:lineRule="exact"/>
        <w:rPr>
          <w:rFonts w:ascii="Arial" w:cs="Arial" w:eastAsia="Arial" w:hAnsi="Arial"/>
          <w:sz w:val="16"/>
          <w:szCs w:val="16"/>
          <w:color w:val="auto"/>
        </w:rPr>
      </w:pPr>
    </w:p>
    <w:p>
      <w:pPr>
        <w:jc w:val="both"/>
        <w:ind w:left="328" w:hanging="328"/>
        <w:spacing w:after="0" w:line="253" w:lineRule="auto"/>
        <w:tabs>
          <w:tab w:leader="none" w:pos="323"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Total operating expenses increased by $6.9 million and decreased by $50.1 million for the three and nine months ended September 30, 2020, as compared to the corresponding periods in the prior year. The increase in operating expenses for the three months ended September 30, 2020 as compared to the prior year period was primarily driven by charges of $6.8 million associated with severance and stock based compensation acceleration charges for the departure of our former chief financial officer. The decrease for the nine-month period ended September 30, 2020 was due to lower depreciation expense and land right amortization expense in our REIT segment of $24.0 million primarily from lower rent expense on the Company's long term ground leases due to the impact of COVID-19 and the acceleration of depreciation and amortization in 2019 resulting from the closing of Penn's Resorts Casino Tunica property. Additionally, for the nine months ended September 30, 2019 there was a loan impairment charge of $13.0 million related to GLPI’s unsecured, 5.5-year term loan (the "Casino Queen Loan") to CQ Holding Company, Inc., an affiliate of Casino Queen ("CQ Holding Company"). These items were partially offset by the charges incurred during the three month period ended September 30, 2020 described above.</w:t>
      </w:r>
    </w:p>
    <w:p>
      <w:pPr>
        <w:spacing w:after="0" w:line="207" w:lineRule="exact"/>
        <w:rPr>
          <w:rFonts w:ascii="Arial" w:cs="Arial" w:eastAsia="Arial" w:hAnsi="Arial"/>
          <w:sz w:val="17"/>
          <w:szCs w:val="17"/>
          <w:color w:val="auto"/>
        </w:rPr>
      </w:pPr>
    </w:p>
    <w:p>
      <w:pPr>
        <w:jc w:val="both"/>
        <w:ind w:left="328" w:hanging="328"/>
        <w:spacing w:after="0" w:line="311" w:lineRule="auto"/>
        <w:tabs>
          <w:tab w:leader="none" w:pos="323"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 income and expenses decreased by $25.0 million for the three months ended September 30, 2020 and $19.5 million for the nine months ended September 30, 2020, as compared to the corresponding periods in the prior year due to lower interest expense from our refinancing activities that occurred in the third quarter of 2019 and first quarter of 2020 and lower debt extinguishment charges compared to the prior year.</w:t>
      </w:r>
    </w:p>
    <w:p>
      <w:pPr>
        <w:spacing w:after="0" w:line="175" w:lineRule="exact"/>
        <w:rPr>
          <w:rFonts w:ascii="Arial" w:cs="Arial" w:eastAsia="Arial" w:hAnsi="Arial"/>
          <w:sz w:val="16"/>
          <w:szCs w:val="16"/>
          <w:color w:val="auto"/>
        </w:rPr>
      </w:pPr>
    </w:p>
    <w:p>
      <w:pPr>
        <w:ind w:left="328" w:hanging="328"/>
        <w:spacing w:after="0" w:line="277" w:lineRule="auto"/>
        <w:tabs>
          <w:tab w:leader="none" w:pos="323"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income increased by $36.6 million and $59.8 million for the three and nine months ended September 30, 2020, as compared to the corresponding period in the prior year, primarily due to the variances explained above.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9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real estate investments, leases and goodwill and other intangible assets as critical accounting estimates, as they are the most important to our financial statement presentation and require difficult, subjective and complex judgments.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For further information on our critical accounting estimates, see Item 7. "Management’s Discussion and Analysis of Financial Condition and Results of Operations" and the Notes to our audited consolidated financial statements included in our Annual Report. There has been no material change to these estimates for the three and nine months ended September 30,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most important factors and trends that contribute or will contribute to our operating performance:</w:t>
      </w:r>
    </w:p>
    <w:p>
      <w:pPr>
        <w:spacing w:after="0" w:line="252" w:lineRule="exact"/>
        <w:rPr>
          <w:sz w:val="20"/>
          <w:szCs w:val="20"/>
          <w:color w:val="auto"/>
        </w:rPr>
      </w:pPr>
    </w:p>
    <w:p>
      <w:pPr>
        <w:jc w:val="both"/>
        <w:ind w:left="660" w:hanging="328"/>
        <w:spacing w:after="0" w:line="259"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discussed previously, the impact of the COVID-19 outbreak resulted in the nationwide closures of all casino operations throughout the United States in mid-March 2020 as well as sharp increases in unemployment levels. Although our properties have reopened and all but one of our tenants' properties have done so as well to encouraging results, we cannot predict whether this recovery will be sustained or whether the facilities will be forced to close again in future periods.</w:t>
      </w:r>
    </w:p>
    <w:p>
      <w:pPr>
        <w:spacing w:after="0" w:line="213" w:lineRule="exact"/>
        <w:rPr>
          <w:rFonts w:ascii="Arial" w:cs="Arial" w:eastAsia="Arial" w:hAnsi="Arial"/>
          <w:sz w:val="18"/>
          <w:szCs w:val="18"/>
          <w:color w:val="auto"/>
        </w:rPr>
      </w:pPr>
    </w:p>
    <w:p>
      <w:pPr>
        <w:jc w:val="both"/>
        <w:ind w:left="660" w:hanging="328"/>
        <w:spacing w:after="0" w:line="288"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do not anticipate any rent escalations being triggered under our leases in 2020 due to the impact of COVID-19 and our entry into the Amended and Restated Caesars Master Lease. Our leases also contain variable rent which is reset on varying schedules depending on the lease. In the aggregate, the portion of our cash rents that are variable represented approximately 16% of our 2019 full year cash rental income. Of that 16% variable rent, approximately 27% resets every five years which is associated with our Penn Master Lease and Casino Queen Lease, 42% resets every two years and 31% resets monthly which is associated with the Penn Master Lease (of which approximately 47% is subject to a floor or $22.9 million annually for Hollywood Casino Toledo). The percentage rent in the Penn Master Lease increased by $4.7 million for the three month period ended September 30, 2020 as the facilities reopened on June 19, 2020 to strong performance and Hollywood Casino Toledo benefited from the Detroit, Michigan gaming market being closed until August 5, 2020. For the nine months ended September 30, 2020 percentage rent in the Penn Master Lease declined by $3.2 million compared to the corresponding period in the prior year due to the temporary closures of Hollywood Casino Columbus and to a lesser extent, Hollywood Casino Toledo from mid-March 2020 to June 19, 2020.</w:t>
      </w:r>
    </w:p>
    <w:p>
      <w:pPr>
        <w:spacing w:after="0" w:line="195" w:lineRule="exact"/>
        <w:rPr>
          <w:rFonts w:ascii="Arial" w:cs="Arial" w:eastAsia="Arial" w:hAnsi="Arial"/>
          <w:sz w:val="16"/>
          <w:szCs w:val="16"/>
          <w:color w:val="auto"/>
        </w:rPr>
      </w:pPr>
    </w:p>
    <w:p>
      <w:pPr>
        <w:jc w:val="both"/>
        <w:ind w:left="660" w:hanging="328"/>
        <w:spacing w:after="0" w:line="287"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variable rent resets in the Amended Pinnacle Master Lease and the Boyd Master Lease reset for the two year period ended April 30, 2020, which resulted in a $5.0 million and a $1.5 million reduction in annual variable rent on each of these leases, respectively, which will prevail for the subsequent two year period through April 30, 2022. In addition, the Meadows Lease variable rent reset occurred in October 2020 which will lower variable rent annually by $2.1 million. The Caesars Master Lease variable rent reset was scheduled to occur in October 2020; however, on June 15, 2020, the Company entered into the Amended and Restated Caesars Master Lease, to, among other things, (i) extend the initial term of 15 years to 20 years, (ii) remove the variable rent component in its entirety, commencing with the third lease year, at which time the land base rent will increase to approximately $23.6 million and the building base rent will be set at approximately $62.1 million and (iii) provide for fixed escalation percentages that delay the escalation of building base rent until the commencement of the fifth lease year, with building base rent increasing annually by 1.25% in the fifth and sixth lease year, 1.75% in the seventh and eighth lease years and 2% in the ninth lease year and each lease year thereafter. The Amended and Restated Caesars Master Lease became effective July 23, 2020 when all of the necessary regulatory approvals were received and notice periods were satisfied. We have no other variable resets scheduled to occur until 2022.</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fact that several wholly-owned subsidiaries of Penn lease a substantial number of our properties which account for a significant portion of our revenue, pursuant to two master leases and a single property lease.</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April 16, 2020, we acquired from Penn the real property assets of Tropicana Las Vegas in return for $307.5 million in rent credits. There can be no assurance that we will realize a return on this investment.</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rules and regulations of U.S. federal income taxation are constantly under review by legislators, the Internal Revenue Service and the U.S. Department of the Treasury. Changes to the tax laws or interpretations thereof, with or without retroactive application, could materially and adversely affect GLPI and its investors.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results of operations for the three and nine months ended September 30, 2020 and 2019 are summarized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6"/>
                <w:szCs w:val="16"/>
                <w:color w:val="auto"/>
              </w:rPr>
            </w:pPr>
          </w:p>
        </w:tc>
        <w:tc>
          <w:tcPr>
            <w:tcW w:w="260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96"/>
        </w:trPr>
        <w:tc>
          <w:tcPr>
            <w:tcW w:w="5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196"/>
        </w:trPr>
        <w:tc>
          <w:tcPr>
            <w:tcW w:w="5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307,554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287,612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853,004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864,489</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106,853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99,987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285,237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335,322</w:t>
            </w:r>
          </w:p>
        </w:tc>
      </w:tr>
      <w:tr>
        <w:trPr>
          <w:trHeight w:val="27"/>
        </w:trPr>
        <w:tc>
          <w:tcPr>
            <w:tcW w:w="5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567,767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529,167</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other expenses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(70,936)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(95,890)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(229,279)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(248,804)</w:t>
            </w:r>
          </w:p>
        </w:tc>
      </w:tr>
      <w:tr>
        <w:trPr>
          <w:trHeight w:val="27"/>
        </w:trPr>
        <w:tc>
          <w:tcPr>
            <w:tcW w:w="5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338,488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280,363</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3,773</w:t>
            </w:r>
          </w:p>
        </w:tc>
      </w:tr>
      <w:tr>
        <w:trPr>
          <w:trHeight w:val="27"/>
        </w:trPr>
        <w:tc>
          <w:tcPr>
            <w:tcW w:w="5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127,126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90,547</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336,370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276,590</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Certain information regarding our results of operations by segment for the three and nine months ended September 30, 2020 and 2019 is summarized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5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196"/>
        </w:trPr>
        <w:tc>
          <w:tcPr>
            <w:tcW w:w="5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Total Revenues</w:t>
            </w:r>
          </w:p>
        </w:tc>
        <w:tc>
          <w:tcPr>
            <w:tcW w:w="5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Income from Operations</w:t>
            </w:r>
          </w:p>
        </w:tc>
      </w:tr>
      <w:tr>
        <w:trPr>
          <w:trHeight w:val="196"/>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GLP Capital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273,129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255,995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192,369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181,947</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TRS Properties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31,617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5,678</w:t>
            </w:r>
          </w:p>
        </w:tc>
      </w:tr>
      <w:tr>
        <w:trPr>
          <w:trHeight w:val="27"/>
        </w:trPr>
        <w:tc>
          <w:tcPr>
            <w:tcW w:w="5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307,554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287,612</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200,701</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187,625</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96"/>
        </w:trPr>
        <w:tc>
          <w:tcPr>
            <w:tcW w:w="5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r>
      <w:tr>
        <w:trPr>
          <w:trHeight w:val="196"/>
        </w:trPr>
        <w:tc>
          <w:tcPr>
            <w:tcW w:w="5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Total Revenues</w:t>
            </w:r>
          </w:p>
        </w:tc>
        <w:tc>
          <w:tcPr>
            <w:tcW w:w="4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Income from Operations</w:t>
            </w:r>
          </w:p>
        </w:tc>
      </w:tr>
      <w:tr>
        <w:trPr>
          <w:trHeight w:val="196"/>
        </w:trPr>
        <w:tc>
          <w:tcPr>
            <w:tcW w:w="5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GLP Capital</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781,841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766,630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557,751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510,884</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TRS Properties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71,163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97,859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18,283</w:t>
            </w:r>
          </w:p>
        </w:tc>
      </w:tr>
      <w:tr>
        <w:trPr>
          <w:trHeight w:val="27"/>
        </w:trPr>
        <w:tc>
          <w:tcPr>
            <w:tcW w:w="5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853,004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864,489</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567,767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529,167</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FFO, AFFO and Adjusted EBITDA</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Funds From Operations ("FFO"), Adjusted Funds From Operations ("AFFO") and Adjusted EBITDA are non-U.S. generally accepted accounting principles ("GAAP") financial measures used by the Company as performance measures for benchmarking against the Company’s peers and as internal measures of business operating performance, which is used as a bonus metric.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5" w:name="page36"/>
    <w:bookmarkEnd w:id="35"/>
    <w:p>
      <w:pPr>
        <w:jc w:val="both"/>
        <w:ind w:firstLine="648"/>
        <w:spacing w:after="0" w:line="291" w:lineRule="auto"/>
        <w:rPr>
          <w:sz w:val="20"/>
          <w:szCs w:val="20"/>
          <w:color w:val="auto"/>
        </w:rPr>
      </w:pPr>
      <w:r>
        <w:rPr>
          <w:rFonts w:ascii="Arial" w:cs="Arial" w:eastAsia="Arial" w:hAnsi="Arial"/>
          <w:sz w:val="16"/>
          <w:szCs w:val="16"/>
          <w:color w:val="auto"/>
        </w:rPr>
        <w:t>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sales of property and real estate depreciation. We define AFFO as FFO excluding stock based compensation expense, the amortization of debt issuance costs, bond premiums and original issuance discounts, other depreciation, the amortization of land rights, straight-line rent adjustments, losses on debt extinguishment and loan impairment charges, reduced by maintenance capital expenditures. Finally, we define Adjusted EBITDA as net income excluding interest, taxes on income, depreciation, (gains) or losses from sales of property, stock based compensation expense, straight-line rent adjustments, the amortization of land rights, losses on debt extinguishment and loan impairment charges.</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19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reconciliation of the Company’s net income per GAAP to FFO, AFFO, and Adjusted EBITDA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 is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234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303"/>
        </w:trPr>
        <w:tc>
          <w:tcPr>
            <w:tcW w:w="5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127,126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90,547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336,370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276,590</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Losses (Gains) from dispositions of property</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depreciation</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55,098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55,047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163,928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176,290</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Funds from operations</w:t>
            </w:r>
          </w:p>
        </w:tc>
        <w:tc>
          <w:tcPr>
            <w:tcW w:w="42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182,228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145,631</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500,295</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452,930</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Straight-line rent adjustments</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25,930</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Other depreciation</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8,105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7,455</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land rights</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15,516</w:t>
            </w:r>
          </w:p>
        </w:tc>
        <w:tc>
          <w:tcPr>
            <w:tcW w:w="0" w:type="dxa"/>
            <w:vAlign w:val="bottom"/>
          </w:tcPr>
          <w:p>
            <w:pPr>
              <w:spacing w:after="0"/>
              <w:rPr>
                <w:sz w:val="1"/>
                <w:szCs w:val="1"/>
                <w:color w:val="auto"/>
              </w:rPr>
            </w:pPr>
          </w:p>
        </w:tc>
      </w:tr>
      <w:tr>
        <w:trPr>
          <w:trHeight w:val="175"/>
        </w:trPr>
        <w:tc>
          <w:tcPr>
            <w:tcW w:w="5440" w:type="dxa"/>
            <w:vAlign w:val="bottom"/>
          </w:tcPr>
          <w:p>
            <w:pPr>
              <w:ind w:left="20"/>
              <w:spacing w:after="0" w:line="176" w:lineRule="exact"/>
              <w:rPr>
                <w:sz w:val="20"/>
                <w:szCs w:val="20"/>
                <w:color w:val="auto"/>
              </w:rPr>
            </w:pPr>
            <w:r>
              <w:rPr>
                <w:rFonts w:ascii="Arial" w:cs="Arial" w:eastAsia="Arial" w:hAnsi="Arial"/>
                <w:sz w:val="18"/>
                <w:szCs w:val="18"/>
                <w:color w:val="auto"/>
                <w:w w:val="91"/>
              </w:rPr>
              <w:t>Amortization of debt issuance costs, bond premiums and original issuance</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2,669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2,807</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8,032</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color w:val="auto"/>
              </w:rPr>
              <w:t>8,597</w:t>
            </w:r>
          </w:p>
        </w:tc>
        <w:tc>
          <w:tcPr>
            <w:tcW w:w="0" w:type="dxa"/>
            <w:vAlign w:val="bottom"/>
          </w:tcPr>
          <w:p>
            <w:pPr>
              <w:spacing w:after="0"/>
              <w:rPr>
                <w:sz w:val="1"/>
                <w:szCs w:val="1"/>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discounts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12,353</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Losses on debt extinguishment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21,014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18,113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21,014</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 impairment charges</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Capital maintenance expenditures</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funds from operations</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194,616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186,506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564,023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554,539</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Interest, net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70,157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74,876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211,166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227,790</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Capital maintenance expenditures</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Amortization of debt issuance costs, bond premiums and original issuance</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(8,032)</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(8,597)</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discounts</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4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265,231</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260,472</w:t>
            </w:r>
          </w:p>
        </w:tc>
        <w:tc>
          <w:tcPr>
            <w:tcW w:w="12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770,904</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779,761</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6" w:name="page37"/>
    <w:bookmarkEnd w:id="36"/>
    <w:p>
      <w:pPr>
        <w:ind w:left="660"/>
        <w:spacing w:after="0"/>
        <w:rPr>
          <w:sz w:val="20"/>
          <w:szCs w:val="20"/>
          <w:color w:val="auto"/>
        </w:rPr>
      </w:pPr>
      <w:r>
        <w:rPr>
          <w:rFonts w:ascii="Arial" w:cs="Arial" w:eastAsia="Arial" w:hAnsi="Arial"/>
          <w:sz w:val="17"/>
          <w:szCs w:val="17"/>
          <w:color w:val="auto"/>
        </w:rPr>
        <w:t>The reconciliation of each segment’s net income per GAAP to FFO, AFFO, and Adjusted EBITDA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 is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73"/>
              <w:spacing w:after="0"/>
              <w:rPr>
                <w:sz w:val="20"/>
                <w:szCs w:val="20"/>
                <w:color w:val="auto"/>
              </w:rPr>
            </w:pPr>
            <w:r>
              <w:rPr>
                <w:rFonts w:ascii="Arial" w:cs="Arial" w:eastAsia="Arial" w:hAnsi="Arial"/>
                <w:sz w:val="14"/>
                <w:szCs w:val="14"/>
                <w:b w:val="1"/>
                <w:bCs w:val="1"/>
                <w:color w:val="auto"/>
                <w:w w:val="98"/>
              </w:rPr>
              <w:t>GLP Capital</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333"/>
              <w:spacing w:after="0"/>
              <w:rPr>
                <w:sz w:val="20"/>
                <w:szCs w:val="20"/>
                <w:color w:val="auto"/>
              </w:rPr>
            </w:pPr>
            <w:r>
              <w:rPr>
                <w:rFonts w:ascii="Arial" w:cs="Arial" w:eastAsia="Arial" w:hAnsi="Arial"/>
                <w:sz w:val="14"/>
                <w:szCs w:val="14"/>
                <w:b w:val="1"/>
                <w:bCs w:val="1"/>
                <w:color w:val="auto"/>
                <w:w w:val="94"/>
              </w:rPr>
              <w:t>TRS Properties</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6"/>
                <w:szCs w:val="16"/>
                <w:color w:val="auto"/>
              </w:rPr>
            </w:pPr>
          </w:p>
        </w:tc>
        <w:tc>
          <w:tcPr>
            <w:tcW w:w="2340" w:type="dxa"/>
            <w:vAlign w:val="bottom"/>
            <w:gridSpan w:val="4"/>
          </w:tcPr>
          <w:p>
            <w:pPr>
              <w:jc w:val="center"/>
              <w:ind w:right="39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303"/>
        </w:trPr>
        <w:tc>
          <w:tcPr>
            <w:tcW w:w="55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left="333"/>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0"/>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125,686</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88,461</w:t>
            </w:r>
          </w:p>
        </w:tc>
        <w:tc>
          <w:tcPr>
            <w:tcW w:w="120" w:type="dxa"/>
            <w:vAlign w:val="bottom"/>
          </w:tcPr>
          <w:p>
            <w:pPr>
              <w:spacing w:after="0"/>
              <w:rPr>
                <w:sz w:val="22"/>
                <w:szCs w:val="22"/>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1,440</w:t>
            </w:r>
          </w:p>
        </w:tc>
        <w:tc>
          <w:tcPr>
            <w:tcW w:w="120" w:type="dxa"/>
            <w:vAlign w:val="bottom"/>
          </w:tcPr>
          <w:p>
            <w:pPr>
              <w:spacing w:after="0"/>
              <w:rPr>
                <w:sz w:val="22"/>
                <w:szCs w:val="22"/>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2,086</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(Gains) from dispositions of property</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Real estate depreciation</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55,098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55,047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Funds from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180,784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143,508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2,123</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Straight-line rent adjustments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8,643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Amortization of land rights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Amortization of debt issuance costs, bond premiums and original issuance</w:t>
            </w: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discounts</w:t>
            </w:r>
          </w:p>
        </w:tc>
        <w:tc>
          <w:tcPr>
            <w:tcW w:w="3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on debt extinguishment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Capital maintenance expenditures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funds from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191,164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183,334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3,172</w:t>
            </w:r>
          </w:p>
        </w:tc>
        <w:tc>
          <w:tcPr>
            <w:tcW w:w="0" w:type="dxa"/>
            <w:vAlign w:val="bottom"/>
          </w:tcPr>
          <w:p>
            <w:pPr>
              <w:spacing w:after="0"/>
              <w:rPr>
                <w:sz w:val="1"/>
                <w:szCs w:val="1"/>
                <w:color w:val="auto"/>
              </w:rPr>
            </w:pPr>
          </w:p>
        </w:tc>
      </w:tr>
      <w:tr>
        <w:trPr>
          <w:trHeight w:val="270"/>
        </w:trPr>
        <w:tc>
          <w:tcPr>
            <w:tcW w:w="5540" w:type="dxa"/>
            <w:vAlign w:val="bottom"/>
          </w:tcPr>
          <w:p>
            <w:pPr>
              <w:ind w:left="20"/>
              <w:spacing w:after="0"/>
              <w:rPr>
                <w:sz w:val="20"/>
                <w:szCs w:val="20"/>
                <w:color w:val="auto"/>
              </w:rPr>
            </w:pPr>
            <w:r>
              <w:rPr>
                <w:rFonts w:ascii="Arial" w:cs="Arial" w:eastAsia="Arial" w:hAnsi="Arial"/>
                <w:sz w:val="18"/>
                <w:szCs w:val="18"/>
                <w:color w:val="auto"/>
              </w:rPr>
              <w:t xml:space="preserve">Interest, net </w:t>
            </w:r>
            <w:r>
              <w:rPr>
                <w:rFonts w:ascii="Arial" w:cs="Arial" w:eastAsia="Arial" w:hAnsi="Arial"/>
                <w:sz w:val="23"/>
                <w:szCs w:val="23"/>
                <w:color w:val="auto"/>
                <w:vertAlign w:val="superscript"/>
              </w:rPr>
              <w:t>(1)</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65,698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72,276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4,459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Capital maintenance expenditures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Amortization of debt issuance costs, bond premiums and original issuance</w:t>
            </w: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discounts</w:t>
            </w:r>
          </w:p>
        </w:tc>
        <w:tc>
          <w:tcPr>
            <w:tcW w:w="3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254,410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252,999</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10,821</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7,473</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4"/>
                <w:szCs w:val="14"/>
                <w:b w:val="1"/>
                <w:bCs w:val="1"/>
                <w:color w:val="auto"/>
                <w:w w:val="95"/>
              </w:rPr>
              <w:t>GLP Capital</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313"/>
              <w:spacing w:after="0"/>
              <w:rPr>
                <w:sz w:val="20"/>
                <w:szCs w:val="20"/>
                <w:color w:val="auto"/>
              </w:rPr>
            </w:pPr>
            <w:r>
              <w:rPr>
                <w:rFonts w:ascii="Arial" w:cs="Arial" w:eastAsia="Arial" w:hAnsi="Arial"/>
                <w:sz w:val="14"/>
                <w:szCs w:val="14"/>
                <w:b w:val="1"/>
                <w:bCs w:val="1"/>
                <w:color w:val="auto"/>
                <w:w w:val="92"/>
              </w:rPr>
              <w:t>TRS Properties</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Nine Months Ended</w:t>
            </w:r>
          </w:p>
        </w:tc>
        <w:tc>
          <w:tcPr>
            <w:tcW w:w="460" w:type="dxa"/>
            <w:vAlign w:val="bottom"/>
          </w:tcPr>
          <w:p>
            <w:pPr>
              <w:spacing w:after="0"/>
              <w:rPr>
                <w:sz w:val="16"/>
                <w:szCs w:val="16"/>
                <w:color w:val="auto"/>
              </w:rPr>
            </w:pPr>
          </w:p>
        </w:tc>
        <w:tc>
          <w:tcPr>
            <w:tcW w:w="2320" w:type="dxa"/>
            <w:vAlign w:val="bottom"/>
            <w:gridSpan w:val="4"/>
          </w:tcPr>
          <w:p>
            <w:pPr>
              <w:jc w:val="center"/>
              <w:ind w:right="411"/>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303"/>
        </w:trPr>
        <w:tc>
          <w:tcPr>
            <w:tcW w:w="2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left="293"/>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5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339,475</w:t>
            </w:r>
          </w:p>
        </w:tc>
        <w:tc>
          <w:tcPr>
            <w:tcW w:w="120" w:type="dxa"/>
            <w:vAlign w:val="bottom"/>
          </w:tcPr>
          <w:p>
            <w:pPr>
              <w:spacing w:after="0"/>
              <w:rPr>
                <w:sz w:val="22"/>
                <w:szCs w:val="22"/>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269,421</w:t>
            </w:r>
          </w:p>
        </w:tc>
        <w:tc>
          <w:tcPr>
            <w:tcW w:w="100" w:type="dxa"/>
            <w:vAlign w:val="bottom"/>
          </w:tcPr>
          <w:p>
            <w:pPr>
              <w:spacing w:after="0"/>
              <w:rPr>
                <w:sz w:val="22"/>
                <w:szCs w:val="22"/>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(3,105)</w:t>
            </w:r>
          </w:p>
        </w:tc>
        <w:tc>
          <w:tcPr>
            <w:tcW w:w="10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7,169</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Losses (Gains) from dispositions of property</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Real estate depreciation</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163,928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176,290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Funds from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503,403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445,719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7,211</w:t>
            </w: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Straight-line rent adjustments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5,394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25,930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5,959</w:t>
            </w: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Amortization of land rights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9,061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15,516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Amortization of debt issuance costs, bond premiums and original issuance</w:t>
            </w: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8,032</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8,597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discounts</w:t>
            </w:r>
          </w:p>
        </w:tc>
        <w:tc>
          <w:tcPr>
            <w:tcW w:w="3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Stock based compensation</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16,652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12,353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Loan impairment charges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Losses on debt extinguishment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18,113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21,014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Capital maintenance expenditures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37"/>
        </w:trPr>
        <w:tc>
          <w:tcPr>
            <w:tcW w:w="552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funds from operations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561,992</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543,621</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2,031</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10,918</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Interest, net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199,648</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219,988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11,518</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Capital maintenance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175"/>
        </w:trPr>
        <w:tc>
          <w:tcPr>
            <w:tcW w:w="55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2"/>
              </w:rPr>
              <w:t>Amortization of debt issuance costs, bond premiums and original issuance</w:t>
            </w: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(8,032)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8"/>
                <w:szCs w:val="18"/>
                <w:color w:val="auto"/>
              </w:rPr>
              <w:t>8,597</w:t>
            </w:r>
          </w:p>
        </w:tc>
        <w:tc>
          <w:tcPr>
            <w:tcW w:w="100" w:type="dxa"/>
            <w:vAlign w:val="bottom"/>
          </w:tcPr>
          <w:p>
            <w:pPr>
              <w:spacing w:after="0"/>
              <w:rPr>
                <w:sz w:val="15"/>
                <w:szCs w:val="15"/>
                <w:color w:val="auto"/>
              </w:rPr>
            </w:pPr>
          </w:p>
        </w:tc>
        <w:tc>
          <w:tcPr>
            <w:tcW w:w="460" w:type="dxa"/>
            <w:vAlign w:val="bottom"/>
            <w:vMerge w:val="restart"/>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discounts</w:t>
            </w: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5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754,278</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755,477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16,626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24,284</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240" w:type="dxa"/>
            <w:vAlign w:val="bottom"/>
            <w:tcBorders>
              <w:bottom w:val="single" w:sz="8" w:color="auto"/>
            </w:tcBorders>
          </w:tcPr>
          <w:p>
            <w:pPr>
              <w:spacing w:after="0"/>
              <w:rPr>
                <w:sz w:val="24"/>
                <w:szCs w:val="24"/>
                <w:color w:val="auto"/>
              </w:rPr>
            </w:pPr>
          </w:p>
        </w:tc>
        <w:tc>
          <w:tcPr>
            <w:tcW w:w="3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980" w:right="20" w:hanging="648"/>
        <w:spacing w:after="0" w:line="267" w:lineRule="auto"/>
        <w:tabs>
          <w:tab w:leader="none" w:pos="968"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Interest expense, net for the GLP Capital segment is net of intercompany interest eliminations of $4.5 million and $11.5 million for the three and nine months ended September 30, 2020 compared to $2.6 million and $7.8 million for the corresponding periods in the prior year.</w:t>
      </w:r>
    </w:p>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Net income for our GLP Capital segment was $125.7 million for the three months ended September 30, 2020 and $88.5 million for the three months ended September 30, 2019. FFO, AFFO, and Adjusted EBITDA for our GLP Capital segment were $180.8 million, $191.2 million and $254.4 million for the three months ended September 30, 2020, respectively. FFO, AFFO, and Adjusted EBITDA for our GLP Capital segment were $143.5 million, $183.3 million and $253.0 million for the three months ended September 30, 2019, respectively. The increase in net income for our GLP Capital segment for the three months ended September 30, 2020, as compared to the three months ended September 30, 2019, was primarily driven by lower debt extinguishment charges of $20.2 million and lower interest expense due to refinancing activities that occurred in the third quarter of 2019 and the first quarter of 2020 as well as a $17.1 million increase in income from real estate as previously discussed.</w:t>
      </w:r>
    </w:p>
    <w:p>
      <w:pPr>
        <w:spacing w:after="0" w:line="20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Net income for our GLP Capital segment was $339.5 million for the nine months ended September 30, 2020 and $269.4 million for the nine months ended September 30, 2019. FFO, AFFO, and Adjusted EBITDA for our GLP Capital segment were $503.4 million, $562.0 million and $754.3 million for the nine months ended September 30, 2020, respectively. FFO, AFFO, and Adjusted EBITDA for our GLP Capital segment were $445.7 million, $543.6 million and $755.5 million for the nine months ended September 30, 2019, respectively. The increase in net income for our GLP Capital segment for the nine months ended September 30, 2020, as compared to the corresponding period in the prior year, was primarily driven by a $31.7 million decrease in operating expenses primarily due to lower land right and ground lease expense and depreciation expense related to the 2019 acceleration of these items for the Penn closure of its Resorts Casino Tunica property, a $13.0 million loan impairment charge related to Casino Queen recorded in 2019 as well as lower interest expense from refinancing activities. Additionally income from real estate increased $15.2 million as previously discussed.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8" w:name="page39"/>
    <w:bookmarkEnd w:id="38"/>
    <w:p>
      <w:pPr>
        <w:jc w:val="both"/>
        <w:ind w:firstLine="648"/>
        <w:spacing w:after="0" w:line="255" w:lineRule="auto"/>
        <w:rPr>
          <w:sz w:val="20"/>
          <w:szCs w:val="20"/>
          <w:color w:val="auto"/>
        </w:rPr>
      </w:pPr>
      <w:r>
        <w:rPr>
          <w:rFonts w:ascii="Arial" w:cs="Arial" w:eastAsia="Arial" w:hAnsi="Arial"/>
          <w:sz w:val="18"/>
          <w:szCs w:val="18"/>
          <w:color w:val="auto"/>
        </w:rPr>
        <w:t>The increase in FFO in our GLP Capital segment for the three and nine months ended September 30, 2020, as compared to the corresponding periods in the prior year were driven by the explanations above, including an add-back for the depreciation expense. The increase in AFFO for our GLP Capital segment for the three and nine months ended September 30, 2020, as compared to the corresponding period in the prior year were primarily driven by the changes described above, and the adjustments to derive at AFFO. The variances for adjusted EBITDA for our GLP Capital segment for the three and nine months ended September 30, 2020 compared to the corresponding period in the prior year, were driven by the explanations above, as well as add-backs for interest expense.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the three and nine months ended September 30, 2020 and 2019 were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4"/>
                <w:szCs w:val="14"/>
                <w:b w:val="1"/>
                <w:bCs w:val="1"/>
                <w:color w:val="auto"/>
                <w:w w:val="99"/>
              </w:rPr>
              <w:t>Three Months Ended September 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left="124"/>
              <w:spacing w:after="0"/>
              <w:rPr>
                <w:sz w:val="20"/>
                <w:szCs w:val="20"/>
                <w:color w:val="auto"/>
              </w:rPr>
            </w:pPr>
            <w:r>
              <w:rPr>
                <w:rFonts w:ascii="Arial" w:cs="Arial" w:eastAsia="Arial" w:hAnsi="Arial"/>
                <w:sz w:val="14"/>
                <w:szCs w:val="14"/>
                <w:b w:val="1"/>
                <w:bCs w:val="1"/>
                <w:color w:val="auto"/>
                <w:w w:val="90"/>
              </w:rPr>
              <w:t>Percentage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50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Variance</w:t>
            </w: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center"/>
              <w:ind w:left="124"/>
              <w:spacing w:after="0"/>
              <w:rPr>
                <w:sz w:val="20"/>
                <w:szCs w:val="20"/>
                <w:color w:val="auto"/>
              </w:rPr>
            </w:pPr>
            <w:r>
              <w:rPr>
                <w:rFonts w:ascii="Arial" w:cs="Arial" w:eastAsia="Arial" w:hAnsi="Arial"/>
                <w:sz w:val="14"/>
                <w:szCs w:val="14"/>
                <w:b w:val="1"/>
                <w:bCs w:val="1"/>
                <w:color w:val="auto"/>
                <w:w w:val="95"/>
              </w:rPr>
              <w:t>Variance</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249"/>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Rental income</w:t>
            </w:r>
          </w:p>
        </w:tc>
        <w:tc>
          <w:tcPr>
            <w:tcW w:w="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267,555</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248,789</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18,766</w:t>
            </w:r>
          </w:p>
        </w:tc>
        <w:tc>
          <w:tcPr>
            <w:tcW w:w="1480" w:type="dxa"/>
            <w:vAlign w:val="bottom"/>
            <w:tcBorders>
              <w:bottom w:val="single" w:sz="8" w:color="CCEEFF"/>
            </w:tcBorders>
            <w:gridSpan w:val="2"/>
            <w:shd w:val="clear" w:color="auto" w:fill="CCEEFF"/>
          </w:tcPr>
          <w:p>
            <w:pPr>
              <w:jc w:val="center"/>
              <w:ind w:left="1090"/>
              <w:spacing w:after="0"/>
              <w:rPr>
                <w:sz w:val="20"/>
                <w:szCs w:val="20"/>
                <w:color w:val="auto"/>
              </w:rPr>
            </w:pPr>
            <w:r>
              <w:rPr>
                <w:rFonts w:ascii="Arial" w:cs="Arial" w:eastAsia="Arial" w:hAnsi="Arial"/>
                <w:sz w:val="18"/>
                <w:szCs w:val="18"/>
                <w:color w:val="auto"/>
                <w:w w:val="87"/>
              </w:rPr>
              <w:t>7.5</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Interest income from real estate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7,206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(1,632)</w:t>
            </w:r>
          </w:p>
        </w:tc>
        <w:tc>
          <w:tcPr>
            <w:tcW w:w="1680" w:type="dxa"/>
            <w:vAlign w:val="bottom"/>
            <w:gridSpan w:val="4"/>
          </w:tcPr>
          <w:p>
            <w:pPr>
              <w:jc w:val="right"/>
              <w:ind w:right="20"/>
              <w:spacing w:after="0"/>
              <w:rPr>
                <w:sz w:val="20"/>
                <w:szCs w:val="20"/>
                <w:color w:val="auto"/>
              </w:rPr>
            </w:pPr>
            <w:r>
              <w:rPr>
                <w:rFonts w:ascii="Arial" w:cs="Arial" w:eastAsia="Arial" w:hAnsi="Arial"/>
                <w:sz w:val="18"/>
                <w:szCs w:val="18"/>
                <w:color w:val="auto"/>
              </w:rPr>
              <w:t>(22.6)%</w:t>
            </w:r>
          </w:p>
        </w:tc>
      </w:tr>
      <w:tr>
        <w:trPr>
          <w:trHeight w:val="27"/>
        </w:trPr>
        <w:tc>
          <w:tcPr>
            <w:tcW w:w="50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6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from real estate</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273,129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255,995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17,134</w:t>
            </w:r>
          </w:p>
        </w:tc>
        <w:tc>
          <w:tcPr>
            <w:tcW w:w="1480" w:type="dxa"/>
            <w:vAlign w:val="bottom"/>
            <w:gridSpan w:val="2"/>
            <w:shd w:val="clear" w:color="auto" w:fill="CCEEFF"/>
          </w:tcPr>
          <w:p>
            <w:pPr>
              <w:jc w:val="center"/>
              <w:ind w:left="1090"/>
              <w:spacing w:after="0"/>
              <w:rPr>
                <w:sz w:val="20"/>
                <w:szCs w:val="20"/>
                <w:color w:val="auto"/>
              </w:rPr>
            </w:pPr>
            <w:r>
              <w:rPr>
                <w:rFonts w:ascii="Arial" w:cs="Arial" w:eastAsia="Arial" w:hAnsi="Arial"/>
                <w:sz w:val="18"/>
                <w:szCs w:val="18"/>
                <w:color w:val="auto"/>
                <w:w w:val="87"/>
              </w:rPr>
              <w:t>6.7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r>
      <w:tr>
        <w:trPr>
          <w:trHeight w:val="270"/>
        </w:trPr>
        <w:tc>
          <w:tcPr>
            <w:tcW w:w="5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Gaming, food, beverage and other</w:t>
            </w:r>
          </w:p>
        </w:tc>
        <w:tc>
          <w:tcPr>
            <w:tcW w:w="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34,425</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31,617</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2,808</w:t>
            </w:r>
          </w:p>
        </w:tc>
        <w:tc>
          <w:tcPr>
            <w:tcW w:w="12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center"/>
              <w:ind w:left="984"/>
              <w:spacing w:after="0"/>
              <w:rPr>
                <w:sz w:val="20"/>
                <w:szCs w:val="20"/>
                <w:color w:val="auto"/>
              </w:rPr>
            </w:pPr>
            <w:r>
              <w:rPr>
                <w:rFonts w:ascii="Arial" w:cs="Arial" w:eastAsia="Arial" w:hAnsi="Arial"/>
                <w:sz w:val="18"/>
                <w:szCs w:val="18"/>
                <w:color w:val="auto"/>
                <w:w w:val="87"/>
              </w:rPr>
              <w:t>8.9</w:t>
            </w:r>
          </w:p>
        </w:tc>
        <w:tc>
          <w:tcPr>
            <w:tcW w:w="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r>
      <w:tr>
        <w:trPr>
          <w:trHeight w:val="28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307,554</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gridSpan w:val="2"/>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287,612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19,942</w:t>
            </w:r>
          </w:p>
        </w:tc>
        <w:tc>
          <w:tcPr>
            <w:tcW w:w="1480" w:type="dxa"/>
            <w:vAlign w:val="bottom"/>
            <w:tcBorders>
              <w:bottom w:val="single" w:sz="8" w:color="CCEEFF"/>
            </w:tcBorders>
            <w:gridSpan w:val="2"/>
            <w:shd w:val="clear" w:color="auto" w:fill="CCEEFF"/>
          </w:tcPr>
          <w:p>
            <w:pPr>
              <w:jc w:val="center"/>
              <w:ind w:left="1090"/>
              <w:spacing w:after="0"/>
              <w:rPr>
                <w:sz w:val="20"/>
                <w:szCs w:val="20"/>
                <w:color w:val="auto"/>
              </w:rPr>
            </w:pPr>
            <w:r>
              <w:rPr>
                <w:rFonts w:ascii="Arial" w:cs="Arial" w:eastAsia="Arial" w:hAnsi="Arial"/>
                <w:sz w:val="18"/>
                <w:szCs w:val="18"/>
                <w:color w:val="auto"/>
                <w:w w:val="87"/>
              </w:rPr>
              <w:t>6.9</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r>
      <w:tr>
        <w:trPr>
          <w:trHeight w:val="20"/>
        </w:trPr>
        <w:tc>
          <w:tcPr>
            <w:tcW w:w="5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91"/>
        </w:trPr>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w w:val="97"/>
              </w:rPr>
              <w:t>Nine Months Ended September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50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Variance</w:t>
            </w:r>
          </w:p>
        </w:tc>
        <w:tc>
          <w:tcPr>
            <w:tcW w:w="1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5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Rental income</w:t>
            </w:r>
          </w:p>
        </w:tc>
        <w:tc>
          <w:tcPr>
            <w:tcW w:w="260" w:type="dxa"/>
            <w:vAlign w:val="bottom"/>
            <w:tcBorders>
              <w:top w:val="single" w:sz="8" w:color="auto"/>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762,711</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gridSpan w:val="3"/>
            <w:shd w:val="clear" w:color="auto" w:fill="CCEEFF"/>
          </w:tcPr>
          <w:p>
            <w:pPr>
              <w:jc w:val="center"/>
              <w:ind w:left="1010"/>
              <w:spacing w:after="0"/>
              <w:rPr>
                <w:sz w:val="20"/>
                <w:szCs w:val="20"/>
                <w:color w:val="auto"/>
              </w:rPr>
            </w:pPr>
            <w:r>
              <w:rPr>
                <w:rFonts w:ascii="Arial" w:cs="Arial" w:eastAsia="Arial" w:hAnsi="Arial"/>
                <w:sz w:val="18"/>
                <w:szCs w:val="18"/>
                <w:color w:val="auto"/>
                <w:w w:val="95"/>
              </w:rPr>
              <w:t>2.4 %</w:t>
            </w:r>
          </w:p>
        </w:tc>
        <w:tc>
          <w:tcPr>
            <w:tcW w:w="100" w:type="dxa"/>
            <w:vAlign w:val="bottom"/>
          </w:tcPr>
          <w:p>
            <w:pPr>
              <w:spacing w:after="0"/>
              <w:rPr>
                <w:sz w:val="21"/>
                <w:szCs w:val="2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Interest income from real estate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gridSpan w:val="3"/>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income from real estate</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781,841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766,630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center"/>
              <w:ind w:left="1010"/>
              <w:spacing w:after="0"/>
              <w:rPr>
                <w:sz w:val="20"/>
                <w:szCs w:val="20"/>
                <w:color w:val="auto"/>
              </w:rPr>
            </w:pPr>
            <w:r>
              <w:rPr>
                <w:rFonts w:ascii="Arial" w:cs="Arial" w:eastAsia="Arial" w:hAnsi="Arial"/>
                <w:sz w:val="18"/>
                <w:szCs w:val="18"/>
                <w:color w:val="auto"/>
                <w:w w:val="95"/>
              </w:rPr>
              <w:t>2.0 %</w:t>
            </w:r>
          </w:p>
        </w:tc>
        <w:tc>
          <w:tcPr>
            <w:tcW w:w="100" w:type="dxa"/>
            <w:vAlign w:val="bottom"/>
          </w:tcPr>
          <w:p>
            <w:pPr>
              <w:spacing w:after="0"/>
              <w:rPr>
                <w:sz w:val="21"/>
                <w:szCs w:val="2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Gaming, food, beverage and other</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71,163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97,859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(26,696)</w:t>
            </w:r>
          </w:p>
        </w:tc>
        <w:tc>
          <w:tcPr>
            <w:tcW w:w="10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r>
      <w:tr>
        <w:trPr>
          <w:trHeight w:val="28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853,004</w:t>
            </w:r>
          </w:p>
        </w:tc>
        <w:tc>
          <w:tcPr>
            <w:tcW w:w="20" w:type="dxa"/>
            <w:vAlign w:val="bottom"/>
            <w:shd w:val="clear" w:color="auto" w:fill="CCEEFF"/>
          </w:tcPr>
          <w:p>
            <w:pPr>
              <w:spacing w:after="0"/>
              <w:rPr>
                <w:sz w:val="24"/>
                <w:szCs w:val="24"/>
                <w:color w:val="auto"/>
              </w:rPr>
            </w:pPr>
          </w:p>
        </w:tc>
        <w:tc>
          <w:tcPr>
            <w:tcW w:w="4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864,489</w:t>
            </w:r>
          </w:p>
        </w:tc>
        <w:tc>
          <w:tcPr>
            <w:tcW w:w="10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100" w:type="dxa"/>
            <w:vAlign w:val="bottom"/>
            <w:shd w:val="clear" w:color="auto" w:fill="CCEEFF"/>
          </w:tcPr>
          <w:p>
            <w:pPr>
              <w:spacing w:after="0"/>
              <w:rPr>
                <w:sz w:val="24"/>
                <w:szCs w:val="24"/>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income from real estate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and nine months ended September 30, 2020, total income from real estate was $273.1 million and $781.8 million, compared to $256.0 million and $766.6 million in the corresponding periods in the prior year. In accordance with ASC 842, the Company records revenue for the ground lease rent paid by its tenants with an offsetting expense in land rights and ground lease expense within the condensed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21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Total income from real estate increased $17.1 million, or 6.7%, for the three months ended September 30, 2020 and $15.2 million, or 2.0% for the nine months ended September 30, 2020, as compared to their corresponding periods in the prior year. As previously discussed, this was primarily due to favorable non-cash straight line rent adjustments on our Amended Pinnacle Master Lease and Boyd Master Lease whose percentage rent anniversaries occurred on May 1, 2020 and our recent amendments to the Amended Caesars Master Lease which resulted in a change to the recognition of the existing deferred revenue amount and incorporated the recognition of a portion of the fixed escalations into current period earnings. See Note 12 in the Condensed Consolidating Financial Statements for further discussion. Additionally both periods were positively impacted by higher building base rents as the majority of our leases incurred escalators in 2019. This was partially offset by lower percentage rent from the Amended Pinnacle Master Lease and Boyd Master Lease which reset on May 1, 2020 and lower rental income from Casino Queen. Finally, the nine month period ended September 30, 2020 was negatively impacted by lower percentage rent on the Penn Master Lease due to the closures of Hollywood Casino Columbus and to a lesser extent, Hollywood Casino Toledo. However, the three month period ended September 30, 2020 was positively impacted by strong reopening results as previously discussed.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jc w:val="center"/>
        <w:ind w:right="20"/>
        <w:spacing w:after="0"/>
        <w:rPr>
          <w:sz w:val="20"/>
          <w:szCs w:val="20"/>
          <w:color w:val="auto"/>
        </w:rPr>
      </w:pPr>
      <w:r>
        <w:rPr>
          <w:rFonts w:ascii="Arial" w:cs="Arial" w:eastAsia="Arial" w:hAnsi="Arial"/>
          <w:sz w:val="18"/>
          <w:szCs w:val="18"/>
          <w:color w:val="auto"/>
        </w:rPr>
        <w:t>Details of the Company's income from real estate for the three and nine months ended September 30, 2020 was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Penn</w:t>
            </w:r>
          </w:p>
        </w:tc>
        <w:tc>
          <w:tcPr>
            <w:tcW w:w="140" w:type="dxa"/>
            <w:vAlign w:val="bottom"/>
          </w:tcPr>
          <w:p>
            <w:pPr>
              <w:spacing w:after="0"/>
              <w:rPr>
                <w:sz w:val="14"/>
                <w:szCs w:val="14"/>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Amended</w:t>
            </w:r>
          </w:p>
        </w:tc>
        <w:tc>
          <w:tcPr>
            <w:tcW w:w="140" w:type="dxa"/>
            <w:vAlign w:val="bottom"/>
          </w:tcPr>
          <w:p>
            <w:pPr>
              <w:spacing w:after="0"/>
              <w:rPr>
                <w:sz w:val="14"/>
                <w:szCs w:val="14"/>
                <w:color w:val="auto"/>
              </w:rPr>
            </w:pPr>
          </w:p>
        </w:tc>
        <w:tc>
          <w:tcPr>
            <w:tcW w:w="74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auto"/>
                <w:w w:val="95"/>
              </w:rPr>
              <w:t>Lumiere</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Penn -</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00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6"/>
              </w:rPr>
              <w:t>Penn Master</w:t>
            </w:r>
          </w:p>
        </w:tc>
        <w:tc>
          <w:tcPr>
            <w:tcW w:w="14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Amended</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60" w:type="dxa"/>
            <w:vAlign w:val="bottom"/>
            <w:gridSpan w:val="5"/>
            <w:vMerge w:val="restart"/>
          </w:tcPr>
          <w:p>
            <w:pPr>
              <w:jc w:val="center"/>
              <w:ind w:right="40"/>
              <w:spacing w:after="0"/>
              <w:rPr>
                <w:sz w:val="20"/>
                <w:szCs w:val="20"/>
                <w:color w:val="auto"/>
              </w:rPr>
            </w:pPr>
            <w:r>
              <w:rPr>
                <w:rFonts w:ascii="Arial" w:cs="Arial" w:eastAsia="Arial" w:hAnsi="Arial"/>
                <w:sz w:val="14"/>
                <w:szCs w:val="14"/>
                <w:b w:val="1"/>
                <w:bCs w:val="1"/>
                <w:color w:val="auto"/>
                <w:w w:val="99"/>
              </w:rPr>
              <w:t>BYD Master</w:t>
            </w: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9"/>
              </w:rPr>
              <w:t>BYD Belterra</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Casino Queen</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40" w:type="dxa"/>
            <w:vAlign w:val="bottom"/>
            <w:gridSpan w:val="5"/>
            <w:vMerge w:val="continue"/>
          </w:tcPr>
          <w:p>
            <w:pPr>
              <w:spacing w:after="0"/>
              <w:rPr>
                <w:sz w:val="13"/>
                <w:szCs w:val="13"/>
                <w:color w:val="auto"/>
              </w:rPr>
            </w:pPr>
          </w:p>
        </w:tc>
        <w:tc>
          <w:tcPr>
            <w:tcW w:w="100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Pinnacle</w:t>
            </w:r>
          </w:p>
        </w:tc>
        <w:tc>
          <w:tcPr>
            <w:tcW w:w="140" w:type="dxa"/>
            <w:vAlign w:val="bottom"/>
          </w:tcPr>
          <w:p>
            <w:pPr>
              <w:spacing w:after="0"/>
              <w:rPr>
                <w:sz w:val="13"/>
                <w:szCs w:val="13"/>
                <w:color w:val="auto"/>
              </w:rPr>
            </w:pPr>
          </w:p>
        </w:tc>
        <w:tc>
          <w:tcPr>
            <w:tcW w:w="8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8"/>
              </w:rPr>
              <w:t>Caesars</w:t>
            </w:r>
          </w:p>
        </w:tc>
        <w:tc>
          <w:tcPr>
            <w:tcW w:w="8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9"/>
              </w:rPr>
              <w:t>Place Lease</w:t>
            </w:r>
          </w:p>
        </w:tc>
        <w:tc>
          <w:tcPr>
            <w:tcW w:w="1060" w:type="dxa"/>
            <w:vAlign w:val="bottom"/>
            <w:gridSpan w:val="5"/>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1"/>
              </w:rPr>
              <w:t>Meadows</w:t>
            </w:r>
          </w:p>
        </w:tc>
        <w:tc>
          <w:tcPr>
            <w:tcW w:w="10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9"/>
              </w:rPr>
              <w:t>2020</w:t>
            </w:r>
          </w:p>
        </w:tc>
        <w:tc>
          <w:tcPr>
            <w:tcW w:w="18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90"/>
              </w:rPr>
              <w:t>Lease</w:t>
            </w:r>
          </w:p>
        </w:tc>
        <w:tc>
          <w:tcPr>
            <w:tcW w:w="100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4"/>
              </w:rPr>
              <w:t>Master Lease</w:t>
            </w:r>
          </w:p>
        </w:tc>
        <w:tc>
          <w:tcPr>
            <w:tcW w:w="100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4"/>
              </w:rPr>
              <w:t>Master Lease</w:t>
            </w:r>
          </w:p>
        </w:tc>
        <w:tc>
          <w:tcPr>
            <w:tcW w:w="140" w:type="dxa"/>
            <w:vAlign w:val="bottom"/>
          </w:tcPr>
          <w:p>
            <w:pPr>
              <w:spacing w:after="0"/>
              <w:rPr>
                <w:sz w:val="11"/>
                <w:szCs w:val="11"/>
                <w:color w:val="auto"/>
              </w:rPr>
            </w:pPr>
          </w:p>
        </w:tc>
        <w:tc>
          <w:tcPr>
            <w:tcW w:w="740" w:type="dxa"/>
            <w:vAlign w:val="bottom"/>
          </w:tcPr>
          <w:p>
            <w:pPr>
              <w:jc w:val="center"/>
              <w:ind w:right="13"/>
              <w:spacing w:after="0" w:line="129" w:lineRule="exact"/>
              <w:rPr>
                <w:sz w:val="20"/>
                <w:szCs w:val="20"/>
                <w:color w:val="auto"/>
              </w:rPr>
            </w:pPr>
            <w:r>
              <w:rPr>
                <w:rFonts w:ascii="Arial" w:cs="Arial" w:eastAsia="Arial" w:hAnsi="Arial"/>
                <w:sz w:val="14"/>
                <w:szCs w:val="14"/>
                <w:b w:val="1"/>
                <w:bCs w:val="1"/>
                <w:color w:val="auto"/>
                <w:w w:val="96"/>
              </w:rPr>
              <w:t>and Loan</w:t>
            </w:r>
          </w:p>
        </w:tc>
        <w:tc>
          <w:tcPr>
            <w:tcW w:w="240" w:type="dxa"/>
            <w:vAlign w:val="bottom"/>
          </w:tcPr>
          <w:p>
            <w:pPr>
              <w:spacing w:after="0"/>
              <w:rPr>
                <w:sz w:val="11"/>
                <w:szCs w:val="11"/>
                <w:color w:val="auto"/>
              </w:rPr>
            </w:pPr>
          </w:p>
        </w:tc>
        <w:tc>
          <w:tcPr>
            <w:tcW w:w="820" w:type="dxa"/>
            <w:vAlign w:val="bottom"/>
            <w:gridSpan w:val="4"/>
          </w:tcPr>
          <w:p>
            <w:pPr>
              <w:jc w:val="center"/>
              <w:ind w:right="280"/>
              <w:spacing w:after="0" w:line="129" w:lineRule="exact"/>
              <w:rPr>
                <w:sz w:val="20"/>
                <w:szCs w:val="20"/>
                <w:color w:val="auto"/>
              </w:rPr>
            </w:pPr>
            <w:r>
              <w:rPr>
                <w:rFonts w:ascii="Arial" w:cs="Arial" w:eastAsia="Arial" w:hAnsi="Arial"/>
                <w:sz w:val="14"/>
                <w:szCs w:val="14"/>
                <w:b w:val="1"/>
                <w:bCs w:val="1"/>
                <w:color w:val="auto"/>
                <w:w w:val="85"/>
              </w:rPr>
              <w:t>Lease</w:t>
            </w:r>
          </w:p>
        </w:tc>
        <w:tc>
          <w:tcPr>
            <w:tcW w:w="180" w:type="dxa"/>
            <w:vAlign w:val="bottom"/>
          </w:tcPr>
          <w:p>
            <w:pPr>
              <w:spacing w:after="0"/>
              <w:rPr>
                <w:sz w:val="11"/>
                <w:szCs w:val="11"/>
                <w:color w:val="auto"/>
              </w:rPr>
            </w:pPr>
          </w:p>
        </w:tc>
        <w:tc>
          <w:tcPr>
            <w:tcW w:w="720" w:type="dxa"/>
            <w:vAlign w:val="bottom"/>
          </w:tcPr>
          <w:p>
            <w:pPr>
              <w:jc w:val="center"/>
              <w:ind w:right="92"/>
              <w:spacing w:after="0" w:line="129" w:lineRule="exact"/>
              <w:rPr>
                <w:sz w:val="20"/>
                <w:szCs w:val="20"/>
                <w:color w:val="auto"/>
              </w:rPr>
            </w:pPr>
            <w:r>
              <w:rPr>
                <w:rFonts w:ascii="Arial" w:cs="Arial" w:eastAsia="Arial" w:hAnsi="Arial"/>
                <w:sz w:val="14"/>
                <w:szCs w:val="14"/>
                <w:b w:val="1"/>
                <w:bCs w:val="1"/>
                <w:color w:val="auto"/>
                <w:w w:val="85"/>
              </w:rPr>
              <w:t>Lease</w:t>
            </w:r>
          </w:p>
        </w:tc>
        <w:tc>
          <w:tcPr>
            <w:tcW w:w="140" w:type="dxa"/>
            <w:vAlign w:val="bottom"/>
          </w:tcPr>
          <w:p>
            <w:pPr>
              <w:spacing w:after="0"/>
              <w:rPr>
                <w:sz w:val="11"/>
                <w:szCs w:val="11"/>
                <w:color w:val="auto"/>
              </w:rPr>
            </w:pPr>
          </w:p>
        </w:tc>
        <w:tc>
          <w:tcPr>
            <w:tcW w:w="8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Lease</w:t>
            </w:r>
          </w:p>
        </w:tc>
        <w:tc>
          <w:tcPr>
            <w:tcW w:w="200" w:type="dxa"/>
            <w:vAlign w:val="bottom"/>
          </w:tcPr>
          <w:p>
            <w:pPr>
              <w:spacing w:after="0"/>
              <w:rPr>
                <w:sz w:val="11"/>
                <w:szCs w:val="11"/>
                <w:color w:val="auto"/>
              </w:rPr>
            </w:pPr>
          </w:p>
        </w:tc>
        <w:tc>
          <w:tcPr>
            <w:tcW w:w="8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Lease</w:t>
            </w:r>
          </w:p>
        </w:tc>
        <w:tc>
          <w:tcPr>
            <w:tcW w:w="200" w:type="dxa"/>
            <w:vAlign w:val="bottom"/>
          </w:tcPr>
          <w:p>
            <w:pPr>
              <w:spacing w:after="0"/>
              <w:rPr>
                <w:sz w:val="11"/>
                <w:szCs w:val="11"/>
                <w:color w:val="auto"/>
              </w:rPr>
            </w:pPr>
          </w:p>
        </w:tc>
        <w:tc>
          <w:tcPr>
            <w:tcW w:w="740" w:type="dxa"/>
            <w:vAlign w:val="bottom"/>
          </w:tcPr>
          <w:p>
            <w:pPr>
              <w:jc w:val="right"/>
              <w:ind w:right="212"/>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Building base rent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69,851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56,801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18,911</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167,362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gridSpan w:val="5"/>
          </w:tcPr>
          <w:p>
            <w:pPr>
              <w:spacing w:after="0"/>
              <w:rPr>
                <w:sz w:val="20"/>
                <w:szCs w:val="20"/>
                <w:color w:val="auto"/>
              </w:rPr>
            </w:pPr>
            <w:r>
              <w:rPr>
                <w:rFonts w:ascii="Arial" w:cs="Arial" w:eastAsia="Arial" w:hAnsi="Arial"/>
                <w:sz w:val="18"/>
                <w:szCs w:val="18"/>
                <w:color w:val="auto"/>
              </w:rPr>
              <w:t>Land base rent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17,814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3,340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473</w:t>
            </w: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48,065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4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26,044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42,690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40" w:type="dxa"/>
            <w:vAlign w:val="bottom"/>
            <w:gridSpan w:val="5"/>
          </w:tcPr>
          <w:p>
            <w:pPr>
              <w:spacing w:after="0"/>
              <w:rPr>
                <w:sz w:val="20"/>
                <w:szCs w:val="20"/>
                <w:color w:val="auto"/>
              </w:rPr>
            </w:pPr>
            <w:r>
              <w:rPr>
                <w:rFonts w:ascii="Arial" w:cs="Arial" w:eastAsia="Arial" w:hAnsi="Arial"/>
                <w:sz w:val="18"/>
                <w:szCs w:val="18"/>
                <w:b w:val="1"/>
                <w:bCs w:val="1"/>
                <w:color w:val="auto"/>
              </w:rPr>
              <w:t>Total cash rental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119,387</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81,309</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22,214</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24,319</w:t>
            </w:r>
          </w:p>
        </w:tc>
        <w:tc>
          <w:tcPr>
            <w:tcW w:w="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6,745</w:t>
            </w: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2,421</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258,117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gridSpan w:val="5"/>
          </w:tcPr>
          <w:p>
            <w:pPr>
              <w:spacing w:after="0"/>
              <w:rPr>
                <w:sz w:val="20"/>
                <w:szCs w:val="20"/>
                <w:color w:val="auto"/>
              </w:rPr>
            </w:pPr>
            <w:r>
              <w:rPr>
                <w:rFonts w:ascii="Arial" w:cs="Arial" w:eastAsia="Arial" w:hAnsi="Arial"/>
                <w:sz w:val="18"/>
                <w:szCs w:val="18"/>
                <w:color w:val="auto"/>
              </w:rPr>
              <w:t>Straight-line rent adjustments</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(301)</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Ground rent in revenue</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gridSpan w:val="5"/>
          </w:tcPr>
          <w:p>
            <w:pPr>
              <w:spacing w:after="0"/>
              <w:rPr>
                <w:sz w:val="20"/>
                <w:szCs w:val="20"/>
                <w:color w:val="auto"/>
              </w:rPr>
            </w:pPr>
            <w:r>
              <w:rPr>
                <w:rFonts w:ascii="Arial" w:cs="Arial" w:eastAsia="Arial" w:hAnsi="Arial"/>
                <w:sz w:val="18"/>
                <w:szCs w:val="18"/>
                <w:color w:val="auto"/>
              </w:rPr>
              <w:t>Other rental revenue</w:t>
            </w:r>
          </w:p>
        </w:tc>
        <w:tc>
          <w:tcPr>
            <w:tcW w:w="160" w:type="dxa"/>
            <w:vAlign w:val="bottom"/>
          </w:tcPr>
          <w:p>
            <w:pPr>
              <w:spacing w:after="0"/>
              <w:rPr>
                <w:sz w:val="21"/>
                <w:szCs w:val="21"/>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Total rental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84,356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24,560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25,210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267,555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gridSpan w:val="5"/>
          </w:tcPr>
          <w:p>
            <w:pPr>
              <w:spacing w:after="0" w:line="176" w:lineRule="exact"/>
              <w:rPr>
                <w:sz w:val="20"/>
                <w:szCs w:val="20"/>
                <w:color w:val="auto"/>
              </w:rPr>
            </w:pPr>
            <w:r>
              <w:rPr>
                <w:rFonts w:ascii="Arial" w:cs="Arial" w:eastAsia="Arial" w:hAnsi="Arial"/>
                <w:sz w:val="18"/>
                <w:szCs w:val="18"/>
                <w:color w:val="auto"/>
                <w:w w:val="95"/>
              </w:rPr>
              <w:t>Interest income from real estate</w:t>
            </w:r>
          </w:p>
        </w:tc>
        <w:tc>
          <w:tcPr>
            <w:tcW w:w="160" w:type="dxa"/>
            <w:vAlign w:val="bottom"/>
          </w:tcPr>
          <w:p>
            <w:pPr>
              <w:spacing w:after="0"/>
              <w:rPr>
                <w:sz w:val="15"/>
                <w:szCs w:val="15"/>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5,574</w:t>
            </w:r>
          </w:p>
        </w:tc>
        <w:tc>
          <w:tcPr>
            <w:tcW w:w="240" w:type="dxa"/>
            <w:vAlign w:val="bottom"/>
          </w:tcPr>
          <w:p>
            <w:pPr>
              <w:spacing w:after="0"/>
              <w:rPr>
                <w:sz w:val="15"/>
                <w:szCs w:val="15"/>
                <w:color w:val="auto"/>
              </w:rPr>
            </w:pPr>
          </w:p>
        </w:tc>
        <w:tc>
          <w:tcPr>
            <w:tcW w:w="820" w:type="dxa"/>
            <w:vAlign w:val="bottom"/>
            <w:gridSpan w:val="4"/>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40" w:type="dxa"/>
            <w:vAlign w:val="bottom"/>
            <w:gridSpan w:val="5"/>
          </w:tcPr>
          <w:p>
            <w:pPr>
              <w:ind w:left="160"/>
              <w:spacing w:after="0"/>
              <w:rPr>
                <w:sz w:val="20"/>
                <w:szCs w:val="20"/>
                <w:color w:val="auto"/>
              </w:rPr>
            </w:pPr>
            <w:r>
              <w:rPr>
                <w:rFonts w:ascii="Arial" w:cs="Arial" w:eastAsia="Arial" w:hAnsi="Arial"/>
                <w:sz w:val="18"/>
                <w:szCs w:val="18"/>
                <w:color w:val="auto"/>
              </w:rPr>
              <w:t>loans</w:t>
            </w:r>
          </w:p>
        </w:tc>
        <w:tc>
          <w:tcPr>
            <w:tcW w:w="160" w:type="dxa"/>
            <w:vAlign w:val="bottom"/>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4"/>
            <w:vMerge w:val="continue"/>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244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w w:val="96"/>
              </w:rPr>
              <w:t>Total income from real estate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122,236</w:t>
            </w: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84,356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5,701</w:t>
            </w:r>
          </w:p>
        </w:tc>
        <w:tc>
          <w:tcPr>
            <w:tcW w:w="2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25,210</w:t>
            </w: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273,129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Penn</w:t>
            </w:r>
          </w:p>
        </w:tc>
        <w:tc>
          <w:tcPr>
            <w:tcW w:w="140" w:type="dxa"/>
            <w:vAlign w:val="bottom"/>
          </w:tcPr>
          <w:p>
            <w:pPr>
              <w:spacing w:after="0"/>
              <w:rPr>
                <w:sz w:val="24"/>
                <w:szCs w:val="24"/>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Amended</w:t>
            </w:r>
          </w:p>
        </w:tc>
        <w:tc>
          <w:tcPr>
            <w:tcW w:w="140" w:type="dxa"/>
            <w:vAlign w:val="bottom"/>
          </w:tcPr>
          <w:p>
            <w:pPr>
              <w:spacing w:after="0"/>
              <w:rPr>
                <w:sz w:val="24"/>
                <w:szCs w:val="24"/>
                <w:color w:val="auto"/>
              </w:rPr>
            </w:pPr>
          </w:p>
        </w:tc>
        <w:tc>
          <w:tcPr>
            <w:tcW w:w="74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auto"/>
                <w:w w:val="95"/>
              </w:rPr>
              <w:t>Lumiere</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Penn -</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Nine Months Ended September 30,</w:t>
            </w:r>
          </w:p>
        </w:tc>
        <w:tc>
          <w:tcPr>
            <w:tcW w:w="100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3"/>
              </w:rPr>
              <w:t>Penn Master</w:t>
            </w:r>
          </w:p>
        </w:tc>
        <w:tc>
          <w:tcPr>
            <w:tcW w:w="14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Amended</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6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9"/>
              </w:rPr>
              <w:t>BYD Master</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Boyd Belterra</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Casino Queen</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40" w:type="dxa"/>
            <w:vAlign w:val="bottom"/>
            <w:gridSpan w:val="5"/>
            <w:vMerge w:val="continue"/>
          </w:tcPr>
          <w:p>
            <w:pPr>
              <w:spacing w:after="0"/>
              <w:rPr>
                <w:sz w:val="13"/>
                <w:szCs w:val="13"/>
                <w:color w:val="auto"/>
              </w:rPr>
            </w:pPr>
          </w:p>
        </w:tc>
        <w:tc>
          <w:tcPr>
            <w:tcW w:w="100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Pinnacle</w:t>
            </w:r>
          </w:p>
        </w:tc>
        <w:tc>
          <w:tcPr>
            <w:tcW w:w="140" w:type="dxa"/>
            <w:vAlign w:val="bottom"/>
          </w:tcPr>
          <w:p>
            <w:pPr>
              <w:spacing w:after="0"/>
              <w:rPr>
                <w:sz w:val="13"/>
                <w:szCs w:val="13"/>
                <w:color w:val="auto"/>
              </w:rPr>
            </w:pPr>
          </w:p>
        </w:tc>
        <w:tc>
          <w:tcPr>
            <w:tcW w:w="8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8"/>
              </w:rPr>
              <w:t>Caesars</w:t>
            </w:r>
          </w:p>
        </w:tc>
        <w:tc>
          <w:tcPr>
            <w:tcW w:w="8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9"/>
              </w:rPr>
              <w:t>Place Lease</w:t>
            </w:r>
          </w:p>
        </w:tc>
        <w:tc>
          <w:tcPr>
            <w:tcW w:w="1060" w:type="dxa"/>
            <w:vAlign w:val="bottom"/>
            <w:gridSpan w:val="5"/>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1"/>
              </w:rPr>
              <w:t>Meadows</w:t>
            </w:r>
          </w:p>
        </w:tc>
        <w:tc>
          <w:tcPr>
            <w:tcW w:w="10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9"/>
              </w:rPr>
              <w:t>2020</w:t>
            </w:r>
          </w:p>
        </w:tc>
        <w:tc>
          <w:tcPr>
            <w:tcW w:w="18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90"/>
              </w:rPr>
              <w:t>Lease</w:t>
            </w:r>
          </w:p>
        </w:tc>
        <w:tc>
          <w:tcPr>
            <w:tcW w:w="100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2"/>
              </w:rPr>
              <w:t>Master Lease</w:t>
            </w:r>
          </w:p>
        </w:tc>
        <w:tc>
          <w:tcPr>
            <w:tcW w:w="100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4"/>
              </w:rPr>
              <w:t>Master Lease</w:t>
            </w:r>
          </w:p>
        </w:tc>
        <w:tc>
          <w:tcPr>
            <w:tcW w:w="140" w:type="dxa"/>
            <w:vAlign w:val="bottom"/>
          </w:tcPr>
          <w:p>
            <w:pPr>
              <w:spacing w:after="0"/>
              <w:rPr>
                <w:sz w:val="11"/>
                <w:szCs w:val="11"/>
                <w:color w:val="auto"/>
              </w:rPr>
            </w:pPr>
          </w:p>
        </w:tc>
        <w:tc>
          <w:tcPr>
            <w:tcW w:w="740" w:type="dxa"/>
            <w:vAlign w:val="bottom"/>
          </w:tcPr>
          <w:p>
            <w:pPr>
              <w:jc w:val="center"/>
              <w:ind w:right="13"/>
              <w:spacing w:after="0" w:line="129" w:lineRule="exact"/>
              <w:rPr>
                <w:sz w:val="20"/>
                <w:szCs w:val="20"/>
                <w:color w:val="auto"/>
              </w:rPr>
            </w:pPr>
            <w:r>
              <w:rPr>
                <w:rFonts w:ascii="Arial" w:cs="Arial" w:eastAsia="Arial" w:hAnsi="Arial"/>
                <w:sz w:val="14"/>
                <w:szCs w:val="14"/>
                <w:b w:val="1"/>
                <w:bCs w:val="1"/>
                <w:color w:val="auto"/>
                <w:w w:val="96"/>
              </w:rPr>
              <w:t>and Loan</w:t>
            </w:r>
          </w:p>
        </w:tc>
        <w:tc>
          <w:tcPr>
            <w:tcW w:w="240" w:type="dxa"/>
            <w:vAlign w:val="bottom"/>
          </w:tcPr>
          <w:p>
            <w:pPr>
              <w:spacing w:after="0"/>
              <w:rPr>
                <w:sz w:val="11"/>
                <w:szCs w:val="11"/>
                <w:color w:val="auto"/>
              </w:rPr>
            </w:pPr>
          </w:p>
        </w:tc>
        <w:tc>
          <w:tcPr>
            <w:tcW w:w="820" w:type="dxa"/>
            <w:vAlign w:val="bottom"/>
            <w:gridSpan w:val="4"/>
          </w:tcPr>
          <w:p>
            <w:pPr>
              <w:jc w:val="center"/>
              <w:ind w:right="300"/>
              <w:spacing w:after="0" w:line="129" w:lineRule="exact"/>
              <w:rPr>
                <w:sz w:val="20"/>
                <w:szCs w:val="20"/>
                <w:color w:val="auto"/>
              </w:rPr>
            </w:pPr>
            <w:r>
              <w:rPr>
                <w:rFonts w:ascii="Arial" w:cs="Arial" w:eastAsia="Arial" w:hAnsi="Arial"/>
                <w:sz w:val="14"/>
                <w:szCs w:val="14"/>
                <w:b w:val="1"/>
                <w:bCs w:val="1"/>
                <w:color w:val="auto"/>
                <w:w w:val="90"/>
              </w:rPr>
              <w:t>Lease</w:t>
            </w:r>
          </w:p>
        </w:tc>
        <w:tc>
          <w:tcPr>
            <w:tcW w:w="180" w:type="dxa"/>
            <w:vAlign w:val="bottom"/>
          </w:tcPr>
          <w:p>
            <w:pPr>
              <w:spacing w:after="0"/>
              <w:rPr>
                <w:sz w:val="11"/>
                <w:szCs w:val="11"/>
                <w:color w:val="auto"/>
              </w:rPr>
            </w:pPr>
          </w:p>
        </w:tc>
        <w:tc>
          <w:tcPr>
            <w:tcW w:w="720" w:type="dxa"/>
            <w:vAlign w:val="bottom"/>
          </w:tcPr>
          <w:p>
            <w:pPr>
              <w:jc w:val="center"/>
              <w:ind w:right="112"/>
              <w:spacing w:after="0" w:line="129" w:lineRule="exact"/>
              <w:rPr>
                <w:sz w:val="20"/>
                <w:szCs w:val="20"/>
                <w:color w:val="auto"/>
              </w:rPr>
            </w:pPr>
            <w:r>
              <w:rPr>
                <w:rFonts w:ascii="Arial" w:cs="Arial" w:eastAsia="Arial" w:hAnsi="Arial"/>
                <w:sz w:val="14"/>
                <w:szCs w:val="14"/>
                <w:b w:val="1"/>
                <w:bCs w:val="1"/>
                <w:color w:val="auto"/>
                <w:w w:val="90"/>
              </w:rPr>
              <w:t>Lease</w:t>
            </w: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0"/>
              </w:rPr>
              <w:t>Lease</w:t>
            </w:r>
          </w:p>
        </w:tc>
        <w:tc>
          <w:tcPr>
            <w:tcW w:w="200" w:type="dxa"/>
            <w:vAlign w:val="bottom"/>
          </w:tcPr>
          <w:p>
            <w:pPr>
              <w:spacing w:after="0"/>
              <w:rPr>
                <w:sz w:val="11"/>
                <w:szCs w:val="11"/>
                <w:color w:val="auto"/>
              </w:rPr>
            </w:pPr>
          </w:p>
        </w:tc>
        <w:tc>
          <w:tcPr>
            <w:tcW w:w="8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Lease</w:t>
            </w:r>
          </w:p>
        </w:tc>
        <w:tc>
          <w:tcPr>
            <w:tcW w:w="200" w:type="dxa"/>
            <w:vAlign w:val="bottom"/>
          </w:tcPr>
          <w:p>
            <w:pPr>
              <w:spacing w:after="0"/>
              <w:rPr>
                <w:sz w:val="11"/>
                <w:szCs w:val="11"/>
                <w:color w:val="auto"/>
              </w:rPr>
            </w:pPr>
          </w:p>
        </w:tc>
        <w:tc>
          <w:tcPr>
            <w:tcW w:w="740" w:type="dxa"/>
            <w:vAlign w:val="bottom"/>
          </w:tcPr>
          <w:p>
            <w:pPr>
              <w:jc w:val="right"/>
              <w:ind w:right="212"/>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Building base rent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209,555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170,401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46,602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56,732</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500,431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gridSpan w:val="5"/>
          </w:tcPr>
          <w:p>
            <w:pPr>
              <w:spacing w:after="0"/>
              <w:rPr>
                <w:sz w:val="20"/>
                <w:szCs w:val="20"/>
                <w:color w:val="auto"/>
              </w:rPr>
            </w:pPr>
            <w:r>
              <w:rPr>
                <w:rFonts w:ascii="Arial" w:cs="Arial" w:eastAsia="Arial" w:hAnsi="Arial"/>
                <w:sz w:val="18"/>
                <w:szCs w:val="18"/>
                <w:color w:val="auto"/>
              </w:rPr>
              <w:t>Land base rent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70,476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53,442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10,020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789</w:t>
            </w: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143,566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61,691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21,757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10,020</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7,847</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8,376</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112,708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Arial" w:cs="Arial" w:eastAsia="Arial" w:hAnsi="Arial"/>
                <w:sz w:val="18"/>
                <w:szCs w:val="18"/>
                <w:b w:val="1"/>
                <w:bCs w:val="1"/>
                <w:color w:val="auto"/>
              </w:rPr>
              <w:t>Total cash rental income</w:t>
            </w: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341,722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245,600</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66,642</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20,234</w:t>
            </w: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6,302</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756,705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160" w:type="dxa"/>
            <w:vAlign w:val="bottom"/>
            <w:gridSpan w:val="2"/>
            <w:shd w:val="clear" w:color="auto" w:fill="CCEEFF"/>
          </w:tcPr>
          <w:p>
            <w:pPr>
              <w:spacing w:after="0"/>
              <w:rPr>
                <w:sz w:val="23"/>
                <w:szCs w:val="23"/>
                <w:color w:val="auto"/>
              </w:rPr>
            </w:pPr>
          </w:p>
        </w:tc>
        <w:tc>
          <w:tcPr>
            <w:tcW w:w="260" w:type="dxa"/>
            <w:vAlign w:val="bottom"/>
            <w:gridSpan w:val="2"/>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gridSpan w:val="5"/>
          </w:tcPr>
          <w:p>
            <w:pPr>
              <w:spacing w:after="0"/>
              <w:rPr>
                <w:sz w:val="20"/>
                <w:szCs w:val="20"/>
                <w:color w:val="auto"/>
              </w:rPr>
            </w:pPr>
            <w:r>
              <w:rPr>
                <w:rFonts w:ascii="Arial" w:cs="Arial" w:eastAsia="Arial" w:hAnsi="Arial"/>
                <w:sz w:val="18"/>
                <w:szCs w:val="18"/>
                <w:color w:val="auto"/>
              </w:rPr>
              <w:t>Straight-line rent adjustments</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6,694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(5,719)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(5,560)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Ground rent in revenue</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gridSpan w:val="5"/>
          </w:tcPr>
          <w:p>
            <w:pPr>
              <w:spacing w:after="0"/>
              <w:rPr>
                <w:sz w:val="20"/>
                <w:szCs w:val="20"/>
                <w:color w:val="auto"/>
              </w:rPr>
            </w:pPr>
            <w:r>
              <w:rPr>
                <w:rFonts w:ascii="Arial" w:cs="Arial" w:eastAsia="Arial" w:hAnsi="Arial"/>
                <w:sz w:val="18"/>
                <w:szCs w:val="18"/>
                <w:color w:val="auto"/>
              </w:rPr>
              <w:t>Other rental revenue</w:t>
            </w:r>
          </w:p>
        </w:tc>
        <w:tc>
          <w:tcPr>
            <w:tcW w:w="160" w:type="dxa"/>
            <w:vAlign w:val="bottom"/>
          </w:tcPr>
          <w:p>
            <w:pPr>
              <w:spacing w:after="0"/>
              <w:rPr>
                <w:sz w:val="21"/>
                <w:szCs w:val="21"/>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Total rental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350,201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244,230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65,069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72,514</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22,112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762,711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40" w:type="dxa"/>
            <w:vAlign w:val="bottom"/>
            <w:gridSpan w:val="5"/>
          </w:tcPr>
          <w:p>
            <w:pPr>
              <w:spacing w:after="0" w:line="176" w:lineRule="exact"/>
              <w:rPr>
                <w:sz w:val="20"/>
                <w:szCs w:val="20"/>
                <w:color w:val="auto"/>
              </w:rPr>
            </w:pPr>
            <w:r>
              <w:rPr>
                <w:rFonts w:ascii="Arial" w:cs="Arial" w:eastAsia="Arial" w:hAnsi="Arial"/>
                <w:sz w:val="18"/>
                <w:szCs w:val="18"/>
                <w:color w:val="auto"/>
                <w:w w:val="95"/>
              </w:rPr>
              <w:t>Interest income from real estate</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vMerge w:val="restart"/>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16,976</w:t>
            </w: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2,154</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19,130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420" w:type="dxa"/>
            <w:vAlign w:val="bottom"/>
            <w:tcBorders>
              <w:bottom w:val="single" w:sz="8" w:color="CCEEFF"/>
            </w:tcBorders>
            <w:gridSpan w:val="4"/>
          </w:tcPr>
          <w:p>
            <w:pPr>
              <w:ind w:left="160"/>
              <w:spacing w:after="0"/>
              <w:rPr>
                <w:sz w:val="20"/>
                <w:szCs w:val="20"/>
                <w:color w:val="auto"/>
              </w:rPr>
            </w:pPr>
            <w:r>
              <w:rPr>
                <w:rFonts w:ascii="Arial" w:cs="Arial" w:eastAsia="Arial" w:hAnsi="Arial"/>
                <w:sz w:val="18"/>
                <w:szCs w:val="18"/>
                <w:color w:val="auto"/>
              </w:rPr>
              <w:t>loans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gridSpan w:val="2"/>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24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6"/>
              </w:rPr>
              <w:t>Total income from real estate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350,201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244,230</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65,069</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17,103</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72,514</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22,112</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6,302</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781,841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Gaming, food, beverage and other revenue</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Gaming, food, beverage and other revenue for our TRS Properties segment increased by $2.8 million, or 8.9%, and decreased by $26.7 million, or 27.3%, for the three and nine months ended September 30, 2020 respectively, as compared to the three and nine months ended September 30, 2019. These properties were closed in mid-March 2020 due to COVID-19. Hollywood Casino Baton Rouge reopened to the public on May 18, 2020 and Hollywood Casino Perryville reopened on June 19, 2020 with various restrictions to limit capacity in accordance with regulatory requirements. Results since reopening have exceeded the corresponding periods in the prior years as spend per visit has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for the three and nine months ended September 30, 2020 and 2019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jc w:val="center"/>
              <w:ind w:left="104"/>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Three Months Ended September 30, 2020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Variance</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left="104"/>
              <w:spacing w:after="0"/>
              <w:rPr>
                <w:sz w:val="20"/>
                <w:szCs w:val="20"/>
                <w:color w:val="auto"/>
              </w:rPr>
            </w:pPr>
            <w:r>
              <w:rPr>
                <w:rFonts w:ascii="Arial" w:cs="Arial" w:eastAsia="Arial" w:hAnsi="Arial"/>
                <w:sz w:val="14"/>
                <w:szCs w:val="14"/>
                <w:b w:val="1"/>
                <w:bCs w:val="1"/>
                <w:color w:val="auto"/>
                <w:w w:val="95"/>
              </w:rPr>
              <w:t>Variance</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Gaming, food, beverage and other</w:t>
            </w: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18,175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18,549</w:t>
            </w:r>
          </w:p>
        </w:tc>
        <w:tc>
          <w:tcPr>
            <w:tcW w:w="3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6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Land rights and ground lease expense</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8,084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9,094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(1,010)</w:t>
            </w:r>
          </w:p>
        </w:tc>
        <w:tc>
          <w:tcPr>
            <w:tcW w:w="1680" w:type="dxa"/>
            <w:vAlign w:val="bottom"/>
            <w:gridSpan w:val="5"/>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22,514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15,042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14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58,080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57,302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778</w:t>
            </w: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106,853</w:t>
            </w:r>
          </w:p>
        </w:tc>
        <w:tc>
          <w:tcPr>
            <w:tcW w:w="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99,987</w:t>
            </w:r>
          </w:p>
        </w:tc>
        <w:tc>
          <w:tcPr>
            <w:tcW w:w="80" w:type="dxa"/>
            <w:vAlign w:val="bottom"/>
          </w:tcPr>
          <w:p>
            <w:pPr>
              <w:spacing w:after="0"/>
              <w:rPr>
                <w:sz w:val="24"/>
                <w:szCs w:val="24"/>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center"/>
              <w:ind w:left="104"/>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4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Variance</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center"/>
              <w:ind w:left="124"/>
              <w:spacing w:after="0"/>
              <w:rPr>
                <w:sz w:val="20"/>
                <w:szCs w:val="20"/>
                <w:color w:val="auto"/>
              </w:rPr>
            </w:pPr>
            <w:r>
              <w:rPr>
                <w:rFonts w:ascii="Arial" w:cs="Arial" w:eastAsia="Arial" w:hAnsi="Arial"/>
                <w:sz w:val="14"/>
                <w:szCs w:val="14"/>
                <w:b w:val="1"/>
                <w:bCs w:val="1"/>
                <w:color w:val="auto"/>
                <w:w w:val="92"/>
              </w:rPr>
              <w:t>Variance</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Gaming, food, beverage and other</w:t>
            </w:r>
          </w:p>
        </w:tc>
        <w:tc>
          <w:tcPr>
            <w:tcW w:w="4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39,536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56,739</w:t>
            </w:r>
          </w:p>
        </w:tc>
        <w:tc>
          <w:tcPr>
            <w:tcW w:w="3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(17,203)</w:t>
            </w:r>
          </w:p>
        </w:tc>
        <w:tc>
          <w:tcPr>
            <w:tcW w:w="16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4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Land rights and ground lease expense</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21,943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33,572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(11,629)</w:t>
            </w:r>
          </w:p>
        </w:tc>
        <w:tc>
          <w:tcPr>
            <w:tcW w:w="1680" w:type="dxa"/>
            <w:vAlign w:val="bottom"/>
            <w:gridSpan w:val="5"/>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51,725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48,266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14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172,033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183,745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(11,712)</w:t>
            </w:r>
          </w:p>
        </w:tc>
        <w:tc>
          <w:tcPr>
            <w:tcW w:w="1680" w:type="dxa"/>
            <w:vAlign w:val="bottom"/>
            <w:gridSpan w:val="5"/>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Loan impairment charges</w:t>
            </w:r>
          </w:p>
        </w:tc>
        <w:tc>
          <w:tcPr>
            <w:tcW w:w="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13,000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6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285,237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335,322</w:t>
            </w:r>
          </w:p>
        </w:tc>
        <w:tc>
          <w:tcPr>
            <w:tcW w:w="100" w:type="dxa"/>
            <w:vAlign w:val="bottom"/>
            <w:gridSpan w:val="2"/>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(50,085)</w:t>
            </w:r>
          </w:p>
        </w:tc>
        <w:tc>
          <w:tcPr>
            <w:tcW w:w="20" w:type="dxa"/>
            <w:vAlign w:val="bottom"/>
            <w:tcBorders>
              <w:top w:val="single" w:sz="8" w:color="auto"/>
              <w:bottom w:val="single" w:sz="8" w:color="auto"/>
            </w:tcBorders>
          </w:tcPr>
          <w:p>
            <w:pPr>
              <w:spacing w:after="0"/>
              <w:rPr>
                <w:sz w:val="22"/>
                <w:szCs w:val="22"/>
                <w:color w:val="auto"/>
              </w:rPr>
            </w:pPr>
          </w:p>
        </w:tc>
        <w:tc>
          <w:tcPr>
            <w:tcW w:w="1660" w:type="dxa"/>
            <w:vAlign w:val="bottom"/>
            <w:gridSpan w:val="4"/>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Gaming, food, beverage and other</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Gaming, food, beverage and other expenses decreased by $0.4 million, or 2.0%, and $17.2 million, or 30.3%, for the three and nine months ended September 30, 2020, as compared to the corresponding periods in the prior year, primarily due to the impact of COVID-19, which forced our TRS Properties to close their operations in mid-March 2020.</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Land rights and ground lease expense</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Land rights and ground lease expense includes the amortization of land rights and rent expense related to the Company's long-term ground leases. Land rights and ground lease expense decreased by $1.0 million, or 11.1%, and $11.6 million, or 34.6%, for the three and nine months ended September 30, 2020, as compared to the corresponding periods in the prior year, primarily due to the acceleration of amortization expense of $6.3 million related to the closure of Penn's Resorts Casino Tunica property in 2019 and lower ground lease rents paid by our tenants in 2020 that are based on the facilities' revenues which declined due to the impact of COVID-19. We sublease these ground leases back to our tenants, who are responsible for payment directly to the applicable landlord. These amounts are required to be recorded in both revenue and expense within the consolidated statements of income as we have concluded that as the lessee the Company is the primary obligor under the ground leases.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General and administrative expenses include items such as compensation costs (including stock based compensation), professional services and costs associated with development activities. General and administrative expenses increased by $7.5 million or 49.7% and $3.5 million, or 7.2%, for the three and nine months ended September 30, 2020, as compared to the corresponding periods in the prior year. The increase for the three month period ended September 30, 2020 is primarily attributable to the negative impact from severance and stock acceleration charges of $6.8 million, related to the departure of our former chief financial officer. The increase for the nine-month period ended September 30, 2020 relates to the aforementioned charges which were partially offset by lower costs primarily attributable to the temporary closures of our TRS properties due to COVID-19 and lower bonus expense.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ind w:left="340"/>
        <w:spacing w:after="0"/>
        <w:rPr>
          <w:sz w:val="20"/>
          <w:szCs w:val="20"/>
          <w:color w:val="auto"/>
        </w:rPr>
      </w:pPr>
      <w:r>
        <w:rPr>
          <w:rFonts w:ascii="Arial" w:cs="Arial" w:eastAsia="Arial" w:hAnsi="Arial"/>
          <w:sz w:val="18"/>
          <w:szCs w:val="18"/>
          <w:b w:val="1"/>
          <w:bCs w:val="1"/>
          <w:color w:val="auto"/>
        </w:rPr>
        <w:t>Depreciation</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Depreciation expense decreased $11.7 million, or 6.4%, to $172.0 million, for the nine months ended September 30, 2020 as compared to the corresponding period in the prior year, primarily due to the closure of the Resorts Casino Tunica property in 2019 which resulted in the acceleration of $10.3 million of depreciation expense to bring the net book value related to the building value of this property to zero at June 30, 2019.</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 impairment charges</w:t>
      </w:r>
    </w:p>
    <w:p>
      <w:pPr>
        <w:spacing w:after="0" w:line="256" w:lineRule="exact"/>
        <w:rPr>
          <w:sz w:val="20"/>
          <w:szCs w:val="20"/>
          <w:color w:val="auto"/>
        </w:rPr>
      </w:pPr>
    </w:p>
    <w:p>
      <w:pPr>
        <w:jc w:val="both"/>
        <w:ind w:firstLine="193"/>
        <w:spacing w:after="0" w:line="255" w:lineRule="auto"/>
        <w:rPr>
          <w:sz w:val="20"/>
          <w:szCs w:val="20"/>
          <w:color w:val="auto"/>
        </w:rPr>
      </w:pPr>
      <w:r>
        <w:rPr>
          <w:rFonts w:ascii="Arial" w:cs="Arial" w:eastAsia="Arial" w:hAnsi="Arial"/>
          <w:sz w:val="18"/>
          <w:szCs w:val="18"/>
          <w:color w:val="auto"/>
        </w:rPr>
        <w:t>On March 17, 2017, the Company provided the Casino Queen Loan to CQ Holding Company to partially finance its acquisition of Lady Luck Casino in Marquette, Iowa. During 2018, the operating results of Casino Queen declined substantially and Casino Queen defaulted under its senior credit agreement and also the Casino Queen Loan. As a result, the operations of Casino Queen were put up for sale during the fourth quarter of 2018. At December 31, 2018, active negotiations for the sale of Casino Queen's operations were taking place and full payment of the principal was still expected, due to the anticipation that the operations were to be sold in the near term for an amount allowing for repayment of the full amount of the principal due to GLPI under the Casino Queen Loan.</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first quarter of 2019, the operating results of Casino Queen continued to decline, resulting in the anticipated acquirer withdrawing from the sales process. Subsequent offers for the operating assets of Casino Queen declined substantially and proceeds from the sale were not expected to generate enough cash to repay all of Casino Queen’s creditors. Thus, because the Company did not expect Casino Queen to be able to repay the principal due to it under the Casino Queen Loan, the full $13.0 million of principal was written off at March 31, 2019. The Company recorded an impairment charge for this amount through the condensed consolidated statement of income for the nine months ended September 30, 2019 to reflect the write-off of the Casino Queen Loan.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(expenses) for the three and nine months ended September 30, 2020 and 2019 were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Percentage</w:t>
            </w:r>
          </w:p>
        </w:tc>
      </w:tr>
      <w:tr>
        <w:trPr>
          <w:trHeight w:val="197"/>
        </w:trPr>
        <w:tc>
          <w:tcPr>
            <w:tcW w:w="50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Variance</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Variance</w:t>
            </w:r>
          </w:p>
        </w:tc>
      </w:tr>
      <w:tr>
        <w:trPr>
          <w:trHeight w:val="24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(70,179)</w:t>
            </w: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(75,111)</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1680" w:type="dxa"/>
            <w:vAlign w:val="bottom"/>
            <w:gridSpan w:val="4"/>
          </w:tcPr>
          <w:p>
            <w:pPr>
              <w:jc w:val="right"/>
              <w:ind w:right="20"/>
              <w:spacing w:after="0"/>
              <w:rPr>
                <w:sz w:val="20"/>
                <w:szCs w:val="20"/>
                <w:color w:val="auto"/>
              </w:rPr>
            </w:pPr>
            <w:r>
              <w:rPr>
                <w:rFonts w:ascii="Arial" w:cs="Arial" w:eastAsia="Arial" w:hAnsi="Arial"/>
                <w:sz w:val="18"/>
                <w:szCs w:val="18"/>
                <w:color w:val="auto"/>
              </w:rPr>
              <w:t>(90.6)%</w:t>
            </w:r>
          </w:p>
        </w:tc>
      </w:tr>
      <w:tr>
        <w:trPr>
          <w:trHeight w:val="27"/>
        </w:trPr>
        <w:tc>
          <w:tcPr>
            <w:tcW w:w="5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on debt extinguishment</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(21,014)</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20,235</w:t>
            </w:r>
          </w:p>
        </w:tc>
        <w:tc>
          <w:tcPr>
            <w:tcW w:w="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(96.3)%</w:t>
            </w:r>
          </w:p>
        </w:tc>
      </w:tr>
      <w:tr>
        <w:trPr>
          <w:trHeight w:val="264"/>
        </w:trPr>
        <w:tc>
          <w:tcPr>
            <w:tcW w:w="5040" w:type="dxa"/>
            <w:vAlign w:val="bottom"/>
          </w:tcPr>
          <w:p>
            <w:pPr>
              <w:ind w:left="20"/>
              <w:spacing w:after="0"/>
              <w:rPr>
                <w:sz w:val="20"/>
                <w:szCs w:val="20"/>
                <w:color w:val="auto"/>
              </w:rPr>
            </w:pPr>
            <w:r>
              <w:rPr>
                <w:rFonts w:ascii="Arial" w:cs="Arial" w:eastAsia="Arial" w:hAnsi="Arial"/>
                <w:sz w:val="18"/>
                <w:szCs w:val="18"/>
                <w:color w:val="auto"/>
              </w:rPr>
              <w:t>Total other expenses</w:t>
            </w:r>
          </w:p>
        </w:tc>
        <w:tc>
          <w:tcPr>
            <w:tcW w:w="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(70,936)</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(95,890)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24,954</w:t>
            </w:r>
          </w:p>
        </w:tc>
        <w:tc>
          <w:tcPr>
            <w:tcW w:w="40" w:type="dxa"/>
            <w:vAlign w:val="bottom"/>
            <w:tcBorders>
              <w:top w:val="single" w:sz="8" w:color="auto"/>
              <w:bottom w:val="single" w:sz="8" w:color="auto"/>
            </w:tcBorders>
          </w:tcPr>
          <w:p>
            <w:pPr>
              <w:spacing w:after="0"/>
              <w:rPr>
                <w:sz w:val="22"/>
                <w:szCs w:val="22"/>
                <w:color w:val="auto"/>
              </w:rPr>
            </w:pPr>
          </w:p>
        </w:tc>
        <w:tc>
          <w:tcPr>
            <w:tcW w:w="1680" w:type="dxa"/>
            <w:vAlign w:val="bottom"/>
            <w:gridSpan w:val="4"/>
          </w:tcPr>
          <w:p>
            <w:pPr>
              <w:jc w:val="right"/>
              <w:ind w:right="20"/>
              <w:spacing w:after="0"/>
              <w:rPr>
                <w:sz w:val="20"/>
                <w:szCs w:val="20"/>
                <w:color w:val="auto"/>
              </w:rPr>
            </w:pPr>
            <w:r>
              <w:rPr>
                <w:rFonts w:ascii="Arial" w:cs="Arial" w:eastAsia="Arial" w:hAnsi="Arial"/>
                <w:sz w:val="18"/>
                <w:szCs w:val="18"/>
                <w:color w:val="auto"/>
              </w:rPr>
              <w:t>(26.0)%</w:t>
            </w:r>
          </w:p>
        </w:tc>
      </w:tr>
      <w:tr>
        <w:trPr>
          <w:trHeight w:val="20"/>
        </w:trPr>
        <w:tc>
          <w:tcPr>
            <w:tcW w:w="5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78"/>
        </w:trPr>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7"/>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r>
      <w:tr>
        <w:trPr>
          <w:trHeight w:val="208"/>
        </w:trPr>
        <w:tc>
          <w:tcPr>
            <w:tcW w:w="50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Variance</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Variance</w:t>
            </w:r>
          </w:p>
        </w:tc>
        <w:tc>
          <w:tcPr>
            <w:tcW w:w="40" w:type="dxa"/>
            <w:vAlign w:val="bottom"/>
          </w:tcPr>
          <w:p>
            <w:pPr>
              <w:spacing w:after="0"/>
              <w:rPr>
                <w:sz w:val="18"/>
                <w:szCs w:val="18"/>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(211,657)</w:t>
            </w: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(228,362)</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16,705</w:t>
            </w:r>
          </w:p>
        </w:tc>
        <w:tc>
          <w:tcPr>
            <w:tcW w:w="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21"/>
                <w:szCs w:val="2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572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(14.2)%</w:t>
            </w:r>
          </w:p>
        </w:tc>
        <w:tc>
          <w:tcPr>
            <w:tcW w:w="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on debt extinguishment</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(21,014)</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23"/>
                <w:szCs w:val="23"/>
                <w:color w:val="auto"/>
              </w:rPr>
            </w:pPr>
          </w:p>
        </w:tc>
      </w:tr>
      <w:tr>
        <w:trPr>
          <w:trHeight w:val="263"/>
        </w:trPr>
        <w:tc>
          <w:tcPr>
            <w:tcW w:w="5040" w:type="dxa"/>
            <w:vAlign w:val="bottom"/>
          </w:tcPr>
          <w:p>
            <w:pPr>
              <w:ind w:left="20"/>
              <w:spacing w:after="0"/>
              <w:rPr>
                <w:sz w:val="20"/>
                <w:szCs w:val="20"/>
                <w:color w:val="auto"/>
              </w:rPr>
            </w:pPr>
            <w:r>
              <w:rPr>
                <w:rFonts w:ascii="Arial" w:cs="Arial" w:eastAsia="Arial" w:hAnsi="Arial"/>
                <w:sz w:val="18"/>
                <w:szCs w:val="18"/>
                <w:color w:val="auto"/>
              </w:rPr>
              <w:t>Total other expenses</w:t>
            </w: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(229,279)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(248,804)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19,525</w:t>
            </w:r>
          </w:p>
        </w:tc>
        <w:tc>
          <w:tcPr>
            <w:tcW w:w="40" w:type="dxa"/>
            <w:vAlign w:val="bottom"/>
          </w:tcPr>
          <w:p>
            <w:pPr>
              <w:spacing w:after="0"/>
              <w:rPr>
                <w:sz w:val="22"/>
                <w:szCs w:val="22"/>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22"/>
                <w:szCs w:val="22"/>
                <w:color w:val="auto"/>
              </w:rPr>
            </w:pPr>
          </w:p>
        </w:tc>
      </w:tr>
      <w:tr>
        <w:trPr>
          <w:trHeight w:val="21"/>
        </w:trPr>
        <w:tc>
          <w:tcPr>
            <w:tcW w:w="50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Interest expense decreased by $4.9 million, or 6.6%, and $16.7 million, or 7.3%, for the three and nine months ended September 30, 2020, as compared to the corresponding period in the prior year, primarily due to the issuance of $400 million of 3.35% senior unsecured notes due 2024 and $700 million of 4.000% senior unsecured notes due 2030 during the third quarter of 2019 and increased borrowings under our revolving credit facility. These proceeds were utilized to repay higher cost unsecured borrowings with near term maturities. Interest expense also benefited from the first quarter redemption of $215.2 million of 4.875% senior unsecured notes that were due in November 2020 and $400.0 million of 4.375% of senior unsecured notes that were due in April 2021, which were funded by borrowings under our revolving credit facility. Towards the end of the first quarter of 2020, we fully drew down our revolving credit facility by borrowing just over $530 million to increase liquidity levels given the near term uncertainty associated with COVID-19. We subsequently repaid all of our outstanding advances on</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2" w:name="page43"/>
    <w:bookmarkEnd w:id="42"/>
    <w:p>
      <w:pPr>
        <w:jc w:val="both"/>
        <w:spacing w:after="0" w:line="259" w:lineRule="auto"/>
        <w:rPr>
          <w:sz w:val="20"/>
          <w:szCs w:val="20"/>
          <w:color w:val="auto"/>
        </w:rPr>
      </w:pPr>
      <w:r>
        <w:rPr>
          <w:rFonts w:ascii="Arial" w:cs="Arial" w:eastAsia="Arial" w:hAnsi="Arial"/>
          <w:sz w:val="18"/>
          <w:szCs w:val="18"/>
          <w:color w:val="auto"/>
        </w:rPr>
        <w:t>our revolving credit facility on June 25, 2020, with cash on hand and the net proceeds from our 4.00%, $500 million unsecured note issuance due in January 2031 and Term Loan A-2 borrowings. On August 18, 2020, we raised an additional $200 million of 4.00%, unsecured notes at a premium to par and used the proceeds to repay Term Loan A-1 borrowings. Although these latter two transactions had a negative impact on interest expense they further increased the duration and fixed rate nature of our debt profile.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Losses on debt extinguishment</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the first quarter of 2020, the Company redeemed all $215.2 million aggregate principal amount of the Company's outstanding 4.875% senior unsecured notes due in November 2020 and all $400 million aggregate principal amount of the Company's outstanding 4.375% senior unsecured notes due in April 2021, resulting in the retirement of such senior notes. The Company recorded losses on the early extinguishment of debt related to the current year retirements of $18.1 million for the nine months ended September 30, 2020, primarily for call premium charges and debt issuance write-offs.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three months ended September 30, 2020, the Company recorded an income tax expense of approximately $2.6 million compared with income tax expense of $1.2 million for the corresponding period in the prior year. During the nine months ended September 30, 2020, an income tax expense of approximately $2.1 million was recorded compared with $3.8 million for the corresponding period in the prior year. These changes are attributable to the earnings from our TRS properties whose results were negatively impacted by COVID-19 for the nine-month period September 30, 2020 but whose results for the three month period ended September 30, 2020 exceeded the prior year due to strong reopening demand and cost saving measures as previously discussed.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primary sources of liquidity and capital resources are cash flow from operations, borrowings from banks, and proceeds from the issuance of debt and equity securities.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cash provided by operating activities was $310.5 million and $583.7 million during the nine months ended September 30, 2020 and 2019, respectively. The decrease in net cash provided by operating activities of $273.2 million for the nine months ended September 30, 2020 as compared to the corresponding period in the prior year was primarily due to a decrease in cash receipts from tenants and customers of $299.5 million, partially offset by a $24.4 million decrease in cash paid for operating expenses. The decrease in cash receipts collected from our tenants and customers for the nine months ended September 30, 2020 as compared to the corresponding period in the prior year was primarily due to the recognition of $272.5 million in deferred rent recognized in connection with the Tropicana Las Vegas transaction and the impact of COVID-19, which forced our TRS Properties to temporarily close in mid-March 2020 until May and June of 2020. The reason for the decline in cash paid for operating expenses is primarily attributable to the temporary closures of our TRS properties.</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Investing activities used cash of $1.6 million and $2.0 million during the nine months ended September 30, 2020 and 2019, respectively. Net cash used in investing activities during the nine months ended September 30, 2020 consisted of capital expenditures of $1.6 million. Net cash used in investing activities for the nine months ended September 30, 2019 consisted of capital expenditures of $2.3 million, partially offset by proceeds from the sale of property and equipment of $0.2 million.</w:t>
      </w:r>
    </w:p>
    <w:p>
      <w:pPr>
        <w:spacing w:after="0" w:line="21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Financing activities used cash of $229.8 million and $581.9 million during the nine months ended September 30, 2020 and 2019, respectively. Net cash used by financing activities during the nine months ended September 30, 2020 was driven by $2,076.4 million of proceeds from the issuance of long-term debt that was utilized for the repayments of long-term debt of $2,060.9 million. Additionally, during the nine months ended September 30, 2020, we had dividend payments of $202.9 million, $15.7 million of premiums and related costs paid on the retirement of certain Senior Notes (as defined below), $11.6 million in additional financing costs, and taxes paid related to shares withheld for tax purposes on restricted stock award vestings of $15.3 million. Net cash used by financing activities during the nine months ended September 30, 2019 was driven by dividend payments of $438.6 million and repayments of long term debt of $1,417.9 million, partially offset by $1,312.9 million of proceeds from the issuance of long-term debt.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Capital expenditures are accounted for as either capital project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3" w:name="page44"/>
    <w:bookmarkEnd w:id="43"/>
    <w:p>
      <w:pPr>
        <w:jc w:val="both"/>
        <w:spacing w:after="0" w:line="308" w:lineRule="auto"/>
        <w:rPr>
          <w:sz w:val="20"/>
          <w:szCs w:val="20"/>
          <w:color w:val="auto"/>
        </w:rPr>
      </w:pPr>
      <w:r>
        <w:rPr>
          <w:rFonts w:ascii="Arial" w:cs="Arial" w:eastAsia="Arial" w:hAnsi="Arial"/>
          <w:sz w:val="17"/>
          <w:szCs w:val="17"/>
          <w:color w:val="auto"/>
        </w:rPr>
        <w:t>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nine months ended September 30, 2020 and 2019, the TRS Properties spent approximately $1.6 million and $2.3 million, respectively, for capital maintenance expenditures. The majority of the capital maintenance expenditures were for slot machines and slot machine equipment. Under the triple-net lease structure, our tenants are responsible for capital maintenance expenditures at our leased properties.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Unsecured Credit Facility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Prior to June 25, 2020, the Company's senior unsecured credit facility (the "Credit Facility") consisted of a $1,175 million revolving credit facility (the "Revolver"), with a maturity date of May 21, 2023, and a $449 million Term Loan A-1 facility, with a maturity date of April 28, 2021. At September 30, 2020, the interest rate on the term loan facility and Revolver was LIBOR plus 1.50%.</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fully drew down on its Revolver in the first quarter of 2020 to increase its liquidity position and repay certain senior unsecured notes as described below. On June 25, 2020, the Company entered into an amendment to the Credit Facility (as amended, the "Amended Credit Facility") which extended the maturity date of approximately $224 million of outstanding Term Loan A-1 facility borrowings to May 21, 2023, which term loans are now classified as a new tranche of term loans (Term Loans A-2). Additionally, the Company borrowed incremental Term Loans A-2 totaling $200 million. Furthermore, the Company closed on an offering of $500 million 4.000% unsecured senior notes due January 2031 priced at a slight discount to par. The Company utilized the proceeds from these two financings along with cash on hand to repay all outstanding obligations under its Revolver. On August 18, 2020, the Company borrowed an additional $200 million 4.000% unsecured senior notes due January 2031 priced at a premium to par and utilized the proceeds to repay Term Loan A-1 borrowings.</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September 30, 2020, the Amended Credit Facility had a gross outstanding balance of $424.0 million, consisting solely of the Term Loans A-2. Additionally, at September 30, 2020, the Company was contingently obligated under letters of credit issued pursuant to the Credit Facility with face amounts aggregating approximately $0.4 million, resulting in $1,174.6 million of available borrowing capacity under the Revolver as of September 30, 2020.</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Amended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Amended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Amended Credit Facility will enable the lenders under the Amended Credit Facility to accelerate the loans and terminate the commitments thereunder.</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September 30, 2020, the Company was in compliance with all required financial covenants under the Amended Credit Facility. Additionally, the Company entered into an amendment at March 30, 2020 with the Company's credit facility lenders which permits the fair value of non-cash assets received for rental payments from our tenants to be recognized within net operating income to the extent earned in accordance with GAAP for debt covenant purposes as well as the inclusion of cash in the definition of unencumbered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2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At September 30, 2020, the Company had $5,375.0 million of outstanding senior unsecured notes (the "Senior Notes"). Each of the Company's Senior Notes contains covenants limiting the Company’s ability to: incur additional debt and use its assets to secure debt; merge or consolidate with another company; and make certain amendments to the Penn Master Lease. The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jc w:val="both"/>
        <w:ind w:right="20"/>
        <w:spacing w:after="0" w:line="261" w:lineRule="auto"/>
        <w:rPr>
          <w:sz w:val="20"/>
          <w:szCs w:val="20"/>
          <w:color w:val="auto"/>
        </w:rPr>
      </w:pPr>
      <w:r>
        <w:rPr>
          <w:rFonts w:ascii="Arial" w:cs="Arial" w:eastAsia="Arial" w:hAnsi="Arial"/>
          <w:sz w:val="18"/>
          <w:szCs w:val="18"/>
          <w:color w:val="auto"/>
        </w:rPr>
        <w:t>Senior Notes also require the Company to maintain a specified ratio of unencumbered assets to unsecured debt. These covenants are subject to a number of important and significant limitations, qualifications and exceptions.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September 30, 2020, the Company was in compliance with all required financial covenants under its Senior Notes.</w:t>
      </w:r>
    </w:p>
    <w:p>
      <w:pPr>
        <w:spacing w:after="0" w:line="200" w:lineRule="exact"/>
        <w:rPr>
          <w:sz w:val="20"/>
          <w:szCs w:val="20"/>
          <w:color w:val="auto"/>
        </w:rPr>
      </w:pPr>
    </w:p>
    <w:p>
      <w:pPr>
        <w:spacing w:after="0" w:line="34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Summarized financial information for Subsidiary Issuers and Parent Guarantor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gridSpan w:val="2"/>
          </w:tcPr>
          <w:p>
            <w:pPr>
              <w:ind w:left="200"/>
              <w:spacing w:after="0"/>
              <w:rPr>
                <w:sz w:val="20"/>
                <w:szCs w:val="20"/>
                <w:color w:val="auto"/>
              </w:rPr>
            </w:pPr>
            <w:r>
              <w:rPr>
                <w:rFonts w:ascii="Arial" w:cs="Arial" w:eastAsia="Arial" w:hAnsi="Arial"/>
                <w:sz w:val="18"/>
                <w:szCs w:val="18"/>
                <w:b w:val="1"/>
                <w:bCs w:val="1"/>
                <w:color w:val="auto"/>
              </w:rPr>
              <w:t>As of September 30, 2020</w:t>
            </w:r>
          </w:p>
        </w:tc>
        <w:tc>
          <w:tcPr>
            <w:tcW w:w="320" w:type="dxa"/>
            <w:vAlign w:val="bottom"/>
          </w:tcPr>
          <w:p>
            <w:pPr>
              <w:spacing w:after="0"/>
              <w:rPr>
                <w:sz w:val="20"/>
                <w:szCs w:val="20"/>
                <w:color w:val="auto"/>
              </w:rPr>
            </w:pPr>
          </w:p>
        </w:tc>
        <w:tc>
          <w:tcPr>
            <w:tcW w:w="2560" w:type="dxa"/>
            <w:vAlign w:val="bottom"/>
          </w:tcPr>
          <w:p>
            <w:pPr>
              <w:jc w:val="right"/>
              <w:ind w:right="390"/>
              <w:spacing w:after="0"/>
              <w:rPr>
                <w:sz w:val="20"/>
                <w:szCs w:val="20"/>
                <w:color w:val="auto"/>
              </w:rPr>
            </w:pPr>
            <w:r>
              <w:rPr>
                <w:rFonts w:ascii="Arial" w:cs="Arial" w:eastAsia="Arial" w:hAnsi="Arial"/>
                <w:sz w:val="18"/>
                <w:szCs w:val="18"/>
                <w:b w:val="1"/>
                <w:bCs w:val="1"/>
                <w:color w:val="auto"/>
                <w:w w:val="97"/>
              </w:rPr>
              <w:t>As of December 31, 2019</w:t>
            </w:r>
          </w:p>
        </w:tc>
      </w:tr>
      <w:tr>
        <w:trPr>
          <w:trHeight w:val="27"/>
        </w:trPr>
        <w:tc>
          <w:tcPr>
            <w:tcW w:w="4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43"/>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investments, net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2,677,215</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2,514,806</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Real estate loans</w:t>
            </w:r>
          </w:p>
        </w:tc>
        <w:tc>
          <w:tcPr>
            <w:tcW w:w="280" w:type="dxa"/>
            <w:vAlign w:val="bottom"/>
          </w:tcPr>
          <w:p>
            <w:pPr>
              <w:spacing w:after="0"/>
              <w:rPr>
                <w:sz w:val="21"/>
                <w:szCs w:val="21"/>
                <w:color w:val="auto"/>
              </w:rPr>
            </w:pPr>
          </w:p>
        </w:tc>
        <w:tc>
          <w:tcPr>
            <w:tcW w:w="2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246,000</w:t>
            </w: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 and land rights, net</w:t>
            </w:r>
          </w:p>
        </w:tc>
        <w:tc>
          <w:tcPr>
            <w:tcW w:w="2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178,235</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181,593</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78,742</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4,281</w:t>
            </w: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Long term debt, net of unamortized debt issuance costs,</w:t>
            </w:r>
          </w:p>
        </w:tc>
        <w:tc>
          <w:tcPr>
            <w:tcW w:w="28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r>
      <w:tr>
        <w:trPr>
          <w:trHeight w:val="237"/>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bond premiums and original issuance discounts</w:t>
            </w:r>
          </w:p>
        </w:tc>
        <w:tc>
          <w:tcPr>
            <w:tcW w:w="28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5,752,252</w:t>
            </w:r>
          </w:p>
        </w:tc>
        <w:tc>
          <w:tcPr>
            <w:tcW w:w="2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5,737,962</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28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83,165</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60,695</w:t>
            </w: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88,664</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89,856</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Deferred rental revenue</w:t>
            </w:r>
          </w:p>
        </w:tc>
        <w:tc>
          <w:tcPr>
            <w:tcW w:w="28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290,152</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271,837</w:t>
            </w: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For the nine -month period ended</w:t>
            </w:r>
          </w:p>
        </w:tc>
        <w:tc>
          <w:tcPr>
            <w:tcW w:w="140" w:type="dxa"/>
            <w:vAlign w:val="bottom"/>
          </w:tcPr>
          <w:p>
            <w:pPr>
              <w:spacing w:after="0"/>
              <w:rPr>
                <w:sz w:val="18"/>
                <w:szCs w:val="18"/>
                <w:color w:val="auto"/>
              </w:rPr>
            </w:pPr>
          </w:p>
        </w:tc>
        <w:tc>
          <w:tcPr>
            <w:tcW w:w="274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For the year ended December 31,</w:t>
            </w:r>
          </w:p>
        </w:tc>
      </w:tr>
      <w:tr>
        <w:trPr>
          <w:trHeight w:val="234"/>
        </w:trPr>
        <w:tc>
          <w:tcPr>
            <w:tcW w:w="4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September 30, 2020</w:t>
            </w:r>
          </w:p>
        </w:tc>
        <w:tc>
          <w:tcPr>
            <w:tcW w:w="140" w:type="dxa"/>
            <w:vAlign w:val="bottom"/>
          </w:tcPr>
          <w:p>
            <w:pPr>
              <w:spacing w:after="0"/>
              <w:rPr>
                <w:sz w:val="20"/>
                <w:szCs w:val="20"/>
                <w:color w:val="auto"/>
              </w:rPr>
            </w:pPr>
          </w:p>
        </w:tc>
        <w:tc>
          <w:tcPr>
            <w:tcW w:w="2740" w:type="dxa"/>
            <w:vAlign w:val="bottom"/>
          </w:tcPr>
          <w:p>
            <w:pPr>
              <w:jc w:val="right"/>
              <w:ind w:right="1170"/>
              <w:spacing w:after="0"/>
              <w:rPr>
                <w:sz w:val="20"/>
                <w:szCs w:val="20"/>
                <w:color w:val="auto"/>
              </w:rPr>
            </w:pPr>
            <w:r>
              <w:rPr>
                <w:rFonts w:ascii="Arial" w:cs="Arial" w:eastAsia="Arial" w:hAnsi="Arial"/>
                <w:sz w:val="18"/>
                <w:szCs w:val="18"/>
                <w:b w:val="1"/>
                <w:bCs w:val="1"/>
                <w:color w:val="auto"/>
              </w:rPr>
              <w:t>2019</w:t>
            </w:r>
          </w:p>
        </w:tc>
      </w:tr>
      <w:tr>
        <w:trPr>
          <w:trHeight w:val="27"/>
        </w:trPr>
        <w:tc>
          <w:tcPr>
            <w:tcW w:w="4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43"/>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432,735</w:t>
            </w: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575,451</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301,136</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384,170</w:t>
            </w:r>
          </w:p>
        </w:tc>
      </w:tr>
      <w:tr>
        <w:trPr>
          <w:trHeight w:val="27"/>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(211,657)</w:t>
            </w: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(301,520)</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71,340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61,734</w:t>
            </w:r>
          </w:p>
        </w:tc>
      </w:tr>
    </w:tbl>
    <w:p>
      <w:pPr>
        <w:spacing w:after="0" w:line="200" w:lineRule="exact"/>
        <w:rPr>
          <w:sz w:val="20"/>
          <w:szCs w:val="20"/>
          <w:color w:val="auto"/>
        </w:rPr>
      </w:pPr>
    </w:p>
    <w:p>
      <w:pPr>
        <w:spacing w:after="0" w:line="3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financial information presented above is that of the subsidiary issuers and parent guarantor and the financial information of non-issuer subsidiaries has been excluded. The financial information of subsidiary issuers and the parent guarantor has been presented on a combined basis; however, the only asset on the parent guarantor balance sheet is its investment in subsidiaries which is not included in the presentation above in accordance with the disclosure requirements.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Requirements</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Such distributions generally can be made with cash and/or a combination of cash and Company common stock if certain requirements are met.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While the Company's Board of Directors declared a cash dividend of $0.70 for the first quarter of 2020, quarterly dividends of $0.60 per share on the Company's common stock were declared for both the second and third quarter. These dividends consisted of a combination of cash and shares of the Company's common stock. The cash component of the dividend (other than cash paid in lieu of fractional shares) did not exceed 20% in the aggregate, or $0.12 per share, with the balance, or $0.48 per share, payable in shares of the Company's common stock. This quarterly dividend level reflects the impact of the COVID-19 closures on the Company's business and anticipates that our major tenants will continue to fulfill payment of their financial obligations to the Company. Further, it is anticipated that the portion of dividends to be paid in shares will be limited to periods during which non-cash rents are realized by the Company and those stock dividends are expected to meet the REIT distribution requirements discussed above.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LIBOR Transition</w:t>
      </w:r>
    </w:p>
    <w:p>
      <w:pPr>
        <w:spacing w:after="0" w:line="252" w:lineRule="exact"/>
        <w:rPr>
          <w:sz w:val="20"/>
          <w:szCs w:val="20"/>
          <w:color w:val="auto"/>
        </w:rPr>
      </w:pPr>
    </w:p>
    <w:p>
      <w:pPr>
        <w:ind w:right="2740" w:firstLine="648"/>
        <w:spacing w:after="0" w:line="274" w:lineRule="auto"/>
        <w:rPr>
          <w:sz w:val="20"/>
          <w:szCs w:val="20"/>
          <w:color w:val="auto"/>
        </w:rPr>
      </w:pPr>
      <w:r>
        <w:rPr>
          <w:rFonts w:ascii="Arial" w:cs="Arial" w:eastAsia="Arial" w:hAnsi="Arial"/>
          <w:sz w:val="17"/>
          <w:szCs w:val="17"/>
          <w:color w:val="auto"/>
        </w:rPr>
        <w:t>The majority of our debt is at fixed rates and our exposure to variable interest rates is currently limited to our Revolver and our Term Loan A-2. These debt instruments are indexed to LIBOR, which is expected to be</w:t>
      </w:r>
    </w:p>
    <w:p>
      <w:pPr>
        <w:jc w:val="both"/>
        <w:spacing w:after="0" w:line="253" w:lineRule="auto"/>
        <w:rPr>
          <w:sz w:val="20"/>
          <w:szCs w:val="20"/>
          <w:color w:val="auto"/>
        </w:rPr>
      </w:pPr>
      <w:r>
        <w:rPr>
          <w:rFonts w:ascii="Arial" w:cs="Arial" w:eastAsia="Arial" w:hAnsi="Arial"/>
          <w:sz w:val="18"/>
          <w:szCs w:val="18"/>
          <w:color w:val="auto"/>
        </w:rPr>
        <w:t>phased out during late 2021. The discontinuance of LIBOR is expected to affect our interest expense and earnings. The obligations under our Revolver and Term Loans A-2 facility will be subject to the expected LIBOR transition. LIBOR is currently expected to transition to a new standard rate, the Secured Overnight Financing Rate (“SOFR”). We are currently monitoring the transition and are not certain whether SOFR will become the standard rate for our variable rate debt.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GLPI’s primary market risk exposure is interest rate risk with respect to its indebtedness of $5,799.9 million at September 30, 2020. Furthermore, $5,375.0 million of our obligations at September 30, 2020, are the Senior Notes that have fixed interest rates with maturity dates ranging from approximately three years to approximately ten and one-half years.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However, the provisions of the Code applicable to REITs limit GLPI’s ability to hedge its assets and liabilities.</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table below provides information at September 30, 2020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LIBOR rates at September 30, 2020.</w:t>
      </w:r>
    </w:p>
    <w:p>
      <w:pPr>
        <w:spacing w:after="0" w:line="220" w:lineRule="exact"/>
        <w:rPr>
          <w:sz w:val="20"/>
          <w:szCs w:val="20"/>
          <w:color w:val="auto"/>
        </w:rPr>
      </w:pPr>
    </w:p>
    <w:tbl>
      <w:tblPr>
        <w:tblLayout w:type="fixed"/>
        <w:tblInd w:w="2440" w:type="dxa"/>
        <w:tblCellMar>
          <w:top w:w="0" w:type="dxa"/>
          <w:left w:w="0" w:type="dxa"/>
          <w:bottom w:w="0" w:type="dxa"/>
          <w:right w:w="0" w:type="dxa"/>
        </w:tblCellMar>
      </w:tblPr>
      <w:tr>
        <w:trPr>
          <w:trHeight w:val="161"/>
        </w:trPr>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w w:val="91"/>
              </w:rPr>
              <w:t>10/01/20-</w:t>
            </w: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1/01/21-</w:t>
            </w: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auto"/>
              </w:rPr>
              <w:t>1/01/22-</w:t>
            </w:r>
          </w:p>
        </w:tc>
        <w:tc>
          <w:tcPr>
            <w:tcW w:w="1040" w:type="dxa"/>
            <w:vAlign w:val="bottom"/>
          </w:tcPr>
          <w:p>
            <w:pPr>
              <w:jc w:val="right"/>
              <w:ind w:right="208"/>
              <w:spacing w:after="0"/>
              <w:rPr>
                <w:sz w:val="20"/>
                <w:szCs w:val="20"/>
                <w:color w:val="auto"/>
              </w:rPr>
            </w:pPr>
            <w:r>
              <w:rPr>
                <w:rFonts w:ascii="Arial" w:cs="Arial" w:eastAsia="Arial" w:hAnsi="Arial"/>
                <w:sz w:val="14"/>
                <w:szCs w:val="14"/>
                <w:b w:val="1"/>
                <w:bCs w:val="1"/>
                <w:color w:val="auto"/>
              </w:rPr>
              <w:t>1/01/23-</w:t>
            </w: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1/01/24-</w:t>
            </w:r>
          </w:p>
        </w:tc>
        <w:tc>
          <w:tcPr>
            <w:tcW w:w="11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Thereafter</w:t>
            </w:r>
          </w:p>
        </w:tc>
        <w:tc>
          <w:tcPr>
            <w:tcW w:w="9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1140" w:type="dxa"/>
            <w:vAlign w:val="bottom"/>
          </w:tcPr>
          <w:p>
            <w:pPr>
              <w:jc w:val="center"/>
              <w:ind w:left="268"/>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86"/>
        </w:trPr>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w w:val="95"/>
              </w:rPr>
              <w:t>12/31/20</w:t>
            </w: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12/31/21</w:t>
            </w:r>
          </w:p>
        </w:tc>
        <w:tc>
          <w:tcPr>
            <w:tcW w:w="1020" w:type="dxa"/>
            <w:vAlign w:val="bottom"/>
          </w:tcPr>
          <w:p>
            <w:pPr>
              <w:jc w:val="right"/>
              <w:ind w:right="188"/>
              <w:spacing w:after="0"/>
              <w:rPr>
                <w:sz w:val="20"/>
                <w:szCs w:val="20"/>
                <w:color w:val="auto"/>
              </w:rPr>
            </w:pPr>
            <w:r>
              <w:rPr>
                <w:rFonts w:ascii="Arial" w:cs="Arial" w:eastAsia="Arial" w:hAnsi="Arial"/>
                <w:sz w:val="14"/>
                <w:szCs w:val="14"/>
                <w:b w:val="1"/>
                <w:bCs w:val="1"/>
                <w:color w:val="auto"/>
              </w:rPr>
              <w:t>12/31/22</w:t>
            </w:r>
          </w:p>
        </w:tc>
        <w:tc>
          <w:tcPr>
            <w:tcW w:w="1040" w:type="dxa"/>
            <w:vAlign w:val="bottom"/>
          </w:tcPr>
          <w:p>
            <w:pPr>
              <w:jc w:val="right"/>
              <w:ind w:right="188"/>
              <w:spacing w:after="0"/>
              <w:rPr>
                <w:sz w:val="20"/>
                <w:szCs w:val="20"/>
                <w:color w:val="auto"/>
              </w:rPr>
            </w:pPr>
            <w:r>
              <w:rPr>
                <w:rFonts w:ascii="Arial" w:cs="Arial" w:eastAsia="Arial" w:hAnsi="Arial"/>
                <w:sz w:val="14"/>
                <w:szCs w:val="14"/>
                <w:b w:val="1"/>
                <w:bCs w:val="1"/>
                <w:color w:val="auto"/>
              </w:rPr>
              <w:t>12/31/23</w:t>
            </w: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12/31/24</w:t>
            </w:r>
          </w:p>
        </w:tc>
        <w:tc>
          <w:tcPr>
            <w:tcW w:w="11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9/30/2020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7620</wp:posOffset>
            </wp:positionV>
            <wp:extent cx="53574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57495" cy="8890"/>
                    </a:xfrm>
                    <a:prstGeom prst="rect">
                      <a:avLst/>
                    </a:prstGeom>
                    <a:noFill/>
                  </pic:spPr>
                </pic:pic>
              </a:graphicData>
            </a:graphic>
          </wp:anchor>
        </w:drawing>
      </w:r>
    </w:p>
    <w:p>
      <w:pPr>
        <w:spacing w:after="0" w:line="10" w:lineRule="exact"/>
        <w:rPr>
          <w:sz w:val="20"/>
          <w:szCs w:val="20"/>
          <w:color w:val="auto"/>
        </w:rPr>
      </w:pPr>
    </w:p>
    <w:p>
      <w:pPr>
        <w:ind w:left="6080"/>
        <w:spacing w:after="0"/>
        <w:rPr>
          <w:sz w:val="20"/>
          <w:szCs w:val="20"/>
          <w:color w:val="auto"/>
        </w:rPr>
      </w:pPr>
      <w:r>
        <w:rPr>
          <w:rFonts w:ascii="Arial" w:cs="Arial" w:eastAsia="Arial" w:hAnsi="Arial"/>
          <w:sz w:val="14"/>
          <w:szCs w:val="14"/>
          <w:b w:val="1"/>
          <w:bCs w:val="1"/>
          <w:color w:val="auto"/>
        </w:rPr>
        <w:t>(in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Long-term debt:</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97"/>
        </w:trPr>
        <w:tc>
          <w:tcPr>
            <w:tcW w:w="2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Fixed rate</w:t>
            </w:r>
          </w:p>
        </w:tc>
        <w:tc>
          <w:tcPr>
            <w:tcW w:w="86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jc w:val="right"/>
              <w:ind w:right="24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CCEEFF"/>
            </w:tcBorders>
          </w:tcPr>
          <w:p>
            <w:pPr>
              <w:ind w:left="240"/>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CCEEFF"/>
            </w:tcBorders>
          </w:tcPr>
          <w:p>
            <w:pPr>
              <w:jc w:val="right"/>
              <w:ind w:right="20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CCEEFF"/>
            </w:tcBorders>
          </w:tcPr>
          <w:p>
            <w:pPr>
              <w:ind w:left="280"/>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CCEEFF"/>
            </w:tcBorders>
          </w:tcPr>
          <w:p>
            <w:pPr>
              <w:jc w:val="right"/>
              <w:ind w:right="22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CCEEFF"/>
            </w:tcBorders>
          </w:tcPr>
          <w:p>
            <w:pPr>
              <w:ind w:left="30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500,000</w:t>
            </w:r>
          </w:p>
        </w:tc>
        <w:tc>
          <w:tcPr>
            <w:tcW w:w="28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400,000</w:t>
            </w:r>
          </w:p>
        </w:tc>
        <w:tc>
          <w:tcPr>
            <w:tcW w:w="26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4,475,000</w:t>
            </w:r>
          </w:p>
        </w:tc>
        <w:tc>
          <w:tcPr>
            <w:tcW w:w="320" w:type="dxa"/>
            <w:vAlign w:val="bottom"/>
            <w:tcBorders>
              <w:top w:val="single" w:sz="8" w:color="CCEEFF"/>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5,375,000</w:t>
            </w:r>
          </w:p>
        </w:tc>
        <w:tc>
          <w:tcPr>
            <w:tcW w:w="420" w:type="dxa"/>
            <w:vAlign w:val="bottom"/>
            <w:tcBorders>
              <w:top w:val="single" w:sz="8" w:color="CCEEFF"/>
            </w:tcBorders>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5,802,923</w:t>
            </w:r>
          </w:p>
        </w:tc>
      </w:tr>
      <w:tr>
        <w:trPr>
          <w:trHeight w:val="208"/>
        </w:trPr>
        <w:tc>
          <w:tcPr>
            <w:tcW w:w="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Average interest rate</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5.38%</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3.35%</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4.95%</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Variable rate</w:t>
            </w:r>
          </w:p>
        </w:tc>
        <w:tc>
          <w:tcPr>
            <w:tcW w:w="8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424,019</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424,019</w:t>
            </w:r>
          </w:p>
        </w:tc>
        <w:tc>
          <w:tcPr>
            <w:tcW w:w="4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424,019</w:t>
            </w:r>
          </w:p>
        </w:tc>
      </w:tr>
      <w:tr>
        <w:trPr>
          <w:trHeight w:val="190"/>
        </w:trPr>
        <w:tc>
          <w:tcPr>
            <w:tcW w:w="20" w:type="dxa"/>
            <w:vAlign w:val="bottom"/>
          </w:tcPr>
          <w:p>
            <w:pPr>
              <w:spacing w:after="0"/>
              <w:rPr>
                <w:sz w:val="16"/>
                <w:szCs w:val="16"/>
                <w:color w:val="auto"/>
              </w:rPr>
            </w:pPr>
          </w:p>
        </w:tc>
        <w:tc>
          <w:tcPr>
            <w:tcW w:w="1880" w:type="dxa"/>
            <w:vAlign w:val="bottom"/>
            <w:gridSpan w:val="2"/>
          </w:tcPr>
          <w:p>
            <w:pPr>
              <w:ind w:left="120"/>
              <w:spacing w:after="0"/>
              <w:rPr>
                <w:sz w:val="20"/>
                <w:szCs w:val="20"/>
                <w:color w:val="auto"/>
              </w:rPr>
            </w:pPr>
            <w:r>
              <w:rPr>
                <w:rFonts w:ascii="Arial" w:cs="Arial" w:eastAsia="Arial" w:hAnsi="Arial"/>
                <w:sz w:val="14"/>
                <w:szCs w:val="14"/>
                <w:color w:val="auto"/>
              </w:rPr>
              <w:t xml:space="preserve">Average interest rate </w:t>
            </w:r>
            <w:r>
              <w:rPr>
                <w:rFonts w:ascii="Arial" w:cs="Arial" w:eastAsia="Arial" w:hAnsi="Arial"/>
                <w:sz w:val="9"/>
                <w:szCs w:val="9"/>
                <w:color w:val="auto"/>
              </w:rPr>
              <w:t>(1)</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2.32%</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43"/>
        </w:trPr>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303" w:lineRule="exact"/>
        <w:rPr>
          <w:sz w:val="20"/>
          <w:szCs w:val="20"/>
          <w:color w:val="auto"/>
        </w:rPr>
      </w:pPr>
    </w:p>
    <w:p>
      <w:pPr>
        <w:ind w:left="560" w:hanging="552"/>
        <w:spacing w:after="0"/>
        <w:tabs>
          <w:tab w:leader="none" w:pos="560" w:val="left"/>
        </w:tabs>
        <w:numPr>
          <w:ilvl w:val="0"/>
          <w:numId w:val="30"/>
        </w:numPr>
        <w:rPr>
          <w:rFonts w:ascii="Arial" w:cs="Arial" w:eastAsia="Arial" w:hAnsi="Arial"/>
          <w:sz w:val="21"/>
          <w:szCs w:val="21"/>
          <w:color w:val="auto"/>
          <w:vertAlign w:val="superscript"/>
        </w:rPr>
      </w:pPr>
      <w:r>
        <w:rPr>
          <w:rFonts w:ascii="Arial" w:cs="Arial" w:eastAsia="Arial" w:hAnsi="Arial"/>
          <w:sz w:val="16"/>
          <w:szCs w:val="16"/>
          <w:color w:val="auto"/>
        </w:rPr>
        <w:t>Estimated rate, reflective of forward LIBOR plus the spread over LIBOR applicable to variable-rate borrowing. For</w:t>
      </w:r>
    </w:p>
    <w:p>
      <w:pPr>
        <w:spacing w:after="0"/>
        <w:rPr>
          <w:sz w:val="20"/>
          <w:szCs w:val="20"/>
          <w:color w:val="auto"/>
        </w:rPr>
      </w:pPr>
      <w:r>
        <w:rPr>
          <w:rFonts w:ascii="Arial" w:cs="Arial" w:eastAsia="Arial" w:hAnsi="Arial"/>
          <w:sz w:val="16"/>
          <w:szCs w:val="16"/>
          <w:color w:val="auto"/>
        </w:rPr>
        <w:t>considerations surrounding the phase out of LIBOR refer to the discussion under the heading "Liquidity and Capital Resources" in this Form 10-Q.</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22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September 30, 2020,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September 30, 2020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w:t>
      </w:r>
    </w:p>
    <w:p>
      <w:pPr>
        <w:spacing w:after="0" w:line="6" w:lineRule="exact"/>
        <w:rPr>
          <w:sz w:val="20"/>
          <w:szCs w:val="20"/>
          <w:color w:val="auto"/>
        </w:rPr>
      </w:pPr>
    </w:p>
    <w:p>
      <w:pPr>
        <w:ind w:firstLine="8"/>
        <w:spacing w:after="0" w:line="260" w:lineRule="auto"/>
        <w:tabs>
          <w:tab w:leader="none" w:pos="2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accumulated and communicated to the Company’s management, including the Company’s principal executive officer and principal financial officer, as appropriate to allow timely decisions regarding required disclosures.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were no changes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Information in response to this Item is incorporated by reference to the information set forth in "Note 11: Commitments and Contingencies" in the Notes to the condensed consolidated financial statements in Part I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right="2480" w:firstLine="648"/>
        <w:spacing w:after="0" w:line="287" w:lineRule="auto"/>
        <w:rPr>
          <w:sz w:val="20"/>
          <w:szCs w:val="20"/>
          <w:color w:val="auto"/>
        </w:rPr>
      </w:pPr>
      <w:r>
        <w:rPr>
          <w:rFonts w:ascii="Arial" w:cs="Arial" w:eastAsia="Arial" w:hAnsi="Arial"/>
          <w:sz w:val="16"/>
          <w:szCs w:val="16"/>
          <w:color w:val="auto"/>
        </w:rPr>
        <w:t>Risk factors that affect our business and financial results are discussed in Part I, "Item 1A. Risk Factors," of our Annual Report. You should carefully consider the risks described in our Annual Report, which could materially affect our business, financial condition or future results. The risks described in our Annual Report are not the only risks we face.</w:t>
      </w:r>
    </w:p>
    <w:p>
      <w:pPr>
        <w:spacing w:after="0" w:line="2" w:lineRule="exact"/>
        <w:rPr>
          <w:sz w:val="20"/>
          <w:szCs w:val="20"/>
          <w:color w:val="auto"/>
        </w:rPr>
      </w:pPr>
    </w:p>
    <w:p>
      <w:pPr>
        <w:jc w:val="both"/>
        <w:ind w:right="2480"/>
        <w:spacing w:after="0" w:line="281" w:lineRule="auto"/>
        <w:rPr>
          <w:sz w:val="20"/>
          <w:szCs w:val="20"/>
          <w:color w:val="auto"/>
        </w:rPr>
      </w:pPr>
      <w:r>
        <w:rPr>
          <w:rFonts w:ascii="Arial" w:cs="Arial" w:eastAsia="Arial" w:hAnsi="Arial"/>
          <w:sz w:val="16"/>
          <w:szCs w:val="16"/>
          <w:color w:val="auto"/>
        </w:rPr>
        <w:t>Additional risks and uncertainties not currently known to us or that we currently deem immaterial also may materially adversely affect our business, financial condition, and/or operating results. If any of the risks actually occur, our business,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financial condition, and/or results of operations could be negatively affected. There have been no material changes in our risk factors from those previously disclosed in our Annual Report, as updated by our Quarterly Reports on Form 10-Q for the quarter ended March 31, 2020 and June 30, 2020, other than what is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has had, and may continue to have, a significant impact on our tenants' financial conditions and operations.</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December 2019, a new strain of novel coronavirus, COVID-19, was reported in China and shortly thereafter spread across the globe. This global pandemic outbreak led to unprecedented responses by federal, state and local officials that continue to rapidly evolve. Thus far, certain responses have included mandates from authorities requiring temporary closures of or imposed limitations on the operations of many businesses in the attempt to mitigate the spread of infections. Unemployment levels have risen sharply and economic activity levels have declined dramatically as a result. The United States government has implemented various significant aid packages to support the economy and credit markets to combat these declines.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casino operations and those of our tenants were forced to close temporarily in mid-March. As of the date of this filing, nearly all of our tenants' properties have reopened with capacity constraints and enhanced safety protocols. Even though most of our properties recommenced operations to encouraging results, including certain locations where earnings were higher than the corresponding period in the prior year, it is uncertain whether these strong results will continue in future periods, particularly with the potential for increased transmission of the virus as the weather turns cooler over the next several months.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did not repurchase any shares of common stock or sell any unregistered securities during the three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On October 22, 2020, the Board of Directors determined that Peter M. Carlino, age 74, the Company’s Chairman and Chief Executive Officer, would take on the additional role of acting principal financial officer, pending the outcome of the Company’s previously announced search for a new Chief Financial Officer. Information required by Items 401(b), (d), and (e) and Item 404(a) of Regulation S-K regarding Mr. Carlino was previously reported in the Company’s Definitive Proxy Statement on Schedule 14A, filed with the SEC on April 29, 2020 and incorporated herein by reference. There were no new compensatory arrangements or modifications to existing compensatory arrangements in connection with Mr. Carlino’s appointment as acting principal financial officer.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6. EXHIBITS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gridSpan w:val="2"/>
          </w:tcPr>
          <w:p>
            <w:pPr>
              <w:ind w:left="3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280" w:type="dxa"/>
            <w:vAlign w:val="bottom"/>
            <w:gridSpan w:val="4"/>
          </w:tcPr>
          <w:p>
            <w:pPr>
              <w:ind w:left="720"/>
              <w:spacing w:after="0"/>
              <w:rPr>
                <w:sz w:val="20"/>
                <w:szCs w:val="20"/>
                <w:color w:val="auto"/>
              </w:rPr>
            </w:pPr>
            <w:r>
              <w:rPr>
                <w:rFonts w:ascii="Arial" w:cs="Arial" w:eastAsia="Arial" w:hAnsi="Arial"/>
                <w:sz w:val="14"/>
                <w:szCs w:val="14"/>
                <w:b w:val="1"/>
                <w:bCs w:val="1"/>
                <w:color w:val="auto"/>
              </w:rPr>
              <w:t>Description of Exhibit</w:t>
            </w:r>
          </w:p>
        </w:tc>
      </w:tr>
      <w:tr>
        <w:trPr>
          <w:trHeight w:val="228"/>
        </w:trPr>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10.1</w:t>
            </w:r>
          </w:p>
        </w:tc>
        <w:tc>
          <w:tcPr>
            <w:tcW w:w="2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74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w w:val="91"/>
              </w:rPr>
              <w:t>Separation Agreement dated July 27, 2020 by and between the Company and Steven T. Snyder (Incorporated by reference to Exhibit</w:t>
            </w:r>
          </w:p>
        </w:tc>
      </w:tr>
      <w:tr>
        <w:trPr>
          <w:trHeight w:val="230"/>
        </w:trPr>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gridSpan w:val="6"/>
          </w:tcPr>
          <w:p>
            <w:pPr>
              <w:spacing w:after="0"/>
              <w:rPr>
                <w:sz w:val="20"/>
                <w:szCs w:val="20"/>
                <w:color w:val="auto"/>
              </w:rPr>
            </w:pPr>
            <w:r>
              <w:rPr>
                <w:rFonts w:ascii="Arial" w:cs="Arial" w:eastAsia="Arial" w:hAnsi="Arial"/>
                <w:sz w:val="18"/>
                <w:szCs w:val="18"/>
                <w:color w:val="auto"/>
              </w:rPr>
              <w:t>10.1 to the Company's current report on Form 8-K, filed on July 29, 2020).</w:t>
            </w:r>
          </w:p>
        </w:tc>
      </w:tr>
      <w:tr>
        <w:trPr>
          <w:trHeight w:val="270"/>
        </w:trPr>
        <w:tc>
          <w:tcPr>
            <w:tcW w:w="1180" w:type="dxa"/>
            <w:vAlign w:val="bottom"/>
          </w:tcPr>
          <w:p>
            <w:pPr>
              <w:jc w:val="center"/>
              <w:spacing w:after="0"/>
              <w:rPr>
                <w:sz w:val="20"/>
                <w:szCs w:val="20"/>
                <w:color w:val="auto"/>
              </w:rPr>
            </w:pPr>
            <w:r>
              <w:rPr>
                <w:rFonts w:ascii="Arial" w:cs="Arial" w:eastAsia="Arial" w:hAnsi="Arial"/>
                <w:sz w:val="18"/>
                <w:szCs w:val="18"/>
                <w:color w:val="auto"/>
                <w:w w:val="95"/>
              </w:rPr>
              <w:t>22.1*</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40" w:type="dxa"/>
            <w:vAlign w:val="bottom"/>
            <w:gridSpan w:val="6"/>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List of Subsidiary Issuers of Guaranteed Securities</w:t>
              </w:r>
            </w:hyperlink>
          </w:p>
        </w:tc>
      </w:tr>
      <w:tr>
        <w:trPr>
          <w:trHeight w:val="216"/>
        </w:trPr>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95"/>
              </w:rPr>
              <w:t>31.1*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6"/>
          </w:tcPr>
          <w:p>
            <w:pPr>
              <w:spacing w:after="0" w:line="196" w:lineRule="exact"/>
              <w:rPr>
                <w:rFonts w:ascii="Arial" w:cs="Arial" w:eastAsia="Arial" w:hAnsi="Arial"/>
                <w:sz w:val="18"/>
                <w:szCs w:val="18"/>
                <w:color w:val="auto"/>
                <w:w w:val="96"/>
              </w:rPr>
            </w:pPr>
            <w:hyperlink w:anchor="page52">
              <w:r>
                <w:rPr>
                  <w:rFonts w:ascii="Arial" w:cs="Arial" w:eastAsia="Arial" w:hAnsi="Arial"/>
                  <w:sz w:val="18"/>
                  <w:szCs w:val="18"/>
                  <w:color w:val="auto"/>
                  <w:w w:val="96"/>
                </w:rPr>
                <w:t xml:space="preserve">Principal Executive Officer and Principal Financial Officer </w:t>
              </w:r>
              <w:r>
                <w:rPr>
                  <w:rFonts w:ascii="Arial" w:cs="Arial" w:eastAsia="Arial" w:hAnsi="Arial"/>
                  <w:sz w:val="18"/>
                  <w:szCs w:val="18"/>
                  <w:color w:val="0000FF"/>
                  <w:w w:val="96"/>
                </w:rPr>
                <w:t>Certification pursuant to Rule 13a-14(a) or 15d-14(a) of the Securities</w:t>
              </w:r>
            </w:hyperlink>
          </w:p>
        </w:tc>
      </w:tr>
      <w:tr>
        <w:trPr>
          <w:trHeight w:val="155"/>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gridSpan w:val="3"/>
          </w:tcPr>
          <w:p>
            <w:pPr>
              <w:spacing w:after="0" w:line="156" w:lineRule="exact"/>
              <w:rPr>
                <w:rFonts w:ascii="Arial" w:cs="Arial" w:eastAsia="Arial" w:hAnsi="Arial"/>
                <w:sz w:val="18"/>
                <w:szCs w:val="18"/>
                <w:color w:val="0000FF"/>
              </w:rPr>
            </w:pPr>
            <w:hyperlink w:anchor="page52">
              <w:r>
                <w:rPr>
                  <w:rFonts w:ascii="Arial" w:cs="Arial" w:eastAsia="Arial" w:hAnsi="Arial"/>
                  <w:sz w:val="18"/>
                  <w:szCs w:val="18"/>
                  <w:color w:val="0000FF"/>
                </w:rPr>
                <w:t>Exchange Act of 1934.</w:t>
              </w:r>
            </w:hyperlink>
          </w:p>
        </w:tc>
        <w:tc>
          <w:tcPr>
            <w:tcW w:w="508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95"/>
              </w:rPr>
              <w:t>32.1*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6"/>
          </w:tcPr>
          <w:p>
            <w:pPr>
              <w:spacing w:after="0" w:line="196" w:lineRule="exact"/>
              <w:rPr>
                <w:rFonts w:ascii="Arial" w:cs="Arial" w:eastAsia="Arial" w:hAnsi="Arial"/>
                <w:sz w:val="18"/>
                <w:szCs w:val="18"/>
                <w:color w:val="auto"/>
                <w:w w:val="93"/>
              </w:rPr>
            </w:pPr>
            <w:hyperlink w:anchor="page53">
              <w:r>
                <w:rPr>
                  <w:rFonts w:ascii="Arial" w:cs="Arial" w:eastAsia="Arial" w:hAnsi="Arial"/>
                  <w:sz w:val="18"/>
                  <w:szCs w:val="18"/>
                  <w:color w:val="auto"/>
                  <w:w w:val="93"/>
                </w:rPr>
                <w:t xml:space="preserve">Principal Executive Officer and Principal Financial Officer </w:t>
              </w:r>
              <w:r>
                <w:rPr>
                  <w:rFonts w:ascii="Arial" w:cs="Arial" w:eastAsia="Arial" w:hAnsi="Arial"/>
                  <w:sz w:val="18"/>
                  <w:szCs w:val="18"/>
                  <w:color w:val="0000FF"/>
                  <w:w w:val="93"/>
                </w:rPr>
                <w:t>Certification pursuant to 18 U.S.C. Section 1350, as adopted pursuant to</w:t>
              </w:r>
            </w:hyperlink>
          </w:p>
        </w:tc>
      </w:tr>
      <w:tr>
        <w:trPr>
          <w:trHeight w:val="155"/>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gridSpan w:val="3"/>
          </w:tcPr>
          <w:p>
            <w:pPr>
              <w:spacing w:after="0" w:line="156" w:lineRule="exact"/>
              <w:rPr>
                <w:rFonts w:ascii="Arial" w:cs="Arial" w:eastAsia="Arial" w:hAnsi="Arial"/>
                <w:sz w:val="18"/>
                <w:szCs w:val="18"/>
                <w:color w:val="0000FF"/>
              </w:rPr>
            </w:pPr>
            <w:hyperlink w:anchor="page53">
              <w:r>
                <w:rPr>
                  <w:rFonts w:ascii="Arial" w:cs="Arial" w:eastAsia="Arial" w:hAnsi="Arial"/>
                  <w:sz w:val="18"/>
                  <w:szCs w:val="18"/>
                  <w:color w:val="0000FF"/>
                </w:rPr>
                <w:t>Section 906 of the Sarbanes-Oxley Act of 2002.</w:t>
              </w:r>
            </w:hyperlink>
          </w:p>
        </w:tc>
        <w:tc>
          <w:tcPr>
            <w:tcW w:w="5240" w:type="dxa"/>
            <w:vAlign w:val="bottom"/>
            <w:tcBorders>
              <w:top w:val="single" w:sz="8" w:color="0000FF"/>
            </w:tcBorders>
            <w:gridSpan w:val="2"/>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left="1400" w:right="100" w:hanging="940"/>
        <w:spacing w:after="0" w:line="279" w:lineRule="auto"/>
        <w:tabs>
          <w:tab w:leader="none" w:pos="1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following financial information from Gaming and Leisure Properties, Inc.'s Quarterly Report on Form 10-Q for the quarter ended September 30, 2020, formatted in Inline XBRL: (i) Condensed Consolidated Balance Sheets, ii) Condensed Consolidated Statements of Income, (iii) Condensed Consolidated Statements of Changes in Shareholders’ Equity, (iv) Condensed Consolidated Statements of Cash Flows and (v) Notes to the Condensed Consolidated Financial Statements.</w:t>
      </w:r>
    </w:p>
    <w:p>
      <w:pPr>
        <w:spacing w:after="0" w:line="9" w:lineRule="exact"/>
        <w:rPr>
          <w:sz w:val="20"/>
          <w:szCs w:val="20"/>
          <w:color w:val="auto"/>
        </w:rPr>
      </w:pPr>
    </w:p>
    <w:p>
      <w:pPr>
        <w:ind w:left="1400" w:right="300" w:hanging="940"/>
        <w:spacing w:after="0" w:line="277" w:lineRule="auto"/>
        <w:tabs>
          <w:tab w:leader="none" w:pos="14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September 30, 2020, formatted in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xml:space="preserve">*  </w:t>
      </w:r>
      <w:r>
        <w:rPr>
          <w:rFonts w:ascii="Arial" w:cs="Arial" w:eastAsia="Arial" w:hAnsi="Arial"/>
          <w:sz w:val="17"/>
          <w:szCs w:val="17"/>
          <w:color w:val="auto"/>
        </w:rPr>
        <w:t>Filed or furnished, as applicable,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170561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49" w:name="page50"/>
    <w:bookmarkEnd w:id="49"/>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GAMING AND LEISURE PROPERTIES, INC.</w:t>
      </w:r>
    </w:p>
    <w:p>
      <w:pPr>
        <w:spacing w:after="0" w:line="333" w:lineRule="exact"/>
        <w:rPr>
          <w:sz w:val="20"/>
          <w:szCs w:val="20"/>
          <w:color w:val="auto"/>
        </w:rPr>
      </w:pPr>
    </w:p>
    <w:p>
      <w:pPr>
        <w:ind w:left="20"/>
        <w:spacing w:after="0"/>
        <w:tabs>
          <w:tab w:leader="none" w:pos="5240" w:val="left"/>
          <w:tab w:leader="none" w:pos="5920" w:val="left"/>
        </w:tabs>
        <w:rPr>
          <w:sz w:val="20"/>
          <w:szCs w:val="20"/>
          <w:color w:val="auto"/>
        </w:rPr>
      </w:pPr>
      <w:r>
        <w:rPr>
          <w:rFonts w:ascii="Arial" w:cs="Arial" w:eastAsia="Arial" w:hAnsi="Arial"/>
          <w:sz w:val="18"/>
          <w:szCs w:val="18"/>
          <w:color w:val="auto"/>
        </w:rPr>
        <w:t>October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Peter M. Carlino</w:t>
      </w:r>
    </w:p>
    <w:p>
      <w:pPr>
        <w:spacing w:after="0" w:line="6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Peter M. Carlino</w:t>
      </w:r>
    </w:p>
    <w:p>
      <w:pPr>
        <w:spacing w:after="0" w:line="6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20"/>
          </w:cols>
          <w:pgMar w:left="320" w:top="891" w:right="65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22.1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List of Subsidiary Issuers of Guaranteed Securities</w:t>
      </w:r>
    </w:p>
    <w:p>
      <w:pPr>
        <w:spacing w:after="0" w:line="158" w:lineRule="exact"/>
        <w:rPr>
          <w:sz w:val="20"/>
          <w:szCs w:val="20"/>
          <w:color w:val="auto"/>
        </w:rPr>
      </w:pPr>
    </w:p>
    <w:p>
      <w:pPr>
        <w:ind w:right="20"/>
        <w:spacing w:after="0" w:line="274" w:lineRule="auto"/>
        <w:rPr>
          <w:sz w:val="20"/>
          <w:szCs w:val="20"/>
          <w:color w:val="auto"/>
        </w:rPr>
      </w:pPr>
      <w:r>
        <w:rPr>
          <w:rFonts w:ascii="Arial" w:cs="Arial" w:eastAsia="Arial" w:hAnsi="Arial"/>
          <w:sz w:val="21"/>
          <w:szCs w:val="21"/>
          <w:color w:val="auto"/>
        </w:rPr>
        <w:t>The following subsidiaries of Gaming and Leisure Properties, Inc. (the “Company”) were, as of September 30, 2020, issuers of the (i) $500 million 5.375% senior unsecured notes due November 2023, (ii) $400 million 3.35% senior unsecured notes due September 2024, (iii) $850 million 5.25% senior unsecured notes due June 2025, (iv) $975 million 5.375% senior unsecured notes due April 2026, (v) $500 million 5.75% senior unsecured notes due June 2028, (vi) $750 million 5.30% senior unsecured notes due January 2029, (vii) $700 million 4.00% senior unsecured notes due January 2030 and (viii) $700 million 4.000% senior unsecured notes due January 2031, each guaranteed by the Company:</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Entity</w:t>
            </w:r>
          </w:p>
        </w:tc>
        <w:tc>
          <w:tcPr>
            <w:tcW w:w="55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Jurisdiction of Incorporation or Formation</w:t>
            </w:r>
          </w:p>
        </w:tc>
      </w:tr>
      <w:tr>
        <w:trPr>
          <w:trHeight w:val="290"/>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GLP Capital, L.P.</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Pennsylvania</w:t>
            </w:r>
          </w:p>
        </w:tc>
      </w:tr>
      <w:tr>
        <w:trPr>
          <w:trHeight w:val="291"/>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GLP Financing II, Inc.</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Delaware</w:t>
            </w:r>
          </w:p>
        </w:tc>
      </w:tr>
    </w:tbl>
    <w:p>
      <w:pPr>
        <w:sectPr>
          <w:pgSz w:w="11900" w:h="16838" w:orient="portrait"/>
          <w:cols w:equalWidth="0" w:num="1">
            <w:col w:w="11240"/>
          </w:cols>
          <w:pgMar w:left="320" w:top="1422"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M. Carlino, certify that:</w:t>
      </w:r>
    </w:p>
    <w:p>
      <w:pPr>
        <w:spacing w:after="0" w:line="225" w:lineRule="exact"/>
        <w:rPr>
          <w:sz w:val="20"/>
          <w:szCs w:val="20"/>
          <w:color w:val="auto"/>
        </w:rPr>
      </w:pPr>
    </w:p>
    <w:p>
      <w:pPr>
        <w:ind w:left="680" w:hanging="672"/>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Gaming and Leisure Properties, Inc.;</w:t>
      </w:r>
    </w:p>
    <w:p>
      <w:pPr>
        <w:spacing w:after="0" w:line="225" w:lineRule="exact"/>
        <w:rPr>
          <w:rFonts w:ascii="Arial" w:cs="Arial" w:eastAsia="Arial" w:hAnsi="Arial"/>
          <w:sz w:val="18"/>
          <w:szCs w:val="18"/>
          <w:color w:val="auto"/>
        </w:rPr>
      </w:pPr>
    </w:p>
    <w:p>
      <w:pPr>
        <w:ind w:right="80" w:firstLine="8"/>
        <w:spacing w:after="0" w:line="342" w:lineRule="auto"/>
        <w:tabs>
          <w:tab w:leader="none" w:pos="679"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8"/>
        <w:spacing w:after="0" w:line="277" w:lineRule="auto"/>
        <w:tabs>
          <w:tab w:leader="none" w:pos="679"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00" w:firstLine="8"/>
        <w:spacing w:after="0" w:line="308" w:lineRule="auto"/>
        <w:tabs>
          <w:tab w:leader="none" w:pos="634" w:val="left"/>
        </w:tabs>
        <w:numPr>
          <w:ilvl w:val="0"/>
          <w:numId w:val="34"/>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7"/>
          <w:szCs w:val="17"/>
          <w:color w:val="auto"/>
        </w:rPr>
      </w:pPr>
    </w:p>
    <w:p>
      <w:pPr>
        <w:ind w:right="360" w:firstLine="656"/>
        <w:spacing w:after="0" w:line="263" w:lineRule="auto"/>
        <w:tabs>
          <w:tab w:leader="none" w:pos="132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right="40" w:firstLine="656"/>
        <w:spacing w:after="0" w:line="263" w:lineRule="auto"/>
        <w:tabs>
          <w:tab w:leader="none" w:pos="103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40" w:firstLine="656"/>
        <w:spacing w:after="0" w:line="342" w:lineRule="auto"/>
        <w:tabs>
          <w:tab w:leader="none" w:pos="1311"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200" w:firstLine="656"/>
        <w:spacing w:after="0" w:line="263" w:lineRule="auto"/>
        <w:tabs>
          <w:tab w:leader="none" w:pos="1312"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700" w:firstLine="8"/>
        <w:spacing w:after="0" w:line="277" w:lineRule="auto"/>
        <w:tabs>
          <w:tab w:leader="none" w:pos="679"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right="420" w:firstLine="656"/>
        <w:spacing w:after="0" w:line="308" w:lineRule="auto"/>
        <w:tabs>
          <w:tab w:leader="none" w:pos="1325"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100" w:firstLine="656"/>
        <w:spacing w:after="0" w:line="277" w:lineRule="auto"/>
        <w:tabs>
          <w:tab w:leader="none" w:pos="133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660" w:val="left"/>
          <w:tab w:leader="none" w:pos="6520" w:val="left"/>
        </w:tabs>
        <w:rPr>
          <w:sz w:val="20"/>
          <w:szCs w:val="20"/>
          <w:color w:val="auto"/>
        </w:rPr>
      </w:pPr>
      <w:r>
        <w:rPr>
          <w:rFonts w:ascii="Arial" w:cs="Arial" w:eastAsia="Arial" w:hAnsi="Arial"/>
          <w:sz w:val="18"/>
          <w:szCs w:val="18"/>
          <w:color w:val="auto"/>
        </w:rPr>
        <w:t>Date:</w:t>
        <w:tab/>
        <w:t>October 28, 2020</w:t>
      </w:r>
      <w:r>
        <w:rPr>
          <w:sz w:val="20"/>
          <w:szCs w:val="20"/>
          <w:color w:val="auto"/>
        </w:rPr>
        <w:tab/>
      </w:r>
      <w:r>
        <w:rPr>
          <w:rFonts w:ascii="Arial" w:cs="Arial" w:eastAsia="Arial" w:hAnsi="Arial"/>
          <w:sz w:val="16"/>
          <w:szCs w:val="16"/>
          <w:u w:val="single" w:color="auto"/>
          <w:color w:val="242424"/>
        </w:rPr>
        <w:t>/s/ Peter M. Carlino</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Peter M. Carlino</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Chief Executive Officer and Principal Financial Officer</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quarterly report of Gaming and Leisure Properties, Inc. (the “Company”) on Form 10-Q for the quarter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2020, as filed with the Securities and Exchange Commission on the date hereof (the “Report”), I, Peter M. Carlino,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Principal Financial Officer of the Company, certify, pursuant to Section 906 of the Sarbanes-Oxley Act of 2002, 18 U.S.C. Section 1350, that, to my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knowledge:</w:t>
      </w:r>
    </w:p>
    <w:p>
      <w:pPr>
        <w:spacing w:after="0" w:line="211" w:lineRule="exact"/>
        <w:rPr>
          <w:sz w:val="20"/>
          <w:szCs w:val="20"/>
          <w:color w:val="auto"/>
        </w:rPr>
      </w:pPr>
    </w:p>
    <w:p>
      <w:pPr>
        <w:ind w:left="1340" w:hanging="684"/>
        <w:spacing w:after="0"/>
        <w:tabs>
          <w:tab w:leader="none" w:pos="1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40" w:hanging="684"/>
        <w:spacing w:after="0"/>
        <w:tabs>
          <w:tab w:leader="none" w:pos="1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Peter M. Carlino</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Peter M. Carlino</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7111365</wp:posOffset>
            </wp:positionH>
            <wp:positionV relativeFrom="paragraph">
              <wp:posOffset>31750</wp:posOffset>
            </wp:positionV>
            <wp:extent cx="889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4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Date: October 28, 2020</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2"/>
    </w:lvl>
  </w:abstractNum>
  <w:abstractNum w:abstractNumId="6">
    <w:nsid w:val="628C895D"/>
    <w:multiLevelType w:val="hybridMultilevel"/>
    <w:lvl w:ilvl="0">
      <w:lvlJc w:val="left"/>
      <w:lvlText w:val="%1."/>
      <w:numFmt w:val="decimal"/>
      <w:start w:val="4"/>
    </w:lvl>
  </w:abstractNum>
  <w:abstractNum w:abstractNumId="7">
    <w:nsid w:val="333AB105"/>
    <w:multiLevelType w:val="hybridMultilevel"/>
    <w:lvl w:ilvl="0">
      <w:lvlJc w:val="left"/>
      <w:lvlText w:val="%1."/>
      <w:numFmt w:val="decimal"/>
      <w:start w:val="5"/>
    </w:lvl>
  </w:abstractNum>
  <w:abstractNum w:abstractNumId="8">
    <w:nsid w:val="721DA317"/>
    <w:multiLevelType w:val="hybridMultilevel"/>
    <w:lvl w:ilvl="0">
      <w:lvlJc w:val="left"/>
      <w:lvlText w:val="%1."/>
      <w:numFmt w:val="decimal"/>
      <w:start w:val="7"/>
    </w:lvl>
  </w:abstractNum>
  <w:abstractNum w:abstractNumId="9">
    <w:nsid w:val="2443A858"/>
    <w:multiLevelType w:val="hybridMultilevel"/>
    <w:lvl w:ilvl="0">
      <w:lvlJc w:val="left"/>
      <w:lvlText w:val="%1."/>
      <w:numFmt w:val="decimal"/>
      <w:start w:val="8"/>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lvl w:ilvl="1">
      <w:lvlJc w:val="left"/>
      <w:lvlText w:val="(%2)"/>
      <w:numFmt w:val="decimal"/>
      <w:start w:val="1"/>
    </w:lvl>
  </w:abstractNum>
  <w:abstractNum w:abstractNumId="12">
    <w:nsid w:val="75A2A8D4"/>
    <w:multiLevelType w:val="hybridMultilevel"/>
    <w:lvl w:ilvl="0">
      <w:lvlJc w:val="left"/>
      <w:lvlText w:val="%1."/>
      <w:numFmt w:val="decimal"/>
      <w:start w:val="9"/>
    </w:lvl>
    <w:lvl w:ilvl="1">
      <w:lvlJc w:val="left"/>
      <w:lvlText w:val="%2"/>
      <w:numFmt w:val="decimal"/>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decimal"/>
      <w:start w:val="11"/>
    </w:lvl>
  </w:abstractNum>
  <w:abstractNum w:abstractNumId="15">
    <w:nsid w:val="4353D0CD"/>
    <w:multiLevelType w:val="hybridMultilevel"/>
    <w:lvl w:ilvl="0">
      <w:lvlJc w:val="left"/>
      <w:lvlText w:val="\endash "/>
      <w:numFmt w:val="bullet"/>
      <w:start w:val="1"/>
    </w:lvl>
  </w:abstractNum>
  <w:abstractNum w:abstractNumId="16">
    <w:nsid w:val="B03E0C6"/>
    <w:multiLevelType w:val="hybridMultilevel"/>
    <w:lvl w:ilvl="0">
      <w:lvlJc w:val="left"/>
      <w:lvlText w:val="(%1)"/>
      <w:numFmt w:val="decimal"/>
      <w:start w:val="2"/>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4"/>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lowerRoman"/>
      <w:start w:val="2"/>
    </w:lvl>
  </w:abstractNum>
  <w:abstractNum w:abstractNumId="22">
    <w:nsid w:val="2901D82"/>
    <w:multiLevelType w:val="hybridMultilevel"/>
    <w:lvl w:ilvl="0">
      <w:lvlJc w:val="left"/>
      <w:lvlText w:val="(%1)"/>
      <w:numFmt w:val="lowerRoman"/>
      <w:start w:val="7"/>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lowerRoman"/>
      <w:start w:val="2"/>
    </w:lvl>
  </w:abstractNum>
  <w:abstractNum w:abstractNumId="31">
    <w:nsid w:val="3006C83E"/>
    <w:multiLevelType w:val="hybridMultilevel"/>
    <w:lvl w:ilvl="0">
      <w:lvlJc w:val="left"/>
      <w:lvlText w:val="%1"/>
      <w:numFmt w:val="decimal"/>
      <w:start w:val="101"/>
    </w:lvl>
  </w:abstractNum>
  <w:abstractNum w:abstractNumId="32">
    <w:nsid w:val="614FD4A1"/>
    <w:multiLevelType w:val="hybridMultilevel"/>
    <w:lvl w:ilvl="0">
      <w:lvlJc w:val="left"/>
      <w:lvlText w:val="*"/>
      <w:numFmt w:val="bullet"/>
      <w:start w:val="1"/>
    </w:lvl>
    <w:lvl w:ilvl="1">
      <w:lvlJc w:val="left"/>
      <w:lvlText w:val="%2"/>
      <w:numFmt w:val="decimal"/>
      <w:start w:val="104"/>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2020-10-28T05:17:49Z</dcterms:created>
  <dcterms:modified xsi:type="dcterms:W3CDTF">2020-10-28T05:17:49Z</dcterms:modified>
</cp:coreProperties>
</file>