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40"/>
        <w:spacing w:after="0"/>
        <w:rPr>
          <w:sz w:val="20"/>
          <w:szCs w:val="20"/>
          <w:color w:val="auto"/>
        </w:rPr>
      </w:pPr>
      <w:r>
        <w:rPr>
          <w:rFonts w:ascii="Arial" w:cs="Arial" w:eastAsia="Arial" w:hAnsi="Arial"/>
          <w:sz w:val="27"/>
          <w:szCs w:val="27"/>
          <w:b w:val="1"/>
          <w:bCs w:val="1"/>
          <w:color w:val="auto"/>
        </w:rPr>
        <w:t>FORM 10-Q</w:t>
      </w:r>
    </w:p>
    <w:p>
      <w:pPr>
        <w:spacing w:after="0" w:line="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9"/>
          <w:szCs w:val="19"/>
          <w:b w:val="1"/>
          <w:bCs w:val="1"/>
          <w:color w:val="auto"/>
        </w:rPr>
        <w:t>QUARTERLY REPORT PURSUANT TO SECTION 13 OR 15(d) OF THE SECURITIES EXCHANGE ACT OF 1934</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1" w:lineRule="exact"/>
        <w:rPr>
          <w:sz w:val="24"/>
          <w:szCs w:val="24"/>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4" w:lineRule="exact"/>
        <w:rPr>
          <w:sz w:val="24"/>
          <w:szCs w:val="24"/>
          <w:color w:val="auto"/>
        </w:rPr>
      </w:pPr>
    </w:p>
    <w:p>
      <w:pPr>
        <w:ind w:left="40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001-36124</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Gaming and Leisure Properties, Inc.</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820" w:type="dxa"/>
        <w:tblCellMar>
          <w:top w:w="0" w:type="dxa"/>
          <w:left w:w="0" w:type="dxa"/>
          <w:bottom w:w="0" w:type="dxa"/>
          <w:right w:w="0" w:type="dxa"/>
        </w:tblCellMar>
      </w:tblPr>
      <w:tr>
        <w:trPr>
          <w:trHeight w:val="234"/>
        </w:trPr>
        <w:tc>
          <w:tcPr>
            <w:tcW w:w="4100" w:type="dxa"/>
            <w:vAlign w:val="bottom"/>
          </w:tcPr>
          <w:p>
            <w:pPr>
              <w:jc w:val="center"/>
              <w:ind w:right="1830"/>
              <w:spacing w:after="0"/>
              <w:rPr>
                <w:sz w:val="20"/>
                <w:szCs w:val="20"/>
                <w:color w:val="auto"/>
              </w:rPr>
            </w:pPr>
            <w:r>
              <w:rPr>
                <w:rFonts w:ascii="Arial" w:cs="Arial" w:eastAsia="Arial" w:hAnsi="Arial"/>
                <w:sz w:val="18"/>
                <w:szCs w:val="18"/>
                <w:b w:val="1"/>
                <w:bCs w:val="1"/>
                <w:color w:val="auto"/>
                <w:w w:val="88"/>
              </w:rPr>
              <w:t>Pennsylvania</w:t>
            </w:r>
          </w:p>
        </w:tc>
        <w:tc>
          <w:tcPr>
            <w:tcW w:w="3280" w:type="dxa"/>
            <w:vAlign w:val="bottom"/>
          </w:tcPr>
          <w:p>
            <w:pPr>
              <w:jc w:val="center"/>
              <w:ind w:left="1850"/>
              <w:spacing w:after="0"/>
              <w:rPr>
                <w:sz w:val="20"/>
                <w:szCs w:val="20"/>
                <w:color w:val="auto"/>
              </w:rPr>
            </w:pPr>
            <w:r>
              <w:rPr>
                <w:rFonts w:ascii="Arial" w:cs="Arial" w:eastAsia="Arial" w:hAnsi="Arial"/>
                <w:sz w:val="18"/>
                <w:szCs w:val="18"/>
                <w:b w:val="1"/>
                <w:bCs w:val="1"/>
                <w:color w:val="auto"/>
                <w:w w:val="89"/>
              </w:rPr>
              <w:t>46-2116489</w:t>
            </w:r>
          </w:p>
        </w:tc>
      </w:tr>
      <w:tr>
        <w:trPr>
          <w:trHeight w:val="270"/>
        </w:trPr>
        <w:tc>
          <w:tcPr>
            <w:tcW w:w="4100" w:type="dxa"/>
            <w:vAlign w:val="bottom"/>
          </w:tcPr>
          <w:p>
            <w:pPr>
              <w:jc w:val="center"/>
              <w:ind w:right="1850"/>
              <w:spacing w:after="0"/>
              <w:rPr>
                <w:sz w:val="20"/>
                <w:szCs w:val="20"/>
                <w:color w:val="auto"/>
              </w:rPr>
            </w:pPr>
            <w:r>
              <w:rPr>
                <w:rFonts w:ascii="Arial" w:cs="Arial" w:eastAsia="Arial" w:hAnsi="Arial"/>
                <w:sz w:val="18"/>
                <w:szCs w:val="18"/>
                <w:color w:val="auto"/>
                <w:w w:val="92"/>
              </w:rPr>
              <w:t>(State or other jurisdiction of</w:t>
            </w:r>
          </w:p>
        </w:tc>
        <w:tc>
          <w:tcPr>
            <w:tcW w:w="3280" w:type="dxa"/>
            <w:vAlign w:val="bottom"/>
          </w:tcPr>
          <w:p>
            <w:pPr>
              <w:jc w:val="center"/>
              <w:ind w:left="1850"/>
              <w:spacing w:after="0"/>
              <w:rPr>
                <w:sz w:val="20"/>
                <w:szCs w:val="20"/>
                <w:color w:val="auto"/>
              </w:rPr>
            </w:pPr>
            <w:r>
              <w:rPr>
                <w:rFonts w:ascii="Arial" w:cs="Arial" w:eastAsia="Arial" w:hAnsi="Arial"/>
                <w:sz w:val="18"/>
                <w:szCs w:val="18"/>
                <w:color w:val="auto"/>
                <w:w w:val="92"/>
              </w:rPr>
              <w:t>(I.R.S. Employer</w:t>
            </w:r>
          </w:p>
        </w:tc>
      </w:tr>
      <w:tr>
        <w:trPr>
          <w:trHeight w:val="270"/>
        </w:trPr>
        <w:tc>
          <w:tcPr>
            <w:tcW w:w="4100" w:type="dxa"/>
            <w:vAlign w:val="bottom"/>
          </w:tcPr>
          <w:p>
            <w:pPr>
              <w:jc w:val="center"/>
              <w:ind w:right="1850"/>
              <w:spacing w:after="0"/>
              <w:rPr>
                <w:sz w:val="20"/>
                <w:szCs w:val="20"/>
                <w:color w:val="auto"/>
              </w:rPr>
            </w:pPr>
            <w:r>
              <w:rPr>
                <w:rFonts w:ascii="Arial" w:cs="Arial" w:eastAsia="Arial" w:hAnsi="Arial"/>
                <w:sz w:val="18"/>
                <w:szCs w:val="18"/>
                <w:color w:val="auto"/>
                <w:w w:val="92"/>
              </w:rPr>
              <w:t>incorporation or organization)</w:t>
            </w:r>
          </w:p>
        </w:tc>
        <w:tc>
          <w:tcPr>
            <w:tcW w:w="3280" w:type="dxa"/>
            <w:vAlign w:val="bottom"/>
          </w:tcPr>
          <w:p>
            <w:pPr>
              <w:jc w:val="center"/>
              <w:ind w:left="1850"/>
              <w:spacing w:after="0"/>
              <w:rPr>
                <w:sz w:val="20"/>
                <w:szCs w:val="20"/>
                <w:color w:val="auto"/>
              </w:rPr>
            </w:pPr>
            <w:r>
              <w:rPr>
                <w:rFonts w:ascii="Arial" w:cs="Arial" w:eastAsia="Arial" w:hAnsi="Arial"/>
                <w:sz w:val="18"/>
                <w:szCs w:val="18"/>
                <w:color w:val="auto"/>
                <w:w w:val="95"/>
              </w:rPr>
              <w:t>Identification No.)</w:t>
            </w:r>
          </w:p>
        </w:tc>
      </w:tr>
    </w:tbl>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845 Berkshire Blvd., Suite 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Wyomissing, PA 19610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 (Zip Code)</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610-401-2900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101" w:lineRule="exact"/>
        <w:rPr>
          <w:sz w:val="24"/>
          <w:szCs w:val="24"/>
          <w:color w:val="auto"/>
        </w:rPr>
      </w:pPr>
    </w:p>
    <w:p>
      <w:pPr>
        <w:jc w:val="both"/>
        <w:ind w:right="180" w:firstLine="324"/>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76" w:lineRule="exact"/>
        <w:rPr>
          <w:sz w:val="24"/>
          <w:szCs w:val="24"/>
          <w:color w:val="auto"/>
        </w:rPr>
      </w:pPr>
    </w:p>
    <w:p>
      <w:pPr>
        <w:jc w:val="both"/>
        <w:ind w:right="40" w:firstLine="367"/>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7"/>
          <w:szCs w:val="17"/>
          <w:color w:val="auto"/>
        </w:rPr>
        <w:t>☐</w:t>
      </w:r>
    </w:p>
    <w:p>
      <w:pPr>
        <w:spacing w:after="0" w:line="89" w:lineRule="exact"/>
        <w:rPr>
          <w:sz w:val="24"/>
          <w:szCs w:val="24"/>
          <w:color w:val="auto"/>
        </w:rPr>
      </w:pPr>
    </w:p>
    <w:p>
      <w:pPr>
        <w:ind w:firstLine="367"/>
        <w:spacing w:after="0" w:line="27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1240" w:type="dxa"/>
        <w:tblCellMar>
          <w:top w:w="0" w:type="dxa"/>
          <w:left w:w="0" w:type="dxa"/>
          <w:bottom w:w="0" w:type="dxa"/>
          <w:right w:w="0" w:type="dxa"/>
        </w:tblCellMar>
      </w:tblPr>
      <w:tr>
        <w:trPr>
          <w:trHeight w:val="283"/>
        </w:trPr>
        <w:tc>
          <w:tcPr>
            <w:tcW w:w="4760" w:type="dxa"/>
            <w:vAlign w:val="bottom"/>
          </w:tcPr>
          <w:p>
            <w:pPr>
              <w:jc w:val="center"/>
              <w:ind w:right="1350"/>
              <w:spacing w:after="0"/>
              <w:rPr>
                <w:sz w:val="20"/>
                <w:szCs w:val="20"/>
                <w:color w:val="auto"/>
              </w:rPr>
            </w:pPr>
            <w:r>
              <w:rPr>
                <w:rFonts w:ascii="Arial" w:cs="Arial" w:eastAsia="Arial" w:hAnsi="Arial"/>
                <w:sz w:val="18"/>
                <w:szCs w:val="18"/>
                <w:color w:val="auto"/>
                <w:w w:val="91"/>
              </w:rPr>
              <w:t>Large accelerated filer x</w:t>
            </w:r>
          </w:p>
        </w:tc>
        <w:tc>
          <w:tcPr>
            <w:tcW w:w="3620" w:type="dxa"/>
            <w:vAlign w:val="bottom"/>
          </w:tcPr>
          <w:p>
            <w:pPr>
              <w:jc w:val="center"/>
              <w:ind w:left="1350"/>
              <w:spacing w:after="0" w:line="207" w:lineRule="exact"/>
              <w:rPr>
                <w:sz w:val="20"/>
                <w:szCs w:val="20"/>
                <w:color w:val="auto"/>
              </w:rPr>
            </w:pPr>
            <w:r>
              <w:rPr>
                <w:rFonts w:ascii="Arial" w:cs="Arial" w:eastAsia="Arial" w:hAnsi="Arial"/>
                <w:sz w:val="18"/>
                <w:szCs w:val="18"/>
                <w:color w:val="auto"/>
                <w:w w:val="93"/>
              </w:rPr>
              <w:t xml:space="preserve">Accelerated filer </w:t>
            </w:r>
            <w:r>
              <w:rPr>
                <w:rFonts w:ascii="MS PGothic" w:cs="MS PGothic" w:eastAsia="MS PGothic" w:hAnsi="MS PGothic"/>
                <w:sz w:val="18"/>
                <w:szCs w:val="18"/>
                <w:color w:val="auto"/>
                <w:w w:val="93"/>
              </w:rPr>
              <w:t>☐</w:t>
            </w:r>
          </w:p>
        </w:tc>
      </w:tr>
      <w:tr>
        <w:trPr>
          <w:trHeight w:val="540"/>
        </w:trPr>
        <w:tc>
          <w:tcPr>
            <w:tcW w:w="4760" w:type="dxa"/>
            <w:vAlign w:val="bottom"/>
          </w:tcPr>
          <w:p>
            <w:pPr>
              <w:jc w:val="center"/>
              <w:ind w:right="1350"/>
              <w:spacing w:after="0" w:line="207" w:lineRule="exact"/>
              <w:rPr>
                <w:sz w:val="20"/>
                <w:szCs w:val="20"/>
                <w:color w:val="auto"/>
              </w:rPr>
            </w:pPr>
            <w:r>
              <w:rPr>
                <w:rFonts w:ascii="Arial" w:cs="Arial" w:eastAsia="Arial" w:hAnsi="Arial"/>
                <w:sz w:val="18"/>
                <w:szCs w:val="18"/>
                <w:color w:val="auto"/>
                <w:w w:val="90"/>
              </w:rPr>
              <w:t xml:space="preserve">Non-accelerated filer </w:t>
            </w:r>
            <w:r>
              <w:rPr>
                <w:rFonts w:ascii="MS PGothic" w:cs="MS PGothic" w:eastAsia="MS PGothic" w:hAnsi="MS PGothic"/>
                <w:sz w:val="18"/>
                <w:szCs w:val="18"/>
                <w:color w:val="auto"/>
                <w:w w:val="90"/>
              </w:rPr>
              <w:t>☐</w:t>
            </w:r>
          </w:p>
        </w:tc>
        <w:tc>
          <w:tcPr>
            <w:tcW w:w="3620" w:type="dxa"/>
            <w:vAlign w:val="bottom"/>
          </w:tcPr>
          <w:p>
            <w:pPr>
              <w:jc w:val="center"/>
              <w:ind w:left="1350"/>
              <w:spacing w:after="0" w:line="207" w:lineRule="exact"/>
              <w:rPr>
                <w:sz w:val="20"/>
                <w:szCs w:val="20"/>
                <w:color w:val="auto"/>
              </w:rPr>
            </w:pPr>
            <w:r>
              <w:rPr>
                <w:rFonts w:ascii="Arial" w:cs="Arial" w:eastAsia="Arial" w:hAnsi="Arial"/>
                <w:sz w:val="18"/>
                <w:szCs w:val="18"/>
                <w:color w:val="auto"/>
                <w:w w:val="91"/>
              </w:rPr>
              <w:t xml:space="preserve">Smaller reporting company </w:t>
            </w:r>
            <w:r>
              <w:rPr>
                <w:rFonts w:ascii="MS PGothic" w:cs="MS PGothic" w:eastAsia="MS PGothic" w:hAnsi="MS PGothic"/>
                <w:sz w:val="18"/>
                <w:szCs w:val="18"/>
                <w:color w:val="auto"/>
                <w:w w:val="91"/>
              </w:rPr>
              <w:t>☐</w:t>
            </w:r>
          </w:p>
        </w:tc>
      </w:tr>
      <w:tr>
        <w:trPr>
          <w:trHeight w:val="250"/>
        </w:trPr>
        <w:tc>
          <w:tcPr>
            <w:tcW w:w="4760" w:type="dxa"/>
            <w:vAlign w:val="bottom"/>
          </w:tcPr>
          <w:p>
            <w:pPr>
              <w:jc w:val="center"/>
              <w:ind w:right="1330"/>
              <w:spacing w:after="0"/>
              <w:rPr>
                <w:sz w:val="20"/>
                <w:szCs w:val="20"/>
                <w:color w:val="auto"/>
              </w:rPr>
            </w:pPr>
            <w:r>
              <w:rPr>
                <w:rFonts w:ascii="Arial" w:cs="Arial" w:eastAsia="Arial" w:hAnsi="Arial"/>
                <w:sz w:val="18"/>
                <w:szCs w:val="18"/>
                <w:color w:val="auto"/>
                <w:w w:val="91"/>
              </w:rPr>
              <w:t>(Do not check if a smaller reporting company)</w:t>
            </w:r>
          </w:p>
        </w:tc>
        <w:tc>
          <w:tcPr>
            <w:tcW w:w="3620" w:type="dxa"/>
            <w:vAlign w:val="bottom"/>
          </w:tcPr>
          <w:p>
            <w:pPr>
              <w:spacing w:after="0"/>
              <w:rPr>
                <w:sz w:val="21"/>
                <w:szCs w:val="21"/>
                <w:color w:val="auto"/>
              </w:rPr>
            </w:pPr>
          </w:p>
        </w:tc>
      </w:tr>
      <w:tr>
        <w:trPr>
          <w:trHeight w:val="412"/>
        </w:trPr>
        <w:tc>
          <w:tcPr>
            <w:tcW w:w="4760" w:type="dxa"/>
            <w:vAlign w:val="bottom"/>
          </w:tcPr>
          <w:p>
            <w:pPr>
              <w:spacing w:after="0"/>
              <w:rPr>
                <w:sz w:val="24"/>
                <w:szCs w:val="24"/>
                <w:color w:val="auto"/>
              </w:rPr>
            </w:pPr>
          </w:p>
        </w:tc>
        <w:tc>
          <w:tcPr>
            <w:tcW w:w="3620" w:type="dxa"/>
            <w:vAlign w:val="bottom"/>
          </w:tcPr>
          <w:p>
            <w:pPr>
              <w:jc w:val="center"/>
              <w:ind w:left="1350"/>
              <w:spacing w:after="0" w:line="207" w:lineRule="exact"/>
              <w:rPr>
                <w:sz w:val="20"/>
                <w:szCs w:val="20"/>
                <w:color w:val="auto"/>
              </w:rPr>
            </w:pPr>
            <w:r>
              <w:rPr>
                <w:rFonts w:ascii="Arial" w:cs="Arial" w:eastAsia="Arial" w:hAnsi="Arial"/>
                <w:sz w:val="18"/>
                <w:szCs w:val="18"/>
                <w:color w:val="auto"/>
                <w:w w:val="91"/>
              </w:rPr>
              <w:t xml:space="preserve">Emerging growth company </w:t>
            </w:r>
            <w:r>
              <w:rPr>
                <w:rFonts w:ascii="MS PGothic" w:cs="MS PGothic" w:eastAsia="MS PGothic" w:hAnsi="MS PGothic"/>
                <w:sz w:val="18"/>
                <w:szCs w:val="18"/>
                <w:color w:val="auto"/>
                <w:w w:val="91"/>
              </w:rPr>
              <w:t>☐</w:t>
            </w:r>
          </w:p>
        </w:tc>
      </w:tr>
    </w:tbl>
    <w:p>
      <w:pPr>
        <w:ind w:left="3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3" w:lineRule="exact"/>
        <w:rPr>
          <w:sz w:val="24"/>
          <w:szCs w:val="24"/>
          <w:color w:val="auto"/>
        </w:rPr>
      </w:pPr>
    </w:p>
    <w:p>
      <w:pPr>
        <w:ind w:left="34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15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0" w:lineRule="exact"/>
        <w:rPr>
          <w:sz w:val="24"/>
          <w:szCs w:val="24"/>
          <w:color w:val="auto"/>
        </w:rPr>
      </w:pPr>
    </w:p>
    <w:p>
      <w:pPr>
        <w:ind w:left="2760"/>
        <w:spacing w:after="0"/>
        <w:tabs>
          <w:tab w:leader="none" w:pos="8080" w:val="left"/>
        </w:tabs>
        <w:rPr>
          <w:sz w:val="20"/>
          <w:szCs w:val="20"/>
          <w:color w:val="auto"/>
        </w:rPr>
      </w:pP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April 26,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23495</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400"/>
          </w:cols>
          <w:pgMar w:left="240" w:top="238" w:right="259" w:bottom="1440" w:gutter="0" w:footer="0" w:header="0"/>
        </w:sectPr>
      </w:pPr>
    </w:p>
    <w:p>
      <w:pPr>
        <w:spacing w:after="0" w:line="63" w:lineRule="exact"/>
        <w:rPr>
          <w:sz w:val="24"/>
          <w:szCs w:val="24"/>
          <w:color w:val="auto"/>
        </w:rPr>
      </w:pPr>
    </w:p>
    <w:p>
      <w:pPr>
        <w:ind w:left="1440"/>
        <w:spacing w:after="0"/>
        <w:tabs>
          <w:tab w:leader="none" w:pos="8060" w:val="left"/>
        </w:tabs>
        <w:rPr>
          <w:sz w:val="20"/>
          <w:szCs w:val="20"/>
          <w:color w:val="auto"/>
        </w:rPr>
      </w:pPr>
      <w:r>
        <w:rPr>
          <w:rFonts w:ascii="Arial" w:cs="Arial" w:eastAsia="Arial" w:hAnsi="Arial"/>
          <w:sz w:val="18"/>
          <w:szCs w:val="18"/>
          <w:color w:val="auto"/>
        </w:rPr>
        <w:t>Common Stock, par value $.01 per share</w:t>
      </w:r>
      <w:r>
        <w:rPr>
          <w:sz w:val="20"/>
          <w:szCs w:val="20"/>
          <w:color w:val="auto"/>
        </w:rPr>
        <w:tab/>
      </w:r>
      <w:r>
        <w:rPr>
          <w:rFonts w:ascii="Arial" w:cs="Arial" w:eastAsia="Arial" w:hAnsi="Arial"/>
          <w:sz w:val="16"/>
          <w:szCs w:val="16"/>
          <w:color w:val="auto"/>
        </w:rPr>
        <w:t>213,502,087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8" w:right="25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Forward-looking statements in this document include, but are not limited to, statements regarding our ability to grow our portfolio of gaming facilities and to secure additional avenues of growth beyond the gaming industry.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93" w:lineRule="exact"/>
        <w:rPr>
          <w:sz w:val="20"/>
          <w:szCs w:val="20"/>
          <w:color w:val="auto"/>
        </w:rPr>
      </w:pPr>
    </w:p>
    <w:p>
      <w:pPr>
        <w:ind w:left="660" w:right="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and the ability to identify suitable and attractive acquisition and development opportunities and the ability to acquire and lease the respective properties on favorable terms;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25" w:lineRule="exact"/>
        <w:rPr>
          <w:rFonts w:ascii="Arial" w:cs="Arial" w:eastAsia="Arial" w:hAnsi="Arial"/>
          <w:sz w:val="18"/>
          <w:szCs w:val="18"/>
          <w:color w:val="auto"/>
        </w:rPr>
      </w:pPr>
    </w:p>
    <w:p>
      <w:pPr>
        <w:ind w:left="660" w:right="34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ultimate timing and outcome (including the possibility that the proposed transaction may not be completed or that completion may be unduly delayed) of the proposed merger transaction between Penn and Pinnacle and the related transactions with Boyd Gaming;</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increased reliance on Penn as our largest tenant following the closing of the proposed Penn acquisition of Pinnacle;</w:t>
      </w:r>
    </w:p>
    <w:p>
      <w:pPr>
        <w:spacing w:after="0" w:line="225"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ultimate timing and outcome (including the possibility that the proposed transaction may not be completed or that the completion may be unduly delayed) of our proposed acquisition of certain real estate assets from Tropicana Entertainment Inc. ("Tropicana") and the related acquisition of the operating assets of these properties by Eldorado Resorts, Inc. ("Eldorado") from Tropicana;</w:t>
      </w:r>
    </w:p>
    <w:p>
      <w:pPr>
        <w:spacing w:after="0" w:line="181"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receive, or delays in obtaining, the regulatory approvals required to own and/or operate our properties, or other delays or impediments to completing our planned acquisitions or projects;</w:t>
      </w:r>
    </w:p>
    <w:p>
      <w:pPr>
        <w:spacing w:after="0" w:line="170"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satisfaction of certain asset, income, organizational, distribution, shareholder ownership and other requirements on a continuing basis in order for the Company to maintain its REIT status;</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and willingness of our tenants, operators and other third parties to meet and/or perform their obligations under their respective contractual arrangements with us, including, in some cases, their obligations to indemnify, defend and hold us harmless from and against various claims, litigation and liabilities;</w:t>
      </w:r>
    </w:p>
    <w:p>
      <w:pPr>
        <w:spacing w:after="0" w:line="181" w:lineRule="exact"/>
        <w:rPr>
          <w:rFonts w:ascii="Arial" w:cs="Arial" w:eastAsia="Arial" w:hAnsi="Arial"/>
          <w:sz w:val="18"/>
          <w:szCs w:val="18"/>
          <w:color w:val="auto"/>
        </w:rPr>
      </w:pPr>
    </w:p>
    <w:p>
      <w:pPr>
        <w:ind w:left="660" w:right="14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146"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generate sufficient cash flows to service our outstanding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access to debt and equity capital markets, including for acquisitions or refinancings dues to maturities;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changes in our credit rating;</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0"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fluctuating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global or regional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qualified personnel and our ability to retain our key management personnel;</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GLPI's duty to indemnify Penn National Gaming, Inc. and its subsidiaries ("Penn") in certain circumstances if the spin-off transaction described in Note 1 to the condensed consolidated financial statements fails to be tax-free;</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United States tax law and other state, federal or local laws, whether or not specific to real estate, real estate investment trusts or to the gaming, lodging or hospitality industries;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weather events or conditions, natural disasters, acts of terrorism and other international hostilities, war or political instability;</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inherent in the real estate business, including potential liability relating to environmental matters and illiquidity of real estate investments; and</w:t>
      </w:r>
    </w:p>
    <w:p>
      <w:pPr>
        <w:spacing w:after="0" w:line="170"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additional factors as discussed in the Company’s Annual Report on Form 10-K for the year ended December 31, 2017, in this Quarterly Report on Form 10-Q and Current Reports on Form 8-K as filed with the United States Securities and Exchange Commission (the "SEC").</w:t>
      </w:r>
    </w:p>
    <w:p>
      <w:pPr>
        <w:spacing w:after="0" w:line="14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Certain of these factors and other factors, risks and uncertainties are discussed in the "Risk Factors" section in the Company’s Annual Report on Form 10-K for the year ended December 31, 2017 and this Quarterly Report on Form 10-Q.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You should consider the areas of risk described above, as well as those set forth in the "Risk Factors" section in the Company’s Annual Report on Form 10-K for the year ended December 31, 2017 and this Quarterly Report on Form 10-Q,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30" w:right="27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0" w:type="dxa"/>
            <w:vAlign w:val="bottom"/>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PART I.</w:t>
              </w:r>
            </w:hyperlink>
          </w:p>
        </w:tc>
        <w:tc>
          <w:tcPr>
            <w:tcW w:w="1260" w:type="dxa"/>
            <w:vAlign w:val="bottom"/>
            <w:gridSpan w:val="4"/>
          </w:tcPr>
          <w:p>
            <w:pPr>
              <w:spacing w:after="0"/>
              <w:rPr>
                <w:sz w:val="17"/>
                <w:szCs w:val="17"/>
                <w:color w:val="auto"/>
              </w:rPr>
            </w:pPr>
          </w:p>
        </w:tc>
        <w:tc>
          <w:tcPr>
            <w:tcW w:w="2240" w:type="dxa"/>
            <w:vAlign w:val="bottom"/>
            <w:gridSpan w:val="5"/>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FINANCIAL INFORMATION</w:t>
              </w:r>
            </w:hyperlink>
          </w:p>
        </w:tc>
        <w:tc>
          <w:tcPr>
            <w:tcW w:w="6260" w:type="dxa"/>
            <w:vAlign w:val="bottom"/>
            <w:gridSpan w:val="13"/>
          </w:tcPr>
          <w:p>
            <w:pPr>
              <w:spacing w:after="0"/>
              <w:rPr>
                <w:sz w:val="17"/>
                <w:szCs w:val="17"/>
                <w:color w:val="auto"/>
              </w:rPr>
            </w:pPr>
          </w:p>
        </w:tc>
        <w:tc>
          <w:tcPr>
            <w:tcW w:w="740" w:type="dxa"/>
            <w:vAlign w:val="bottom"/>
            <w:gridSpan w:val="4"/>
          </w:tcPr>
          <w:p>
            <w:pPr>
              <w:jc w:val="center"/>
              <w:ind w:left="45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ITEM 1.</w:t>
              </w:r>
            </w:hyperlink>
          </w:p>
        </w:tc>
        <w:tc>
          <w:tcPr>
            <w:tcW w:w="1260" w:type="dxa"/>
            <w:vAlign w:val="bottom"/>
            <w:gridSpan w:val="4"/>
          </w:tcPr>
          <w:p>
            <w:pPr>
              <w:spacing w:after="0"/>
              <w:rPr>
                <w:sz w:val="24"/>
                <w:szCs w:val="24"/>
                <w:color w:val="auto"/>
              </w:rPr>
            </w:pPr>
          </w:p>
        </w:tc>
        <w:tc>
          <w:tcPr>
            <w:tcW w:w="3060" w:type="dxa"/>
            <w:vAlign w:val="bottom"/>
            <w:gridSpan w:val="8"/>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FINANCIAL STATEMENTS (Unaudited)</w:t>
              </w:r>
            </w:hyperlink>
          </w:p>
        </w:tc>
        <w:tc>
          <w:tcPr>
            <w:tcW w:w="5440" w:type="dxa"/>
            <w:vAlign w:val="bottom"/>
            <w:gridSpan w:val="10"/>
          </w:tcPr>
          <w:p>
            <w:pPr>
              <w:spacing w:after="0"/>
              <w:rPr>
                <w:sz w:val="24"/>
                <w:szCs w:val="24"/>
                <w:color w:val="auto"/>
              </w:rPr>
            </w:pPr>
          </w:p>
        </w:tc>
        <w:tc>
          <w:tcPr>
            <w:tcW w:w="740" w:type="dxa"/>
            <w:vAlign w:val="bottom"/>
            <w:gridSpan w:val="4"/>
          </w:tcPr>
          <w:p>
            <w:pPr>
              <w:jc w:val="center"/>
              <w:ind w:left="45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50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 March 31, 2018 and December 31, 2017</w:t>
              </w:r>
            </w:hyperlink>
          </w:p>
        </w:tc>
        <w:tc>
          <w:tcPr>
            <w:tcW w:w="740" w:type="dxa"/>
            <w:vAlign w:val="bottom"/>
            <w:gridSpan w:val="4"/>
          </w:tcPr>
          <w:p>
            <w:pPr>
              <w:jc w:val="center"/>
              <w:ind w:left="45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980" w:type="dxa"/>
            <w:vAlign w:val="bottom"/>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Income - Three Months Ended March 31, 2018 and 2017</w:t>
              </w:r>
            </w:hyperlink>
          </w:p>
        </w:tc>
        <w:tc>
          <w:tcPr>
            <w:tcW w:w="1520" w:type="dxa"/>
            <w:vAlign w:val="bottom"/>
            <w:gridSpan w:val="4"/>
          </w:tcPr>
          <w:p>
            <w:pPr>
              <w:spacing w:after="0"/>
              <w:rPr>
                <w:sz w:val="21"/>
                <w:szCs w:val="21"/>
                <w:color w:val="auto"/>
              </w:rPr>
            </w:pPr>
          </w:p>
        </w:tc>
        <w:tc>
          <w:tcPr>
            <w:tcW w:w="740" w:type="dxa"/>
            <w:vAlign w:val="bottom"/>
            <w:gridSpan w:val="4"/>
          </w:tcPr>
          <w:p>
            <w:pPr>
              <w:jc w:val="center"/>
              <w:ind w:left="45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960" w:type="dxa"/>
            <w:vAlign w:val="bottom"/>
            <w:gridSpan w:val="17"/>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Condensed Consolidated Statement of Changes in Shareholders' Equity -Three Months Ended March 31, 2018</w:t>
              </w:r>
            </w:hyperlink>
          </w:p>
        </w:tc>
        <w:tc>
          <w:tcPr>
            <w:tcW w:w="540" w:type="dxa"/>
            <w:vAlign w:val="bottom"/>
          </w:tcPr>
          <w:p>
            <w:pPr>
              <w:spacing w:after="0"/>
              <w:rPr>
                <w:sz w:val="21"/>
                <w:szCs w:val="21"/>
                <w:color w:val="auto"/>
              </w:rPr>
            </w:pPr>
          </w:p>
        </w:tc>
        <w:tc>
          <w:tcPr>
            <w:tcW w:w="740" w:type="dxa"/>
            <w:vAlign w:val="bottom"/>
            <w:gridSpan w:val="4"/>
          </w:tcPr>
          <w:p>
            <w:pPr>
              <w:jc w:val="center"/>
              <w:ind w:left="45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80" w:type="dxa"/>
            <w:vAlign w:val="bottom"/>
            <w:gridSpan w:val="1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 Three Months Ended March 31, 2018 and 2017</w:t>
              </w:r>
            </w:hyperlink>
          </w:p>
        </w:tc>
        <w:tc>
          <w:tcPr>
            <w:tcW w:w="680" w:type="dxa"/>
            <w:vAlign w:val="bottom"/>
            <w:gridSpan w:val="2"/>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gridSpan w:val="4"/>
          </w:tcPr>
          <w:p>
            <w:pPr>
              <w:jc w:val="center"/>
              <w:ind w:left="45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60" w:type="dxa"/>
            <w:vAlign w:val="bottom"/>
            <w:gridSpan w:val="10"/>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3020" w:type="dxa"/>
            <w:vAlign w:val="bottom"/>
            <w:gridSpan w:val="5"/>
          </w:tcPr>
          <w:p>
            <w:pPr>
              <w:spacing w:after="0"/>
              <w:rPr>
                <w:sz w:val="21"/>
                <w:szCs w:val="21"/>
                <w:color w:val="auto"/>
              </w:rPr>
            </w:pPr>
          </w:p>
        </w:tc>
        <w:tc>
          <w:tcPr>
            <w:tcW w:w="1220" w:type="dxa"/>
            <w:vAlign w:val="bottom"/>
            <w:gridSpan w:val="3"/>
          </w:tcPr>
          <w:p>
            <w:pPr>
              <w:spacing w:after="0"/>
              <w:rPr>
                <w:sz w:val="21"/>
                <w:szCs w:val="21"/>
                <w:color w:val="auto"/>
              </w:rPr>
            </w:pPr>
          </w:p>
        </w:tc>
        <w:tc>
          <w:tcPr>
            <w:tcW w:w="740" w:type="dxa"/>
            <w:vAlign w:val="bottom"/>
            <w:gridSpan w:val="4"/>
          </w:tcPr>
          <w:p>
            <w:pPr>
              <w:jc w:val="center"/>
              <w:ind w:left="45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31">
              <w:r>
                <w:rPr>
                  <w:rFonts w:ascii="Arial" w:cs="Arial" w:eastAsia="Arial" w:hAnsi="Arial"/>
                  <w:sz w:val="18"/>
                  <w:szCs w:val="18"/>
                  <w:color w:val="0000EE"/>
                  <w:w w:val="85"/>
                </w:rPr>
                <w:t>ITEM 2.</w:t>
              </w:r>
            </w:hyperlink>
          </w:p>
        </w:tc>
        <w:tc>
          <w:tcPr>
            <w:tcW w:w="1260" w:type="dxa"/>
            <w:vAlign w:val="bottom"/>
            <w:gridSpan w:val="4"/>
          </w:tcPr>
          <w:p>
            <w:pPr>
              <w:spacing w:after="0"/>
              <w:rPr>
                <w:sz w:val="24"/>
                <w:szCs w:val="24"/>
                <w:color w:val="auto"/>
              </w:rPr>
            </w:pPr>
          </w:p>
        </w:tc>
        <w:tc>
          <w:tcPr>
            <w:tcW w:w="850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w:t>
              </w:r>
            </w:hyperlink>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Borders>
              <w:top w:val="single" w:sz="8" w:color="0000EE"/>
            </w:tcBorders>
            <w:gridSpan w:val="2"/>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OPERATIONS</w:t>
              </w:r>
            </w:hyperlink>
          </w:p>
        </w:tc>
        <w:tc>
          <w:tcPr>
            <w:tcW w:w="6660" w:type="dxa"/>
            <w:vAlign w:val="bottom"/>
            <w:tcBorders>
              <w:top w:val="single" w:sz="8" w:color="0000EE"/>
            </w:tcBorders>
            <w:gridSpan w:val="14"/>
          </w:tcPr>
          <w:p>
            <w:pPr>
              <w:spacing w:after="0"/>
              <w:rPr>
                <w:sz w:val="17"/>
                <w:szCs w:val="17"/>
                <w:color w:val="auto"/>
              </w:rPr>
            </w:pPr>
          </w:p>
        </w:tc>
        <w:tc>
          <w:tcPr>
            <w:tcW w:w="740" w:type="dxa"/>
            <w:vAlign w:val="bottom"/>
            <w:gridSpan w:val="2"/>
          </w:tcPr>
          <w:p>
            <w:pPr>
              <w:spacing w:after="0"/>
              <w:rPr>
                <w:sz w:val="17"/>
                <w:szCs w:val="17"/>
                <w:color w:val="auto"/>
              </w:rPr>
            </w:pPr>
          </w:p>
        </w:tc>
        <w:tc>
          <w:tcPr>
            <w:tcW w:w="740" w:type="dxa"/>
            <w:vAlign w:val="bottom"/>
            <w:gridSpan w:val="4"/>
          </w:tcPr>
          <w:p>
            <w:pPr>
              <w:jc w:val="center"/>
              <w:ind w:left="470"/>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30</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ITEM 3.</w:t>
              </w:r>
            </w:hyperlink>
          </w:p>
        </w:tc>
        <w:tc>
          <w:tcPr>
            <w:tcW w:w="1260" w:type="dxa"/>
            <w:vAlign w:val="bottom"/>
            <w:gridSpan w:val="4"/>
          </w:tcPr>
          <w:p>
            <w:pPr>
              <w:spacing w:after="0"/>
              <w:rPr>
                <w:sz w:val="24"/>
                <w:szCs w:val="24"/>
                <w:color w:val="auto"/>
              </w:rPr>
            </w:pPr>
          </w:p>
        </w:tc>
        <w:tc>
          <w:tcPr>
            <w:tcW w:w="6140" w:type="dxa"/>
            <w:vAlign w:val="bottom"/>
            <w:gridSpan w:val="13"/>
          </w:tcPr>
          <w:p>
            <w:pPr>
              <w:spacing w:after="0"/>
              <w:rPr>
                <w:rFonts w:ascii="Arial" w:cs="Arial" w:eastAsia="Arial" w:hAnsi="Arial"/>
                <w:sz w:val="18"/>
                <w:szCs w:val="18"/>
                <w:color w:val="0000EE"/>
                <w:w w:val="98"/>
              </w:rPr>
            </w:pPr>
            <w:hyperlink w:anchor="page39">
              <w:r>
                <w:rPr>
                  <w:rFonts w:ascii="Arial" w:cs="Arial" w:eastAsia="Arial" w:hAnsi="Arial"/>
                  <w:sz w:val="18"/>
                  <w:szCs w:val="18"/>
                  <w:color w:val="0000EE"/>
                  <w:w w:val="98"/>
                </w:rPr>
                <w:t>QUANTITATIVE AND QUALITATIVE DISCLOSURES ABOUT MARKET RISK</w:t>
              </w:r>
            </w:hyperlink>
          </w:p>
        </w:tc>
        <w:tc>
          <w:tcPr>
            <w:tcW w:w="2360" w:type="dxa"/>
            <w:vAlign w:val="bottom"/>
            <w:gridSpan w:val="5"/>
          </w:tcPr>
          <w:p>
            <w:pPr>
              <w:spacing w:after="0"/>
              <w:rPr>
                <w:sz w:val="24"/>
                <w:szCs w:val="24"/>
                <w:color w:val="auto"/>
              </w:rPr>
            </w:pPr>
          </w:p>
        </w:tc>
        <w:tc>
          <w:tcPr>
            <w:tcW w:w="740" w:type="dxa"/>
            <w:vAlign w:val="bottom"/>
            <w:gridSpan w:val="4"/>
          </w:tcPr>
          <w:p>
            <w:pPr>
              <w:jc w:val="center"/>
              <w:ind w:left="47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ITEM 4.</w:t>
              </w:r>
            </w:hyperlink>
          </w:p>
        </w:tc>
        <w:tc>
          <w:tcPr>
            <w:tcW w:w="1260" w:type="dxa"/>
            <w:vAlign w:val="bottom"/>
            <w:gridSpan w:val="4"/>
          </w:tcPr>
          <w:p>
            <w:pPr>
              <w:spacing w:after="0"/>
              <w:rPr>
                <w:sz w:val="24"/>
                <w:szCs w:val="24"/>
                <w:color w:val="auto"/>
              </w:rPr>
            </w:pPr>
          </w:p>
        </w:tc>
        <w:tc>
          <w:tcPr>
            <w:tcW w:w="2600" w:type="dxa"/>
            <w:vAlign w:val="bottom"/>
            <w:gridSpan w:val="7"/>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CONTROLS AND PROCEDURES</w:t>
              </w:r>
            </w:hyperlink>
          </w:p>
        </w:tc>
        <w:tc>
          <w:tcPr>
            <w:tcW w:w="3540" w:type="dxa"/>
            <w:vAlign w:val="bottom"/>
            <w:gridSpan w:val="6"/>
          </w:tcPr>
          <w:p>
            <w:pPr>
              <w:spacing w:after="0"/>
              <w:rPr>
                <w:sz w:val="24"/>
                <w:szCs w:val="24"/>
                <w:color w:val="auto"/>
              </w:rPr>
            </w:pPr>
          </w:p>
        </w:tc>
        <w:tc>
          <w:tcPr>
            <w:tcW w:w="2360" w:type="dxa"/>
            <w:vAlign w:val="bottom"/>
            <w:gridSpan w:val="5"/>
          </w:tcPr>
          <w:p>
            <w:pPr>
              <w:spacing w:after="0"/>
              <w:rPr>
                <w:sz w:val="24"/>
                <w:szCs w:val="24"/>
                <w:color w:val="auto"/>
              </w:rPr>
            </w:pPr>
          </w:p>
        </w:tc>
        <w:tc>
          <w:tcPr>
            <w:tcW w:w="740" w:type="dxa"/>
            <w:vAlign w:val="bottom"/>
            <w:gridSpan w:val="4"/>
          </w:tcPr>
          <w:p>
            <w:pPr>
              <w:jc w:val="center"/>
              <w:ind w:left="47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PART II.</w:t>
              </w:r>
            </w:hyperlink>
          </w:p>
        </w:tc>
        <w:tc>
          <w:tcPr>
            <w:tcW w:w="1200" w:type="dxa"/>
            <w:vAlign w:val="bottom"/>
            <w:gridSpan w:val="3"/>
          </w:tcPr>
          <w:p>
            <w:pPr>
              <w:spacing w:after="0"/>
              <w:rPr>
                <w:sz w:val="24"/>
                <w:szCs w:val="24"/>
                <w:color w:val="auto"/>
              </w:rPr>
            </w:pPr>
          </w:p>
        </w:tc>
        <w:tc>
          <w:tcPr>
            <w:tcW w:w="1860" w:type="dxa"/>
            <w:vAlign w:val="bottom"/>
            <w:gridSpan w:val="4"/>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OTHER INFORMATION</w:t>
              </w:r>
            </w:hyperlink>
          </w:p>
        </w:tc>
        <w:tc>
          <w:tcPr>
            <w:tcW w:w="6640" w:type="dxa"/>
            <w:vAlign w:val="bottom"/>
            <w:gridSpan w:val="14"/>
          </w:tcPr>
          <w:p>
            <w:pPr>
              <w:spacing w:after="0"/>
              <w:rPr>
                <w:sz w:val="24"/>
                <w:szCs w:val="24"/>
                <w:color w:val="auto"/>
              </w:rPr>
            </w:pPr>
          </w:p>
        </w:tc>
        <w:tc>
          <w:tcPr>
            <w:tcW w:w="740" w:type="dxa"/>
            <w:vAlign w:val="bottom"/>
            <w:gridSpan w:val="4"/>
          </w:tcPr>
          <w:p>
            <w:pPr>
              <w:jc w:val="center"/>
              <w:ind w:left="47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2">
              <w:r>
                <w:rPr>
                  <w:rFonts w:ascii="Arial" w:cs="Arial" w:eastAsia="Arial" w:hAnsi="Arial"/>
                  <w:sz w:val="18"/>
                  <w:szCs w:val="18"/>
                  <w:color w:val="0000EE"/>
                  <w:w w:val="85"/>
                </w:rPr>
                <w:t>ITEM 1.</w:t>
              </w:r>
            </w:hyperlink>
          </w:p>
        </w:tc>
        <w:tc>
          <w:tcPr>
            <w:tcW w:w="60" w:type="dxa"/>
            <w:vAlign w:val="bottom"/>
          </w:tcPr>
          <w:p>
            <w:pPr>
              <w:spacing w:after="0"/>
              <w:rPr>
                <w:sz w:val="24"/>
                <w:szCs w:val="24"/>
                <w:color w:val="auto"/>
              </w:rPr>
            </w:pPr>
          </w:p>
        </w:tc>
        <w:tc>
          <w:tcPr>
            <w:tcW w:w="1200" w:type="dxa"/>
            <w:vAlign w:val="bottom"/>
            <w:gridSpan w:val="3"/>
          </w:tcPr>
          <w:p>
            <w:pPr>
              <w:spacing w:after="0"/>
              <w:rPr>
                <w:sz w:val="24"/>
                <w:szCs w:val="24"/>
                <w:color w:val="auto"/>
              </w:rPr>
            </w:pPr>
          </w:p>
        </w:tc>
        <w:tc>
          <w:tcPr>
            <w:tcW w:w="1860" w:type="dxa"/>
            <w:vAlign w:val="bottom"/>
            <w:gridSpan w:val="4"/>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LEGAL PROCEEDINGS</w:t>
              </w:r>
            </w:hyperlink>
          </w:p>
        </w:tc>
        <w:tc>
          <w:tcPr>
            <w:tcW w:w="6640" w:type="dxa"/>
            <w:vAlign w:val="bottom"/>
            <w:gridSpan w:val="14"/>
          </w:tcPr>
          <w:p>
            <w:pPr>
              <w:spacing w:after="0"/>
              <w:rPr>
                <w:sz w:val="24"/>
                <w:szCs w:val="24"/>
                <w:color w:val="auto"/>
              </w:rPr>
            </w:pPr>
          </w:p>
        </w:tc>
        <w:tc>
          <w:tcPr>
            <w:tcW w:w="740" w:type="dxa"/>
            <w:vAlign w:val="bottom"/>
            <w:gridSpan w:val="4"/>
          </w:tcPr>
          <w:p>
            <w:pPr>
              <w:jc w:val="center"/>
              <w:ind w:left="47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1840" w:type="dxa"/>
            <w:vAlign w:val="bottom"/>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1A.</w:t>
              </w:r>
            </w:hyperlink>
          </w:p>
        </w:tc>
        <w:tc>
          <w:tcPr>
            <w:tcW w:w="8500" w:type="dxa"/>
            <w:vAlign w:val="bottom"/>
            <w:gridSpan w:val="1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740" w:type="dxa"/>
            <w:vAlign w:val="bottom"/>
            <w:gridSpan w:val="4"/>
          </w:tcPr>
          <w:p>
            <w:pPr>
              <w:jc w:val="center"/>
              <w:ind w:left="47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r>
      <w:tr>
        <w:trPr>
          <w:trHeight w:val="20"/>
        </w:trPr>
        <w:tc>
          <w:tcPr>
            <w:tcW w:w="7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5">
              <w:r>
                <w:rPr>
                  <w:rFonts w:ascii="Arial" w:cs="Arial" w:eastAsia="Arial" w:hAnsi="Arial"/>
                  <w:sz w:val="18"/>
                  <w:szCs w:val="18"/>
                  <w:color w:val="0000EE"/>
                  <w:w w:val="85"/>
                </w:rPr>
                <w:t>ITEM 2.</w:t>
              </w:r>
            </w:hyperlink>
          </w:p>
        </w:tc>
        <w:tc>
          <w:tcPr>
            <w:tcW w:w="160" w:type="dxa"/>
            <w:vAlign w:val="bottom"/>
            <w:gridSpan w:val="2"/>
          </w:tcPr>
          <w:p>
            <w:pPr>
              <w:spacing w:after="0"/>
              <w:rPr>
                <w:sz w:val="24"/>
                <w:szCs w:val="24"/>
                <w:color w:val="auto"/>
              </w:rPr>
            </w:pPr>
          </w:p>
        </w:tc>
        <w:tc>
          <w:tcPr>
            <w:tcW w:w="1100" w:type="dxa"/>
            <w:vAlign w:val="bottom"/>
            <w:gridSpan w:val="2"/>
          </w:tcPr>
          <w:p>
            <w:pPr>
              <w:spacing w:after="0"/>
              <w:rPr>
                <w:sz w:val="24"/>
                <w:szCs w:val="24"/>
                <w:color w:val="auto"/>
              </w:rPr>
            </w:pPr>
          </w:p>
        </w:tc>
        <w:tc>
          <w:tcPr>
            <w:tcW w:w="850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740" w:type="dxa"/>
            <w:vAlign w:val="bottom"/>
            <w:gridSpan w:val="4"/>
          </w:tcPr>
          <w:p>
            <w:pPr>
              <w:jc w:val="center"/>
              <w:ind w:left="47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5">
              <w:r>
                <w:rPr>
                  <w:rFonts w:ascii="Arial" w:cs="Arial" w:eastAsia="Arial" w:hAnsi="Arial"/>
                  <w:sz w:val="18"/>
                  <w:szCs w:val="18"/>
                  <w:color w:val="0000EE"/>
                  <w:w w:val="85"/>
                </w:rPr>
                <w:t>ITEM 3.</w:t>
              </w:r>
            </w:hyperlink>
          </w:p>
        </w:tc>
        <w:tc>
          <w:tcPr>
            <w:tcW w:w="1260" w:type="dxa"/>
            <w:vAlign w:val="bottom"/>
            <w:gridSpan w:val="4"/>
          </w:tcPr>
          <w:p>
            <w:pPr>
              <w:spacing w:after="0"/>
              <w:rPr>
                <w:sz w:val="24"/>
                <w:szCs w:val="24"/>
                <w:color w:val="auto"/>
              </w:rPr>
            </w:pPr>
          </w:p>
        </w:tc>
        <w:tc>
          <w:tcPr>
            <w:tcW w:w="3180" w:type="dxa"/>
            <w:vAlign w:val="bottom"/>
            <w:gridSpan w:val="9"/>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DEFAULTS UPON SENIOR SECURITIES</w:t>
              </w:r>
            </w:hyperlink>
          </w:p>
        </w:tc>
        <w:tc>
          <w:tcPr>
            <w:tcW w:w="2880" w:type="dxa"/>
            <w:vAlign w:val="bottom"/>
            <w:gridSpan w:val="3"/>
          </w:tcPr>
          <w:p>
            <w:pPr>
              <w:spacing w:after="0"/>
              <w:rPr>
                <w:sz w:val="24"/>
                <w:szCs w:val="24"/>
                <w:color w:val="auto"/>
              </w:rPr>
            </w:pPr>
          </w:p>
        </w:tc>
        <w:tc>
          <w:tcPr>
            <w:tcW w:w="2440" w:type="dxa"/>
            <w:vAlign w:val="bottom"/>
            <w:gridSpan w:val="6"/>
          </w:tcPr>
          <w:p>
            <w:pPr>
              <w:spacing w:after="0"/>
              <w:rPr>
                <w:sz w:val="24"/>
                <w:szCs w:val="24"/>
                <w:color w:val="auto"/>
              </w:rPr>
            </w:pPr>
          </w:p>
        </w:tc>
        <w:tc>
          <w:tcPr>
            <w:tcW w:w="740" w:type="dxa"/>
            <w:vAlign w:val="bottom"/>
            <w:gridSpan w:val="4"/>
          </w:tcPr>
          <w:p>
            <w:pPr>
              <w:jc w:val="center"/>
              <w:ind w:left="47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32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5">
              <w:r>
                <w:rPr>
                  <w:rFonts w:ascii="Arial" w:cs="Arial" w:eastAsia="Arial" w:hAnsi="Arial"/>
                  <w:sz w:val="18"/>
                  <w:szCs w:val="18"/>
                  <w:color w:val="0000EE"/>
                  <w:w w:val="85"/>
                </w:rPr>
                <w:t>ITEM 4.</w:t>
              </w:r>
            </w:hyperlink>
          </w:p>
        </w:tc>
        <w:tc>
          <w:tcPr>
            <w:tcW w:w="1260" w:type="dxa"/>
            <w:vAlign w:val="bottom"/>
            <w:gridSpan w:val="4"/>
          </w:tcPr>
          <w:p>
            <w:pPr>
              <w:spacing w:after="0"/>
              <w:rPr>
                <w:sz w:val="24"/>
                <w:szCs w:val="24"/>
                <w:color w:val="auto"/>
              </w:rPr>
            </w:pPr>
          </w:p>
        </w:tc>
        <w:tc>
          <w:tcPr>
            <w:tcW w:w="2440" w:type="dxa"/>
            <w:vAlign w:val="bottom"/>
            <w:gridSpan w:val="6"/>
          </w:tcPr>
          <w:p>
            <w:pPr>
              <w:spacing w:after="0"/>
              <w:rPr>
                <w:rFonts w:ascii="Arial" w:cs="Arial" w:eastAsia="Arial" w:hAnsi="Arial"/>
                <w:sz w:val="18"/>
                <w:szCs w:val="18"/>
                <w:color w:val="0000EE"/>
                <w:w w:val="95"/>
              </w:rPr>
            </w:pPr>
            <w:hyperlink w:anchor="page45">
              <w:r>
                <w:rPr>
                  <w:rFonts w:ascii="Arial" w:cs="Arial" w:eastAsia="Arial" w:hAnsi="Arial"/>
                  <w:sz w:val="18"/>
                  <w:szCs w:val="18"/>
                  <w:color w:val="0000EE"/>
                  <w:w w:val="95"/>
                </w:rPr>
                <w:t>MINE SAFETY DISCLOSURES</w:t>
              </w:r>
            </w:hyperlink>
          </w:p>
        </w:tc>
        <w:tc>
          <w:tcPr>
            <w:tcW w:w="740" w:type="dxa"/>
            <w:vAlign w:val="bottom"/>
            <w:gridSpan w:val="3"/>
          </w:tcPr>
          <w:p>
            <w:pPr>
              <w:spacing w:after="0"/>
              <w:rPr>
                <w:sz w:val="24"/>
                <w:szCs w:val="24"/>
                <w:color w:val="auto"/>
              </w:rPr>
            </w:pPr>
          </w:p>
        </w:tc>
        <w:tc>
          <w:tcPr>
            <w:tcW w:w="5320" w:type="dxa"/>
            <w:vAlign w:val="bottom"/>
            <w:gridSpan w:val="9"/>
          </w:tcPr>
          <w:p>
            <w:pPr>
              <w:spacing w:after="0"/>
              <w:rPr>
                <w:sz w:val="24"/>
                <w:szCs w:val="24"/>
                <w:color w:val="auto"/>
              </w:rPr>
            </w:pPr>
          </w:p>
        </w:tc>
        <w:tc>
          <w:tcPr>
            <w:tcW w:w="740" w:type="dxa"/>
            <w:vAlign w:val="bottom"/>
            <w:gridSpan w:val="4"/>
          </w:tcPr>
          <w:p>
            <w:pPr>
              <w:jc w:val="center"/>
              <w:ind w:left="47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606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5">
              <w:r>
                <w:rPr>
                  <w:rFonts w:ascii="Arial" w:cs="Arial" w:eastAsia="Arial" w:hAnsi="Arial"/>
                  <w:sz w:val="18"/>
                  <w:szCs w:val="18"/>
                  <w:color w:val="0000EE"/>
                  <w:w w:val="85"/>
                </w:rPr>
                <w:t>ITEM 5.</w:t>
              </w:r>
            </w:hyperlink>
          </w:p>
        </w:tc>
        <w:tc>
          <w:tcPr>
            <w:tcW w:w="1260" w:type="dxa"/>
            <w:vAlign w:val="bottom"/>
            <w:gridSpan w:val="4"/>
          </w:tcPr>
          <w:p>
            <w:pPr>
              <w:spacing w:after="0"/>
              <w:rPr>
                <w:sz w:val="24"/>
                <w:szCs w:val="24"/>
                <w:color w:val="auto"/>
              </w:rPr>
            </w:pPr>
          </w:p>
        </w:tc>
        <w:tc>
          <w:tcPr>
            <w:tcW w:w="1860" w:type="dxa"/>
            <w:vAlign w:val="bottom"/>
            <w:gridSpan w:val="4"/>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OTHER INFORMATION</w:t>
              </w:r>
            </w:hyperlink>
          </w:p>
        </w:tc>
        <w:tc>
          <w:tcPr>
            <w:tcW w:w="580" w:type="dxa"/>
            <w:vAlign w:val="bottom"/>
            <w:gridSpan w:val="2"/>
          </w:tcPr>
          <w:p>
            <w:pPr>
              <w:spacing w:after="0"/>
              <w:rPr>
                <w:sz w:val="24"/>
                <w:szCs w:val="24"/>
                <w:color w:val="auto"/>
              </w:rPr>
            </w:pPr>
          </w:p>
        </w:tc>
        <w:tc>
          <w:tcPr>
            <w:tcW w:w="6060" w:type="dxa"/>
            <w:vAlign w:val="bottom"/>
            <w:gridSpan w:val="12"/>
          </w:tcPr>
          <w:p>
            <w:pPr>
              <w:spacing w:after="0"/>
              <w:rPr>
                <w:sz w:val="24"/>
                <w:szCs w:val="24"/>
                <w:color w:val="auto"/>
              </w:rPr>
            </w:pPr>
          </w:p>
        </w:tc>
        <w:tc>
          <w:tcPr>
            <w:tcW w:w="740" w:type="dxa"/>
            <w:vAlign w:val="bottom"/>
            <w:gridSpan w:val="4"/>
          </w:tcPr>
          <w:p>
            <w:pPr>
              <w:jc w:val="center"/>
              <w:ind w:left="47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640" w:type="dxa"/>
            <w:vAlign w:val="bottom"/>
            <w:tcBorders>
              <w:left w:val="single" w:sz="8" w:color="0000EE"/>
            </w:tcBorders>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6">
              <w:r>
                <w:rPr>
                  <w:rFonts w:ascii="Arial" w:cs="Arial" w:eastAsia="Arial" w:hAnsi="Arial"/>
                  <w:sz w:val="18"/>
                  <w:szCs w:val="18"/>
                  <w:color w:val="0000EE"/>
                  <w:w w:val="85"/>
                </w:rPr>
                <w:t>ITEM 6.</w:t>
              </w:r>
            </w:hyperlink>
          </w:p>
        </w:tc>
        <w:tc>
          <w:tcPr>
            <w:tcW w:w="1260" w:type="dxa"/>
            <w:vAlign w:val="bottom"/>
            <w:gridSpan w:val="4"/>
          </w:tcPr>
          <w:p>
            <w:pPr>
              <w:spacing w:after="0"/>
              <w:rPr>
                <w:sz w:val="24"/>
                <w:szCs w:val="24"/>
                <w:color w:val="auto"/>
              </w:rPr>
            </w:pPr>
          </w:p>
        </w:tc>
        <w:tc>
          <w:tcPr>
            <w:tcW w:w="820" w:type="dxa"/>
            <w:vAlign w:val="bottom"/>
          </w:tcPr>
          <w:p>
            <w:pPr>
              <w:spacing w:after="0"/>
              <w:rPr>
                <w:rFonts w:ascii="Arial" w:cs="Arial" w:eastAsia="Arial" w:hAnsi="Arial"/>
                <w:sz w:val="18"/>
                <w:szCs w:val="18"/>
                <w:color w:val="0000EE"/>
                <w:w w:val="97"/>
              </w:rPr>
            </w:pPr>
            <w:hyperlink w:anchor="page46">
              <w:r>
                <w:rPr>
                  <w:rFonts w:ascii="Arial" w:cs="Arial" w:eastAsia="Arial" w:hAnsi="Arial"/>
                  <w:sz w:val="18"/>
                  <w:szCs w:val="18"/>
                  <w:color w:val="0000EE"/>
                  <w:w w:val="97"/>
                </w:rPr>
                <w:t>EXHIBITS</w:t>
              </w:r>
            </w:hyperlink>
          </w:p>
        </w:tc>
        <w:tc>
          <w:tcPr>
            <w:tcW w:w="1040" w:type="dxa"/>
            <w:vAlign w:val="bottom"/>
            <w:gridSpan w:val="3"/>
          </w:tcPr>
          <w:p>
            <w:pPr>
              <w:spacing w:after="0"/>
              <w:rPr>
                <w:sz w:val="24"/>
                <w:szCs w:val="24"/>
                <w:color w:val="auto"/>
              </w:rPr>
            </w:pPr>
          </w:p>
        </w:tc>
        <w:tc>
          <w:tcPr>
            <w:tcW w:w="6640" w:type="dxa"/>
            <w:vAlign w:val="bottom"/>
            <w:gridSpan w:val="14"/>
          </w:tcPr>
          <w:p>
            <w:pPr>
              <w:spacing w:after="0"/>
              <w:rPr>
                <w:sz w:val="24"/>
                <w:szCs w:val="24"/>
                <w:color w:val="auto"/>
              </w:rPr>
            </w:pPr>
          </w:p>
        </w:tc>
        <w:tc>
          <w:tcPr>
            <w:tcW w:w="740" w:type="dxa"/>
            <w:vAlign w:val="bottom"/>
            <w:gridSpan w:val="4"/>
          </w:tcPr>
          <w:p>
            <w:pPr>
              <w:jc w:val="center"/>
              <w:ind w:left="47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1840" w:type="dxa"/>
            <w:vAlign w:val="bottom"/>
            <w:gridSpan w:val="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SIGNATURE</w:t>
              </w:r>
            </w:hyperlink>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gridSpan w:val="4"/>
          </w:tcPr>
          <w:p>
            <w:pPr>
              <w:jc w:val="center"/>
              <w:ind w:left="47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r>
      <w:tr>
        <w:trPr>
          <w:trHeight w:val="723"/>
        </w:trPr>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4260" w:type="dxa"/>
            <w:vAlign w:val="bottom"/>
            <w:gridSpan w:val="10"/>
          </w:tcPr>
          <w:p>
            <w:pPr>
              <w:ind w:left="3780"/>
              <w:spacing w:after="0"/>
              <w:rPr>
                <w:sz w:val="20"/>
                <w:szCs w:val="20"/>
                <w:color w:val="auto"/>
              </w:rPr>
            </w:pPr>
            <w:r>
              <w:rPr>
                <w:rFonts w:ascii="Arial" w:cs="Arial" w:eastAsia="Arial" w:hAnsi="Arial"/>
                <w:sz w:val="18"/>
                <w:szCs w:val="18"/>
                <w:color w:val="auto"/>
              </w:rPr>
              <w:t>3</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bl>
    <w:p>
      <w:pPr>
        <w:sectPr>
          <w:pgSz w:w="11900" w:h="16838" w:orient="portrait"/>
          <w:cols w:equalWidth="0" w:num="1">
            <w:col w:w="11120"/>
          </w:cols>
          <w:pgMar w:left="240" w:top="130" w:right="5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investments,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3,636,949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3,662,045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637,421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640,148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106,259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108,293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2,619,430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2,637,639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45,420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29,054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75,521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Loan receivable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64,078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58,675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7,220,447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7,246,882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interest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75,479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33,241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Gaming, property, and other taxes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41,196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35,399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Long-term debt, net of unamortized debt issuance costs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4,401,107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4,442,880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rental revenue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248,640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232,023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4,803,599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4,788,635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8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89"/>
              </w:rPr>
              <w:t>Preferred stock ($.01 par value, 50,000,000 shares authorized, no shares issued or outstanding at March 31, 2018</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20"/>
              <w:spacing w:after="0"/>
              <w:rPr>
                <w:sz w:val="20"/>
                <w:szCs w:val="20"/>
                <w:color w:val="auto"/>
              </w:rPr>
            </w:pPr>
            <w:r>
              <w:rPr>
                <w:rFonts w:ascii="Arial" w:cs="Arial" w:eastAsia="Arial" w:hAnsi="Arial"/>
                <w:sz w:val="18"/>
                <w:szCs w:val="18"/>
                <w:color w:val="auto"/>
              </w:rPr>
              <w:t>and December 31, 2017)</w:t>
            </w:r>
          </w:p>
        </w:tc>
        <w:tc>
          <w:tcPr>
            <w:tcW w:w="2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stock ($.01 par value, 500,000,000 shares authorized, 213,498,249 and 212,717,549 shares issued at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March 31, 2018 and December 31, 2017,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3,930,777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3,933,829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(1,516,064)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(1,477,709)</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2,416,848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2,458,247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7,220,447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7,246,882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13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30"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gridSpan w:val="7"/>
          </w:tcPr>
          <w:p>
            <w:pPr>
              <w:jc w:val="center"/>
              <w:ind w:left="2870"/>
              <w:spacing w:after="0"/>
              <w:rPr>
                <w:sz w:val="20"/>
                <w:szCs w:val="20"/>
                <w:color w:val="auto"/>
              </w:rPr>
            </w:pPr>
            <w:r>
              <w:rPr>
                <w:rFonts w:ascii="Arial" w:cs="Arial" w:eastAsia="Arial" w:hAnsi="Arial"/>
                <w:sz w:val="18"/>
                <w:szCs w:val="18"/>
                <w:b w:val="1"/>
                <w:bCs w:val="1"/>
                <w:color w:val="auto"/>
                <w:w w:val="90"/>
              </w:rPr>
              <w:t>Gaming and Leisure Properties, Inc. and Subsidiaries</w:t>
            </w:r>
          </w:p>
        </w:tc>
      </w:tr>
      <w:tr>
        <w:trPr>
          <w:trHeight w:val="216"/>
        </w:trPr>
        <w:tc>
          <w:tcPr>
            <w:tcW w:w="7560" w:type="dxa"/>
            <w:vAlign w:val="bottom"/>
            <w:gridSpan w:val="6"/>
          </w:tcPr>
          <w:p>
            <w:pPr>
              <w:jc w:val="center"/>
              <w:ind w:left="3770"/>
              <w:spacing w:after="0"/>
              <w:rPr>
                <w:sz w:val="20"/>
                <w:szCs w:val="20"/>
                <w:color w:val="auto"/>
              </w:rPr>
            </w:pPr>
            <w:r>
              <w:rPr>
                <w:rFonts w:ascii="Arial" w:cs="Arial" w:eastAsia="Arial" w:hAnsi="Arial"/>
                <w:sz w:val="18"/>
                <w:szCs w:val="18"/>
                <w:b w:val="1"/>
                <w:bCs w:val="1"/>
                <w:color w:val="auto"/>
                <w:w w:val="88"/>
              </w:rPr>
              <w:t>Condensed Consolidated Statements of Income</w:t>
            </w:r>
          </w:p>
        </w:tc>
        <w:tc>
          <w:tcPr>
            <w:tcW w:w="920" w:type="dxa"/>
            <w:vAlign w:val="bottom"/>
          </w:tcPr>
          <w:p>
            <w:pPr>
              <w:spacing w:after="0"/>
              <w:rPr>
                <w:sz w:val="18"/>
                <w:szCs w:val="18"/>
                <w:color w:val="auto"/>
              </w:rPr>
            </w:pPr>
          </w:p>
        </w:tc>
      </w:tr>
      <w:tr>
        <w:trPr>
          <w:trHeight w:val="216"/>
        </w:trPr>
        <w:tc>
          <w:tcPr>
            <w:tcW w:w="7560" w:type="dxa"/>
            <w:vAlign w:val="bottom"/>
            <w:gridSpan w:val="6"/>
          </w:tcPr>
          <w:p>
            <w:pPr>
              <w:jc w:val="center"/>
              <w:ind w:left="3770"/>
              <w:spacing w:after="0"/>
              <w:rPr>
                <w:sz w:val="20"/>
                <w:szCs w:val="20"/>
                <w:color w:val="auto"/>
              </w:rPr>
            </w:pPr>
            <w:r>
              <w:rPr>
                <w:rFonts w:ascii="Arial" w:cs="Arial" w:eastAsia="Arial" w:hAnsi="Arial"/>
                <w:sz w:val="18"/>
                <w:szCs w:val="18"/>
                <w:b w:val="1"/>
                <w:bCs w:val="1"/>
                <w:color w:val="auto"/>
                <w:w w:val="88"/>
              </w:rPr>
              <w:t>(in thousands, except per share data)</w:t>
            </w:r>
          </w:p>
        </w:tc>
        <w:tc>
          <w:tcPr>
            <w:tcW w:w="920" w:type="dxa"/>
            <w:vAlign w:val="bottom"/>
          </w:tcPr>
          <w:p>
            <w:pPr>
              <w:spacing w:after="0"/>
              <w:rPr>
                <w:sz w:val="18"/>
                <w:szCs w:val="18"/>
                <w:color w:val="auto"/>
              </w:rPr>
            </w:pPr>
          </w:p>
        </w:tc>
      </w:tr>
      <w:tr>
        <w:trPr>
          <w:trHeight w:val="234"/>
        </w:trPr>
        <w:tc>
          <w:tcPr>
            <w:tcW w:w="4800" w:type="dxa"/>
            <w:vAlign w:val="bottom"/>
          </w:tcPr>
          <w:p>
            <w:pPr>
              <w:spacing w:after="0"/>
              <w:rPr>
                <w:sz w:val="20"/>
                <w:szCs w:val="20"/>
                <w:color w:val="auto"/>
              </w:rPr>
            </w:pPr>
          </w:p>
        </w:tc>
        <w:tc>
          <w:tcPr>
            <w:tcW w:w="220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1"/>
              </w:rPr>
              <w:t>(unaudited)</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764"/>
        </w:trPr>
        <w:tc>
          <w:tcPr>
            <w:tcW w:w="4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80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2017</w:t>
            </w:r>
          </w:p>
        </w:tc>
      </w:tr>
      <w:tr>
        <w:trPr>
          <w:trHeight w:val="283"/>
        </w:trPr>
        <w:tc>
          <w:tcPr>
            <w:tcW w:w="48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Rental income</w:t>
            </w:r>
          </w:p>
        </w:tc>
        <w:tc>
          <w:tcPr>
            <w:tcW w:w="9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169,405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165,161</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Income from direct financing lease</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18,621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17,824</w:t>
            </w:r>
          </w:p>
        </w:tc>
      </w:tr>
      <w:tr>
        <w:trPr>
          <w:trHeight w:val="27"/>
        </w:trPr>
        <w:tc>
          <w:tcPr>
            <w:tcW w:w="4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taxes paid by tenants</w:t>
            </w:r>
          </w:p>
        </w:tc>
        <w:tc>
          <w:tcPr>
            <w:tcW w:w="6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21,278</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21,720</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6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209,304</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204,705</w:t>
            </w:r>
          </w:p>
        </w:tc>
      </w:tr>
      <w:tr>
        <w:trPr>
          <w:trHeight w:val="27"/>
        </w:trPr>
        <w:tc>
          <w:tcPr>
            <w:tcW w:w="4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 net</w:t>
            </w:r>
          </w:p>
        </w:tc>
        <w:tc>
          <w:tcPr>
            <w:tcW w:w="6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34,746</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38,008</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6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244,050</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242,713</w:t>
            </w:r>
          </w:p>
        </w:tc>
      </w:tr>
      <w:tr>
        <w:trPr>
          <w:trHeight w:val="27"/>
        </w:trPr>
        <w:tc>
          <w:tcPr>
            <w:tcW w:w="4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4"/>
        </w:trPr>
        <w:tc>
          <w:tcPr>
            <w:tcW w:w="48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19,658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21,076</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Real estate taxes</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21,595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22,143</w:t>
            </w:r>
          </w:p>
        </w:tc>
      </w:tr>
      <w:tr>
        <w:trPr>
          <w:trHeight w:val="27"/>
        </w:trPr>
        <w:tc>
          <w:tcPr>
            <w:tcW w:w="4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rights and ground leases expense</w:t>
            </w: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5,175</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16,460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16,056</w:t>
            </w:r>
          </w:p>
        </w:tc>
      </w:tr>
      <w:tr>
        <w:trPr>
          <w:trHeight w:val="27"/>
        </w:trPr>
        <w:tc>
          <w:tcPr>
            <w:tcW w:w="4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6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27,954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28,257</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6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92,199</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92,707</w:t>
            </w:r>
          </w:p>
        </w:tc>
      </w:tr>
      <w:tr>
        <w:trPr>
          <w:trHeight w:val="27"/>
        </w:trPr>
        <w:tc>
          <w:tcPr>
            <w:tcW w:w="48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6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151,851</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150,006</w:t>
            </w:r>
          </w:p>
        </w:tc>
      </w:tr>
      <w:tr>
        <w:trPr>
          <w:trHeight w:val="277"/>
        </w:trPr>
        <w:tc>
          <w:tcPr>
            <w:tcW w:w="4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(54,068)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(53,949)</w:t>
            </w:r>
          </w:p>
        </w:tc>
      </w:tr>
      <w:tr>
        <w:trPr>
          <w:trHeight w:val="27"/>
        </w:trPr>
        <w:tc>
          <w:tcPr>
            <w:tcW w:w="4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6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Total other expenses</w:t>
            </w:r>
          </w:p>
        </w:tc>
        <w:tc>
          <w:tcPr>
            <w:tcW w:w="6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(53,587)</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(53,485)</w:t>
            </w:r>
          </w:p>
        </w:tc>
      </w:tr>
      <w:tr>
        <w:trPr>
          <w:trHeight w:val="27"/>
        </w:trPr>
        <w:tc>
          <w:tcPr>
            <w:tcW w:w="48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1"/>
        </w:trPr>
        <w:tc>
          <w:tcPr>
            <w:tcW w:w="48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98,264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96,521</w:t>
            </w:r>
          </w:p>
        </w:tc>
      </w:tr>
      <w:tr>
        <w:trPr>
          <w:trHeight w:val="27"/>
        </w:trPr>
        <w:tc>
          <w:tcPr>
            <w:tcW w:w="4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6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2,530</w:t>
            </w:r>
          </w:p>
        </w:tc>
      </w:tr>
      <w:tr>
        <w:trPr>
          <w:trHeight w:val="29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6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96,772</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93,991</w:t>
            </w:r>
          </w:p>
        </w:tc>
      </w:tr>
      <w:tr>
        <w:trPr>
          <w:trHeight w:val="284"/>
        </w:trPr>
        <w:tc>
          <w:tcPr>
            <w:tcW w:w="48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9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0.45</w:t>
            </w:r>
          </w:p>
        </w:tc>
      </w:tr>
      <w:tr>
        <w:trPr>
          <w:trHeight w:val="27"/>
        </w:trPr>
        <w:tc>
          <w:tcPr>
            <w:tcW w:w="4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7"/>
        </w:trPr>
        <w:tc>
          <w:tcPr>
            <w:tcW w:w="48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Dividends paid per common share</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0.62</w:t>
            </w:r>
          </w:p>
        </w:tc>
      </w:tr>
    </w:tbl>
    <w:p>
      <w:pPr>
        <w:spacing w:after="0" w:line="229"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See accompanying notes to the condensed consolidated financial statements.</w:t>
      </w:r>
    </w:p>
    <w:p>
      <w:pPr>
        <w:spacing w:after="0" w:line="200" w:lineRule="exact"/>
        <w:rPr>
          <w:sz w:val="20"/>
          <w:szCs w:val="20"/>
          <w:color w:val="auto"/>
        </w:rPr>
      </w:pPr>
    </w:p>
    <w:p>
      <w:pPr>
        <w:spacing w:after="0" w:line="29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130" w:right="1440"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Retained</w:t>
            </w:r>
          </w:p>
        </w:tc>
        <w:tc>
          <w:tcPr>
            <w:tcW w:w="180" w:type="dxa"/>
            <w:vAlign w:val="bottom"/>
          </w:tcPr>
          <w:p>
            <w:pPr>
              <w:spacing w:after="0"/>
              <w:rPr>
                <w:sz w:val="14"/>
                <w:szCs w:val="14"/>
                <w:color w:val="auto"/>
              </w:rPr>
            </w:pPr>
          </w:p>
        </w:tc>
        <w:tc>
          <w:tcPr>
            <w:tcW w:w="118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restart"/>
          </w:tcPr>
          <w:p>
            <w:pPr>
              <w:jc w:val="center"/>
              <w:ind w:right="340"/>
              <w:spacing w:after="0" w:line="139"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4"/>
                <w:szCs w:val="4"/>
                <w:color w:val="auto"/>
              </w:rPr>
            </w:pPr>
          </w:p>
        </w:tc>
        <w:tc>
          <w:tcPr>
            <w:tcW w:w="128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4"/>
                <w:szCs w:val="4"/>
                <w:color w:val="auto"/>
              </w:rPr>
            </w:pPr>
          </w:p>
        </w:tc>
        <w:tc>
          <w:tcPr>
            <w:tcW w:w="1180" w:type="dxa"/>
            <w:vAlign w:val="bottom"/>
            <w:vMerge w:val="restart"/>
          </w:tcPr>
          <w:p>
            <w:pPr>
              <w:jc w:val="center"/>
              <w:ind w:right="115"/>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4120" w:type="dxa"/>
            <w:vAlign w:val="bottom"/>
          </w:tcPr>
          <w:p>
            <w:pPr>
              <w:spacing w:after="0"/>
              <w:rPr>
                <w:sz w:val="5"/>
                <w:szCs w:val="5"/>
                <w:color w:val="auto"/>
              </w:rPr>
            </w:pP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5"/>
                <w:szCs w:val="5"/>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180" w:type="dxa"/>
            <w:vAlign w:val="bottom"/>
          </w:tcPr>
          <w:p>
            <w:pPr>
              <w:jc w:val="center"/>
              <w:ind w:right="11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212,717,549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3,933,829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(1,477,709)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2,458,247</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Stock option activity</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297,605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Restricted stock activity</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483,095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(8,288)</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(134,717)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(134,717)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Adoption of new revenue standard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96,772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96,772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2018</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213,498,249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3,930,777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(1,516,064)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2,416,848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83"/>
        </w:trPr>
        <w:tc>
          <w:tcPr>
            <w:tcW w:w="82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96,772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93,991</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30,568</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3,257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Losses on dispositions of property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4,483</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Straight-line rent adjustments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16,245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42,238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41,928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salaries and wages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(7,234)</w:t>
            </w: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Gaming, property and other taxes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2,938</w:t>
            </w: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185,756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184,689</w:t>
            </w:r>
          </w:p>
        </w:tc>
      </w:tr>
      <w:tr>
        <w:trPr>
          <w:trHeight w:val="22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project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Capital maintenance expenditures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Principal payments on loan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13,200</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Deposit for pending acquisition of real estate assets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(8,230)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Collections of principal payments on investment in direct financing lease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17,613</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22,093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(134,717)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(129,301)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Taxes paid related to shares withheld for tax purposes on restricted stock award vestings, net of proceeds from</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exercise of options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4,456</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Costs related to continuous equity offering</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(95,027)</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(186,777)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(219,977)</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29,054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36,556</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45,420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23,361</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See Note 14 to the condensed consolidated financial statements for supplemental cash flow information and noncash investing and financing activities.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Operations</w:t>
      </w:r>
    </w:p>
    <w:p>
      <w:pPr>
        <w:spacing w:after="0" w:line="2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Gaming and Leisure Properties, Inc. ("GLPI") is a self-administered and self-managed Pennsylvania real estate investment trust ("REIT"). GLPI (together with its subsidiaries, the "Company") was incorporated on February 13, 2013, as a wholly-owned subsidiary of Penn National Gaming, Inc.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Company elected on its United States ("U.S.") federal income tax return for its taxable year that began on January 1, 2014 to be treated as a REIT and the Company, together with its indirect wholly-owned subsidiary of the Company,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w:t>
      </w:r>
    </w:p>
    <w:p>
      <w:pPr>
        <w:spacing w:after="0" w:line="16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a result of the Spin-Off, GLPI owns substantially all of Penn’s former real property assets and leases back most of those assets to Penn for use by its subsidiaries, under a unitary master lease, a triple-net operating lease with an initial term of 15 years (expiring October 31, 2028) with no purchase option, followed by four 5-year renewal options (exercisable by Penn) on the same terms and conditions (the "Penn Master Lease"), and GLPI also owns and operates the TRS Properties through an indirect wholly-owned subsidiary, GLP Holdings, Inc. In April 2016, the Company acquired substantially all of the real estate assets of Pinnacle Entertainment, Inc. ("Pinnacle") for approximately $4.8 billion. GLPI leases these assets back to Pinnacle, under a unitary triple-net lease with an initial term of 10 years (expiring April 30, 2026) with no purchase option, followed by five 5-year renewal options (exercisable by Pinnacle) on the same terms and conditions (the "Pinnacle Master Lease" and together with the Penn Master Lease, the "Master Leases").</w:t>
      </w:r>
    </w:p>
    <w:p>
      <w:pPr>
        <w:spacing w:after="0" w:line="16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As of March 31, 2018, GLPI’s portfolio consisted of 38 gaming and related facilities, including the TRS Properties, the real property associated with 20 gaming and related facilities operated by Penn, the real property associated with 15 gaming and related facilities operated by Pinnacle and the real property associated with the Casino Queen in East St. Louis, Illinois. These facilities are geographically diversified across 14 states and were 100% occupied at March 31, 2018.</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GLPI expects to grow its portfolio by pursuing opportunities to acquire additional gaming facilities to lease to gaming operators under prudent terms. For example, on December 17, 2017, the Company entered into agreements to purchase two additional properties, Plainridge Park Casino and Belterra Park Gaming &amp; Entertainment Center from Penn and Pinnacle, respectively. We will acquire these properties in connection with the proposed acquisition of Pinnacle by Penn pursuant to a definitive agreement and plan of merger between them, also dated December 17, 2017 (the "Merger"). Subject to and concurrently with the completion of the Merger, we have agreed to, among other things, amend our master lease with Pinnacle to allow for the sale by Pinnacle of the operating assets at Ameristar Casino Hotel Kansas City, Ameristar Casino Resort Spa St. Charles and Belterra Casino Resort to Boyd Gaming Corporation (“Boyd”) and to enter into a new master lease agreement with Boyd on terms similar to the Company’s existing leases for these properties and the real property underlying Belterra Park. The transaction which is subject to regulatory approval is expected to close in the second half of 2018.</w:t>
      </w:r>
    </w:p>
    <w:p>
      <w:pPr>
        <w:spacing w:after="0" w:line="162"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70"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171"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In order to conform to the current presentation of the statement of income, the Company separated the general and administrative expense line item into the line items general and administrative expenses and land rights and ground lease expense on the condensed consolidated statements of income for the three months ended March 31, 2017. This new line item includes the amortization of land rights and rent expense related to the Company's long-term ground leases. These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were made only for presentation purposes and had no impact on the Company's financial results for the three months ended March 31, 2017.</w:t>
      </w:r>
    </w:p>
    <w:p>
      <w:pPr>
        <w:spacing w:after="0" w:line="24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Furthermore, in conjunction with the adoption of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on January 1, 2018, promotional allowances representing the retail value of food, beverages and other services furnished to guests without charge are presented on a net basis within the gaming, food, beverage and other revenue, net line item on the condensed consolidated statements of income. Prior to the adoption of ASU 2014-09, promotional allowances were required to be presented as a separate line item on the condensed consolidated statements of income. This change also had no impact on the Company's financial results for the three months ended March 31, 2017.</w:t>
      </w:r>
    </w:p>
    <w:p>
      <w:pPr>
        <w:spacing w:after="0" w:line="17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GLPI and its subsidiaries. All intercompany accounts and transactions have been eliminated in consolidation.</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Operating results for the three months ended March 31, 2018 are not necessarily indicative of the results that may be expected for the year ending December 31, 2018. The notes to the consolidated financial statements contained in our Annual Report on Form 10-K for the year ended December 31, 2017 (our "Annual Report") should be read in conjunction with these condensed consolidated financial statements. The December 31, 2017 financial information has been derived from the Company’s audited consolidated financial statements.</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xml:space="preserve"> ("ASU 2017-09"). This ASU provides clarity about which changes to the terms or conditions of a share-based payment award require the application of modification accounting. Specifically, ASU 2017-09 clarifies that changes to the terms or conditions of an award should be accounted for as a modification unless all of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and 3) the classification of the modified award as an equity instrument or a liability instrument is the same as the classification of the original award immediately before the original award is modified. ASU 2017-09 is effective for annual reporting periods beginning after December 15, 2017. The Company adopted ASU 2017-09 on January 1, 2018 and does not expect the adoption of ASU 2017-09 to significantly impact its accounting for share-based payment awards, as changes to awards' terms and conditions subsequent to the grant date are unusual and infrequent in nature.</w:t>
      </w:r>
    </w:p>
    <w:p>
      <w:pPr>
        <w:spacing w:after="0" w:line="167"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("ASU 2017-01"). This ASU provides clarifying guidance on what constitutes a business acquisition versus an asset acquisition. Specifically, the new guidance lays out a screen to more easily determine if a set of integrated assets and activities does in fact represent a business. Under the ASU 2017-01, when substantially all of the fair value of the gross assets acquired is concentrated in a single identifiable asset or group of similar identifiable assets, the assets do not represent a business.</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ASU 2017-01 is effective for annual reporting periods beginning after December 15, 2017. The Company adopted ASU 2017-01 on January 1, 2018 with no impact to the Company's accounting treatment of its acquisitions.</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a Consensus of the FASB Emerging Issues Task Force </w:t>
      </w:r>
      <w:r>
        <w:rPr>
          <w:rFonts w:ascii="Arial" w:cs="Arial" w:eastAsia="Arial" w:hAnsi="Arial"/>
          <w:sz w:val="18"/>
          <w:szCs w:val="18"/>
          <w:color w:val="auto"/>
        </w:rPr>
        <w:t>("ASU 2016-15")</w:t>
      </w:r>
      <w:r>
        <w:rPr>
          <w:rFonts w:ascii="Arial" w:cs="Arial" w:eastAsia="Arial" w:hAnsi="Arial"/>
          <w:sz w:val="18"/>
          <w:szCs w:val="18"/>
          <w:i w:val="1"/>
          <w:iCs w:val="1"/>
          <w:color w:val="auto"/>
        </w:rPr>
        <w:t xml:space="preserve">. </w:t>
      </w:r>
      <w:r>
        <w:rPr>
          <w:rFonts w:ascii="Arial" w:cs="Arial" w:eastAsia="Arial" w:hAnsi="Arial"/>
          <w:sz w:val="18"/>
          <w:szCs w:val="18"/>
          <w:color w:val="auto"/>
        </w:rPr>
        <w:t>This ASU provides clarifying guidance on the presentation of certain cash</w:t>
      </w:r>
      <w:r>
        <w:rPr>
          <w:rFonts w:ascii="Arial" w:cs="Arial" w:eastAsia="Arial" w:hAnsi="Arial"/>
          <w:sz w:val="18"/>
          <w:szCs w:val="18"/>
          <w:i w:val="1"/>
          <w:iCs w:val="1"/>
          <w:color w:val="auto"/>
        </w:rPr>
        <w:t xml:space="preserve"> </w:t>
      </w:r>
      <w:r>
        <w:rPr>
          <w:rFonts w:ascii="Arial" w:cs="Arial" w:eastAsia="Arial" w:hAnsi="Arial"/>
          <w:sz w:val="18"/>
          <w:szCs w:val="18"/>
          <w:color w:val="auto"/>
        </w:rPr>
        <w:t>receipts and cash payments in the statement of cash flows. ASU 2016-15 is effective for annual reporting periods beginning after December 15, 2017. The Company adopted ASU 2016-15 on January 1, 2018, with no impact to its presentation of cash receipts and payments on its consolidated statements of cash flows.</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This new standard replaces all preceding U.S. GAAP guidance on this topic and eliminates all industry-specific guidance. ASU 2014-09 provides a unified five-step model to determine when and how revenue is recognized. The core principle is that a company should recognize revenue to depict the transfer of promised goods or services to customers in an amount that reflects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30"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the consideration for which the entity expects to be entitled in exchange for those goods or services. The Company adopted ASU 2014-09 on January 1, 2018 using the modified retrospective approach and recorded a cumulative adjustment to retained earnings of approximately $410,000 at the adoption date.</w:t>
      </w:r>
    </w:p>
    <w:p>
      <w:pPr>
        <w:spacing w:after="0" w:line="124"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The majority of the Company's revenue recognition policies were not impacted by the new revenue standard, as leases (the source of the Company's majority of revenues) are excluded from ASU 2014-09. Only the accounting treatment for the customer loyalty programs at the TRS properties was impacted by the adoption of ASU 2014-09. See Note 11 to the condensed consolidated financial statements for further details on the adoption impact of ASU 2014-09 at the TRS Properties.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xml:space="preserve"> ("ASU 2017-04"). This ASU simplifies an entity's goodwill impairment test by eliminating Step 2 from the test. The new guidance also amends the definition of impairment to a condition that exists when the carrying amount of goodwill exceeds its fair value. By eliminating Step 2 from the test, entities are no longer required to determine the implied fair value of goodwill by computing the fair value (at impairment testing date) of all assets and liabilities in a manner similar to that required in conjunction with business combinations. Upon the adoption of ASU 2017-04, an impairment charge is simply recorded as the difference between carrying value and fair value, when carrying value exceeds fair value. ASU 2017-04 is effective for annual reporting periods beginning after December 15, 2019 and early adoption is permitted. The Company does not expect the adoption of ASU 2017-04 to significantly impact its goodwill impairment testing.</w:t>
      </w:r>
    </w:p>
    <w:p>
      <w:pPr>
        <w:spacing w:after="0" w:line="19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 </w:t>
      </w:r>
      <w:r>
        <w:rPr>
          <w:rFonts w:ascii="Arial" w:cs="Arial" w:eastAsia="Arial" w:hAnsi="Arial"/>
          <w:sz w:val="18"/>
          <w:szCs w:val="18"/>
          <w:color w:val="auto"/>
        </w:rPr>
        <w:t>("ASU 2016-13"). This ASU introduces a new model for estimating credit losses for certain types of financial instruments, including loans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and net investments in direct financing leases, amongst other financial instruments. ASU 2016-13 sets forth an "expected credit loss" impairment model to replace the current "incurred loss" method of recognizing credit losses, which is intended to improve financial reporting by requiring timely recording of credit losses on loans and other financial instruments. ASU 2016-13 is effective for fiscal years beginning after December 15, 2019, with early adoption permitted for fiscal years beginning after December 15, 2018. The Company does not expect the adoption of ASU 2016-13 to have a significant impact on its consolidated financial statements.</w:t>
      </w:r>
    </w:p>
    <w:p>
      <w:pPr>
        <w:spacing w:after="0" w:line="18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This ASU primarily provides new guidance for lessees on the accounting treatment of operating leases. Under the new guidance, lessees are required to recognize assets and liabilities arising from operating leases on the balance sheet. ASU 2016-02 also aligns lessor accounting with the revenue recognition guidance in Topic 606 of the Accounting Standards Codification. ASU 2016-02 is effective for annual reporting periods beginning after December 15, 2018 and is required to be adopted on a modified retrospective basis, meaning the new leasing model will be applied to the earliest year presented in the financial statements and thereafter. However, in January 2018, the FASB issued a proposed ASU, which would permit companies to apply the transition provisions of the lease accounting standard at its effective date (i.e. comparative financial statements would not be required).</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is evaluating the impact of adopting this new accounting standard on its financial statements but does not expect the adoption of the new guidance to have a significant impact on the accounting treatment of its triple-net tenant leases, which are the primary source of revenue to the Company. Generally speaking, ASU 2016-02 will more significantly impact the accounting for leases in which GLPI is the lessee by requiring the Company to record a right of use asset and lease liability on its consolidated balance sheets for these leases.</w:t>
      </w:r>
    </w:p>
    <w:p>
      <w:pPr>
        <w:spacing w:after="0" w:line="183"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methods and assumptions are used to estimate the fair value of each class of financial instruments for which it is practicable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estimate.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fair value of the Company’s cash and cash equivalents approximates the carrying value of the Company’s cash and cash equivalents, due to the short maturity of the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30"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Compensation Plan Assets</w:t>
      </w:r>
    </w:p>
    <w:p>
      <w:pPr>
        <w:spacing w:after="0" w:line="225"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The Company's deferred compensation plan assets consist of open-ended mutual funds and as such the fair value measurement of the assets is considered a Level 1 measurement as defined under Accounting Standards Code ("ASC") 820 "Fair Value Measurements and Disclosures" ("ASC 820"). Deferred compensation plan assets are included within other assets on the condensed consolidated balance sheets.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Receivable</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fair value of the loan receivable approximates the carrying value of the Company's loan receivable, as collection on the outstanding loan balance is reasonably assured and the interest rate approximates market rates for a similar instrument. The fair value measurement of the loan receivable is considered a Level 3 measurement as defined under ASC 820.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fair value of the senior unsecured notes and senior unsecured credit facility is estimated based on quoted prices in active markets and as such is a Level 1 measurement as defined under ASC 820.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12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March 31, 2018</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1"/>
              </w:rPr>
              <w:t>December 31, 2017</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120" w:type="dxa"/>
            <w:vAlign w:val="bottom"/>
            <w:gridSpan w:val="3"/>
          </w:tcPr>
          <w:p>
            <w:pPr>
              <w:jc w:val="center"/>
              <w:ind w:right="640"/>
              <w:spacing w:after="0" w:line="153" w:lineRule="exact"/>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2"/>
          </w:tcPr>
          <w:p>
            <w:pPr>
              <w:jc w:val="center"/>
              <w:ind w:right="620"/>
              <w:spacing w:after="0" w:line="153" w:lineRule="exact"/>
              <w:rPr>
                <w:sz w:val="20"/>
                <w:szCs w:val="20"/>
                <w:color w:val="auto"/>
              </w:rPr>
            </w:pPr>
            <w:r>
              <w:rPr>
                <w:rFonts w:ascii="Arial" w:cs="Arial" w:eastAsia="Arial" w:hAnsi="Arial"/>
                <w:sz w:val="14"/>
                <w:szCs w:val="14"/>
                <w:b w:val="1"/>
                <w:bCs w:val="1"/>
                <w:color w:val="auto"/>
              </w:rPr>
              <w:t>Fair</w:t>
            </w:r>
          </w:p>
        </w:tc>
        <w:tc>
          <w:tcPr>
            <w:tcW w:w="2140" w:type="dxa"/>
            <w:vAlign w:val="bottom"/>
            <w:gridSpan w:val="3"/>
          </w:tcPr>
          <w:p>
            <w:pPr>
              <w:jc w:val="center"/>
              <w:ind w:right="660"/>
              <w:spacing w:after="0" w:line="153" w:lineRule="exact"/>
              <w:rPr>
                <w:sz w:val="20"/>
                <w:szCs w:val="20"/>
                <w:color w:val="auto"/>
              </w:rPr>
            </w:pPr>
            <w:r>
              <w:rPr>
                <w:rFonts w:ascii="Arial" w:cs="Arial" w:eastAsia="Arial" w:hAnsi="Arial"/>
                <w:sz w:val="14"/>
                <w:szCs w:val="14"/>
                <w:b w:val="1"/>
                <w:bCs w:val="1"/>
                <w:color w:val="auto"/>
                <w:w w:val="97"/>
              </w:rPr>
              <w:t>Carrying</w:t>
            </w:r>
          </w:p>
        </w:tc>
        <w:tc>
          <w:tcPr>
            <w:tcW w:w="920" w:type="dxa"/>
            <w:vAlign w:val="bottom"/>
          </w:tcPr>
          <w:p>
            <w:pPr>
              <w:jc w:val="right"/>
              <w:ind w:right="515"/>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1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Amount</w:t>
            </w:r>
          </w:p>
        </w:tc>
        <w:tc>
          <w:tcPr>
            <w:tcW w:w="10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Value</w:t>
            </w:r>
          </w:p>
        </w:tc>
        <w:tc>
          <w:tcPr>
            <w:tcW w:w="21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tcPr>
          <w:p>
            <w:pPr>
              <w:jc w:val="right"/>
              <w:ind w:right="475"/>
              <w:spacing w:after="0"/>
              <w:rPr>
                <w:sz w:val="20"/>
                <w:szCs w:val="20"/>
                <w:color w:val="auto"/>
              </w:rPr>
            </w:pPr>
            <w:r>
              <w:rPr>
                <w:rFonts w:ascii="Arial" w:cs="Arial" w:eastAsia="Arial" w:hAnsi="Arial"/>
                <w:sz w:val="14"/>
                <w:szCs w:val="14"/>
                <w:b w:val="1"/>
                <w:bCs w:val="1"/>
                <w:color w:val="auto"/>
                <w:w w:val="90"/>
              </w:rPr>
              <w:t>Value</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45,420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45,420</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29,054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29,054</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23,591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23,591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22,617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22,617</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Loan receivable</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13,000</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unsecured credit facility</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1,010,000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1,000,141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1,055,000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1,045,600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Senior unsecured notes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3,425,000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3,477,528</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3,425,000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3,574,688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 Company recognizes rental revenue from tenants, including rental abatements, lease incentives and contractually fixed increases attributable to operating leases, on a straight-line basis over the term of the related leases when collectability is reasonably assured. Additionally, percentage rent that is fixed and determinable at the lease inception date is recorded on a straight-line basis over the lease term, resulting in the recognition of deferred rental revenue on the Company’s condensed consolidated balance sheets. Deferred rental revenue is amortized to rental revenue on a straight-line basis over the remainder of the lease term. The lease term includes the initial non-cancelable lease term and any reasonably assured renewable periods. Contingent rental income that is not fixed and determinable at lease inception is recognized only when the lessee achieves the specified target. Recognition of rental income commences when control of the facility has been transferred to the tenant.</w:t>
      </w:r>
    </w:p>
    <w:p>
      <w:pPr>
        <w:spacing w:after="0" w:line="17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Company recognizes income from tenants subject to direct financing leases ratably over the lease term using the effective interest rate method which produces a constant periodic rate of return on the net investment in the leased property. At lease inception, the Company records an asset which represents the Company's net investment in the direct financing lease. This initial net investment is determined by aggregating the total future minimum lease payments attributable to the direct financing lease and the estimated residual value of the property, less unearned income. Over the lease term, the investment in the direct financing lease is reduced and income is recognized for the building portion of rent. Furthermore, as the net investment in direct financing lease includes only future minimum lease payments, percentage rent that is not fixed and determinable at the lease inception is excluded from the determination of the rent attributable to the leased assets and will therefore be recorded as income from the direct financing lease in the period earned. For further detail on the Company's direct financing lease refer to Note 8 to the condensed consolidated financial statements.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Additionally, in accordance with ASC 606, "Revenue from Contracts with Customers," the Company records revenue for the real estate taxes paid by its tenants on the leased properties with an offsetting expense in real estate taxes within the condensed consolidated statement of income as the Company has concluded it is the primary obligor. Similarly, the Company records revenue for the ground lease rent paid by its tenants with an offsetting expense in land rights and ground lease expense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within the condensed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Gaming revenue generated by the TRS Properties mainly consists of video lottery gaming revenue, and to a lesser extent, table game and poker revenue. Video lottery gaming revenue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increases. Table game gaming revenue is the aggregate of table drop adjusted for the change in aggregate table chip inventory. Table drop is the total dollar amount of the currency, coins, chips, tokens, outstanding counter checks (markers), and front money that are removed from the live gaming tables. Additionally, food and beverage revenue is recognized as services are performed.</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Gaming revenue is recognized net of certain sales incentives, including promotional allowances in accordance with ASC 606, "Revenue from Contracts with Customers." The Company also defers a portion of the revenue received from customers (who participate in the points based loyalty programs) at the time of play and attributed to the awarded points until a later period when the points are redeemed or forfeited. See Note 11 to the condensed consolidated financial statements for a summary of the changes to the recognition of revenue at the TRS Properties related to the adoption of ASU 2014-09 on January 1,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and Admission Taxes</w:t>
      </w:r>
    </w:p>
    <w:p>
      <w:pPr>
        <w:spacing w:after="0" w:line="229"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For the TRS Properties, the Company is subject to gaming and admission taxes based on gross gaming revenues in the jurisdictions in which it operates, as well as state gaming device fees, based upon a standard per game assessment. The Company recognizes gaming tax expense based on the statutorily required percentage of revenue that is required to be paid to state and local jurisdictions in the states where wagering occurs. Admission taxes are only assessed in Louisiana, while state gaming device fees are only assessed in Maryland. The Company records gaming and admission taxes at the Company’s estimated effective gaming tax rate for the year, considering estimated taxable gaming revenue and the applicable rates. Such estimates are adjusted each interim period. If gaming and admission tax rates change during the year, such changes are applied prospectively in the determination of gaming and admission tax expense in future interim periods. For the three months ended March 31, 2018 and 2017, these expenses, which are primarily recorded within gaming, food, beverage and other expense in the condensed consolidated statements of income, totaled $14.2 million and $15.1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ASC 260, "Earnings per Share."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In accordance with ASC 260 "Earnings per Share," the Company includes all performance-based restricted shares that would have vested based upon the Company’s performance at quarter-end in the calculation of diluted EPS. Diluted EPS for the Company's common stock is computed using the more dilutive of the two-class method or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The following table reconciles the weighted-average common shares outstanding used in the calculation of basic EPS to the weighted-average common shares outstanding used in the calculation of diluted EPS for the three months ended March 31, 2018 and 2017:</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264"/>
        </w:trPr>
        <w:tc>
          <w:tcPr>
            <w:tcW w:w="5200" w:type="dxa"/>
            <w:vAlign w:val="bottom"/>
          </w:tcPr>
          <w:p>
            <w:pPr>
              <w:spacing w:after="0"/>
              <w:rPr>
                <w:sz w:val="22"/>
                <w:szCs w:val="22"/>
                <w:color w:val="auto"/>
              </w:rPr>
            </w:pPr>
          </w:p>
        </w:tc>
        <w:tc>
          <w:tcPr>
            <w:tcW w:w="15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196"/>
        </w:trPr>
        <w:tc>
          <w:tcPr>
            <w:tcW w:w="5200" w:type="dxa"/>
            <w:vAlign w:val="bottom"/>
          </w:tcPr>
          <w:p>
            <w:pPr>
              <w:spacing w:after="0"/>
              <w:rPr>
                <w:sz w:val="17"/>
                <w:szCs w:val="17"/>
                <w:color w:val="auto"/>
              </w:rPr>
            </w:pPr>
          </w:p>
        </w:tc>
        <w:tc>
          <w:tcPr>
            <w:tcW w:w="2100" w:type="dxa"/>
            <w:vAlign w:val="bottom"/>
            <w:gridSpan w:val="3"/>
          </w:tcPr>
          <w:p>
            <w:pPr>
              <w:jc w:val="center"/>
              <w:ind w:left="937"/>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7"/>
                <w:szCs w:val="17"/>
                <w:color w:val="auto"/>
              </w:rPr>
            </w:pPr>
          </w:p>
        </w:tc>
      </w:tr>
      <w:tr>
        <w:trPr>
          <w:trHeight w:val="256"/>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Determination of shares:</w:t>
            </w: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500" w:type="dxa"/>
            <w:vAlign w:val="bottom"/>
          </w:tcPr>
          <w:p>
            <w:pPr>
              <w:jc w:val="right"/>
              <w:spacing w:after="0"/>
              <w:rPr>
                <w:sz w:val="20"/>
                <w:szCs w:val="20"/>
                <w:color w:val="auto"/>
              </w:rPr>
            </w:pPr>
            <w:r>
              <w:rPr>
                <w:rFonts w:ascii="Arial" w:cs="Arial" w:eastAsia="Arial" w:hAnsi="Arial"/>
                <w:sz w:val="18"/>
                <w:szCs w:val="18"/>
                <w:color w:val="auto"/>
              </w:rPr>
              <w:t>213,304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207,880</w:t>
            </w:r>
          </w:p>
        </w:tc>
      </w:tr>
      <w:tr>
        <w:trPr>
          <w:trHeight w:val="27"/>
        </w:trPr>
        <w:tc>
          <w:tcPr>
            <w:tcW w:w="5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conversion of dilutive employee stock-based awards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Assumed conversion of restricted stock awards</w:t>
            </w:r>
          </w:p>
        </w:tc>
        <w:tc>
          <w:tcPr>
            <w:tcW w:w="15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5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Assumed conversion of performance-based restricted stock awards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57"/>
        </w:trPr>
        <w:tc>
          <w:tcPr>
            <w:tcW w:w="520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214,682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209,526</w:t>
            </w:r>
          </w:p>
        </w:tc>
      </w:tr>
      <w:tr>
        <w:trPr>
          <w:trHeight w:val="20"/>
        </w:trPr>
        <w:tc>
          <w:tcPr>
            <w:tcW w:w="5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567"/>
        <w:spacing w:after="0" w:line="277" w:lineRule="auto"/>
        <w:rPr>
          <w:sz w:val="20"/>
          <w:szCs w:val="20"/>
          <w:color w:val="auto"/>
        </w:rPr>
      </w:pPr>
      <w:r>
        <w:rPr>
          <w:rFonts w:ascii="Arial" w:cs="Arial" w:eastAsia="Arial" w:hAnsi="Arial"/>
          <w:sz w:val="18"/>
          <w:szCs w:val="18"/>
          <w:color w:val="auto"/>
        </w:rPr>
        <w:t>The following table presents the calculation of basic and diluted EPS for the Company’s common stock for the three months ended March 31, 2018 and 2017:</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5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r>
      <w:tr>
        <w:trPr>
          <w:trHeight w:val="196"/>
        </w:trPr>
        <w:tc>
          <w:tcPr>
            <w:tcW w:w="5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0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w w:val="97"/>
              </w:rPr>
              <w:t>(in thousands, except per share data)</w:t>
            </w: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Calculation of basic EPS: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96,772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93,991</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allocated to participating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96,610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93,816</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207,880</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Basic EPS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0.45</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84"/>
        </w:trPr>
        <w:tc>
          <w:tcPr>
            <w:tcW w:w="5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Calculation of diluted EPS: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93,991</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214,682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209,526</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0.45</w:t>
            </w:r>
          </w:p>
        </w:tc>
      </w:tr>
      <w:tr>
        <w:trPr>
          <w:trHeight w:val="27"/>
        </w:trPr>
        <w:tc>
          <w:tcPr>
            <w:tcW w:w="5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were 176,641 and 23,954 outstanding equity based awards during the three months ended March 31, 2018 and 2017, respectively, that were not included in the computation of diluted EPS because they were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accounts for stock compensation under ASC 718, "Compensation - Stock Compensation,"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of grant. The Company utilizes a third party valuation firm to measure the fair value of performance-based restricted stock awards at grant date using the Monte Carlo model.</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of March 31, 2018, there was $10.6 million of total unrecognized compensation cost for restricted stock awards that will be recognized over the grants' remaining weighted average vesting period of 2.24 years. For the three months ended March 31, 2018 and 2017, the Company recognized $1.4 million and $2.1 million, respectively, of compensation expense associated with these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30" w:right="25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on restricted stock award activity for the three months ended March 31, 2018:</w:t>
      </w:r>
    </w:p>
    <w:p>
      <w:pPr>
        <w:spacing w:after="0" w:line="150"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000" w:type="dxa"/>
            <w:vAlign w:val="bottom"/>
          </w:tcPr>
          <w:p>
            <w:pPr>
              <w:jc w:val="right"/>
              <w:ind w:right="375"/>
              <w:spacing w:after="0"/>
              <w:rPr>
                <w:sz w:val="20"/>
                <w:szCs w:val="20"/>
                <w:color w:val="auto"/>
              </w:rPr>
            </w:pPr>
            <w:r>
              <w:rPr>
                <w:rFonts w:ascii="Arial" w:cs="Arial" w:eastAsia="Arial" w:hAnsi="Arial"/>
                <w:sz w:val="14"/>
                <w:szCs w:val="14"/>
                <w:b w:val="1"/>
                <w:bCs w:val="1"/>
                <w:color w:val="auto"/>
              </w:rPr>
              <w:t>Number of Award</w:t>
            </w:r>
          </w:p>
        </w:tc>
      </w:tr>
      <w:tr>
        <w:trPr>
          <w:trHeight w:val="192"/>
        </w:trPr>
        <w:tc>
          <w:tcPr>
            <w:tcW w:w="3800" w:type="dxa"/>
            <w:vAlign w:val="bottom"/>
          </w:tcPr>
          <w:p>
            <w:pPr>
              <w:spacing w:after="0"/>
              <w:rPr>
                <w:sz w:val="16"/>
                <w:szCs w:val="16"/>
                <w:color w:val="auto"/>
              </w:rPr>
            </w:pPr>
          </w:p>
        </w:tc>
        <w:tc>
          <w:tcPr>
            <w:tcW w:w="200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Shares</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December 31, 2017</w:t>
            </w:r>
          </w:p>
        </w:tc>
        <w:tc>
          <w:tcPr>
            <w:tcW w:w="2000" w:type="dxa"/>
            <w:vAlign w:val="bottom"/>
          </w:tcPr>
          <w:p>
            <w:pPr>
              <w:jc w:val="right"/>
              <w:ind w:right="15"/>
              <w:spacing w:after="0"/>
              <w:rPr>
                <w:sz w:val="20"/>
                <w:szCs w:val="20"/>
                <w:color w:val="auto"/>
              </w:rPr>
            </w:pPr>
            <w:r>
              <w:rPr>
                <w:rFonts w:ascii="Arial" w:cs="Arial" w:eastAsia="Arial" w:hAnsi="Arial"/>
                <w:sz w:val="18"/>
                <w:szCs w:val="18"/>
                <w:color w:val="auto"/>
              </w:rPr>
              <w:t>344,744</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283,183</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Released</w:t>
            </w:r>
          </w:p>
        </w:tc>
        <w:tc>
          <w:tcPr>
            <w:tcW w:w="2000" w:type="dxa"/>
            <w:vAlign w:val="bottom"/>
          </w:tcPr>
          <w:p>
            <w:pPr>
              <w:jc w:val="right"/>
              <w:spacing w:after="0"/>
              <w:rPr>
                <w:sz w:val="20"/>
                <w:szCs w:val="20"/>
                <w:color w:val="auto"/>
              </w:rPr>
            </w:pPr>
            <w:r>
              <w:rPr>
                <w:rFonts w:ascii="Arial" w:cs="Arial" w:eastAsia="Arial" w:hAnsi="Arial"/>
                <w:sz w:val="18"/>
                <w:szCs w:val="18"/>
                <w:color w:val="auto"/>
              </w:rPr>
              <w:t>(269,654)</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57"/>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March 31, 2018</w:t>
            </w:r>
          </w:p>
        </w:tc>
        <w:tc>
          <w:tcPr>
            <w:tcW w:w="2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358,273</w:t>
            </w:r>
          </w:p>
        </w:tc>
      </w:tr>
      <w:tr>
        <w:trPr>
          <w:trHeight w:val="20"/>
        </w:trPr>
        <w:tc>
          <w:tcPr>
            <w:tcW w:w="38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return of the companies included in the MSCI US REIT index and the Company's stock performance ranking among a group of triple-net REIT peer companies. The triple-net measurement group includes publicly traded REITs deriving at least 75% of revenues from triple-net leases. As of March 31, 2018, there was $18.8 million of total unrecognized compensation cost, which will be recognized over the performance-based restricted stock awards' remaining weighted average vesting period of 2.19 years. For the three months ended March 31, 2018 and 2017, the Company recognized $2.6 million and $2.4 million, respectively, of compensation expense associated with these awards.</w:t>
      </w:r>
    </w:p>
    <w:p>
      <w:pPr>
        <w:spacing w:after="0" w:line="1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contains information on performance-based restricted stock award activity for the three months ended March 31, 2018:</w:t>
      </w:r>
    </w:p>
    <w:p>
      <w:pPr>
        <w:spacing w:after="0" w:line="150"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w w:val="94"/>
              </w:rPr>
              <w:t>Number of Performance-Based</w:t>
            </w:r>
          </w:p>
        </w:tc>
      </w:tr>
      <w:tr>
        <w:trPr>
          <w:trHeight w:val="192"/>
        </w:trPr>
        <w:tc>
          <w:tcPr>
            <w:tcW w:w="3800" w:type="dxa"/>
            <w:vAlign w:val="bottom"/>
          </w:tcPr>
          <w:p>
            <w:pPr>
              <w:spacing w:after="0"/>
              <w:rPr>
                <w:sz w:val="16"/>
                <w:szCs w:val="16"/>
                <w:color w:val="auto"/>
              </w:rPr>
            </w:pPr>
          </w:p>
        </w:tc>
        <w:tc>
          <w:tcPr>
            <w:tcW w:w="20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Award Shares</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December 31, 2017</w:t>
            </w:r>
          </w:p>
        </w:tc>
        <w:tc>
          <w:tcPr>
            <w:tcW w:w="2000" w:type="dxa"/>
            <w:vAlign w:val="bottom"/>
          </w:tcPr>
          <w:p>
            <w:pPr>
              <w:jc w:val="right"/>
              <w:ind w:right="15"/>
              <w:spacing w:after="0"/>
              <w:rPr>
                <w:sz w:val="20"/>
                <w:szCs w:val="20"/>
                <w:color w:val="auto"/>
              </w:rPr>
            </w:pPr>
            <w:r>
              <w:rPr>
                <w:rFonts w:ascii="Arial" w:cs="Arial" w:eastAsia="Arial" w:hAnsi="Arial"/>
                <w:sz w:val="18"/>
                <w:szCs w:val="18"/>
                <w:color w:val="auto"/>
              </w:rPr>
              <w:t>1,664,000</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556,000</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Released</w:t>
            </w:r>
          </w:p>
        </w:tc>
        <w:tc>
          <w:tcPr>
            <w:tcW w:w="2000" w:type="dxa"/>
            <w:vAlign w:val="bottom"/>
          </w:tcPr>
          <w:p>
            <w:pPr>
              <w:jc w:val="right"/>
              <w:spacing w:after="0"/>
              <w:rPr>
                <w:sz w:val="20"/>
                <w:szCs w:val="20"/>
                <w:color w:val="auto"/>
              </w:rPr>
            </w:pPr>
            <w:r>
              <w:rPr>
                <w:rFonts w:ascii="Arial" w:cs="Arial" w:eastAsia="Arial" w:hAnsi="Arial"/>
                <w:sz w:val="18"/>
                <w:szCs w:val="18"/>
                <w:color w:val="auto"/>
              </w:rPr>
              <w:t>(548,000)</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57"/>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March 31, 2018</w:t>
            </w:r>
          </w:p>
        </w:tc>
        <w:tc>
          <w:tcPr>
            <w:tcW w:w="2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1,672,000</w:t>
            </w:r>
          </w:p>
        </w:tc>
      </w:tr>
      <w:tr>
        <w:trPr>
          <w:trHeight w:val="20"/>
        </w:trPr>
        <w:tc>
          <w:tcPr>
            <w:tcW w:w="38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Investments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Real estate investments, net, represents investments in 36 rental properties and the corporate headquarters building and is summarized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196"/>
        </w:trPr>
        <w:tc>
          <w:tcPr>
            <w:tcW w:w="6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2,057,928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2,057,928</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20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2,461,573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2,461,573</w:t>
            </w:r>
          </w:p>
        </w:tc>
      </w:tr>
      <w:tr>
        <w:trPr>
          <w:trHeight w:val="27"/>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6120" w:type="dxa"/>
            <w:vAlign w:val="bottom"/>
          </w:tcPr>
          <w:p>
            <w:pPr>
              <w:ind w:left="180"/>
              <w:spacing w:after="0"/>
              <w:rPr>
                <w:sz w:val="20"/>
                <w:szCs w:val="20"/>
                <w:color w:val="auto"/>
              </w:rPr>
            </w:pPr>
            <w:r>
              <w:rPr>
                <w:rFonts w:ascii="Arial" w:cs="Arial" w:eastAsia="Arial" w:hAnsi="Arial"/>
                <w:sz w:val="18"/>
                <w:szCs w:val="18"/>
                <w:color w:val="auto"/>
              </w:rPr>
              <w:t>Total real estate investments</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4,519,503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4,519,501</w:t>
            </w:r>
          </w:p>
        </w:tc>
      </w:tr>
      <w:tr>
        <w:trPr>
          <w:trHeight w:val="27"/>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(882,554)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(857,456)</w:t>
            </w:r>
          </w:p>
        </w:tc>
      </w:tr>
      <w:tr>
        <w:trPr>
          <w:trHeight w:val="257"/>
        </w:trPr>
        <w:tc>
          <w:tcPr>
            <w:tcW w:w="6120" w:type="dxa"/>
            <w:vAlign w:val="bottom"/>
          </w:tcPr>
          <w:p>
            <w:pPr>
              <w:ind w:left="40"/>
              <w:spacing w:after="0"/>
              <w:rPr>
                <w:sz w:val="20"/>
                <w:szCs w:val="20"/>
                <w:color w:val="auto"/>
              </w:rPr>
            </w:pPr>
            <w:r>
              <w:rPr>
                <w:rFonts w:ascii="Arial" w:cs="Arial" w:eastAsia="Arial" w:hAnsi="Arial"/>
                <w:sz w:val="18"/>
                <w:szCs w:val="18"/>
                <w:color w:val="auto"/>
              </w:rPr>
              <w:t>Real estate investments,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3,636,949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3,662,045</w:t>
            </w:r>
          </w:p>
        </w:tc>
      </w:tr>
      <w:tr>
        <w:trPr>
          <w:trHeight w:val="20"/>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Land Rights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30" w:right="2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land rights are amortized over the individual lease term of each ground lease, including all renewal options, which ranged from 25 years to 92 years at their respective acquisition dates. Land rights net, consists of the following:</w:t>
      </w:r>
    </w:p>
    <w:p>
      <w:pPr>
        <w:spacing w:after="0" w:line="312"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80" w:type="dxa"/>
            <w:vAlign w:val="bottom"/>
            <w:gridSpan w:val="4"/>
          </w:tcPr>
          <w:p>
            <w:pPr>
              <w:jc w:val="right"/>
              <w:ind w:right="937"/>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656,666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656,666</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(16,518)</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637,421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640,148</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Amortization expense related to the ground leases is recorded within land rights and ground lease expense in the condensed consolidated statements of income and totaled $2.7 million and $2.3 million for the three months ended March 31, 2018 and 2017, respectively.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2018, estimated future amortization expense related to the Company’s ground leases by fiscal year is as follows (in thousands):</w:t>
      </w:r>
    </w:p>
    <w:p>
      <w:pPr>
        <w:spacing w:after="0" w:line="200" w:lineRule="exact"/>
        <w:rPr>
          <w:sz w:val="20"/>
          <w:szCs w:val="20"/>
          <w:color w:val="auto"/>
        </w:rPr>
      </w:pPr>
    </w:p>
    <w:p>
      <w:pPr>
        <w:spacing w:after="0" w:line="26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870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7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8,183</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2019</w:t>
            </w:r>
          </w:p>
        </w:tc>
        <w:tc>
          <w:tcPr>
            <w:tcW w:w="7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10,910</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7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10,910</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7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10,910</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10,910</w:t>
            </w:r>
          </w:p>
        </w:tc>
      </w:tr>
      <w:tr>
        <w:trPr>
          <w:trHeight w:val="243"/>
        </w:trPr>
        <w:tc>
          <w:tcPr>
            <w:tcW w:w="870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585,598</w:t>
            </w:r>
          </w:p>
        </w:tc>
      </w:tr>
      <w:tr>
        <w:trPr>
          <w:trHeight w:val="27"/>
        </w:trPr>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637,421</w:t>
            </w: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Used in Operations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Property and equipment used in operations, net, consists of the following and primarily represents the assets utilized in the TRS Properties:</w:t>
      </w:r>
    </w:p>
    <w:p>
      <w:pPr>
        <w:spacing w:after="0" w:line="162"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196"/>
        </w:trPr>
        <w:tc>
          <w:tcPr>
            <w:tcW w:w="6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30,276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30,276</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116,288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116,286</w:t>
            </w: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114,972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w:t>
            </w:r>
          </w:p>
        </w:tc>
      </w:tr>
      <w:tr>
        <w:trPr>
          <w:trHeight w:val="27"/>
        </w:trPr>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262,365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261,542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(156,106)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(153,249)</w:t>
            </w:r>
          </w:p>
        </w:tc>
      </w:tr>
      <w:tr>
        <w:trPr>
          <w:trHeight w:val="27"/>
        </w:trPr>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106,259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108,293</w:t>
            </w: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Receivables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Direct Financing Lease, Net</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Under ASC 840 - Leases ("ASC 840"), the Pinnacle Master Lease is bifurcated between an operating lease and a direct financing lease. The fair value assigned to the land (inclusive of the land rights) qualifies for operating lease treatment, while the fair value assigned to the buildings is classified as a direct financing lease. Under ASC 840, the accounting treatment for direct financing leases requires the Company to record an investment in direct financing leases on its books at lease inception and subsequently recognize interest income and a reduction in the investment for the building portion of rent. This initial net investment is determined by aggregating the total future minimum lease payments attributable to the direct financing lease and the estimated residual value of the property, less unearned income. The interest income recorded under the direct financing lease is included in income from direct financing lease in the Company's condensed consolidated statements of income and is recognized over the 35-year lease term using the effective interest rate method which produces a constant periodic rate of return</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30" w:right="25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the net investment in the leased property. Furthermore, as the net investment in direct financing lease includes only future minimum lease payments, rent that is not fixed and determinable at the lease inception is excluded from the determination of the rent attributable to the leased assets and will therefore be recorded as income from direct financing lease in the period earned. The unguaranteed residual value is the Company's estimate of what it could realize upon the sale of the property at the end of the lease term.</w:t>
      </w:r>
    </w:p>
    <w:p>
      <w:pPr>
        <w:spacing w:after="0" w:line="187"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The net investment in the direct financing lease is evaluated for impairment as necessary, if indicators of impairment are present, to determine if there has been an-other-than-temporary decline in the residual value of the property or a change in the lessee's credit worthiness. At March 31, 2018, there were no indicators of a decline in the estimated residual value of the property and collectability of the remaining receivable balance is reasonably assured.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investment in direct financing lease, net, consists of the following and represents the building assets acquired from Pinnacle:</w:t>
      </w:r>
    </w:p>
    <w:p>
      <w:pPr>
        <w:spacing w:after="0" w:line="162"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r>
      <w:tr>
        <w:trPr>
          <w:trHeight w:val="196"/>
        </w:trPr>
        <w:tc>
          <w:tcPr>
            <w:tcW w:w="6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lease payments receivable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3,228,436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3,263,387</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Unguaranteed residual value</w:t>
            </w:r>
          </w:p>
        </w:tc>
        <w:tc>
          <w:tcPr>
            <w:tcW w:w="20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689,811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689,811</w:t>
            </w:r>
          </w:p>
        </w:tc>
      </w:tr>
      <w:tr>
        <w:trPr>
          <w:trHeight w:val="27"/>
        </w:trPr>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investment in direct financing lease</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3,918,247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3,953,198</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Less: unearned income</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(1,298,817)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(1,315,559)</w:t>
            </w:r>
          </w:p>
        </w:tc>
      </w:tr>
      <w:tr>
        <w:trPr>
          <w:trHeight w:val="27"/>
        </w:trPr>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direct financing lease,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2,619,430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2,637,639</w:t>
            </w: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Receivable</w:t>
      </w:r>
    </w:p>
    <w:p>
      <w:pPr>
        <w:spacing w:after="0" w:line="229"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In January 2014, the Company completed the asset acquisition of the real property associated with the Casino Queen in East St. Louis, Illinois for $140.7 million. GLPI leases the property back to Casino Queen on a triple-net basis on terms similar to those in the Master Leases. The lease has an initial term of 15 years and the tenant has an option to renew it at the same terms and conditions for four successive five-year periods.</w:t>
      </w:r>
    </w:p>
    <w:p>
      <w:pPr>
        <w:spacing w:after="0" w:line="166"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Simultaneously with the Casino Queen acquisition, GLPI provided Casino Queen with a $43.0 million, five-year term loan at 7% interest, pre-payable at any time, which, together with the sale proceeds, completely refinanced and retired all of Casino Queen’s outstanding long-term debt obligations. On March 13, 2017, the outstanding principal and interest on this loan was repaid in full and GLPI simultaneously provided a new unsecured $13.0 million,</w:t>
      </w:r>
    </w:p>
    <w:p>
      <w:pPr>
        <w:spacing w:after="0" w:line="292" w:lineRule="auto"/>
        <w:rPr>
          <w:sz w:val="20"/>
          <w:szCs w:val="20"/>
          <w:color w:val="auto"/>
        </w:rPr>
      </w:pPr>
      <w:r>
        <w:rPr>
          <w:rFonts w:ascii="Arial" w:cs="Arial" w:eastAsia="Arial" w:hAnsi="Arial"/>
          <w:sz w:val="16"/>
          <w:szCs w:val="16"/>
          <w:color w:val="auto"/>
        </w:rPr>
        <w:t>5.5 year term loan to CQ Holding Company, Inc., an affiliate of Casino Queen, to partially finance their acquisition of Lady Luck Casino in Marquette, Iowa. The cash proceeds were net settled. The new loan bears an interest rate of 15% and is pre-payable at any time. As of March 31, 2018, the balance of the new loan is $13.0 million. The collectability of the loan balance is reasonably assured, and as of March 31, 2018, there is no indication that the obligor will not remit all mandatory principal and interest payments in full and on time. The loan balance is recorded at carrying value which approximates fair value. Interest income related to the loan is recorded in interest income within the Company's condensed consolidated statements of income in the period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30" w:right="27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9.</w:t>
        <w:tab/>
        <w:t>Long-term Debt</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is as follows:</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113"/>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r>
      <w:tr>
        <w:trPr>
          <w:trHeight w:val="196"/>
        </w:trPr>
        <w:tc>
          <w:tcPr>
            <w:tcW w:w="6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term loan 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Unsecured term loan A-1</w:t>
            </w:r>
          </w:p>
        </w:tc>
        <w:tc>
          <w:tcPr>
            <w:tcW w:w="2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825,000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825,000</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$700 million revolver</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$550 million 4.375% senior unsecured notes due November 2018</w:t>
            </w:r>
          </w:p>
        </w:tc>
        <w:tc>
          <w:tcPr>
            <w:tcW w:w="2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550,000</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$1,000 million 4.875% senior unsecured notes due November 2020</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$400 million 4.375% senior unsecured notes due April 2021</w:t>
            </w:r>
          </w:p>
        </w:tc>
        <w:tc>
          <w:tcPr>
            <w:tcW w:w="2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400,000</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$500 million 5.375% senior unsecured notes due November 2023</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$975 million 5.375% senior unsecured notes due April 2026</w:t>
            </w:r>
          </w:p>
        </w:tc>
        <w:tc>
          <w:tcPr>
            <w:tcW w:w="2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975,000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975,000</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1,230</w:t>
            </w: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4,436,201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4,481,230</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(38,350)</w:t>
            </w:r>
          </w:p>
        </w:tc>
      </w:tr>
      <w:tr>
        <w:trPr>
          <w:trHeight w:val="257"/>
        </w:trPr>
        <w:tc>
          <w:tcPr>
            <w:tcW w:w="6700" w:type="dxa"/>
            <w:vAlign w:val="bottom"/>
          </w:tcPr>
          <w:p>
            <w:pPr>
              <w:ind w:left="20"/>
              <w:spacing w:after="0"/>
              <w:rPr>
                <w:sz w:val="20"/>
                <w:szCs w:val="20"/>
                <w:color w:val="auto"/>
              </w:rPr>
            </w:pPr>
            <w:r>
              <w:rPr>
                <w:rFonts w:ascii="Arial" w:cs="Arial" w:eastAsia="Arial" w:hAnsi="Arial"/>
                <w:sz w:val="18"/>
                <w:szCs w:val="18"/>
                <w:color w:val="auto"/>
              </w:rPr>
              <w:t>Total long-term debt, net of unamortized debt issuance costs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4,401,107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4,442,880</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of future minimum repayments of long-term debt as of March 31, 2018 (in thousands):</w:t>
      </w:r>
    </w:p>
    <w:p>
      <w:pPr>
        <w:spacing w:after="0" w:line="158" w:lineRule="exact"/>
        <w:rPr>
          <w:sz w:val="20"/>
          <w:szCs w:val="20"/>
          <w:color w:val="auto"/>
        </w:rPr>
      </w:pPr>
    </w:p>
    <w:tbl>
      <w:tblPr>
        <w:tblLayout w:type="fixed"/>
        <w:tblInd w:w="2420" w:type="dxa"/>
        <w:tblCellMar>
          <w:top w:w="0" w:type="dxa"/>
          <w:left w:w="0" w:type="dxa"/>
          <w:bottom w:w="0" w:type="dxa"/>
          <w:right w:w="0" w:type="dxa"/>
        </w:tblCellMar>
      </w:tblP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735,119</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2-3 years</w:t>
            </w:r>
          </w:p>
        </w:tc>
        <w:tc>
          <w:tcPr>
            <w:tcW w:w="10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1,000,255</w:t>
            </w: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4-5 years</w:t>
            </w:r>
          </w:p>
        </w:tc>
        <w:tc>
          <w:tcPr>
            <w:tcW w:w="10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1,225,281</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Over 5 years</w:t>
            </w:r>
          </w:p>
        </w:tc>
        <w:tc>
          <w:tcPr>
            <w:tcW w:w="10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1,475,546</w:t>
            </w:r>
          </w:p>
        </w:tc>
      </w:tr>
      <w:tr>
        <w:trPr>
          <w:trHeight w:val="27"/>
        </w:trPr>
        <w:tc>
          <w:tcPr>
            <w:tcW w:w="3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payments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4,436,201</w:t>
            </w:r>
          </w:p>
        </w:tc>
      </w:tr>
      <w:tr>
        <w:trPr>
          <w:trHeight w:val="20"/>
        </w:trPr>
        <w:tc>
          <w:tcPr>
            <w:tcW w:w="3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Company has a $1,825 million senior unsecured credit facility (the "Credit Facility"), consisting of a $700 million revolving credit facility, a $300 million Term Loan A facility, and an $825 million Term Loan A-1 facility. The revolving credit facility and the Term Loan A facility mature on October 28, 2018 and the Term Loan A-1 facility matures on April 28, 2021.</w:t>
      </w:r>
    </w:p>
    <w:p>
      <w:pPr>
        <w:spacing w:after="0" w:line="181"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At March 31, 2018, the Credit Facility had a gross outstanding balance of $1,010 million, consisting of the $1,010 million Term Loan A and A-1 facilities. Additionally, at March 31, 2018, the Company was contingently obligated under letters of credit issued pursuant to the senior unsecured credit facility with face amounts aggregating approximately $0.4 million, resulting in $699.6 million of available borrowing capacity under the revolving credit facility as of March 31, 2018.</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March 31, 2018, the Company was in compliance with all required financial covenants under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30"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7" w:lineRule="exact"/>
        <w:rPr>
          <w:sz w:val="20"/>
          <w:szCs w:val="20"/>
          <w:color w:val="auto"/>
        </w:rPr>
      </w:pPr>
    </w:p>
    <w:p>
      <w:pPr>
        <w:ind w:firstLine="693"/>
        <w:spacing w:after="0" w:line="270" w:lineRule="auto"/>
        <w:rPr>
          <w:sz w:val="20"/>
          <w:szCs w:val="20"/>
          <w:color w:val="auto"/>
        </w:rPr>
      </w:pPr>
      <w:r>
        <w:rPr>
          <w:rFonts w:ascii="Arial" w:cs="Arial" w:eastAsia="Arial" w:hAnsi="Arial"/>
          <w:sz w:val="17"/>
          <w:szCs w:val="17"/>
          <w:color w:val="auto"/>
        </w:rPr>
        <w:t>Each of the 4.375% Senior Unsecured Notes due 2018 (the "2018 Notes"), 4.875% Senior Unsecured Notes due 2020 (the "2020 Notes"), 4.375% Senior Unsecured Notes due 2021 (the "2021 Notes"), 5.375% Senior Unsecured Notes due 2023 (the "2023 Notes"), and 5.375% Senior Unsecured Notes due 2026 (the "2026 Notes") and collectively with the 2018 Notes, 2020 Notes, 2021 Notes and 2023 Notes, the "Notes") contain covenants limiting the Company’s ability to: incur additional debt and use its assets to secure debt; merge or consolidate with another company; and make certain amendments to the Penn Master Lease. The Notes also require the Company to maintain a specified ratio of unencumbered assets to unsecured debt. These covenants are subject to a number of important and significant limitations, qualifications and exceptions.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2018, the Company was in compliance with all required financial covenants under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w:t>
      </w:r>
    </w:p>
    <w:p>
      <w:pPr>
        <w:spacing w:after="0" w:line="229"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The Company assumed the capital lease obligation related to certain assets at its Aurora, Illinois property. GLPI recorded the asset and liability associated with the capital lease on its balance sheet. The original term of the capital lease was 30 years and it will terminate in 2026.</w:t>
      </w:r>
    </w:p>
    <w:p>
      <w:pPr>
        <w:spacing w:after="0" w:line="14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 Recognition</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of March 31, 2018, 20 of the Company’s real estate investment properties were leased to a subsidiary of Penn under the Penn Master Lease and 14 of the Company's real estate investment properties were leased to a subsidiary of Pinnacle under the Pinnacle Master Lease. The obligations under the Penn and Pinnacle Master Leases are guaranteed by Penn and Pinnacle, respectively, and by most of Penn's and Pinnacle's subsidiaries that occupy and operate the facilities leased under the respective Master Leases. A default by Penn or its subsidiaries with regard to any facility will cause a default with regard to the Penn Master Lease and a default by Pinnacle or its subsidiaries with regard to any facility will cause a default with regard to the Pinnacle Master Lease. Additionally, the Meadows real estate assets are leased to Pinnacle under a single property triple-net lease separate from the Pinnacle Master Lease. GLPI also leases the Casino Queen property back to its operator on a triple-net basis on terms similar to those in the Master Leases (the "Casino Queen Lease").</w:t>
      </w:r>
    </w:p>
    <w:p>
      <w:pPr>
        <w:spacing w:after="0" w:line="19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rent structure under the Penn Master Lease includes a fixed component, a portion of which is subject to an annual 2% escalator if certain rent coverage ratio thresholds are met, and a component that is based on the performance of the facilities, which is adjusted, subject to certain floors (i) every five years to an amount equal to 4% of the average net revenues of all facilities under the Penn Master Lease (other than Hollywood Casino Columbus and Hollywood Casino Toledo) during the preceding five years, and (ii) monthly by an amount equal to 20% of the change in net revenues of Hollywood Casino Columbus and Hollywood Casino Toledo during the preceding month.</w:t>
      </w:r>
    </w:p>
    <w:p>
      <w:pPr>
        <w:spacing w:after="0" w:line="188"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Similar to the Penn Master Lease, the Pinnacle Master Lease also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Pinnacle Master Lease during the preceding two years.</w:t>
      </w:r>
    </w:p>
    <w:p>
      <w:pPr>
        <w:spacing w:after="0" w:line="187" w:lineRule="exact"/>
        <w:rPr>
          <w:sz w:val="20"/>
          <w:szCs w:val="20"/>
          <w:color w:val="auto"/>
        </w:rPr>
      </w:pPr>
    </w:p>
    <w:p>
      <w:pPr>
        <w:ind w:right="100" w:firstLine="693"/>
        <w:spacing w:after="0" w:line="257" w:lineRule="auto"/>
        <w:rPr>
          <w:sz w:val="20"/>
          <w:szCs w:val="20"/>
          <w:color w:val="auto"/>
        </w:rPr>
      </w:pPr>
      <w:r>
        <w:rPr>
          <w:rFonts w:ascii="Arial" w:cs="Arial" w:eastAsia="Arial" w:hAnsi="Arial"/>
          <w:sz w:val="18"/>
          <w:szCs w:val="18"/>
          <w:color w:val="auto"/>
        </w:rPr>
        <w:t>GLPI leases the Meadows real property assets to Pinnacle under a triple-net operating lease separate from the Pinnacle Master Lease with an initial term of 10 years with no purchase option and the option to renew for three successive 5-year terms and one 4-year term, at Pinnacle's option (the "Meadows Lease"). The Meadows Lease contains a fixed component, subject to annual escalators, and a component that is based on the performance of the facility, which is reset every two years to a fixed amount determined by multiplying (i) 4% by (ii) the average annual net revenues of the facility for the trailing two year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30" w:right="2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2% annually thereafter.</w:t>
      </w:r>
    </w:p>
    <w:p>
      <w:pPr>
        <w:spacing w:after="0" w:line="124"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rent structure under the Casino Queen Lease also includes a fixed component, a portion of which is subject to an annual 2% escalator if certain rent coverage ratio thresholds are met, and a component that is based on the performance of the facility, which is reset every five years to a fixed amount equal to the greater of (i) the annual amount of non-fixed rent applicable for the lease year immediately preceding such rent reset year and (ii) an amount equal to 4% of the average annual net revenues of the facility for the trailing five year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ind w:right="260" w:firstLine="8"/>
        <w:spacing w:after="0" w:line="255"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9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Company determined, based on facts and circumstances prevailing at the time of each lease's inception, that neither Penn, Pinnacle (excluding the Meadows Lease as described below) nor Casino Queen could effectively operate and run their respective business without the properties that are leased to it under the respective lease agreements with GLPI. Furthermore, at lease inception, all of Casino Queen's revenues and substantially all of Penn's and Pinnacle's revenues were generated from operations in connection with the leased properties. There are also various legal restrictions in the jurisdictions in which Penn, Pinnacle and Casino Queen operate that limit the availability and location of gaming facilities, which makes relocation or replacement of the leased gaming facilities restrictive and potentially impracticable or unavailable. Moreover, under the terms of the Penn and Pinnacle Master Leases, Penn and Pinnacle must make their renewal election with respect to all of the leased property together; the tenant is not entitled to selectively renew certain of the leased property while not renewing other property. Accordingly, the Company concluded that failure by Penn, Pinnacle or Casino Queen to renew the lease would impose a significant penalty on such tenant such that renewal of all lease renewal options appears at lease inception to be reasonably assured. Therefore, the Company concluded that the term of the leases with both Penn and Casino Queen is 35 years, equal to the initial 15 year term plus all four of the 5-year renewal options. The lease term of the Pinnacle Master Lease is also 35 years, equal to the initial 10 year term plus all five of the 5-year renewal options.</w:t>
      </w:r>
    </w:p>
    <w:p>
      <w:pPr>
        <w:spacing w:after="0" w:line="180"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As described above, subsequent to purchasing the majority of Pinnacle's real estate assets and leasing them back to Pinnacle, GLPI entered into a separate triple-net lease with Pinnacle to lease the newly acquired Meadows real estate assets to Pinnacle. Because this lease involves only a single property within Pinnacle's portfolio, GLPI concluded it was not reasonably assured at lease inception that Pinnacle would elect to exercise all lease renewal options. The Company concluded that failure by Pinnacle to renew the Meadows Lease would not impose a significant penalty on such tenant as this property's operations represent only an incremental portion of Pinnacle's total business at lease inception. Therefore, the Company concluded that the lease term of the Meadows Lease is 10 years, equal to the initial 10-year term only.</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Gaming revenue generated by the TRS Properties mainly consists of video lottery gaming revenue, and to a lesser extent, table game and poker revenue. Video lottery gaming revenue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increases. Table game gaming revenue is the aggregate of table drop adjusted for the change in aggregate table chip inventory. Table drop is the total dollar amount of the currency, coins, chips, tokens, outstanding counter checks (markers), and front money that are removed from the live gaming tables. Additionally, food and beverage revenue is recognized as services are performed.</w:t>
      </w:r>
    </w:p>
    <w:p>
      <w:pPr>
        <w:spacing w:after="0" w:line="16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January 1, 2018, the Company adopted ASU 2014-09, which altered the recognition of revenue at the TRS Properties related to the customer loyalty programs. Specifically, the recognition of revenue associated with these points based programs was impacted by eliminating the current accrual for the cost of the points awarded at the time of play and instead deferring the portion of the revenue received from the customer at the time of play and attributed to the awarded points until a later period when such points are redeemed or forfeited. The revenue deferral is calculated by allocating a portion of the transaction price to the points based upon their retail value. Under the former guidance, the cost of the points was recorded as an operating expense through the gaming, food, beverage and other expense line item of the Company's condensed consolidated statement of income. Under ASU 2014-09, promotional allowances representing the retail value of food, beverages and other services furnished to guests without charge are no longer presented as a separate line item on the condensed consolidated statements of income, rather they are presented on a net basis within gaming, food, beverage and other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revenue, net. This change has no impact to total revenues and is for presentation purposes only. The impact of adopting ASU 2014-09 was immaterial to our total revenue for the three months ended March 31, 2018.</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discloses the components of gaming, food, beverage and other revenue, net within the condensed consolidated statements of income for the three months ended March 31, 2018 and 2017:</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160" w:type="dxa"/>
            <w:vAlign w:val="bottom"/>
            <w:tcBorders>
              <w:bottom w:val="single" w:sz="8" w:color="auto"/>
            </w:tcBorders>
            <w:gridSpan w:val="5"/>
          </w:tcPr>
          <w:p>
            <w:pPr>
              <w:jc w:val="right"/>
              <w:ind w:right="49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51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r>
      <w:tr>
        <w:trPr>
          <w:trHeight w:val="196"/>
        </w:trPr>
        <w:tc>
          <w:tcPr>
            <w:tcW w:w="5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7"/>
                <w:szCs w:val="17"/>
                <w:color w:val="auto"/>
              </w:rPr>
            </w:pP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Video lottery</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29,012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31,698</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Table game</w:t>
            </w:r>
          </w:p>
        </w:tc>
        <w:tc>
          <w:tcPr>
            <w:tcW w:w="92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4,284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4,803</w:t>
            </w:r>
          </w:p>
        </w:tc>
      </w:tr>
      <w:tr>
        <w:trPr>
          <w:trHeight w:val="27"/>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Poker</w:t>
            </w: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Food, beverage and other</w:t>
            </w:r>
          </w:p>
        </w:tc>
        <w:tc>
          <w:tcPr>
            <w:tcW w:w="92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2,445</w:t>
            </w:r>
          </w:p>
        </w:tc>
      </w:tr>
      <w:tr>
        <w:trPr>
          <w:trHeight w:val="27"/>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Promotional allowances</w:t>
            </w:r>
          </w:p>
        </w:tc>
        <w:tc>
          <w:tcPr>
            <w:tcW w:w="9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(1,046)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Total gaming, food, beverage and other revenue, net</w:t>
            </w: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0"/>
              </w:rPr>
              <w:t>34,746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38,008</w:t>
            </w:r>
          </w:p>
        </w:tc>
      </w:tr>
      <w:tr>
        <w:trPr>
          <w:trHeight w:val="20"/>
        </w:trPr>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During August 2016, the Company commenced a continuous equity offering under which the Company may sell up to an aggregate of $400 million of its common stock from time to time through a sales agent in “at the market” offerings (the “ATM Program”). Actual sales will depend on a variety of factors, including market conditions, the trading price of the Company's common stock and determinations of the appropriate sources of funding for proposed transactions. The Company may sell the shares in amounts and at times to be determined by the Company, but has no obligation to sell any of the shares in the ATM Program. The ATM Program also allows the Company to enter into forward sale agreements. In no event will the aggregate number of shares sold under the ATM Program (whether under any forward sale agreement or through a sales agent), have an aggregate sales price in excess of $400 million.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spacing w:after="0" w:line="183"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connection with the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1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No shares were sold under the ATM Program during the three months ended March 31, 2018. Program to date, the Company has sold 5,186,871 shares of its common stock at an average price of $35.91 per share under the ATM Program and generated gross proceeds of approximately $186.3 million (net proceeds of approximately $185.0 million). The Company used the net proceeds from the ATM Program to partially fund its acquisition of the Meadows' and Tunica real estate assets. As of March 31, 2018, the Company had $213.7 million remaining for issuance under the ATM Program and had not entered into any forward sale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lists the dividends declared and paid by the Company during the three months ended March 31, 2018 and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1"/>
              </w:rPr>
              <w:t>Shareholder Record</w:t>
            </w: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88"/>
              </w:rPr>
              <w:t>Securities</w:t>
            </w:r>
          </w:p>
        </w:tc>
        <w:tc>
          <w:tcPr>
            <w:tcW w:w="112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1"/>
              </w:rPr>
              <w:t>Dividend Per</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Declaration Date</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2"/>
              </w:rPr>
              <w:t>Date</w:t>
            </w:r>
          </w:p>
        </w:tc>
        <w:tc>
          <w:tcPr>
            <w:tcW w:w="1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w w:val="88"/>
              </w:rPr>
              <w:t>Class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89"/>
              </w:rPr>
              <w:t>Share</w:t>
            </w:r>
          </w:p>
        </w:tc>
        <w:tc>
          <w:tcPr>
            <w:tcW w:w="1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Period Covered</w:t>
            </w:r>
          </w:p>
        </w:tc>
        <w:tc>
          <w:tcPr>
            <w:tcW w:w="1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b w:val="1"/>
                <w:bCs w:val="1"/>
                <w:color w:val="auto"/>
              </w:rPr>
              <w:t>Distribution Date</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Dividend Amount</w:t>
            </w:r>
          </w:p>
        </w:tc>
      </w:tr>
      <w:tr>
        <w:trPr>
          <w:trHeight w:val="231"/>
        </w:trPr>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2018</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0"/>
        </w:trPr>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r>
      <w:tr>
        <w:trPr>
          <w:trHeight w:val="206"/>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February 1, 2018</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March 9, 2018</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First Quarter 2018</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March 23, 2018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134,490</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03"/>
        </w:trPr>
        <w:tc>
          <w:tcPr>
            <w:tcW w:w="2080" w:type="dxa"/>
            <w:vAlign w:val="bottom"/>
            <w:gridSpan w:val="3"/>
          </w:tcPr>
          <w:p>
            <w:pPr>
              <w:ind w:left="4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6"/>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February 1, 2017</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13, 2017</w:t>
            </w: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First Quarter 2017</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24, 2017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129,007</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 addition, for the three months ended March 31, 2018 and 2017, dividend payments were made to GLPI restricted stock award holders in the amount of $0.2 million and $0.3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Consistent with how the Company’s Chief Operating Decision Maker reviews and assesses the Company’s financial performance, the Company has two reportable segments, GLP Capital, L.P. (a wholly-owned subsidiary of GLPI through which GLPI owns substantially all of its assets) ("GLP Capital") and the TRS Properties. The GLP Capital reportable segment consists of the leased real property and represents the majority of the Company’s business. The TRS Properties reportable segment consists of Hollywood Casino Perryville and Hollywood Casino Baton Rouge.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certain information with respect to the Company’s segments.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ind w:left="40"/>
              <w:spacing w:after="0"/>
              <w:rPr>
                <w:sz w:val="20"/>
                <w:szCs w:val="20"/>
                <w:color w:val="auto"/>
              </w:rPr>
            </w:pPr>
            <w:r>
              <w:rPr>
                <w:rFonts w:ascii="Arial" w:cs="Arial" w:eastAsia="Arial" w:hAnsi="Arial"/>
                <w:sz w:val="11"/>
                <w:szCs w:val="11"/>
                <w:b w:val="1"/>
                <w:bCs w:val="1"/>
                <w:color w:val="auto"/>
              </w:rPr>
              <w:t>Three Months Ended March 31, 2018</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5"/>
          </w:tcPr>
          <w:p>
            <w:pPr>
              <w:ind w:left="100"/>
              <w:spacing w:after="0"/>
              <w:rPr>
                <w:sz w:val="20"/>
                <w:szCs w:val="20"/>
                <w:color w:val="auto"/>
              </w:rPr>
            </w:pPr>
            <w:r>
              <w:rPr>
                <w:rFonts w:ascii="Arial" w:cs="Arial" w:eastAsia="Arial" w:hAnsi="Arial"/>
                <w:sz w:val="11"/>
                <w:szCs w:val="11"/>
                <w:b w:val="1"/>
                <w:bCs w:val="1"/>
                <w:color w:val="auto"/>
              </w:rPr>
              <w:t>Three Months Ended March 31, 2017</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5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540" w:type="dxa"/>
            <w:vAlign w:val="bottom"/>
            <w:gridSpan w:val="2"/>
          </w:tcPr>
          <w:p>
            <w:pPr>
              <w:ind w:left="40"/>
              <w:spacing w:after="0"/>
              <w:rPr>
                <w:sz w:val="20"/>
                <w:szCs w:val="20"/>
                <w:color w:val="auto"/>
              </w:rPr>
            </w:pPr>
            <w:r>
              <w:rPr>
                <w:rFonts w:ascii="Arial" w:cs="Arial" w:eastAsia="Arial" w:hAnsi="Arial"/>
                <w:sz w:val="11"/>
                <w:szCs w:val="11"/>
                <w:b w:val="1"/>
                <w:bCs w:val="1"/>
                <w:color w:val="auto"/>
              </w:rPr>
              <w:t>(in thousands)</w:t>
            </w:r>
          </w:p>
        </w:tc>
        <w:tc>
          <w:tcPr>
            <w:tcW w:w="16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GLP Capital</w:t>
            </w:r>
          </w:p>
        </w:tc>
        <w:tc>
          <w:tcPr>
            <w:tcW w:w="140" w:type="dxa"/>
            <w:vAlign w:val="bottom"/>
          </w:tcPr>
          <w:p>
            <w:pPr>
              <w:spacing w:after="0"/>
              <w:rPr>
                <w:sz w:val="21"/>
                <w:szCs w:val="2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TRS Properties</w:t>
            </w:r>
          </w:p>
        </w:tc>
        <w:tc>
          <w:tcPr>
            <w:tcW w:w="120" w:type="dxa"/>
            <w:vAlign w:val="bottom"/>
          </w:tcPr>
          <w:p>
            <w:pPr>
              <w:spacing w:after="0"/>
              <w:rPr>
                <w:sz w:val="21"/>
                <w:szCs w:val="21"/>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 xml:space="preserve">Eliminations </w:t>
            </w:r>
            <w:r>
              <w:rPr>
                <w:rFonts w:ascii="Arial" w:cs="Arial" w:eastAsia="Arial" w:hAnsi="Arial"/>
                <w:sz w:val="8"/>
                <w:szCs w:val="8"/>
                <w:b w:val="1"/>
                <w:bCs w:val="1"/>
                <w:color w:val="auto"/>
              </w:rPr>
              <w:t>(1)</w:t>
            </w:r>
          </w:p>
        </w:tc>
        <w:tc>
          <w:tcPr>
            <w:tcW w:w="200" w:type="dxa"/>
            <w:vAlign w:val="bottom"/>
          </w:tcPr>
          <w:p>
            <w:pPr>
              <w:spacing w:after="0"/>
              <w:rPr>
                <w:sz w:val="21"/>
                <w:szCs w:val="21"/>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GLP Capital</w:t>
            </w:r>
          </w:p>
        </w:tc>
        <w:tc>
          <w:tcPr>
            <w:tcW w:w="12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TRS Properties</w:t>
            </w:r>
          </w:p>
        </w:tc>
        <w:tc>
          <w:tcPr>
            <w:tcW w:w="12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 xml:space="preserve">Eliminations </w:t>
            </w:r>
            <w:r>
              <w:rPr>
                <w:rFonts w:ascii="Arial" w:cs="Arial" w:eastAsia="Arial" w:hAnsi="Arial"/>
                <w:sz w:val="8"/>
                <w:szCs w:val="8"/>
                <w:b w:val="1"/>
                <w:bCs w:val="1"/>
                <w:color w:val="auto"/>
              </w:rPr>
              <w:t>(1)</w:t>
            </w:r>
          </w:p>
        </w:tc>
        <w:tc>
          <w:tcPr>
            <w:tcW w:w="240" w:type="dxa"/>
            <w:vAlign w:val="bottom"/>
          </w:tcPr>
          <w:p>
            <w:pPr>
              <w:spacing w:after="0"/>
              <w:rPr>
                <w:sz w:val="21"/>
                <w:szCs w:val="21"/>
                <w:color w:val="auto"/>
              </w:rPr>
            </w:pPr>
          </w:p>
        </w:tc>
        <w:tc>
          <w:tcPr>
            <w:tcW w:w="780" w:type="dxa"/>
            <w:vAlign w:val="bottom"/>
          </w:tcPr>
          <w:p>
            <w:pPr>
              <w:jc w:val="right"/>
              <w:ind w:right="326"/>
              <w:spacing w:after="0"/>
              <w:rPr>
                <w:sz w:val="20"/>
                <w:szCs w:val="20"/>
                <w:color w:val="auto"/>
              </w:rPr>
            </w:pPr>
            <w:r>
              <w:rPr>
                <w:rFonts w:ascii="Arial" w:cs="Arial" w:eastAsia="Arial" w:hAnsi="Arial"/>
                <w:sz w:val="11"/>
                <w:szCs w:val="11"/>
                <w:b w:val="1"/>
                <w:bCs w:val="1"/>
                <w:color w:val="auto"/>
              </w:rPr>
              <w:t>Total</w:t>
            </w: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Total revenues</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209,304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34,746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244,050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204,705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38,008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242,713</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Income from operations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144,874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6,977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151,851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142,034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7,972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150,006</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Interest, net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53,588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53,587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53,486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53,485</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Income before income taxes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93,887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4,377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98,264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91,149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5,372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96,521</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2,530</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Net income</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93,716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3,056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96,772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90,779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3,212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93,991</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25,615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27,954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25,424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28,257</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Capital project expenditures</w:t>
            </w:r>
          </w:p>
        </w:tc>
        <w:tc>
          <w:tcPr>
            <w:tcW w:w="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Capital maintenance expenditures</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774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482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482</w:t>
            </w:r>
          </w:p>
        </w:tc>
      </w:tr>
      <w:tr>
        <w:trPr>
          <w:trHeight w:val="22"/>
        </w:trPr>
        <w:tc>
          <w:tcPr>
            <w:tcW w:w="2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20" w:lineRule="exact"/>
        <w:rPr>
          <w:sz w:val="20"/>
          <w:szCs w:val="20"/>
          <w:color w:val="auto"/>
        </w:rPr>
      </w:pPr>
    </w:p>
    <w:p>
      <w:pPr>
        <w:ind w:right="340" w:firstLine="332"/>
        <w:spacing w:after="0" w:line="363" w:lineRule="auto"/>
        <w:tabs>
          <w:tab w:leader="none" w:pos="671" w:val="left"/>
        </w:tabs>
        <w:numPr>
          <w:ilvl w:val="1"/>
          <w:numId w:val="12"/>
        </w:numPr>
        <w:rPr>
          <w:rFonts w:ascii="Arial" w:cs="Arial" w:eastAsia="Arial" w:hAnsi="Arial"/>
          <w:sz w:val="11"/>
          <w:szCs w:val="11"/>
          <w:color w:val="auto"/>
        </w:rPr>
      </w:pPr>
      <w:r>
        <w:rPr>
          <w:rFonts w:ascii="Arial" w:cs="Arial" w:eastAsia="Arial" w:hAnsi="Arial"/>
          <w:sz w:val="16"/>
          <w:szCs w:val="16"/>
          <w:color w:val="auto"/>
        </w:rPr>
        <w:t>Amounts in the "Eliminations" column represent the elimination of intercompany interest payments from the Company’s TRS Properties business segment to its GLP Capital business segment.</w:t>
      </w:r>
    </w:p>
    <w:p>
      <w:pPr>
        <w:spacing w:after="0" w:line="83" w:lineRule="exact"/>
        <w:rPr>
          <w:rFonts w:ascii="Arial" w:cs="Arial" w:eastAsia="Arial" w:hAnsi="Arial"/>
          <w:sz w:val="11"/>
          <w:szCs w:val="11"/>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Disclosures of Cash Flow Information and Noncash Activities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disclosures of cash flow information are as follows:</w:t>
      </w:r>
    </w:p>
    <w:p>
      <w:pPr>
        <w:spacing w:after="0" w:line="163"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500" w:type="dxa"/>
            <w:vAlign w:val="bottom"/>
            <w:tcBorders>
              <w:bottom w:val="single" w:sz="8" w:color="auto"/>
            </w:tcBorders>
            <w:gridSpan w:val="3"/>
          </w:tcPr>
          <w:p>
            <w:pPr>
              <w:jc w:val="center"/>
              <w:ind w:left="442"/>
              <w:spacing w:after="0"/>
              <w:rPr>
                <w:sz w:val="20"/>
                <w:szCs w:val="20"/>
                <w:color w:val="auto"/>
              </w:rPr>
            </w:pPr>
            <w:r>
              <w:rPr>
                <w:rFonts w:ascii="Arial" w:cs="Arial" w:eastAsia="Arial" w:hAnsi="Arial"/>
                <w:sz w:val="14"/>
                <w:szCs w:val="14"/>
                <w:b w:val="1"/>
                <w:bCs w:val="1"/>
                <w:color w:val="auto"/>
                <w:w w:val="95"/>
              </w:rPr>
              <w:t>Three Months Ended March 31,</w:t>
            </w:r>
          </w:p>
        </w:tc>
        <w:tc>
          <w:tcPr>
            <w:tcW w:w="500" w:type="dxa"/>
            <w:vAlign w:val="bottom"/>
            <w:tcBorders>
              <w:bottom w:val="single" w:sz="8" w:color="auto"/>
            </w:tcBorders>
          </w:tcPr>
          <w:p>
            <w:pPr>
              <w:spacing w:after="0"/>
              <w:rPr>
                <w:sz w:val="16"/>
                <w:szCs w:val="16"/>
                <w:color w:val="auto"/>
              </w:rPr>
            </w:pPr>
          </w:p>
        </w:tc>
      </w:tr>
      <w:tr>
        <w:trPr>
          <w:trHeight w:val="264"/>
        </w:trPr>
        <w:tc>
          <w:tcPr>
            <w:tcW w:w="53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r>
      <w:tr>
        <w:trPr>
          <w:trHeight w:val="250"/>
        </w:trPr>
        <w:tc>
          <w:tcPr>
            <w:tcW w:w="5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89"/>
              </w:rPr>
              <w:t>(in thousands)</w:t>
            </w:r>
          </w:p>
        </w:tc>
        <w:tc>
          <w:tcPr>
            <w:tcW w:w="500" w:type="dxa"/>
            <w:vAlign w:val="bottom"/>
          </w:tcPr>
          <w:p>
            <w:pPr>
              <w:spacing w:after="0"/>
              <w:rPr>
                <w:sz w:val="21"/>
                <w:szCs w:val="21"/>
                <w:color w:val="auto"/>
              </w:rPr>
            </w:pPr>
          </w:p>
        </w:tc>
      </w:tr>
      <w:tr>
        <w:trPr>
          <w:trHeight w:val="256"/>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income taxes, net of refunds received</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w:t>
            </w:r>
          </w:p>
        </w:tc>
        <w:tc>
          <w:tcPr>
            <w:tcW w:w="10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900" w:type="dxa"/>
            <w:vAlign w:val="bottom"/>
          </w:tcPr>
          <w:p>
            <w:pPr>
              <w:spacing w:after="0"/>
              <w:rPr>
                <w:sz w:val="21"/>
                <w:szCs w:val="21"/>
                <w:color w:val="auto"/>
              </w:rPr>
            </w:pPr>
          </w:p>
        </w:tc>
        <w:tc>
          <w:tcPr>
            <w:tcW w:w="560" w:type="dxa"/>
            <w:vAlign w:val="bottom"/>
          </w:tcPr>
          <w:p>
            <w:pPr>
              <w:jc w:val="right"/>
              <w:ind w:right="16"/>
              <w:spacing w:after="0"/>
              <w:rPr>
                <w:sz w:val="20"/>
                <w:szCs w:val="20"/>
                <w:color w:val="auto"/>
              </w:rPr>
            </w:pPr>
            <w:r>
              <w:rPr>
                <w:rFonts w:ascii="Arial" w:cs="Arial" w:eastAsia="Arial" w:hAnsi="Arial"/>
                <w:sz w:val="18"/>
                <w:szCs w:val="18"/>
                <w:color w:val="auto"/>
                <w:w w:val="97"/>
              </w:rPr>
              <w:t>8,549</w:t>
            </w: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8,739</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three months ended March 31, 2018 and 2017, the Company did not engage in any noncash investing and financing activities.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30" w:right="2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Supplementary Condensed Consolidating Financial Information of Parent Guarantor and Subsidiary Issuers</w:t>
      </w:r>
    </w:p>
    <w:p>
      <w:pPr>
        <w:spacing w:after="0" w:line="2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GLPI guarantees the Notes issued by its subsidiaries, GLP Capital, L.P. and GLP Financing II, Inc. Each of the subsidiary issuers is 100% owned by GLPI. The guarantees of GLPI are full and unconditional. GLPI is not subject to any material or significant restrictions on its ability to obtain funds from its subsidiaries by dividend or loan or to transfer assets from such subsidiaries, except as provided by applicable law. None of GLPI's subsidiaries guarantee the Notes.</w:t>
      </w:r>
    </w:p>
    <w:p>
      <w:pPr>
        <w:spacing w:after="0" w:line="187"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Summarized balance sheets as of March 31, 2018 and December 31, 2017, statements of income for the three months ended March 31, 2018 and 2017 and statements of cash flows for the three months ended March 31, 2018 and 2017 for GLPI as the parent guarantor, for GLP Capital, L.P. and GLP Financing II, Inc. as the subsidiary issuers and the other subsidiary non-issuers is presented below.</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130" w:right="31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March 31, 2018</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Subsidiary</w:t>
            </w: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Subsidiary</w:t>
            </w:r>
          </w:p>
        </w:tc>
        <w:tc>
          <w:tcPr>
            <w:tcW w:w="20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Balance Sheet</w:t>
            </w: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Non-Issuers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1,771,758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1,865,191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3,636,949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637,421</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20,098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86,161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106,259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2,619,430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2,619,430</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17,693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27,727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45,420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8,282</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75,521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Loan receivable</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2,416,848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5,066,140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2,918,767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(10,401,755)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43,986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20,092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64,078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2,416,848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7,177,414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8,221,535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(10,595,350)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7,220,447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75,479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75,479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Gaming, property, and other taxes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21,616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19,580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41,196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Long-term debt, net of unamortized debt issuance costs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4,401,107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4,401,107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payable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Deferred rental revenue</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234,346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14,294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248,640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25,430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4,760,566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236,628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4,803,599</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 (deficit)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w w:val="92"/>
              </w:rPr>
              <w:t>Preferred stock ($.01 par value, 50,000,000 shares authorized,</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340"/>
              <w:spacing w:after="0"/>
              <w:rPr>
                <w:sz w:val="20"/>
                <w:szCs w:val="20"/>
                <w:color w:val="auto"/>
              </w:rPr>
            </w:pPr>
            <w:r>
              <w:rPr>
                <w:rFonts w:ascii="Arial" w:cs="Arial" w:eastAsia="Arial" w:hAnsi="Arial"/>
                <w:sz w:val="18"/>
                <w:szCs w:val="18"/>
                <w:color w:val="auto"/>
              </w:rPr>
              <w:t>no shares issued or outstanding at March 31, 2018)</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($.01 par value, 500,000,000 shares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5"/>
              </w:rPr>
              <w:t>authorized, 213,498,249 shares issued at March 31, 2018)</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3,930,777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3,930,778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9,495,703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(13,426,481)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3,930,777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accumulated (deficit) earnings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(1,516,064)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(1,516,065)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(1,512,931)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3,028,996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(1,516,064)</w:t>
            </w:r>
          </w:p>
        </w:tc>
        <w:tc>
          <w:tcPr>
            <w:tcW w:w="0" w:type="dxa"/>
            <w:vAlign w:val="bottom"/>
          </w:tcPr>
          <w:p>
            <w:pPr>
              <w:spacing w:after="0"/>
              <w:rPr>
                <w:sz w:val="1"/>
                <w:szCs w:val="1"/>
                <w:color w:val="auto"/>
              </w:rPr>
            </w:pP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 (deficit)</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2,416,848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2,416,848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7,984,907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(10,401,755)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2,416,848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2,416,848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7,177,414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8,221,535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(10,595,350)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7,220,447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2018</w:t>
            </w:r>
          </w:p>
        </w:tc>
        <w:tc>
          <w:tcPr>
            <w:tcW w:w="220" w:type="dxa"/>
            <w:vAlign w:val="bottom"/>
          </w:tcPr>
          <w:p>
            <w:pPr>
              <w:spacing w:after="0"/>
              <w:rPr>
                <w:sz w:val="14"/>
                <w:szCs w:val="14"/>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101,820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67,585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169,405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18,621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10,900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10,378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21,278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Total rental revenue and income from direct financing lease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112,720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96,584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209,304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 net</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34,746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34,746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112,720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131,330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244,050</w:t>
            </w:r>
          </w:p>
        </w:tc>
        <w:tc>
          <w:tcPr>
            <w:tcW w:w="0" w:type="dxa"/>
            <w:vAlign w:val="bottom"/>
          </w:tcPr>
          <w:p>
            <w:pPr>
              <w:spacing w:after="0"/>
              <w:rPr>
                <w:sz w:val="1"/>
                <w:szCs w:val="1"/>
                <w:color w:val="auto"/>
              </w:rPr>
            </w:pPr>
          </w:p>
        </w:tc>
      </w:tr>
      <w:tr>
        <w:trPr>
          <w:trHeight w:val="22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19,658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10,919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10,676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21,595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10,921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5,539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16,460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27,954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47,460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44,739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92,199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86,591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151,851</w:t>
            </w:r>
          </w:p>
        </w:tc>
        <w:tc>
          <w:tcPr>
            <w:tcW w:w="0" w:type="dxa"/>
            <w:vAlign w:val="bottom"/>
          </w:tcPr>
          <w:p>
            <w:pPr>
              <w:spacing w:after="0"/>
              <w:rPr>
                <w:sz w:val="1"/>
                <w:szCs w:val="1"/>
                <w:color w:val="auto"/>
              </w:rPr>
            </w:pPr>
          </w:p>
        </w:tc>
      </w:tr>
      <w:tr>
        <w:trPr>
          <w:trHeight w:val="27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(54,068)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(54,068)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Intercompany dividends and interest</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107,103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(106,788)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(53,587)</w:t>
            </w:r>
          </w:p>
        </w:tc>
        <w:tc>
          <w:tcPr>
            <w:tcW w:w="0" w:type="dxa"/>
            <w:vAlign w:val="bottom"/>
          </w:tcPr>
          <w:p>
            <w:pPr>
              <w:spacing w:after="0"/>
              <w:rPr>
                <w:sz w:val="1"/>
                <w:szCs w:val="1"/>
                <w:color w:val="auto"/>
              </w:rPr>
            </w:pPr>
          </w:p>
        </w:tc>
      </w:tr>
      <w:tr>
        <w:trPr>
          <w:trHeight w:val="2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118,295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86,757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98,264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118,124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85,436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96,772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2018</w:t>
            </w: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Cash Flows</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118,124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85,436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(106,788)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96,772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Adjustments to reconcile net income (loss) to net cash provided by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(used in)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6,663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30,681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Straight-line rent adjustments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16,617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Intercompany</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interest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42,238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Accrued salaries and wages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(7,680)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Gaming, property and other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197,785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94,759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(106,788)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185,756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Capital maintenance expenditures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Collection of principal payments on investment in direct financing</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lease</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18,209</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17,435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17,387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(134,717)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(134,717)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Taxes paid related to shares withheld for tax purposes on restricted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6"/>
              </w:rPr>
              <w:t>stock award vestings, net of proceeds from exercise of options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Repayments of long-term debt</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(45,029)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Intercompany financing</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141,748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106,788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(186,778)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106,788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(186,777)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16,366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6,734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29,054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17,693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27,727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45,420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43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December 31, 2017</w:t>
            </w:r>
          </w:p>
        </w:tc>
        <w:tc>
          <w:tcPr>
            <w:tcW w:w="22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9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Balance Sheet</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1,794,840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1,867,205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3,662,045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640,148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20,568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87,725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108,293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2,637,639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2,637,639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6,734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29,054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75,521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Loan receivable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2,458,247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5,087,893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2,959,174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(10,505,314)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42,485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16,190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58,675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2,458,247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7,208,817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8,277,088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(10,697,270)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7,246,882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7,913</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33,241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33,241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Gaming, property, and other taxes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21,135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35,399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Long-term debt, net of unamortized debt issuance costs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4,442,880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4,442,880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payable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Deferred rental revenue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220,019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12,004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232,023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24,478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25,411</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4,750,570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230,021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4,788,635</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 (deficit)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4"/>
              </w:rPr>
              <w:t>Preferred stock ($.01 par value, 50,000,000 shares authorized,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ind w:left="340"/>
              <w:spacing w:after="0"/>
              <w:rPr>
                <w:sz w:val="20"/>
                <w:szCs w:val="20"/>
                <w:color w:val="auto"/>
              </w:rPr>
            </w:pPr>
            <w:r>
              <w:rPr>
                <w:rFonts w:ascii="Arial" w:cs="Arial" w:eastAsia="Arial" w:hAnsi="Arial"/>
                <w:sz w:val="18"/>
                <w:szCs w:val="18"/>
                <w:color w:val="auto"/>
              </w:rPr>
              <w:t>no shares issued or outstanding at December 31, 2016)</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Common stock ($.01 par value, 500,000,000 shares authorized,</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212,717,549 shares issued at December 31, 2017)</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3,933,829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3,933,831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9,498,755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(13,432,586)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3,933,829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accumulated (deficit) earnings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(1,477,709)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(1,477,711)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(1,453,815)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2,931,526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(1,477,709)</w:t>
            </w:r>
          </w:p>
        </w:tc>
        <w:tc>
          <w:tcPr>
            <w:tcW w:w="0" w:type="dxa"/>
            <w:vAlign w:val="bottom"/>
          </w:tcPr>
          <w:p>
            <w:pPr>
              <w:spacing w:after="0"/>
              <w:rPr>
                <w:sz w:val="1"/>
                <w:szCs w:val="1"/>
                <w:color w:val="auto"/>
              </w:rPr>
            </w:pPr>
          </w:p>
        </w:tc>
      </w:tr>
      <w:tr>
        <w:trPr>
          <w:trHeight w:val="237"/>
        </w:trPr>
        <w:tc>
          <w:tcPr>
            <w:tcW w:w="492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 (deficit)</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2,458,247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2,458,247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8,047,067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(10,505,314)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2,458,247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2,458,247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7,208,817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8,277,088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(10,697,270)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7,246,882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2017</w:t>
            </w:r>
          </w:p>
        </w:tc>
        <w:tc>
          <w:tcPr>
            <w:tcW w:w="12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5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12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97,752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67,409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165,161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17,824</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10,564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21,720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108,908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95,797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204,705</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 net</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38,008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38,008</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108,908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133,805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242,713</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21,076</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10,960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22,143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10,895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16,056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28,257</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45,326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47,381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92,707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86,424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150,006</w:t>
            </w:r>
          </w:p>
        </w:tc>
        <w:tc>
          <w:tcPr>
            <w:tcW w:w="0" w:type="dxa"/>
            <w:vAlign w:val="bottom"/>
          </w:tcPr>
          <w:p>
            <w:pPr>
              <w:spacing w:after="0"/>
              <w:rPr>
                <w:sz w:val="1"/>
                <w:szCs w:val="1"/>
                <w:color w:val="auto"/>
              </w:rPr>
            </w:pPr>
          </w:p>
        </w:tc>
      </w:tr>
      <w:tr>
        <w:trPr>
          <w:trHeight w:val="277"/>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(53,949)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(53,949)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Intercompany dividends and interest</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115,773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(116,896)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(53,485)</w:t>
            </w:r>
          </w:p>
        </w:tc>
        <w:tc>
          <w:tcPr>
            <w:tcW w:w="0" w:type="dxa"/>
            <w:vAlign w:val="bottom"/>
          </w:tcPr>
          <w:p>
            <w:pPr>
              <w:spacing w:after="0"/>
              <w:rPr>
                <w:sz w:val="1"/>
                <w:szCs w:val="1"/>
                <w:color w:val="auto"/>
              </w:rPr>
            </w:pPr>
          </w:p>
        </w:tc>
      </w:tr>
      <w:tr>
        <w:trPr>
          <w:trHeight w:val="291"/>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125,406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88,011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96,521</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125,036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85,851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93,991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2017</w:t>
            </w:r>
          </w:p>
        </w:tc>
        <w:tc>
          <w:tcPr>
            <w:tcW w:w="16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Cash Flows</w:t>
            </w: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Non-Issuers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125,036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85,851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(116,896)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93,991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Adjustments to reconcile net income (loss) to net cash provided by</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(used in) operating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23,248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30,568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Losses on dispositions of property</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4,483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16,245</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20"/>
              <w:spacing w:after="0"/>
              <w:rPr>
                <w:sz w:val="20"/>
                <w:szCs w:val="20"/>
                <w:color w:val="auto"/>
              </w:rPr>
            </w:pPr>
            <w:r>
              <w:rPr>
                <w:rFonts w:ascii="Arial" w:cs="Arial" w:eastAsia="Arial" w:hAnsi="Arial"/>
                <w:sz w:val="18"/>
                <w:szCs w:val="18"/>
                <w:color w:val="auto"/>
              </w:rPr>
              <w:t>Intercompany</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(Decrease) increase,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41,928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41,928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salaries and wages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Gaming, property and other taxes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204,647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96,938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184,689</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project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Capital maintenance expenditures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Principal payments on loan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13,200</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Deposit for pending acquisition of real estate assets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(8,230)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Collection of principal payments on investment in direct financing</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lease</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17,613</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30,331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22,093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(129,301)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Proceeds from exercise of options, net of taxes paid related to shares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withheld for tax purposes on restricted stock award vestings</w:t>
            </w:r>
          </w:p>
        </w:tc>
        <w:tc>
          <w:tcPr>
            <w:tcW w:w="16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4,456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Costs related to continuous equity offering</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Repayments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(95,027)</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Intercompany financing</w:t>
            </w:r>
          </w:p>
        </w:tc>
        <w:tc>
          <w:tcPr>
            <w:tcW w:w="1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124,950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(111,753)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(130,093)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116,896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116,896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(219,977)</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36,556</w:t>
            </w:r>
          </w:p>
        </w:tc>
        <w:tc>
          <w:tcPr>
            <w:tcW w:w="0" w:type="dxa"/>
            <w:vAlign w:val="bottom"/>
          </w:tcPr>
          <w:p>
            <w:pPr>
              <w:spacing w:after="0"/>
              <w:rPr>
                <w:sz w:val="1"/>
                <w:szCs w:val="1"/>
                <w:color w:val="auto"/>
              </w:rPr>
            </w:pPr>
          </w:p>
        </w:tc>
      </w:tr>
      <w:tr>
        <w:trPr>
          <w:trHeight w:val="25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21,958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23,361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57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April 25, 2018, the Company announced the retirement of William J. Clifford, Senior Vice President, Chief Financial Officer and Treasurer after 17 years with the Company and its predecessor, Penn National Gaming, Inc. In connection with Mr. Clifford's retirement, the Company and Mr. Clifford entered into a letter agreement, dated as of April 24, 2018 (the “Agreement”), providing for Mr. Clifford’s retirement from the Company effective on or before August 31, 2018. Under the Agreement, Mr. Clifford will serve as senior advisor to the Company from May 4, 2018 until August 31, 2018, or such earlier retirement date specified by the Company (the “Continued Employment Period”). Effective May 4, 2018, Steven T. Snyder, Senior Vice President, Corporate Development of the Company, will assume the role of interim Chief Financial Officer of the Company pending completion of the search for a new Chief Financial Officer.</w:t>
      </w:r>
    </w:p>
    <w:p>
      <w:pPr>
        <w:spacing w:after="0" w:line="18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During the Continued Employment Period, Mr. Clifford will be entitled to continue to receive his current salary at the rate of $1,166,990 per year and to participate in the employee benefit plans of the Company in which he currently participates (or to receive continuing coverage through COBRA, if Mr. Clifford is no longer eligible to participate in such employee benefit plans). In addition, in lieu of payments or benefits under any Company severance plan and in connection with the cancellation of Mr. Clifford’s outstanding incentive equity awards upon his retirement, Mr. Clifford or his estate will be entitled to the following cash payments: $4,210,400 on September 1, 2018; $4,743,750 on January 2, 2019; $2,529,990 on January 2, 2020; and $1,265,012 on January 4, 2021, subject, in each case, to Mr. Clifford’s continued service through the Continued Employment Period and compliance with the terms of the Agreement. In the Agreement, Mr. Clifford provided the Company with a general release of claims and agreed to be subject to certain restrictive and other covenants contained in the Agreement, including non-competition, non-solicitation, non-disparagement and confidentiality provisions.</w:t>
      </w:r>
    </w:p>
    <w:p>
      <w:pPr>
        <w:spacing w:after="0" w:line="16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On April 24, 2018, the Company declared its second quarter dividend of $0.63 per common share, payable on June 29, 2018 to shareholders of record on June 15, 2018.</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April 16, 2018, the Company announced that it has entered into a definitive agreement to acquire the real estate assets of six casino properties from Tropicana Entertainment for $1.21 billion, exclusive of taxes and transaction fees of approximately $40.0 million. The assets to be acquired are Tropicana Atlantic City, Tropicana Evansville, Lumiere Place, Tropicana Laughlin, Trop Casino Greenville and The Belle of Baton Rouge. Concurrent with the closing of this transaction, Eldorado will acquire the operating assets of these properties and lease the real estate from the Company through a new master lease with a 15-year initial term and four 5-year renewal periods. Initial annual rent is expected to be $110 million. Terms of the new lease with Eldorado are similar to the Company's existing Master Leases. The transaction is subject to regulatory approval and is expected to close by the end of 2018. The Company expects to fund the transaction with a combination of debt and equity, however, based on market conditions the entire transaction could be funded with debt.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30" w:right="27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1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GLPI is a self-administered and self-managed Pennsylvania REIT. GLPI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Company elected on its U.S. federal income tax return for its taxable year beginning on January 1, 2014 to be treated as a REIT and the Company, together with an indirect wholly-owned subsidiary of the Company, GLP Holdings, Inc., jointly elected to treat each of GLP Holdings, Inc., Louisiana Casino Cruises, Inc. and Penn Cecil Maryland, Inc. as a "taxable REIT subsidiary" effective on the first day of the first taxable year of GLPI as a REIT. As a result of the Spin-Off, GLPI owns substantially all of Penn's former real property assets and leases back most of those assets to Penn for use by its subsidiaries, under the Penn Master Lease, and GLPI also owns and operates the TRS Properties through its indirect wholly-owned subsidiary, GLP Holdings, Inc. The assets and liabilities of GLPI were recorded at their respective historical carrying values at the time of the Spin-Off. In April 2016, the Company acquired substantially all of the real estate assets of Pinnacle for approximately $4.8 billion. GLPI leases these assets back to Pinnacle, under a triple-net lease with an initial term of 10 years with no purchase option, followed by five 5-year renewal options (exercisable by Pinnacle) on the same terms and conditions.</w:t>
      </w:r>
    </w:p>
    <w:p>
      <w:pPr>
        <w:spacing w:after="0" w:line="10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As of March 31, 2018, GLPI’s portfolio consisted of 38 gaming and related facilities, including the TRS Properties, the real property associated with 20 gaming and related facilities operated by Penn, the real property associated with 15 gaming and related facilities operated by Pinnacle and the real property associated with the Casino Queen in East St. Louis, Illinois. These facilities are geographically diversified across 14 states and were 100% occupied at March 31, 2018.</w:t>
      </w:r>
    </w:p>
    <w:p>
      <w:pPr>
        <w:spacing w:after="0" w:line="18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expect to grow our portfolio by pursuing opportunities to acquire additional gaming facilities to lease to gaming operators under prudent terms. For example, on December 17, 2017, the Company entered into agreements to purchase two additional properties, Plainridge Park Casino and Belterra Park Gaming &amp; Entertainment Center from Penn and Pinnacle, respectively. We will acquire these properties in connection with the proposed acquisition of Pinnacle by Penn pursuant to a definitive agreement and plan of merger between them, also dated December 17, 2017 (the "Merger"). Subject to and concurrently with the completion of the Merger, we have agreed to, among other things, amend our master lease with Pinnacle to allow for the sale by Pinnacle of the operating assets at Ameristar Casino Hotel Kansas City, Ameristar Casino Resort Spa St. Charles and Belterra Casino Resort to Boyd Gaming Corporation (“Boyd”) and to enter into a new master lease agreement with Boyd on terms similar to the Company’s existing leases for these properties and the real property underlying Belterra Park. The transaction which is subject to regulatory approval is expected to close in the second half of 2018.</w:t>
      </w:r>
    </w:p>
    <w:p>
      <w:pPr>
        <w:spacing w:after="0" w:line="16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Additionally, we believe we have the ability to leverage the expertise our management team has developed over the years to secure additional avenues for growth beyond the gaming industry. Accordingly, we anticipate we will be able to effect strategic acquisitions unrelated to the gaming industry as well as other acquisitions that may prove complementary to GLPI’s gaming facilities.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March 31, 2018, the majority of our earnings are the result of the rental revenues we receive from our triple-net Master Leases with Penn and Pinnacle. Additionally, we have rental revenue from the Casino Queen property which is leased back to a third party operator on a triple-net basis and the Meadows property which is leased to Pinnacle under a triple-net lease separate from the Pinnacle Master Lease.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Additionally, in accordance with ASC 606, we record revenue for the real estate taxes paid by our tenants on the leased properties with an offsetting expense in general and administrative expense within the condensed consolidated statement of income, as we believe we are the primary obligor. Similarly, we record revenue for the ground lease rent paid by our tenants with an offsetting expense in land rights and ground lease expense within the condensed consolidated statement of income as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30" w:right="25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have concluded that as the lessee we are the primary obligor under the ground leases. We sublease these ground leases back to our tenants, who are responsible for payment directly to the landlord.</w:t>
      </w:r>
    </w:p>
    <w:p>
      <w:pPr>
        <w:spacing w:after="0" w:line="170" w:lineRule="exact"/>
        <w:rPr>
          <w:sz w:val="20"/>
          <w:szCs w:val="20"/>
          <w:color w:val="auto"/>
        </w:rPr>
      </w:pPr>
    </w:p>
    <w:p>
      <w:pPr>
        <w:ind w:right="160" w:firstLine="693"/>
        <w:spacing w:after="0" w:line="264" w:lineRule="auto"/>
        <w:rPr>
          <w:sz w:val="20"/>
          <w:szCs w:val="20"/>
          <w:color w:val="auto"/>
        </w:rPr>
      </w:pPr>
      <w:r>
        <w:rPr>
          <w:rFonts w:ascii="Arial" w:cs="Arial" w:eastAsia="Arial" w:hAnsi="Arial"/>
          <w:sz w:val="18"/>
          <w:szCs w:val="18"/>
          <w:color w:val="auto"/>
        </w:rPr>
        <w:t>Gaming revenue for our TRS Properties is derived primarily from gaming on slot machines and to a lesser extent, table game and poker revenue, which is highly dependent upon the volume and spending levels of customers at our TRS Properties. Other revenues at our TRS Properties are derived from our dining, retail, and certain other ancillary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Consistent with how our Chief Operating Decision Maker reviews and assesses our financial performance, we have two reportable segments, GLP Capital and the TRS Properties. The GLP Capital reportable segment consists of the leased real property and represents the majority of our business. The TRS Properties reportable segment consists of Hollywood Casino Perryville and Hollywood Casino Baton Rouge.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reported total revenues and income from operations of $244.1 million and $151.9 million, respectively, for the three months ended March 31, 2018, compared to $242.7 million and $150.0 million, respectively, for the corresponding period in the prior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major factors affecting our results for the three months ended March 31, 2018, as compared to the three months ended March 31, 2017, were:</w:t>
      </w:r>
    </w:p>
    <w:p>
      <w:pPr>
        <w:spacing w:after="0" w:line="248" w:lineRule="exact"/>
        <w:rPr>
          <w:sz w:val="20"/>
          <w:szCs w:val="20"/>
          <w:color w:val="auto"/>
        </w:rPr>
      </w:pPr>
    </w:p>
    <w:p>
      <w:pPr>
        <w:ind w:left="660" w:right="140" w:hanging="328"/>
        <w:spacing w:after="0" w:line="30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Rental revenue and income from the direct financing lease were $209.3 million for the three months ended March 31, 2018 and $204.7 million for the three months ended March 31, 2017. Rental revenue and income from the direct financing lease increased by $4.6 million for the three months ended March 31, 2018, as compared to the corresponding period in the prior year, primarily due to the addition of the Tunica Properties to the Penn Master Lease, improved results at our two Ohio properties with monthly variable rent, as well as, the rent escalators under both Master Leases.</w:t>
      </w:r>
    </w:p>
    <w:p>
      <w:pPr>
        <w:spacing w:after="0" w:line="154" w:lineRule="exact"/>
        <w:rPr>
          <w:rFonts w:ascii="Arial" w:cs="Arial" w:eastAsia="Arial" w:hAnsi="Arial"/>
          <w:sz w:val="16"/>
          <w:szCs w:val="16"/>
          <w:color w:val="auto"/>
        </w:rPr>
      </w:pPr>
    </w:p>
    <w:p>
      <w:pPr>
        <w:ind w:left="660" w:right="6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revenues for our TRS Properties decreased by $3.3 million for the three months ended March 31, 2018 as compared to the corresponding period in the prior year, primarily due to decreased gaming revenues at both Hollywood Casino Baton Rouge and Hollywood Casino Perryville.</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operating expenses decreased by $0.5 million for the three months ended March 31, 2018, as compared to the corresponding period in the prior year.</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Income tax expense decreased by $1.0 million, primarily due to the Tax Cuts and Job Act, which lowered the corporate tax rate to 21%, effective for tax years including or commencing January 1, 2018, as well as lower income at our TRS Properties.</w:t>
      </w:r>
    </w:p>
    <w:p>
      <w:pPr>
        <w:spacing w:after="0" w:line="170"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income increased by $2.8 million for the three months ended March 31, 2018, as compared to the corresponding period in the prior year, primarily due to the variances explained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Developments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recent developments that have had or are likely to have an impact on us by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GLP Capital</w:t>
      </w:r>
    </w:p>
    <w:p>
      <w:pPr>
        <w:spacing w:after="0" w:line="225" w:lineRule="exact"/>
        <w:rPr>
          <w:sz w:val="20"/>
          <w:szCs w:val="20"/>
          <w:color w:val="auto"/>
        </w:rPr>
      </w:pPr>
    </w:p>
    <w:p>
      <w:pPr>
        <w:ind w:left="660" w:hanging="328"/>
        <w:spacing w:after="0" w:line="279" w:lineRule="auto"/>
        <w:tabs>
          <w:tab w:leader="none" w:pos="660" w:val="left"/>
        </w:tabs>
        <w:numPr>
          <w:ilvl w:val="0"/>
          <w:numId w:val="15"/>
        </w:numPr>
        <w:rPr>
          <w:rFonts w:ascii="Arial" w:cs="Arial" w:eastAsia="Arial" w:hAnsi="Arial"/>
          <w:sz w:val="17"/>
          <w:szCs w:val="17"/>
          <w:i w:val="1"/>
          <w:iCs w:val="1"/>
          <w:color w:val="auto"/>
        </w:rPr>
      </w:pPr>
      <w:r>
        <w:rPr>
          <w:rFonts w:ascii="Arial" w:cs="Arial" w:eastAsia="Arial" w:hAnsi="Arial"/>
          <w:sz w:val="17"/>
          <w:szCs w:val="17"/>
          <w:color w:val="auto"/>
        </w:rPr>
        <w:t>On May 1, 2017 the Company purchased the real property assets of Bally's Casino Tunica and Resorts Casino Tunica ("Tunica Properties") for $82.9 million. Penn purchased the operating assets of the Tunica Properties directly from the seller, operates both properties and leases the real property assets from the Company under the Penn Master Lease. The initial annual cash rent of $9.0 million for the Tunica Properties is subject to rent escalators and adjustments consistent with the other properties under the Penn Master Lease.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30" w:right="2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real estate investments, leases and goodwill and other intangible assets as critical accounting estimates, as they are the most important to our financial statement presentation and require difficult, subjective and complex judgments.</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For further information on our critical accounting estimates, see Item 7. "Management’s Discussion and Analysis of Financial Condition and Results of Operations" and the Notes to our audited consolidated financial statements included in our Annual Report on Form 10-K. There has been no material change to these estimates for the three months ended March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most important factors and trends that contribute or will contribute to our operating performance:</w:t>
      </w:r>
    </w:p>
    <w:p>
      <w:pPr>
        <w:spacing w:after="0" w:line="225" w:lineRule="exact"/>
        <w:rPr>
          <w:sz w:val="20"/>
          <w:szCs w:val="20"/>
          <w:color w:val="auto"/>
        </w:rPr>
      </w:pPr>
    </w:p>
    <w:p>
      <w:pPr>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fact that a wholly-owned subsidiary of Penn and a wholly-owned subsidiary of Pinnacle lease substantially all of our properties, pursuant to their respective Master Leases, and account for a significant portion of our revenue and Penn has entered into an agreement to acquire Pinnacle, which will further increase our tenant concentration.</w:t>
      </w:r>
    </w:p>
    <w:p>
      <w:pPr>
        <w:spacing w:after="0" w:line="181"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fact that the rules and regulations of U.S. federal income taxation are constantly under review by legislators, the IRS and the U.S. Department of the Treasury. Changes to the tax laws or interpretations thereof, with or without retroactive application, could materially and adversely affect GLPI's investors or GLPI.</w:t>
      </w:r>
    </w:p>
    <w:p>
      <w:pPr>
        <w:spacing w:after="0" w:line="181"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risks related to economic conditions and the effect of such conditions on consumer spending for leisure and gaming activities, which may negatively impact our gaming tenants and operators.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consolidated results of operations for the three months ended March 31, 2018 and 2017 are summarized below:</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5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196"/>
        </w:trPr>
        <w:tc>
          <w:tcPr>
            <w:tcW w:w="5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7"/>
                <w:szCs w:val="17"/>
                <w:color w:val="auto"/>
              </w:rPr>
            </w:pPr>
          </w:p>
        </w:tc>
      </w:tr>
      <w:tr>
        <w:trPr>
          <w:trHeight w:val="25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Rental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169,405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165,161</w:t>
            </w: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17,824</w:t>
            </w: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Real estate taxes paid by tenants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21,720</w:t>
            </w:r>
          </w:p>
        </w:tc>
      </w:tr>
      <w:tr>
        <w:trPr>
          <w:trHeight w:val="27"/>
        </w:trPr>
        <w:tc>
          <w:tcPr>
            <w:tcW w:w="5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204,705</w:t>
            </w: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Gaming, food, beverage and other,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34,746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38,008</w:t>
            </w:r>
          </w:p>
        </w:tc>
      </w:tr>
      <w:tr>
        <w:trPr>
          <w:trHeight w:val="27"/>
        </w:trPr>
        <w:tc>
          <w:tcPr>
            <w:tcW w:w="5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244,050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242,713</w:t>
            </w:r>
          </w:p>
        </w:tc>
      </w:tr>
      <w:tr>
        <w:trPr>
          <w:trHeight w:val="22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21,076</w:t>
            </w: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Real estate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22,143</w:t>
            </w: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16,056</w:t>
            </w: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27,954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28,257</w:t>
            </w: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92,199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92,707</w:t>
            </w:r>
          </w:p>
        </w:tc>
      </w:tr>
      <w:tr>
        <w:trPr>
          <w:trHeight w:val="27"/>
        </w:trPr>
        <w:tc>
          <w:tcPr>
            <w:tcW w:w="5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151,851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150,006</w:t>
            </w:r>
          </w:p>
        </w:tc>
      </w:tr>
      <w:tr>
        <w:trPr>
          <w:trHeight w:val="20"/>
        </w:trPr>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0" w:right="23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information regarding our results of operations by segment for the three months ended March 31, 2018 and 2017 is summarized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5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 Revenues</w:t>
            </w: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Income from Operations</w:t>
            </w:r>
          </w:p>
        </w:tc>
      </w:tr>
      <w:tr>
        <w:trPr>
          <w:trHeight w:val="196"/>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GLP Capital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209,304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204,705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144,874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142,034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TRS Properties</w:t>
            </w:r>
          </w:p>
        </w:tc>
        <w:tc>
          <w:tcPr>
            <w:tcW w:w="36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34,746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38,008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6,977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7,972</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244,050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242,713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151,851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150,006</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FFO, AFFO and Adjusted EBITDA,</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Funds From Operations ("FFO"), Adjusted Funds From Operations ("AFFO") and Adjusted EBITDA are non-GAAP financial measures used by the Company as performance measures for benchmarking against the Company’s peers and as internal measures of business operating performance which is used as a bonus metric.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 In addition, in order for the Company to qualify as a REIT, it must distribute 90% of its REIT taxable income annually. The Company adjusts AFFO accordingly to provide our investors an estimate of the taxable income available for this distribution requirement.</w:t>
      </w:r>
    </w:p>
    <w:p>
      <w:pPr>
        <w:spacing w:after="0" w:line="17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FFO is a non-GAAP financial measure that is considered a supplemental measure for the real estate industry and a supplement to GAAP measures. The National Association of Real Estate Investment Trusts defines FFO as net income (computed in accordance with GAAP), excluding (gains) or losses from sales of property and real estate depreciation. We define AFFO as FFO excluding stock based compensation expense, debt issuance costs amortization, other depreciation, amortization of land rights, straight-line rent adjustments and direct financing lease adjustments, reduced by maintenance capital expenditures. Finally, we define Adjusted EBITDA as net income excluding interest, taxes on income, depreciation, (gains) or losses from sales of property, stock based compensation expense, straight-line rent adjustments, direct financing lease adjustments and the amortization of land rights.</w:t>
      </w:r>
    </w:p>
    <w:p>
      <w:pPr>
        <w:spacing w:after="0" w:line="16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FFO, AFFO and Adjusted EBITDA are not recognized terms under GAAP. Because certain companies do not calculate FFO, AFFO and Adjusted EBITDA in the same way and certain other companies may not perform such calculations, those measures as used by other companies may not be consistent with the way the Company calculates such measures and should not be considered as alternative measures of operating profit or net income. The Company’s presentation of these measures does not replace the presentation of the Company’s financial results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30" w:right="2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0" w:firstLine="690"/>
        <w:spacing w:after="0" w:line="277" w:lineRule="auto"/>
        <w:rPr>
          <w:sz w:val="20"/>
          <w:szCs w:val="20"/>
          <w:color w:val="auto"/>
        </w:rPr>
      </w:pPr>
      <w:r>
        <w:rPr>
          <w:rFonts w:ascii="Arial" w:cs="Arial" w:eastAsia="Arial" w:hAnsi="Arial"/>
          <w:sz w:val="18"/>
          <w:szCs w:val="18"/>
          <w:color w:val="auto"/>
        </w:rPr>
        <w:t>The reconciliation of the Company’s net income per GAAP to FFO, AFFO, and Adjusted EBITDA for the three months ended March 31, 2018 and 2017 is as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6"/>
          </w:tcPr>
          <w:p>
            <w:pPr>
              <w:jc w:val="right"/>
              <w:ind w:right="71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2"/>
        </w:trPr>
        <w:tc>
          <w:tcPr>
            <w:tcW w:w="5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center"/>
              <w:ind w:left="533"/>
              <w:spacing w:after="0"/>
              <w:rPr>
                <w:sz w:val="20"/>
                <w:szCs w:val="20"/>
                <w:color w:val="auto"/>
              </w:rPr>
            </w:pPr>
            <w:r>
              <w:rPr>
                <w:rFonts w:ascii="Arial" w:cs="Arial" w:eastAsia="Arial" w:hAnsi="Arial"/>
                <w:sz w:val="14"/>
                <w:szCs w:val="14"/>
                <w:b w:val="1"/>
                <w:bCs w:val="1"/>
                <w:color w:val="auto"/>
                <w:w w:val="99"/>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8"/>
        </w:trPr>
        <w:tc>
          <w:tcPr>
            <w:tcW w:w="5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5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gridSpan w:val="5"/>
          </w:tcPr>
          <w:p>
            <w:pPr>
              <w:jc w:val="center"/>
              <w:ind w:left="493"/>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5"/>
        </w:trPr>
        <w:tc>
          <w:tcPr>
            <w:tcW w:w="55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b w:val="1"/>
                <w:bCs w:val="1"/>
                <w:color w:val="auto"/>
              </w:rPr>
              <w:t>96,772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93,991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Losses from dispositions of property</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Real estate depreciation</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25,098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24,903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4"/>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121,870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118,999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Straight-line rent adjustments</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16,617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16,245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Direct financing lease adjustments</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Other depreciation</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2,856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land rights</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Amortization of debt issuance costs</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3,257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Maintenance CAPEX</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4"/>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168,701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165,780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Interest, net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53,587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53,485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Maintenance CAPEX</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7"/>
        </w:trPr>
        <w:tc>
          <w:tcPr>
            <w:tcW w:w="558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221,345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219,020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0"/>
        </w:trPr>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405"/>
        </w:trPr>
        <w:tc>
          <w:tcPr>
            <w:tcW w:w="11420" w:type="dxa"/>
            <w:vAlign w:val="bottom"/>
            <w:gridSpan w:val="16"/>
          </w:tcPr>
          <w:p>
            <w:pPr>
              <w:ind w:left="660"/>
              <w:spacing w:after="0"/>
              <w:rPr>
                <w:sz w:val="20"/>
                <w:szCs w:val="20"/>
                <w:color w:val="auto"/>
              </w:rPr>
            </w:pPr>
            <w:r>
              <w:rPr>
                <w:rFonts w:ascii="Arial" w:cs="Arial" w:eastAsia="Arial" w:hAnsi="Arial"/>
                <w:sz w:val="18"/>
                <w:szCs w:val="18"/>
                <w:color w:val="auto"/>
                <w:w w:val="92"/>
              </w:rPr>
              <w:t>The reconciliation of each segment’s net income per GAAP to FFO, AFFO, and Adjusted EBITDA for the three months ended March 31, 2018 and</w:t>
            </w: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2017 is as follows:</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9"/>
        </w:trPr>
        <w:tc>
          <w:tcPr>
            <w:tcW w:w="5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ind w:left="513"/>
              <w:spacing w:after="0"/>
              <w:rPr>
                <w:sz w:val="20"/>
                <w:szCs w:val="20"/>
                <w:color w:val="auto"/>
              </w:rPr>
            </w:pPr>
            <w:r>
              <w:rPr>
                <w:rFonts w:ascii="Arial" w:cs="Arial" w:eastAsia="Arial" w:hAnsi="Arial"/>
                <w:sz w:val="14"/>
                <w:szCs w:val="14"/>
                <w:b w:val="1"/>
                <w:bCs w:val="1"/>
                <w:color w:val="auto"/>
                <w:w w:val="98"/>
              </w:rPr>
              <w:t>GLP Capital</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TRS Properties</w:t>
            </w:r>
          </w:p>
        </w:tc>
        <w:tc>
          <w:tcPr>
            <w:tcW w:w="880" w:type="dxa"/>
            <w:vAlign w:val="bottom"/>
            <w:tcBorders>
              <w:bottom w:val="single" w:sz="8" w:color="auto"/>
            </w:tcBorders>
          </w:tcPr>
          <w:p>
            <w:pPr>
              <w:spacing w:after="0"/>
              <w:rPr>
                <w:sz w:val="24"/>
                <w:szCs w:val="24"/>
                <w:color w:val="auto"/>
              </w:rPr>
            </w:pPr>
          </w:p>
        </w:tc>
      </w:tr>
      <w:tr>
        <w:trPr>
          <w:trHeight w:val="264"/>
        </w:trPr>
        <w:tc>
          <w:tcPr>
            <w:tcW w:w="558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55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56"/>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93,716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90,779</w:t>
            </w:r>
          </w:p>
        </w:tc>
        <w:tc>
          <w:tcPr>
            <w:tcW w:w="56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3,056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3,212</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Losses from dispositions of property</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105</w:t>
            </w: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 estate depreciation</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25,098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24,903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580" w:type="dxa"/>
            <w:vAlign w:val="bottom"/>
            <w:gridSpan w:val="2"/>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118,814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115,682</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3,056</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3,317</w:t>
            </w: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Straight-line rent adjustments</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 financing lease adjustments</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17,613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2,833</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Amortization of land rights</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issuance costs amortization</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Stock based compensation</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4,483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CAPEX</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37"/>
        </w:trPr>
        <w:tc>
          <w:tcPr>
            <w:tcW w:w="558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164,080</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160,112</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4,621</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5,668</w:t>
            </w: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net </w:t>
            </w:r>
            <w:r>
              <w:rPr>
                <w:rFonts w:ascii="Arial" w:cs="Arial" w:eastAsia="Arial" w:hAnsi="Arial"/>
                <w:sz w:val="25"/>
                <w:szCs w:val="25"/>
                <w:color w:val="auto"/>
                <w:vertAlign w:val="superscript"/>
              </w:rPr>
              <w:t>(1)</w:t>
            </w: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50,885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2,600</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2,600</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2,160</w:t>
            </w: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CAPEX</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Debt issuance costs amortization</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212,029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208,110</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9,316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10,910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1732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80" w:right="580" w:hanging="648"/>
        <w:spacing w:after="0" w:line="216" w:lineRule="auto"/>
        <w:tabs>
          <w:tab w:leader="none" w:pos="98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Interest expense, net for the GLP Capital segment is net of intercompany interest eliminations of $2.6 million for the three months ended March 31, 2018 and 2017.</w:t>
      </w:r>
    </w:p>
    <w:p>
      <w:pPr>
        <w:sectPr>
          <w:pgSz w:w="11900" w:h="16838" w:orient="portrait"/>
          <w:cols w:equalWidth="0" w:num="1">
            <w:col w:w="11420"/>
          </w:cols>
          <w:pgMar w:left="240" w:top="130" w:right="239" w:bottom="1081"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30" w:right="239" w:bottom="1081" w:gutter="0" w:footer="0" w:header="0"/>
          <w:type w:val="continuous"/>
        </w:sectPr>
      </w:pPr>
    </w:p>
    <w:bookmarkStart w:id="35" w:name="page36"/>
    <w:bookmarkEnd w:id="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Net income for our GLP Capital segment was $93.7 million for the three months ended March 31, 2018 and $90.8 million for the three months ended March 31, 2017. FFO, AFFO, and Adjusted EBITDA for our GLP Capital segment were $118.8 million, $164.1 million and $212.0 million, respectively, for the three months ended March 31, 2018. FFO, AFFO, and Adjusted EBITDA for our GLP Capital segment were $115.7 million, $160.1 million and $208.1 million, respectively, for the three months ended March 31, 2017. The increase in net income for our GLP Capital segment for the three months ended March 31, 2018, as compared to the three months ended March 31, 2017, was primarily driven by a $4.6 million increase in total revenues, partially offset by a $1.8 million increase in operating expenses. The increase in total revenues in our GLP Capital segment was primarily due to the addition of the Tunica Properties to the Penn Master Lease, improved results at our two Ohio properties that have monthly variable rent, as well as the rent escalators under both the Master Leases. Operating expenses in our GLP Capital segment primarily increased due to an increase in land rights and ground lease expense, related to the acquisition of the Tunica Properties. The changes described above also led to higher FFO for the three months ended March 31, 2018, as compared to the three months ended March 31, 2017. The increases in AFFO and Adjusted EBITDA for our GLP Capital segment was primarily driven by the changes described above as well as increases in adjustments for our direct financing lease, increased amortization of land rights related to the ground leases acquired in the Tunica Properties acquisition, partially offset by lower stock based compensation, all of which are added back for purposes of calculating AFFO. Direct financing lease adjustments represent the portion of cash rent we receive from tenants that is applied against our lease receivable and thus not recorded as revenue and the amortization of land rights represents the non-cash amortization of the value assigned to the Company's acquired ground leases. These adjustments are added back to arrive at AFFO because they represent, in the case of the direct financing lease adjustments, cash we have received and recorded in taxable income and in the case of the amortization of land rights, non-cash charges which are non-deductible for tax purposes. Therefore, these adjustments help our investors better understand the components of our taxable income which must be distributed to our shareholders.</w:t>
      </w:r>
    </w:p>
    <w:p>
      <w:pPr>
        <w:spacing w:after="0" w:line="17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Net income and FFO decreased by $0.2 million and $0.3 million, respectively, for our TRS Properties segment for the three months ended March 31, 2018, as compared to the three months ended March 31, 2017, while AFFO decreased by $1.0 million for the three months ended March 31, 2018, as compared to the three months ended March 31, 2017 for our TRS Properties segment. Adjusted EBITDA decreased by $1.6 million for the three months ended March 31, 2018, as compared to the three months ended March 31, 2017 for our TRS Properties segment. Declining revenues at both TRS Properties were the primary driver behind these decreases.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three months ended March 31, 2018 and 2017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328"/>
              <w:spacing w:after="0"/>
              <w:rPr>
                <w:sz w:val="20"/>
                <w:szCs w:val="20"/>
                <w:color w:val="auto"/>
              </w:rPr>
            </w:pPr>
            <w:r>
              <w:rPr>
                <w:rFonts w:ascii="Arial" w:cs="Arial" w:eastAsia="Arial" w:hAnsi="Arial"/>
                <w:sz w:val="14"/>
                <w:szCs w:val="14"/>
                <w:b w:val="1"/>
                <w:bCs w:val="1"/>
                <w:color w:val="auto"/>
              </w:rPr>
              <w:t>Percentage</w:t>
            </w:r>
          </w:p>
        </w:tc>
      </w:tr>
      <w:tr>
        <w:trPr>
          <w:trHeight w:val="276"/>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209,304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204,705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4,599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Gaming, food, beverage and other, net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34,746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38,008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(3,262)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244,050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242,713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1,337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Total rental revenue and income from direct financing lease</w:t>
      </w:r>
    </w:p>
    <w:p>
      <w:pPr>
        <w:spacing w:after="0" w:line="22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For the three months ended March 31, 2018 and 2017, rental revenue and income from the direct financing lease were $209.3 million and $204.7 million, respectively, for our GLP Capital segment, which included $21.3 million and $21.7 million, respectively, of revenue for the real estate taxes paid by our tenants on the leased properties. During April 2016, we acquired the real estate assets of Pinnacle and immediately leased these assets back to Pinnacle under a long-term triple-net master lease. Under ASC 840, the Pinnacle lease is bifurcated between an operating and direct financing lease, resulting in the recognition of rental revenue for the land portion of the lease and interest income from the direct financing lease, relating to the leased building assets. Additionally, during September 2016, we acquired the real estate assets of the Meadows and leased these assets to Pinnacle under a single property triple-net lease and during May 2017, we acquired the real estate assets of the Tunica Properties and leased these assets to Penn under the Penn Master Lease.</w:t>
      </w:r>
    </w:p>
    <w:p>
      <w:pPr>
        <w:spacing w:after="0" w:line="167"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In accordance with ASC 606, the Company is required to present the real estate taxes paid by its tenants on the leased properties as revenue with an offsetting expense on its condensed consolidated statement of income, as the Company believes it is the primary obligor. Similarly, the Company records revenue for the ground lease rent paid by its tenants with an offsetting expense in general and administrative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Rental revenue and income from the direct financing lease increased $4.6 million, or 2.2%, for the three months ended March 31, 2018, as compared to the three months ended March 31, 2017, primarily due to the addition of the Tunica Properties to the Penn Master Lease, improved results at our two Ohio properties that have monthly variable rent, as well as the rent escalators under both the Master Leases. Specifically, the Penn properties contributed $4.1 million to the increase in total revenues for three months ended March 31, 2018, as compared to the three months ended March 31, 2017, driven by the addition of the Tunica Properties, the impact of the rent escalator and performance at the Ohio properties. Pinnacle contributed $0.8 million of rental revenue and income from the direct financing lease to the increase in total revenues for the three months ended March 31, 2018, as compared to the prior year period, primarily resulting from the activation of the full rent escalator in May 2017, while decreases in real estate taxes of $0.4 million, partially offset these increases.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food, beverage and other revenue, net</w:t>
      </w:r>
    </w:p>
    <w:p>
      <w:pPr>
        <w:spacing w:after="0" w:line="229"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Gaming, food, beverage and other revenue for our TRS Properties segment decreased by $3.3 million, or 8.6%, for the three months ended March 31, 2018, as compared to the three months ended March 31, 2017, primarily due to a $2.8 million decrease in revenues at Hollywood Casino Baton Rouge resulting from decreased patronage and a $0.4 million decrease in revenues at Hollywood Casino Perryville also resulting from lower patronage.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three months ended March 31, 2018 and 2017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408"/>
              <w:spacing w:after="0"/>
              <w:rPr>
                <w:sz w:val="20"/>
                <w:szCs w:val="20"/>
                <w:color w:val="auto"/>
              </w:rPr>
            </w:pPr>
            <w:r>
              <w:rPr>
                <w:rFonts w:ascii="Arial" w:cs="Arial" w:eastAsia="Arial" w:hAnsi="Arial"/>
                <w:sz w:val="14"/>
                <w:szCs w:val="14"/>
                <w:b w:val="1"/>
                <w:bCs w:val="1"/>
                <w:color w:val="auto"/>
              </w:rPr>
              <w:t>Percentage</w:t>
            </w:r>
          </w:p>
        </w:tc>
      </w:tr>
      <w:tr>
        <w:trPr>
          <w:trHeight w:val="276"/>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Real estate taxes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21,595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22,143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rights and ground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26.2 %</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16,460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16,056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404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92,199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92,707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food, beverage and other expense</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Gaming, food, beverage and other expense decreased by $1.4 million, or 6.7%, primarily due to lower gaming and admissions taxes at our TRS Properties, related to the declining revenues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rights and ground lease expense</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Land rights and ground lease expense includes the amortization of land rights and rent expense related to the Company's long-term ground leases. Land rights and ground lease expense increased by $1.4 million, or 26.2%, due to the acquisition of the Tunica Properties in May 2017. In connection with this acquisition, we acquired land rights to long-term leases which are recorded on our consolidated balance sheet as land right assets and amortized over the term of the leases, including renewal options. We also record rent expense related to these ground leases with offsetting revenue recorded within the condensed consolidated statements of income as we have concluded that as the lessee we are the primary obligor under the ground leases. We sublease these ground leases back to our tenants, who are responsible for payment directly to the landlord.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(expenses) for the three months ended March 31, 2018 and 2017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388"/>
              <w:spacing w:after="0"/>
              <w:rPr>
                <w:sz w:val="20"/>
                <w:szCs w:val="20"/>
                <w:color w:val="auto"/>
              </w:rPr>
            </w:pPr>
            <w:r>
              <w:rPr>
                <w:rFonts w:ascii="Arial" w:cs="Arial" w:eastAsia="Arial" w:hAnsi="Arial"/>
                <w:sz w:val="14"/>
                <w:szCs w:val="14"/>
                <w:b w:val="1"/>
                <w:bCs w:val="1"/>
                <w:color w:val="auto"/>
              </w:rPr>
              <w:t>Percentage</w:t>
            </w:r>
          </w:p>
        </w:tc>
      </w:tr>
      <w:tr>
        <w:trPr>
          <w:trHeight w:val="276"/>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Variance</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(54,068)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(53,949)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5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Total other expenses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(53,587)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(53,485)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30" w:right="239" w:bottom="1440" w:gutter="0" w:footer="0" w:header="0"/>
          <w:type w:val="continuous"/>
        </w:sectPr>
      </w:pPr>
    </w:p>
    <w:bookmarkStart w:id="37" w:name="page38"/>
    <w:bookmarkEnd w:id="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During the three months ended March 31, 2018 and 2017, income tax expense was approximately $1.5 million and $2.5 million, respectively. Our effective tax rate (income taxes as a percentage of income before income taxes) was 1.5% for the three months ended March 31, 2018, as compared to 2.6% for the three months ended March 31, 2017. Our income tax expense is primarily driven from the operations of the TRS Properties, which are taxed at the corporate rate. The decrease in our effective tax rate for the three months ended March 31, 2018 is primarily due to the Tax Cuts and Job Act, which lowered the corporate tax rate to 21%, effective for tax years including or commencing January 1, 2018, as well as lower income at our TRS Properties.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primary sources of liquidity and capital resources are cash flow from operations, borrowings from banks, and proceeds from the issuance of debt and equity securities.</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Net cash provided by operating activities was $185.8 million and $184.7 million, respectively, during the three months ended March 31, 2018 and 2017. The increase in net cash provided by operating activities of $1.1 million for the three months ended March 31, 2018 compared to the corresponding period in the prior year was primarily comprised of an increase in cash receipts from customers/tenants of $1.0 million (excluding the cash received from Pinnacle and classified as an investing activity). The increase in cash receipts collected from our customers and tenants for the three months ended March 31, 2018 as compared to the corresponding period in the prior year was primarily due to the additional rent received under the Penn Master Lease related to the new Tunica Properties, the performance of the Ohio properties and the impact of the rent escalators under both Master Leases.</w:t>
      </w:r>
    </w:p>
    <w:p>
      <w:pPr>
        <w:spacing w:after="0" w:line="16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Investing activities provided cash of $17.4 million and $22.1 million, respectively, during the three months ended March 31, 2018 and 2017. Net cash provided by investing activities during the three months ended March 31, 2018 consisted of rental payments received from tenants and applied against the lease receivable on our balance sheet of $18.2 million, partially offset by capital expenditures of $0.8 million. Net cash provided by investing activities during the three months ended March 31, 2017 consisted of a net payment of $13.2 million from Casino Queen to retire their five-year term loan and borrow an additional $13.0 million under a new 5.5 year unsecured term loan at 15%, as well as rental payments received from tenants and applied against the lease receivable on our balance sheet of $17.6 million, partially offset by an $8.2 million cash deposit related to the then pending acquisition of the Tunica Properties real estate assets and capital expenditures of $0.5 million.</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Financing activities used cash of $186.8 million and $220.0 million during the three months ended March 31, 2018 and 2017, respectively. Net cash used by financing activities during the three months ended March 31, 2018 included dividend payments of $134.7 million, repayments of long-term debt of $45.0 million, and taxes paid related to shares withheld for tax purposes on restricted stock award vestings, net of stock option exercises of $7.0 million. Net cash used by financing activities for the three months ended March 31, 2017 included dividend payments of $129.3 million and repayments of long-term debt of $95.0 million, partially offset by proceeds from stock option exercises, net of taxes paid related to shares withheld for tax purposes on restricted stock award vestings of $4.5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1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During the three months ended March 31, 2018 and 2017, the TRS Properties spent approximately $0.8 million and $0.5 million, respectively, for capital maintenance expenditures. The majority of the capital maintenance expenditures were for slot machines and slot machine equipment. Under the triple-net lease structure, our tenants are responsible for capital maintenance expenditures at our leased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30" w:right="2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 has a $1,825 million Credit Facility, consisting of a $700 million revolving credit facility, a $300 million Term Loan A facility, and an $825 million Term Loan A-1 facility. At March 31, 2018, the Credit Facility had a gross outstanding balance of $1,010 million, consisting of the $1,010 million Term Loan A and A-1 facilities. No borrowings were outstanding under the revolving credit facility at March 31, 2018. Additionally, at March 31, 2018, the Company was contingently obligated under letters of credit issued pursuant to the senior unsecured credit facility with face amounts aggregating approximately $0.4 million, resulting in $699.6 million of available borrowing capacity under the revolving credit facility as of March 31, 2018. The revolving credit facility and the Term Loan A facility mature on October 28, 2018 and the Term Loan A-1 facility matures on April 28, 2021.</w:t>
      </w:r>
    </w:p>
    <w:p>
      <w:pPr>
        <w:spacing w:after="0" w:line="16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March 31, 2018, the Company was in compliance with all required financial covenants under the Credit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29"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The Notes contain covenants limiting the Company’s ability to: incur additional debt and use its assets to secure debt; merge or consolidate with another company; and make certain amendments to the Penn Master Lease. The Notes also require the Company to maintain a specified ratio of unencumbered assets to unsecured debt. These covenants are subject to a number of important and significant limitations, qualifications and exceptions.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2018, the Company was in compliance with all required financial covenants under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w:t>
      </w:r>
    </w:p>
    <w:p>
      <w:pPr>
        <w:spacing w:after="0" w:line="229"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The Company assumed the capital lease obligation related to certain assets at its Aurora, Illinois property. GLPI recorded the asset and liability associated with the capital lease on its balance sheet. The original term of the capital lease was 30 years and it will terminate in 2026.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GLPI’s primary market risk exposure is interest rate risk with respect to its indebtedness of $4,436.2 million at March 31, 2018. Furthermore,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$3,425.0 million of our obligations at March 31, 2018, are the senior unsecured notes that have fixed interest rates with maturity dates ranging from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year to eight years. An increase in interest rates could make the financing of any acquisition by GLPI more costly, as well as increase the costs of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variable rate debt obligations. Rising interest rates could also limit GLPI’s ability to refinance its debt when it matures or cause GLPI to pay higher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rates upon refinancing and increase interest expense on refinanced indebtedness. GLPI may manage, or hedge, interest rate risks related to its borrowings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means of interest rate swap agreements. However, the provisions of the Code applicable to REITs limit GLPI’s ability to hedge its assets and liabilities. GLPI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also expects to manage its exposure to interest rate risk by maintaining a mix of fixed and variable rates for its indebtedness.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30" w:right="25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table below provides information at March 31, 2018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LIBOR rates at March 31, 2018.</w:t>
      </w:r>
    </w:p>
    <w:p>
      <w:pPr>
        <w:spacing w:after="0" w:line="328"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w w:val="93"/>
              </w:rPr>
              <w:t>4/01/18-</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1/01/19-</w:t>
            </w:r>
          </w:p>
        </w:tc>
        <w:tc>
          <w:tcPr>
            <w:tcW w:w="1000" w:type="dxa"/>
            <w:vAlign w:val="bottom"/>
          </w:tcPr>
          <w:p>
            <w:pPr>
              <w:jc w:val="right"/>
              <w:ind w:right="208"/>
              <w:spacing w:after="0"/>
              <w:rPr>
                <w:sz w:val="20"/>
                <w:szCs w:val="20"/>
                <w:color w:val="auto"/>
              </w:rPr>
            </w:pPr>
            <w:r>
              <w:rPr>
                <w:rFonts w:ascii="Arial" w:cs="Arial" w:eastAsia="Arial" w:hAnsi="Arial"/>
                <w:sz w:val="14"/>
                <w:szCs w:val="14"/>
                <w:b w:val="1"/>
                <w:bCs w:val="1"/>
                <w:color w:val="auto"/>
              </w:rPr>
              <w:t>1/01/20-</w:t>
            </w:r>
          </w:p>
        </w:tc>
        <w:tc>
          <w:tcPr>
            <w:tcW w:w="1060" w:type="dxa"/>
            <w:vAlign w:val="bottom"/>
          </w:tcPr>
          <w:p>
            <w:pPr>
              <w:jc w:val="right"/>
              <w:ind w:right="208"/>
              <w:spacing w:after="0"/>
              <w:rPr>
                <w:sz w:val="20"/>
                <w:szCs w:val="20"/>
                <w:color w:val="auto"/>
              </w:rPr>
            </w:pPr>
            <w:r>
              <w:rPr>
                <w:rFonts w:ascii="Arial" w:cs="Arial" w:eastAsia="Arial" w:hAnsi="Arial"/>
                <w:sz w:val="14"/>
                <w:szCs w:val="14"/>
                <w:b w:val="1"/>
                <w:bCs w:val="1"/>
                <w:color w:val="auto"/>
              </w:rPr>
              <w:t>1/01/21-</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1/01/22-</w:t>
            </w:r>
          </w:p>
        </w:tc>
        <w:tc>
          <w:tcPr>
            <w:tcW w:w="11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Thereafter</w:t>
            </w:r>
          </w:p>
        </w:tc>
        <w:tc>
          <w:tcPr>
            <w:tcW w:w="8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1100" w:type="dxa"/>
            <w:vAlign w:val="bottom"/>
          </w:tcPr>
          <w:p>
            <w:pPr>
              <w:jc w:val="center"/>
              <w:ind w:left="22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86"/>
        </w:trPr>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w w:val="91"/>
              </w:rPr>
              <w:t>12/31/18</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12/31/19</w:t>
            </w:r>
          </w:p>
        </w:tc>
        <w:tc>
          <w:tcPr>
            <w:tcW w:w="1000" w:type="dxa"/>
            <w:vAlign w:val="bottom"/>
          </w:tcPr>
          <w:p>
            <w:pPr>
              <w:jc w:val="right"/>
              <w:ind w:right="188"/>
              <w:spacing w:after="0"/>
              <w:rPr>
                <w:sz w:val="20"/>
                <w:szCs w:val="20"/>
                <w:color w:val="auto"/>
              </w:rPr>
            </w:pPr>
            <w:r>
              <w:rPr>
                <w:rFonts w:ascii="Arial" w:cs="Arial" w:eastAsia="Arial" w:hAnsi="Arial"/>
                <w:sz w:val="14"/>
                <w:szCs w:val="14"/>
                <w:b w:val="1"/>
                <w:bCs w:val="1"/>
                <w:color w:val="auto"/>
              </w:rPr>
              <w:t>12/31/20</w:t>
            </w:r>
          </w:p>
        </w:tc>
        <w:tc>
          <w:tcPr>
            <w:tcW w:w="1060" w:type="dxa"/>
            <w:vAlign w:val="bottom"/>
          </w:tcPr>
          <w:p>
            <w:pPr>
              <w:jc w:val="right"/>
              <w:ind w:right="208"/>
              <w:spacing w:after="0"/>
              <w:rPr>
                <w:sz w:val="20"/>
                <w:szCs w:val="20"/>
                <w:color w:val="auto"/>
              </w:rPr>
            </w:pPr>
            <w:r>
              <w:rPr>
                <w:rFonts w:ascii="Arial" w:cs="Arial" w:eastAsia="Arial" w:hAnsi="Arial"/>
                <w:sz w:val="14"/>
                <w:szCs w:val="14"/>
                <w:b w:val="1"/>
                <w:bCs w:val="1"/>
                <w:color w:val="auto"/>
              </w:rPr>
              <w:t>12/31/21</w:t>
            </w:r>
          </w:p>
        </w:tc>
        <w:tc>
          <w:tcPr>
            <w:tcW w:w="1000" w:type="dxa"/>
            <w:vAlign w:val="bottom"/>
          </w:tcPr>
          <w:p>
            <w:pPr>
              <w:jc w:val="right"/>
              <w:ind w:right="148"/>
              <w:spacing w:after="0"/>
              <w:rPr>
                <w:sz w:val="20"/>
                <w:szCs w:val="20"/>
                <w:color w:val="auto"/>
              </w:rPr>
            </w:pPr>
            <w:r>
              <w:rPr>
                <w:rFonts w:ascii="Arial" w:cs="Arial" w:eastAsia="Arial" w:hAnsi="Arial"/>
                <w:sz w:val="14"/>
                <w:szCs w:val="14"/>
                <w:b w:val="1"/>
                <w:bCs w:val="1"/>
                <w:color w:val="auto"/>
              </w:rPr>
              <w:t>12/31/22</w:t>
            </w:r>
          </w:p>
        </w:tc>
        <w:tc>
          <w:tcPr>
            <w:tcW w:w="11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3/31/2018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7620</wp:posOffset>
            </wp:positionV>
            <wp:extent cx="5265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pacing w:after="0" w:line="10" w:lineRule="exact"/>
        <w:rPr>
          <w:sz w:val="20"/>
          <w:szCs w:val="20"/>
          <w:color w:val="auto"/>
        </w:rPr>
      </w:pPr>
    </w:p>
    <w:p>
      <w:pPr>
        <w:ind w:left="626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Long-term debt:</w:t>
            </w:r>
          </w:p>
        </w:tc>
        <w:tc>
          <w:tcPr>
            <w:tcW w:w="6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64"/>
        </w:trPr>
        <w:tc>
          <w:tcPr>
            <w:tcW w:w="40" w:type="dxa"/>
            <w:vAlign w:val="bottom"/>
            <w:tcBorders>
              <w:top w:val="single" w:sz="8" w:color="CCEEFF"/>
            </w:tcBorders>
          </w:tcPr>
          <w:p>
            <w:pPr>
              <w:spacing w:after="0"/>
              <w:rPr>
                <w:sz w:val="22"/>
                <w:szCs w:val="22"/>
                <w:color w:val="auto"/>
              </w:rPr>
            </w:pPr>
          </w:p>
        </w:tc>
        <w:tc>
          <w:tcPr>
            <w:tcW w:w="10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Fixed rate</w:t>
            </w:r>
          </w:p>
        </w:tc>
        <w:tc>
          <w:tcPr>
            <w:tcW w:w="980" w:type="dxa"/>
            <w:vAlign w:val="bottom"/>
            <w:tcBorders>
              <w:top w:val="single" w:sz="8" w:color="CCEEFF"/>
            </w:tcBorders>
          </w:tcPr>
          <w:p>
            <w:pPr>
              <w:spacing w:after="0"/>
              <w:rPr>
                <w:sz w:val="22"/>
                <w:szCs w:val="22"/>
                <w:color w:val="auto"/>
              </w:rPr>
            </w:pPr>
          </w:p>
        </w:tc>
        <w:tc>
          <w:tcPr>
            <w:tcW w:w="6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ind w:right="128"/>
              <w:spacing w:after="0"/>
              <w:rPr>
                <w:sz w:val="20"/>
                <w:szCs w:val="20"/>
                <w:color w:val="auto"/>
              </w:rPr>
            </w:pPr>
            <w:r>
              <w:rPr>
                <w:rFonts w:ascii="Arial" w:cs="Arial" w:eastAsia="Arial" w:hAnsi="Arial"/>
                <w:sz w:val="14"/>
                <w:szCs w:val="14"/>
                <w:color w:val="auto"/>
              </w:rPr>
              <w:t>550,000</w:t>
            </w:r>
          </w:p>
        </w:tc>
        <w:tc>
          <w:tcPr>
            <w:tcW w:w="420" w:type="dxa"/>
            <w:vAlign w:val="bottom"/>
            <w:tcBorders>
              <w:top w:val="single" w:sz="8" w:color="CCEEFF"/>
            </w:tcBorders>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CCEEFF"/>
            </w:tcBorders>
          </w:tcPr>
          <w:p>
            <w:pPr>
              <w:ind w:left="26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w w:val="93"/>
              </w:rPr>
              <w:t>1,000,000</w:t>
            </w:r>
          </w:p>
        </w:tc>
        <w:tc>
          <w:tcPr>
            <w:tcW w:w="3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tcPr>
          <w:p>
            <w:pPr>
              <w:jc w:val="right"/>
              <w:ind w:right="148"/>
              <w:spacing w:after="0"/>
              <w:rPr>
                <w:sz w:val="20"/>
                <w:szCs w:val="20"/>
                <w:color w:val="auto"/>
              </w:rPr>
            </w:pPr>
            <w:r>
              <w:rPr>
                <w:rFonts w:ascii="Arial" w:cs="Arial" w:eastAsia="Arial" w:hAnsi="Arial"/>
                <w:sz w:val="14"/>
                <w:szCs w:val="14"/>
                <w:color w:val="auto"/>
              </w:rPr>
              <w:t>400,000</w:t>
            </w:r>
          </w:p>
        </w:tc>
        <w:tc>
          <w:tcPr>
            <w:tcW w:w="400" w:type="dxa"/>
            <w:vAlign w:val="bottom"/>
            <w:tcBorders>
              <w:top w:val="single" w:sz="8" w:color="CCEEFF"/>
            </w:tcBorders>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CCEEFF"/>
            </w:tcBorders>
          </w:tcPr>
          <w:p>
            <w:pPr>
              <w:ind w:left="26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1,475,000</w:t>
            </w:r>
          </w:p>
        </w:tc>
        <w:tc>
          <w:tcPr>
            <w:tcW w:w="3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3,425,000</w:t>
            </w:r>
          </w:p>
        </w:tc>
        <w:tc>
          <w:tcPr>
            <w:tcW w:w="34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3,477,528</w:t>
            </w:r>
          </w:p>
        </w:tc>
      </w:tr>
      <w:tr>
        <w:trPr>
          <w:trHeight w:val="276"/>
        </w:trPr>
        <w:tc>
          <w:tcPr>
            <w:tcW w:w="4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Average interest rate</w:t>
            </w:r>
          </w:p>
        </w:tc>
        <w:tc>
          <w:tcPr>
            <w:tcW w:w="6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4.38%</w:t>
            </w:r>
          </w:p>
        </w:tc>
        <w:tc>
          <w:tcPr>
            <w:tcW w:w="4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4.88%</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4.38%</w:t>
            </w:r>
          </w:p>
        </w:tc>
        <w:tc>
          <w:tcPr>
            <w:tcW w:w="4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5.38%</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20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Variable rate</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185,000</w:t>
            </w:r>
          </w:p>
        </w:tc>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825,000</w:t>
            </w:r>
          </w:p>
        </w:tc>
        <w:tc>
          <w:tcPr>
            <w:tcW w:w="4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1,010,000</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1,000,141</w:t>
            </w:r>
          </w:p>
        </w:tc>
      </w:tr>
      <w:tr>
        <w:trPr>
          <w:trHeight w:val="258"/>
        </w:trPr>
        <w:tc>
          <w:tcPr>
            <w:tcW w:w="40" w:type="dxa"/>
            <w:vAlign w:val="bottom"/>
          </w:tcPr>
          <w:p>
            <w:pPr>
              <w:spacing w:after="0"/>
              <w:rPr>
                <w:sz w:val="22"/>
                <w:szCs w:val="22"/>
                <w:color w:val="auto"/>
              </w:rPr>
            </w:pPr>
          </w:p>
        </w:tc>
        <w:tc>
          <w:tcPr>
            <w:tcW w:w="2000" w:type="dxa"/>
            <w:vAlign w:val="bottom"/>
            <w:gridSpan w:val="2"/>
          </w:tcPr>
          <w:p>
            <w:pPr>
              <w:ind w:left="140"/>
              <w:spacing w:after="0"/>
              <w:rPr>
                <w:sz w:val="20"/>
                <w:szCs w:val="20"/>
                <w:color w:val="auto"/>
              </w:rPr>
            </w:pPr>
            <w:r>
              <w:rPr>
                <w:rFonts w:ascii="Arial" w:cs="Arial" w:eastAsia="Arial" w:hAnsi="Arial"/>
                <w:sz w:val="14"/>
                <w:szCs w:val="14"/>
                <w:color w:val="auto"/>
              </w:rPr>
              <w:t xml:space="preserve">Average interest rate </w:t>
            </w:r>
            <w:r>
              <w:rPr>
                <w:rFonts w:ascii="Arial" w:cs="Arial" w:eastAsia="Arial" w:hAnsi="Arial"/>
                <w:sz w:val="8"/>
                <w:szCs w:val="8"/>
                <w:color w:val="auto"/>
              </w:rPr>
              <w:t>(1)</w:t>
            </w:r>
          </w:p>
        </w:tc>
        <w:tc>
          <w:tcPr>
            <w:tcW w:w="6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3.81%</w:t>
            </w: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4.23%</w:t>
            </w: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1732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560" w:hanging="552"/>
        <w:spacing w:after="0"/>
        <w:tabs>
          <w:tab w:leader="none" w:pos="56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Estimated rate, reflective of forward LIBOR plus the spread over LIBOR applicable to variable-rate borrowing.</w:t>
      </w:r>
    </w:p>
    <w:p>
      <w:pPr>
        <w:spacing w:after="0" w:line="200" w:lineRule="exact"/>
        <w:rPr>
          <w:rFonts w:ascii="Arial" w:cs="Arial" w:eastAsia="Arial" w:hAnsi="Arial"/>
          <w:sz w:val="22"/>
          <w:szCs w:val="22"/>
          <w:color w:val="auto"/>
          <w:vertAlign w:val="superscript"/>
        </w:rPr>
      </w:pPr>
    </w:p>
    <w:p>
      <w:pPr>
        <w:spacing w:after="0" w:line="210"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March 31, 2018,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March 31, 2018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There were no changes that occurred during the fiscal quarter covered by this Quarterly Report on Form 10-Q that have materially affected, or are reasonably likely to materially affect, our internal controls over financial reporting. We implemented controls to ensure we had adequately evaluated our contracts with customers and properly assessed the impact of ASU 2014-09 on our financial statements to facilitate the adoption of this new guidance on January 1, 2018. However, there were no significant changes to our internal control over financial reporting as a result of adopting ASU 2014-09.</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30" w:right="25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Information in response to this Item is incorporated by reference to the information set forth in "Note 10: Commitments and Contingencies" in the Notes to the condensed consolidated financial statements in Part I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Risk factors that affect our business and financial results are discussed in Part I, "Item 1A. Risk Factors," of our Annual Report on Form 10-K. There have been no material changes in our risk factors from those previously disclosed in our Annual Report other than as set forth below. You should carefully consider the risks described in our Annual Report and below, which could materially affect our business, financial condition or future results. The risks described in our Annual Report and below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Acquisition of Certain Real Property Assets from Tropicana Entertainment, Inc.</w:t>
      </w:r>
    </w:p>
    <w:p>
      <w:pPr>
        <w:spacing w:after="0" w:line="22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b w:val="1"/>
          <w:bCs w:val="1"/>
          <w:i w:val="1"/>
          <w:iCs w:val="1"/>
          <w:color w:val="auto"/>
        </w:rPr>
        <w:t>The consummation of the Company's acquisition of certain real property assets of Tropicana Entertainment, Inc. ("Tropicana"), the proposed acquisition of the operating business of Tropicana by Eldorado Resorts, Inc. ("Eldorado") and the Company's entry into a master lease agreement with Eldorado (together the "Tropicana Transactions") is subject to a number of closing conditions, some of which are out of our control.</w:t>
      </w:r>
    </w:p>
    <w:p>
      <w:pPr>
        <w:spacing w:after="0" w:line="14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We currently expect to consummate the Tropicana Transactions by the end of 2018. The consummation of the Tropicana Transactions, however, is subject to certain customary regulatory and other closing conditions (some of which are beyond our control), which make the completion and timing of the Tropicana Transactions uncertain, and, accordingly, there can be no assurance that such conditions will be satisfied on the anticipated schedule or at all.</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Such conditions include, among other things, (i) the absence of any injunction or order preventing the Tropicana Transactions, (ii) receipt of regulatory approvals, including applicable gaming regulatory approvals, (iii) accuracy of the respective parties’ representations and warranties, and (iv) compliance by the parties with their respective covenants and obligations. Consummation of the transactions is also subject to the delivery by American Entertainment Properties Corp., an 83.9% stockholder of Tropicana, of its irrevocable and unconditional consent no later than the 30 days following the date of the Agreement and Plan of Merger, dated April 15, 2018, by and among GLP Capital, L.P., Eldorado, Delta Merger Sub, Inc., a wholly owned subsidiary of Eldorado, and Tropicana (the "Merger Agreement").</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event that the Tropicana Transactions are not consummated, we will have spent considerable time and resources and incurred substantial costs, such as legal and accounting fees, which must be paid even if the Tropicana Transactions are not completed. In addition, if the Merger Agreement is terminated as a result of the failure to receive regulatory approvals or due to a material breach by GLP Capital, L.P. or Eldorado, then the Company and Eldorado will be jointly and severally required to pay Tropicana an aggregate termination fee of $92.5 million (and parties will also be entitled to seek all remedies available at law or in equity against the other, including specific performance).</w:t>
      </w:r>
    </w:p>
    <w:p>
      <w:pPr>
        <w:spacing w:after="0" w:line="188"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The completion of the Tropicana Transactions is subject to the receipt of approvals, consents or clearances from regulatory authorities and third parties that may impose conditions that could have an adverse effect on us or, if not obtained, could prevent completion of the Tropicana Transactions.</w:t>
      </w:r>
    </w:p>
    <w:p>
      <w:pPr>
        <w:spacing w:after="0" w:line="10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Completion of the Tropicana Transactions is conditioned upon the receipt of certain governmental approvals, including, without limitation, gaming regulatory approvals. Although the parties have agreed to use reasonable best efforts to obtain the requisite governmental approvals, there can be no assurance that these approvals will be obtained and that the other conditions to completing the Tropicana Transactions will be satisfied. In addition, the governmental authorities from which the regulatory approvals are required may impose conditions on the completion of the proposed acquisition of certain real property assets of Tropicana by the Company (the "Acquisition") or the other Tropicana Transactions or require changes to the terms of the Purchase and Sale Agreement, dated April 15, 2018, by and between GLP Capital, L.P. and Tropicana (the "Real Estate Purchase Agreement") or the Merger Agreement or other agreements to be entered into in connection with the Real Estate Purchase Agreement or the Merger Agreement. Such conditions or changes and the process of obtaining regulatory approvals could have the effect of delaying or impeding consummation of the Tropicana Transactions or of imposing additional costs or</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limitations on us following completion of, or in order to complete, the Tropicana Transactions, any of which might have an adverse effect on us. Similarly, the completion of the Tropicana Transactions may require the consent or assignment of certain contracts, permits or approvals from third parties over whom we have no control.</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If we are, or if Eldorado or Tropicana is, unable to negotiate waivers of those provisions, or otherwise obtain such consent or assignment, in a timely manner or at all, the counterparties may exercise their rights and remedies under those agreements, potentially terminating the agreements or seeking monetary damages.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not be able to obtain financing on acceptable terms to complete the Tropicana Transactions, in which case we could also be liable for substantial damages</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cash purchase price payable by us in connection with the Tropicana Transactions is expected to be $1.21 billion (plus approximately $40 million in taxes and fees), in addition to the approximately $315 million cash purchase price payable by us for the properties we will acquire in connection with the proposed Penn-Pinnacle Merger. We expect to fund these transactions with borrowings under the Credit Facility and, subject to market conditions, further sales of debt or equity securities, or combinations thereof. Our ability to successfully satisfy our payment obligations in connection with the Tropicana Transactions will be dependent on, among other things, business conditions, our financial performance and the general condition of the financial markets and we cannot provide any assurance that we will be able to consummate any necessary financing transactions on acceptable terms.</w:t>
      </w:r>
    </w:p>
    <w:p>
      <w:pPr>
        <w:spacing w:after="0" w:line="16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the Tropicana Transactions are completed, we may not achieve the intended benefits, and the Acquisition and other Tropicana Transactions may disrupt our current plans or operations.</w:t>
      </w:r>
    </w:p>
    <w:p>
      <w:pPr>
        <w:spacing w:after="0" w:line="13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There can be no assurance that we will be able to successfully realize the expected benefits of the Tropicana Transactions. Following the completion of the Tropicana Transactions, we will have significant financial exposure to Eldorado’s performance of its contractual obligations to us, and adverse changes in Eldorado’s business or finances, over which we will have no control other than the limited contractual protections afforded to us as a landlord, could adversely affect us. In addition, our business may be negatively impacted following the Tropicana Transactions if we are unable to effectively manage our expanded operations.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 after Completion of the Tropicana Transactions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i w:val="1"/>
          <w:iCs w:val="1"/>
          <w:color w:val="auto"/>
        </w:rPr>
        <w:t>Our future results will suffer if we do not effectively manage our expanded portfolio of properties following the Tropicana Transactions and any failure by us to effectively manage our portfolio could have a material and adverse effect on our business and our ability to make distributions to shareholders, as required for us to continue to qualify as a REIT.</w:t>
      </w:r>
    </w:p>
    <w:p>
      <w:pPr>
        <w:spacing w:after="0" w:line="181"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Following the completion of Tropicana Transactions, the size of our business will materially increase beyond its current size. Our future success depends, in part, upon our ability to manage this expanded business, which will pose challenges for management, including challenges related to acting as landlord to a larger portfolio of properties and associated increased costs and complexity. There can be no assurances that we will be successful.</w:t>
      </w:r>
    </w:p>
    <w:p>
      <w:pPr>
        <w:spacing w:after="0" w:line="147"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In addition, we depend on our tenants to operate the properties that we own in a manner that generates revenues sufficient to allow the tenants to meet their obligations to us, including their obligations to pay rent, maintain certain insurance coverage, pay real estate taxes and maintain the properties in a manner so as not to jeopardize their operating licenses or regulatory status. The ability of our tenants to fulfill their obligations may depend, in part, upon the overall profitability of their operations. Our financial position could be materially weakened if any of our tenants were unable to meet their obligations to us or failed to renew or extend any lease as such lease expires, or if we were unable to lease or re-lease our properties on economically favorable terms.</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Although Eldorado's subsidiary Tropicana will be our tenant if and after the Tropicana Transactions are consummated, our recourse against Tropicana, including for any breaches under the Merger Agreement or the Real Estate Purchase Agreement is limited.</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is customary for a public company target in a merger and acquisition transaction, Tropicana has no obligation to indemnify us for any breaches of its representations and warranties or covenants included in the Merger Agreement and the Real Estate Purchase Agreement, or for any pre-closing liabilities or claims. While we have certain arrangements in place with Eldorado in connection with certain limited pre-closing liabilities, if any issues arise post-closing (other than as provided for in the master lease), we may not be entitled to sufficient, or any, indemnification or recourse from Tropicana or Eldorado, which could have a materially adverse impact on our business and results of operations.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30" w:right="25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tax on any unrealized net built-in gains in the assets we expect to acquire from Tropicana.</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assets we expect to acquire from Tropicana are expected to have significant built-in-gains. Because Tropicana is, and prior to the Acquisition will be, a C corporation, if we dispose of any such appreciated assets during the five-year period following the Acquisition, we will be subject to tax at the highest corporate tax rates on any gain from such assets to the extent of the built-in-gain in such assets at the time of the Acquisition. We would be subject to this tax liability even if we continue to qualify and maintains our status as a REIT. Any recognized built-in gain will retain its character as ordinary income or capital gain and will be taken into account in determining REIT taxable income and our distribution requirement. Any tax on the recognized built-in gain will reduce REIT taxable income. We may choose not to sell in a taxable transaction appreciated assets we might otherwise sell during the five-year period in which the built-in gain tax applies in order to avoid the built-in gain tax. However, there can be no assurances that such a taxable transaction will not occur. If we sell such assets in a taxable transaction, the amount of corporate tax that we will pay will vary depending on the actual amount of net built-in gain or loss present in those assets as of the time we became a REIT. The amount of tax could be significant.</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30" w:right="29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repurchase any shares of common stock or sell any unregistered securities during the three months ended March 31,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240" w:top="130" w:right="57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gridSpan w:val="2"/>
          </w:tcPr>
          <w:p>
            <w:pPr>
              <w:ind w:left="5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6760" w:type="dxa"/>
            <w:vAlign w:val="bottom"/>
            <w:gridSpan w:val="11"/>
          </w:tcPr>
          <w:p>
            <w:pPr>
              <w:ind w:left="1400"/>
              <w:spacing w:after="0"/>
              <w:rPr>
                <w:sz w:val="20"/>
                <w:szCs w:val="20"/>
                <w:color w:val="auto"/>
              </w:rPr>
            </w:pPr>
            <w:r>
              <w:rPr>
                <w:rFonts w:ascii="Arial" w:cs="Arial" w:eastAsia="Arial" w:hAnsi="Arial"/>
                <w:sz w:val="14"/>
                <w:szCs w:val="14"/>
                <w:b w:val="1"/>
                <w:bCs w:val="1"/>
                <w:color w:val="auto"/>
              </w:rPr>
              <w:t>Description of Exhibit</w:t>
            </w:r>
          </w:p>
        </w:tc>
      </w:tr>
      <w:tr>
        <w:trPr>
          <w:trHeight w:val="472"/>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w:t>
            </w:r>
          </w:p>
        </w:tc>
        <w:tc>
          <w:tcPr>
            <w:tcW w:w="4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160" w:type="dxa"/>
            <w:vAlign w:val="bottom"/>
            <w:tcBorders>
              <w:top w:val="single" w:sz="8" w:color="auto"/>
              <w:bottom w:val="single" w:sz="8" w:color="0000FF"/>
            </w:tcBorders>
            <w:gridSpan w:val="11"/>
          </w:tcPr>
          <w:p>
            <w:pPr>
              <w:spacing w:after="0"/>
              <w:rPr>
                <w:rFonts w:ascii="Arial" w:cs="Arial" w:eastAsia="Arial" w:hAnsi="Arial"/>
                <w:sz w:val="18"/>
                <w:szCs w:val="18"/>
                <w:color w:val="0000FF"/>
                <w:w w:val="90"/>
              </w:rPr>
            </w:pPr>
            <w:hyperlink r:id="rId16">
              <w:r>
                <w:rPr>
                  <w:rFonts w:ascii="Arial" w:cs="Arial" w:eastAsia="Arial" w:hAnsi="Arial"/>
                  <w:sz w:val="18"/>
                  <w:szCs w:val="18"/>
                  <w:color w:val="0000FF"/>
                  <w:w w:val="90"/>
                </w:rPr>
                <w:t>Agreement and Plan of Merger, dated as of April 15, 2018, by and among Eldorado Resorts, Inc., Delta Merger Sub, Inc., GLP</w:t>
              </w:r>
            </w:hyperlink>
          </w:p>
        </w:tc>
        <w:tc>
          <w:tcPr>
            <w:tcW w:w="160" w:type="dxa"/>
            <w:vAlign w:val="bottom"/>
            <w:tcBorders>
              <w:top w:val="single" w:sz="8" w:color="auto"/>
            </w:tcBorders>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0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Capital, L.P. and Tropicana Entertainment Inc. (Incorporated by reference to Exhibit 2.1 to the Company's current report on</w:t>
              </w:r>
            </w:hyperlink>
          </w:p>
        </w:tc>
        <w:tc>
          <w:tcPr>
            <w:tcW w:w="420" w:type="dxa"/>
            <w:vAlign w:val="bottom"/>
            <w:gridSpan w:val="6"/>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12"/>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Form 8-K, filed on April 16, 2018).</w:t>
              </w:r>
            </w:hyperlink>
          </w:p>
        </w:tc>
      </w:tr>
      <w:tr>
        <w:trPr>
          <w:trHeight w:val="20"/>
        </w:trPr>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6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tcBorders>
              <w:bottom w:val="single" w:sz="8" w:color="0000FF"/>
            </w:tcBorders>
            <w:gridSpan w:val="8"/>
          </w:tcPr>
          <w:p>
            <w:pPr>
              <w:spacing w:after="0"/>
              <w:rPr>
                <w:rFonts w:ascii="Arial" w:cs="Arial" w:eastAsia="Arial" w:hAnsi="Arial"/>
                <w:sz w:val="18"/>
                <w:szCs w:val="18"/>
                <w:color w:val="0000FF"/>
                <w:w w:val="89"/>
              </w:rPr>
            </w:pPr>
            <w:hyperlink r:id="rId17">
              <w:r>
                <w:rPr>
                  <w:rFonts w:ascii="Arial" w:cs="Arial" w:eastAsia="Arial" w:hAnsi="Arial"/>
                  <w:sz w:val="18"/>
                  <w:szCs w:val="18"/>
                  <w:color w:val="0000FF"/>
                  <w:w w:val="89"/>
                </w:rPr>
                <w:t>Real Estate Purchase and Sale Agreement, dated as of April 15, 2018, by and between Tropicana Entertainment Inc. and GLP</w:t>
              </w:r>
            </w:hyperlink>
          </w:p>
        </w:tc>
        <w:tc>
          <w:tcPr>
            <w:tcW w:w="260" w:type="dxa"/>
            <w:vAlign w:val="bottom"/>
            <w:gridSpan w:val="4"/>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12"/>
          </w:tcPr>
          <w:p>
            <w:pPr>
              <w:spacing w:after="0" w:line="196" w:lineRule="exact"/>
              <w:rPr>
                <w:rFonts w:ascii="Arial" w:cs="Arial" w:eastAsia="Arial" w:hAnsi="Arial"/>
                <w:sz w:val="18"/>
                <w:szCs w:val="18"/>
                <w:color w:val="0000FF"/>
                <w:w w:val="94"/>
              </w:rPr>
            </w:pPr>
            <w:hyperlink r:id="rId17">
              <w:r>
                <w:rPr>
                  <w:rFonts w:ascii="Arial" w:cs="Arial" w:eastAsia="Arial" w:hAnsi="Arial"/>
                  <w:sz w:val="18"/>
                  <w:szCs w:val="18"/>
                  <w:color w:val="0000FF"/>
                  <w:w w:val="94"/>
                </w:rPr>
                <w:t>Capital, L.P. (Incorporated by reference to Exhibit 2.2 to the Company's current report on Form 8-K, filed on April 16, 2018).</w:t>
              </w:r>
            </w:hyperlink>
          </w:p>
        </w:tc>
      </w:tr>
      <w:tr>
        <w:trPr>
          <w:trHeight w:val="372"/>
        </w:trPr>
        <w:tc>
          <w:tcPr>
            <w:tcW w:w="1620" w:type="dxa"/>
            <w:vAlign w:val="bottom"/>
          </w:tcPr>
          <w:p>
            <w:pPr>
              <w:ind w:left="580"/>
              <w:spacing w:after="0"/>
              <w:rPr>
                <w:sz w:val="20"/>
                <w:szCs w:val="20"/>
                <w:color w:val="auto"/>
              </w:rPr>
            </w:pPr>
            <w:r>
              <w:rPr>
                <w:rFonts w:ascii="Arial" w:cs="Arial" w:eastAsia="Arial" w:hAnsi="Arial"/>
                <w:sz w:val="18"/>
                <w:szCs w:val="18"/>
                <w:color w:val="auto"/>
              </w:rPr>
              <w:t>10.1 #*</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40" w:type="dxa"/>
            <w:vAlign w:val="bottom"/>
            <w:tcBorders>
              <w:top w:val="single" w:sz="8" w:color="0000FF"/>
            </w:tcBorders>
            <w:gridSpan w:val="7"/>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Gaming and Leisure Properties, Inc. Amended and Restated 2013 Long Term Incentive Compensation Plan.</w:t>
              </w:r>
            </w:hyperlink>
          </w:p>
        </w:tc>
        <w:tc>
          <w:tcPr>
            <w:tcW w:w="280" w:type="dxa"/>
            <w:vAlign w:val="bottom"/>
            <w:gridSpan w:val="5"/>
          </w:tcPr>
          <w:p>
            <w:pPr>
              <w:spacing w:after="0"/>
              <w:rPr>
                <w:sz w:val="24"/>
                <w:szCs w:val="24"/>
                <w:color w:val="auto"/>
              </w:rPr>
            </w:pPr>
          </w:p>
        </w:tc>
      </w:tr>
      <w:tr>
        <w:trPr>
          <w:trHeight w:val="20"/>
        </w:trPr>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1620" w:type="dxa"/>
            <w:vAlign w:val="bottom"/>
          </w:tcPr>
          <w:p>
            <w:pPr>
              <w:jc w:val="center"/>
              <w:spacing w:after="0"/>
              <w:rPr>
                <w:sz w:val="20"/>
                <w:szCs w:val="20"/>
                <w:color w:val="auto"/>
              </w:rPr>
            </w:pPr>
            <w:r>
              <w:rPr>
                <w:rFonts w:ascii="Arial" w:cs="Arial" w:eastAsia="Arial" w:hAnsi="Arial"/>
                <w:sz w:val="18"/>
                <w:szCs w:val="18"/>
                <w:color w:val="auto"/>
                <w:w w:val="91"/>
              </w:rPr>
              <w:t>10.2 #</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60" w:type="dxa"/>
            <w:vAlign w:val="bottom"/>
            <w:tcBorders>
              <w:bottom w:val="single" w:sz="8" w:color="0000FF"/>
            </w:tcBorders>
            <w:gridSpan w:val="11"/>
          </w:tcPr>
          <w:p>
            <w:pPr>
              <w:spacing w:after="0"/>
              <w:rPr>
                <w:rFonts w:ascii="Arial" w:cs="Arial" w:eastAsia="Arial" w:hAnsi="Arial"/>
                <w:sz w:val="18"/>
                <w:szCs w:val="18"/>
                <w:color w:val="0000FF"/>
                <w:w w:val="91"/>
              </w:rPr>
            </w:pPr>
            <w:hyperlink r:id="rId18">
              <w:r>
                <w:rPr>
                  <w:rFonts w:ascii="Arial" w:cs="Arial" w:eastAsia="Arial" w:hAnsi="Arial"/>
                  <w:sz w:val="18"/>
                  <w:szCs w:val="18"/>
                  <w:color w:val="0000FF"/>
                  <w:w w:val="91"/>
                </w:rPr>
                <w:t>Letter Agreement, dated as of April 24, 2018, by and between between William J. Clifford and Gaming and Leisure Properties,</w:t>
              </w:r>
            </w:hyperlink>
          </w:p>
        </w:tc>
        <w:tc>
          <w:tcPr>
            <w:tcW w:w="160" w:type="dxa"/>
            <w:vAlign w:val="bottom"/>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12"/>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Inc. (Incorporated by reference to Exhibit 10.1 to the Company's current report on Form 8-K, filed on April 30, 2018).</w:t>
              </w:r>
            </w:hyperlink>
          </w:p>
        </w:tc>
      </w:tr>
      <w:tr>
        <w:trPr>
          <w:trHeight w:val="426"/>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76">
              <w:r>
                <w:rPr>
                  <w:rFonts w:ascii="Arial" w:cs="Arial" w:eastAsia="Arial" w:hAnsi="Arial"/>
                  <w:sz w:val="18"/>
                  <w:szCs w:val="18"/>
                  <w:color w:val="0000FF"/>
                  <w:w w:val="91"/>
                </w:rPr>
                <w:t>CEO Certification pursuant to rule 13a-14(a) or 15d-14(a) of the Securities Exchange Act of 1934.</w:t>
              </w:r>
            </w:hyperlink>
          </w:p>
        </w:tc>
        <w:tc>
          <w:tcPr>
            <w:tcW w:w="1400" w:type="dxa"/>
            <w:vAlign w:val="bottom"/>
            <w:tcBorders>
              <w:top w:val="single" w:sz="8" w:color="0000FF"/>
            </w:tcBorders>
            <w:gridSpan w:val="2"/>
          </w:tcPr>
          <w:p>
            <w:pPr>
              <w:spacing w:after="0"/>
              <w:rPr>
                <w:sz w:val="24"/>
                <w:szCs w:val="24"/>
                <w:color w:val="auto"/>
              </w:rPr>
            </w:pPr>
          </w:p>
        </w:tc>
        <w:tc>
          <w:tcPr>
            <w:tcW w:w="800" w:type="dxa"/>
            <w:vAlign w:val="bottom"/>
            <w:gridSpan w:val="7"/>
          </w:tcPr>
          <w:p>
            <w:pPr>
              <w:spacing w:after="0"/>
              <w:rPr>
                <w:sz w:val="24"/>
                <w:szCs w:val="24"/>
                <w:color w:val="auto"/>
              </w:rPr>
            </w:pPr>
          </w:p>
        </w:tc>
      </w:tr>
      <w:tr>
        <w:trPr>
          <w:trHeight w:val="52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0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77">
              <w:r>
                <w:rPr>
                  <w:rFonts w:ascii="Arial" w:cs="Arial" w:eastAsia="Arial" w:hAnsi="Arial"/>
                  <w:sz w:val="18"/>
                  <w:szCs w:val="18"/>
                  <w:color w:val="0000FF"/>
                  <w:w w:val="91"/>
                </w:rPr>
                <w:t>CFO Certification pursuant to rule 13a-14(a) or 15d-14(a) of the Securities Exchange Act of 1934.</w:t>
              </w:r>
            </w:hyperlink>
          </w:p>
        </w:tc>
        <w:tc>
          <w:tcPr>
            <w:tcW w:w="2220" w:type="dxa"/>
            <w:vAlign w:val="bottom"/>
            <w:gridSpan w:val="10"/>
          </w:tcPr>
          <w:p>
            <w:pPr>
              <w:spacing w:after="0"/>
              <w:rPr>
                <w:sz w:val="24"/>
                <w:szCs w:val="24"/>
                <w:color w:val="auto"/>
              </w:rPr>
            </w:pPr>
          </w:p>
        </w:tc>
      </w:tr>
      <w:tr>
        <w:trPr>
          <w:trHeight w:val="52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78">
              <w:r>
                <w:rPr>
                  <w:rFonts w:ascii="Arial" w:cs="Arial" w:eastAsia="Arial" w:hAnsi="Arial"/>
                  <w:sz w:val="18"/>
                  <w:szCs w:val="18"/>
                  <w:color w:val="0000FF"/>
                  <w:w w:val="90"/>
                </w:rPr>
                <w:t>CEO Certification pursuant to 18 U.S.C. Section 1350, as adopted pursuant to Section 906 of the Sarbanes-Oxley Act of 2002.</w:t>
              </w:r>
            </w:hyperlink>
          </w:p>
        </w:tc>
        <w:tc>
          <w:tcPr>
            <w:tcW w:w="180" w:type="dxa"/>
            <w:vAlign w:val="bottom"/>
            <w:gridSpan w:val="2"/>
          </w:tcPr>
          <w:p>
            <w:pPr>
              <w:spacing w:after="0"/>
              <w:rPr>
                <w:sz w:val="24"/>
                <w:szCs w:val="24"/>
                <w:color w:val="auto"/>
              </w:rPr>
            </w:pPr>
          </w:p>
        </w:tc>
      </w:tr>
      <w:tr>
        <w:trPr>
          <w:trHeight w:val="52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32.2*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79">
              <w:r>
                <w:rPr>
                  <w:rFonts w:ascii="Arial" w:cs="Arial" w:eastAsia="Arial" w:hAnsi="Arial"/>
                  <w:sz w:val="18"/>
                  <w:szCs w:val="18"/>
                  <w:color w:val="0000FF"/>
                  <w:w w:val="90"/>
                </w:rPr>
                <w:t>CFO Certification pursuant to 18 U.S.C. Section 1350, as adopted pursuant to Section 906 of the Sarbanes-Oxley Act of 2002.</w:t>
              </w:r>
            </w:hyperlink>
          </w:p>
        </w:tc>
        <w:tc>
          <w:tcPr>
            <w:tcW w:w="200" w:type="dxa"/>
            <w:vAlign w:val="bottom"/>
            <w:gridSpan w:val="3"/>
          </w:tcPr>
          <w:p>
            <w:pPr>
              <w:spacing w:after="0"/>
              <w:rPr>
                <w:sz w:val="24"/>
                <w:szCs w:val="24"/>
                <w:color w:val="auto"/>
              </w:rPr>
            </w:pPr>
          </w:p>
        </w:tc>
      </w:tr>
      <w:tr>
        <w:trPr>
          <w:trHeight w:val="546"/>
        </w:trPr>
        <w:tc>
          <w:tcPr>
            <w:tcW w:w="16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2"/>
          </w:tcPr>
          <w:p>
            <w:pPr>
              <w:spacing w:after="0"/>
              <w:rPr>
                <w:sz w:val="20"/>
                <w:szCs w:val="20"/>
                <w:color w:val="auto"/>
              </w:rPr>
            </w:pPr>
            <w:r>
              <w:rPr>
                <w:rFonts w:ascii="Arial" w:cs="Arial" w:eastAsia="Arial" w:hAnsi="Arial"/>
                <w:sz w:val="18"/>
                <w:szCs w:val="18"/>
                <w:color w:val="auto"/>
                <w:w w:val="91"/>
              </w:rPr>
              <w:t>Interactive data files pursuant to Rule 405 of Regulation S-T: (i) the Condensed Consolidated Balance Sheets at March 31, 2018</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20" w:type="dxa"/>
            <w:vAlign w:val="bottom"/>
            <w:gridSpan w:val="12"/>
          </w:tcPr>
          <w:p>
            <w:pPr>
              <w:spacing w:after="0"/>
              <w:rPr>
                <w:sz w:val="20"/>
                <w:szCs w:val="20"/>
                <w:color w:val="auto"/>
              </w:rPr>
            </w:pPr>
            <w:r>
              <w:rPr>
                <w:rFonts w:ascii="Arial" w:cs="Arial" w:eastAsia="Arial" w:hAnsi="Arial"/>
                <w:sz w:val="18"/>
                <w:szCs w:val="18"/>
                <w:color w:val="auto"/>
                <w:w w:val="90"/>
              </w:rPr>
              <w:t>and December 31, 2017, (ii) the Condensed Consolidated Statements of Income for the three months ended March 31, 2018 and</w:t>
            </w:r>
          </w:p>
        </w:tc>
      </w:tr>
    </w:tbl>
    <w:p>
      <w:pPr>
        <w:ind w:left="2100" w:right="160"/>
        <w:spacing w:after="0" w:line="255" w:lineRule="auto"/>
        <w:rPr>
          <w:sz w:val="20"/>
          <w:szCs w:val="20"/>
          <w:color w:val="auto"/>
        </w:rPr>
      </w:pPr>
      <w:r>
        <w:rPr>
          <w:rFonts w:ascii="Arial" w:cs="Arial" w:eastAsia="Arial" w:hAnsi="Arial"/>
          <w:sz w:val="18"/>
          <w:szCs w:val="18"/>
          <w:color w:val="auto"/>
        </w:rPr>
        <w:t>2017, (iii) the Condensed Consolidated Statement of Changes in Shareholders’ Equity for the three months ended March 31, 2018, (iv) the Condensed Consolidated Statements of Cash Flows for three months ended March 31, 2018 and 2017 and (v) the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1732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Compensation plans and arrangements for executives and others.</w:t>
      </w:r>
    </w:p>
    <w:p>
      <w:pPr>
        <w:spacing w:after="0" w:line="22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8"/>
          <w:szCs w:val="18"/>
          <w:color w:val="auto"/>
        </w:rPr>
        <w:t>Filed or furnished, as applicable,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GAMING AND LEISURE PROPERTIES, INC.</w:t>
      </w:r>
    </w:p>
    <w:p>
      <w:pPr>
        <w:spacing w:after="0" w:line="333" w:lineRule="exact"/>
        <w:rPr>
          <w:sz w:val="20"/>
          <w:szCs w:val="20"/>
          <w:color w:val="auto"/>
        </w:rPr>
      </w:pPr>
    </w:p>
    <w:p>
      <w:pPr>
        <w:ind w:left="40"/>
        <w:spacing w:after="0"/>
        <w:tabs>
          <w:tab w:leader="none" w:pos="5620" w:val="left"/>
          <w:tab w:leader="none" w:pos="6300" w:val="left"/>
        </w:tabs>
        <w:rPr>
          <w:sz w:val="20"/>
          <w:szCs w:val="20"/>
          <w:color w:val="auto"/>
        </w:rPr>
      </w:pPr>
      <w:r>
        <w:rPr>
          <w:rFonts w:ascii="Arial" w:cs="Arial" w:eastAsia="Arial" w:hAnsi="Arial"/>
          <w:sz w:val="18"/>
          <w:szCs w:val="18"/>
          <w:color w:val="auto"/>
        </w:rPr>
        <w:t>April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William J. Clifford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William J. Clifford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40"/>
          </w:cols>
          <w:pgMar w:left="240" w:top="130" w:right="71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920"/>
        <w:spacing w:after="0"/>
        <w:rPr>
          <w:sz w:val="20"/>
          <w:szCs w:val="20"/>
          <w:color w:val="auto"/>
        </w:rPr>
      </w:pPr>
      <w:r>
        <w:rPr>
          <w:rFonts w:ascii="Arial" w:cs="Arial" w:eastAsia="Arial" w:hAnsi="Arial"/>
          <w:sz w:val="25"/>
          <w:szCs w:val="25"/>
          <w:b w:val="1"/>
          <w:bCs w:val="1"/>
          <w:color w:val="auto"/>
        </w:rPr>
        <w:t>GAMING AND LEISURE PROPERTIES,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240"/>
        <w:spacing w:after="0"/>
        <w:rPr>
          <w:sz w:val="20"/>
          <w:szCs w:val="20"/>
          <w:color w:val="auto"/>
        </w:rPr>
      </w:pPr>
      <w:r>
        <w:rPr>
          <w:rFonts w:ascii="Arial" w:cs="Arial" w:eastAsia="Arial" w:hAnsi="Arial"/>
          <w:sz w:val="25"/>
          <w:szCs w:val="25"/>
          <w:b w:val="1"/>
          <w:bCs w:val="1"/>
          <w:color w:val="auto"/>
        </w:rPr>
        <w:t>AMENDED AND RESTATED 2013 LONG TERM INCENTIVE</w:t>
      </w:r>
    </w:p>
    <w:p>
      <w:pPr>
        <w:spacing w:after="0" w:line="38" w:lineRule="exact"/>
        <w:rPr>
          <w:sz w:val="20"/>
          <w:szCs w:val="20"/>
          <w:color w:val="auto"/>
        </w:rPr>
      </w:pPr>
    </w:p>
    <w:p>
      <w:pPr>
        <w:jc w:val="center"/>
        <w:ind w:right="1180"/>
        <w:spacing w:after="0"/>
        <w:rPr>
          <w:sz w:val="20"/>
          <w:szCs w:val="20"/>
          <w:color w:val="auto"/>
        </w:rPr>
      </w:pPr>
      <w:r>
        <w:rPr>
          <w:rFonts w:ascii="Arial" w:cs="Arial" w:eastAsia="Arial" w:hAnsi="Arial"/>
          <w:sz w:val="25"/>
          <w:szCs w:val="25"/>
          <w:b w:val="1"/>
          <w:bCs w:val="1"/>
          <w:color w:val="auto"/>
        </w:rPr>
        <w:t>COMPENSATION PLAN</w:t>
      </w:r>
    </w:p>
    <w:p>
      <w:pPr>
        <w:sectPr>
          <w:pgSz w:w="11900" w:h="16838" w:orient="portrait"/>
          <w:cols w:equalWidth="0" w:num="1">
            <w:col w:w="10220"/>
          </w:cols>
          <w:pgMar w:left="1440" w:top="580" w:right="239" w:bottom="1440" w:gutter="0" w:footer="0" w:header="0"/>
        </w:sectPr>
      </w:pPr>
    </w:p>
    <w:bookmarkStart w:id="48" w:name="page49"/>
    <w:bookmarkEnd w:id="48"/>
    <w:p>
      <w:pPr>
        <w:ind w:left="4620"/>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ARTICLE I</w:t>
      </w:r>
    </w:p>
    <w:p>
      <w:pPr>
        <w:spacing w:after="0" w:line="135"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PURPOSE</w:t>
      </w:r>
    </w:p>
    <w:p>
      <w:pPr>
        <w:spacing w:after="0" w:line="200" w:lineRule="exact"/>
        <w:rPr>
          <w:sz w:val="20"/>
          <w:szCs w:val="20"/>
          <w:color w:val="auto"/>
        </w:rPr>
      </w:pPr>
    </w:p>
    <w:p>
      <w:pPr>
        <w:spacing w:after="0" w:line="28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ARTICLE II</w:t>
      </w:r>
    </w:p>
    <w:p>
      <w:pPr>
        <w:spacing w:after="0" w:line="135"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DEFINITIONS AND CONSTRUCTION</w:t>
      </w:r>
    </w:p>
    <w:p>
      <w:pPr>
        <w:spacing w:after="0" w:line="24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7"/>
          <w:szCs w:val="17"/>
          <w:color w:val="auto"/>
        </w:rPr>
        <w:t>Definitions</w:t>
      </w:r>
    </w:p>
    <w:p>
      <w:pPr>
        <w:ind w:left="3080"/>
        <w:spacing w:after="0"/>
        <w:rPr>
          <w:sz w:val="20"/>
          <w:szCs w:val="20"/>
          <w:color w:val="auto"/>
        </w:rPr>
      </w:pPr>
      <w:r>
        <w:rPr>
          <w:rFonts w:ascii="Arial" w:cs="Arial" w:eastAsia="Arial" w:hAnsi="Arial"/>
          <w:sz w:val="18"/>
          <w:szCs w:val="18"/>
          <w:color w:val="auto"/>
        </w:rPr>
        <w:t>1</w:t>
      </w:r>
    </w:p>
    <w:p>
      <w:pPr>
        <w:spacing w:after="0"/>
        <w:tabs>
          <w:tab w:leader="none" w:pos="170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color w:val="auto"/>
        </w:rPr>
        <w:t>Construction</w:t>
      </w:r>
    </w:p>
    <w:p>
      <w:pPr>
        <w:ind w:left="308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304"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ARTICLE III</w:t>
      </w:r>
    </w:p>
    <w:p>
      <w:pPr>
        <w:spacing w:after="0" w:line="135"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STOCK AVAILABLE FOR AWARDS</w:t>
      </w:r>
    </w:p>
    <w:p>
      <w:pPr>
        <w:spacing w:after="0" w:line="200" w:lineRule="exact"/>
        <w:rPr>
          <w:sz w:val="20"/>
          <w:szCs w:val="20"/>
          <w:color w:val="auto"/>
        </w:rPr>
      </w:pPr>
    </w:p>
    <w:p>
      <w:pPr>
        <w:spacing w:after="0" w:line="39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Common Stock</w:t>
      </w:r>
    </w:p>
    <w:p>
      <w:pPr>
        <w:spacing w:after="0"/>
        <w:tabs>
          <w:tab w:leader="dot" w:pos="1118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4"/>
          <w:szCs w:val="14"/>
          <w:color w:val="auto"/>
        </w:rPr>
        <w:t>5</w:t>
      </w:r>
    </w:p>
    <w:p>
      <w:pPr>
        <w:spacing w:after="0" w:line="47" w:lineRule="exact"/>
        <w:rPr>
          <w:sz w:val="20"/>
          <w:szCs w:val="20"/>
          <w:color w:val="auto"/>
        </w:rPr>
      </w:pPr>
    </w:p>
    <w:p>
      <w:pPr>
        <w:spacing w:after="0"/>
        <w:tabs>
          <w:tab w:leader="none" w:pos="1700" w:val="left"/>
          <w:tab w:leader="dot" w:pos="1118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8"/>
          <w:szCs w:val="18"/>
          <w:color w:val="auto"/>
        </w:rPr>
        <w:t>Number of Shares Deliverable</w:t>
      </w:r>
      <w:r>
        <w:rPr>
          <w:sz w:val="20"/>
          <w:szCs w:val="20"/>
          <w:color w:val="auto"/>
        </w:rPr>
        <w:tab/>
      </w:r>
      <w:r>
        <w:rPr>
          <w:rFonts w:ascii="Arial" w:cs="Arial" w:eastAsia="Arial" w:hAnsi="Arial"/>
          <w:sz w:val="14"/>
          <w:szCs w:val="14"/>
          <w:color w:val="auto"/>
        </w:rPr>
        <w:t>5</w:t>
      </w:r>
    </w:p>
    <w:p>
      <w:pPr>
        <w:spacing w:after="0" w:line="63" w:lineRule="exact"/>
        <w:rPr>
          <w:sz w:val="20"/>
          <w:szCs w:val="20"/>
          <w:color w:val="auto"/>
        </w:rPr>
      </w:pPr>
    </w:p>
    <w:p>
      <w:pPr>
        <w:spacing w:after="0"/>
        <w:tabs>
          <w:tab w:leader="none" w:pos="1700" w:val="left"/>
          <w:tab w:leader="dot" w:pos="1118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8"/>
          <w:szCs w:val="18"/>
          <w:color w:val="auto"/>
        </w:rPr>
        <w:t>Reusable Shares</w:t>
      </w:r>
      <w:r>
        <w:rPr>
          <w:sz w:val="20"/>
          <w:szCs w:val="20"/>
          <w:color w:val="auto"/>
        </w:rPr>
        <w:tab/>
      </w:r>
      <w:r>
        <w:rPr>
          <w:rFonts w:ascii="Arial" w:cs="Arial" w:eastAsia="Arial" w:hAnsi="Arial"/>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ARTICLE IV</w:t>
      </w:r>
    </w:p>
    <w:p>
      <w:pPr>
        <w:spacing w:after="0" w:line="13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AWARDS AND AWARD AGREEMENTS</w:t>
      </w:r>
    </w:p>
    <w:p>
      <w:pPr>
        <w:spacing w:after="0" w:line="299" w:lineRule="exact"/>
        <w:rPr>
          <w:sz w:val="20"/>
          <w:szCs w:val="20"/>
          <w:color w:val="auto"/>
        </w:rPr>
      </w:pPr>
    </w:p>
    <w:p>
      <w:pPr>
        <w:spacing w:after="0"/>
        <w:tabs>
          <w:tab w:leader="none" w:pos="1640" w:val="left"/>
          <w:tab w:leader="dot" w:pos="1116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8"/>
          <w:szCs w:val="18"/>
          <w:color w:val="auto"/>
        </w:rPr>
        <w:t>General</w:t>
      </w:r>
      <w:r>
        <w:rPr>
          <w:sz w:val="20"/>
          <w:szCs w:val="20"/>
          <w:color w:val="auto"/>
        </w:rPr>
        <w:tab/>
      </w:r>
      <w:r>
        <w:rPr>
          <w:rFonts w:ascii="Arial" w:cs="Arial" w:eastAsia="Arial" w:hAnsi="Arial"/>
          <w:sz w:val="17"/>
          <w:szCs w:val="17"/>
          <w:color w:val="auto"/>
        </w:rPr>
        <w:t>5</w:t>
      </w:r>
    </w:p>
    <w:p>
      <w:pPr>
        <w:spacing w:after="0" w:line="63" w:lineRule="exact"/>
        <w:rPr>
          <w:sz w:val="20"/>
          <w:szCs w:val="20"/>
          <w:color w:val="auto"/>
        </w:rPr>
      </w:pPr>
    </w:p>
    <w:p>
      <w:pPr>
        <w:spacing w:after="0"/>
        <w:tabs>
          <w:tab w:leader="none" w:pos="1640" w:val="left"/>
          <w:tab w:leader="dot" w:pos="1116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8"/>
          <w:szCs w:val="18"/>
          <w:color w:val="auto"/>
        </w:rPr>
        <w:t>Eligibility</w:t>
      </w:r>
      <w:r>
        <w:rPr>
          <w:sz w:val="20"/>
          <w:szCs w:val="20"/>
          <w:color w:val="auto"/>
        </w:rPr>
        <w:tab/>
      </w:r>
      <w:r>
        <w:rPr>
          <w:rFonts w:ascii="Arial" w:cs="Arial" w:eastAsia="Arial" w:hAnsi="Arial"/>
          <w:sz w:val="17"/>
          <w:szCs w:val="17"/>
          <w:color w:val="auto"/>
        </w:rPr>
        <w:t>6</w:t>
      </w:r>
    </w:p>
    <w:p>
      <w:pPr>
        <w:spacing w:after="0" w:line="63" w:lineRule="exact"/>
        <w:rPr>
          <w:sz w:val="20"/>
          <w:szCs w:val="20"/>
          <w:color w:val="auto"/>
        </w:rPr>
      </w:pPr>
    </w:p>
    <w:p>
      <w:pPr>
        <w:spacing w:after="0"/>
        <w:tabs>
          <w:tab w:leader="none" w:pos="1640" w:val="left"/>
          <w:tab w:leader="dot" w:pos="1116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8"/>
          <w:szCs w:val="18"/>
          <w:color w:val="auto"/>
        </w:rPr>
        <w:t>Terms and Conditions; Award Agreement</w:t>
      </w:r>
      <w:r>
        <w:rPr>
          <w:sz w:val="20"/>
          <w:szCs w:val="20"/>
          <w:color w:val="auto"/>
        </w:rPr>
        <w:tab/>
      </w:r>
      <w:r>
        <w:rPr>
          <w:rFonts w:ascii="Arial" w:cs="Arial" w:eastAsia="Arial" w:hAnsi="Arial"/>
          <w:sz w:val="17"/>
          <w:szCs w:val="17"/>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ARTICLE V</w:t>
      </w:r>
    </w:p>
    <w:p>
      <w:pPr>
        <w:spacing w:after="0" w:line="135"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OPTIONS</w:t>
      </w:r>
    </w:p>
    <w:p>
      <w:pPr>
        <w:spacing w:after="0" w:line="299" w:lineRule="exact"/>
        <w:rPr>
          <w:sz w:val="20"/>
          <w:szCs w:val="20"/>
          <w:color w:val="auto"/>
        </w:rPr>
      </w:pPr>
    </w:p>
    <w:p>
      <w:pPr>
        <w:spacing w:after="0"/>
        <w:tabs>
          <w:tab w:leader="none" w:pos="1700" w:val="left"/>
          <w:tab w:leader="dot" w:pos="110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8"/>
          <w:szCs w:val="18"/>
          <w:color w:val="auto"/>
        </w:rPr>
        <w:t>Award of Options</w:t>
      </w:r>
      <w:r>
        <w:rPr>
          <w:sz w:val="20"/>
          <w:szCs w:val="20"/>
          <w:color w:val="auto"/>
        </w:rPr>
        <w:tab/>
      </w:r>
      <w:r>
        <w:rPr>
          <w:rFonts w:ascii="Arial" w:cs="Arial" w:eastAsia="Arial" w:hAnsi="Arial"/>
          <w:sz w:val="17"/>
          <w:szCs w:val="17"/>
          <w:color w:val="auto"/>
        </w:rPr>
        <w:t>6</w:t>
      </w:r>
    </w:p>
    <w:p>
      <w:pPr>
        <w:spacing w:after="0" w:line="63" w:lineRule="exact"/>
        <w:rPr>
          <w:sz w:val="20"/>
          <w:szCs w:val="20"/>
          <w:color w:val="auto"/>
        </w:rPr>
      </w:pPr>
    </w:p>
    <w:p>
      <w:pPr>
        <w:spacing w:after="0"/>
        <w:tabs>
          <w:tab w:leader="none" w:pos="1700" w:val="left"/>
          <w:tab w:leader="dot" w:pos="110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8"/>
          <w:szCs w:val="18"/>
          <w:color w:val="auto"/>
        </w:rPr>
        <w:t>Option Price</w:t>
      </w:r>
      <w:r>
        <w:rPr>
          <w:sz w:val="20"/>
          <w:szCs w:val="20"/>
          <w:color w:val="auto"/>
        </w:rPr>
        <w:tab/>
      </w:r>
      <w:r>
        <w:rPr>
          <w:rFonts w:ascii="Arial" w:cs="Arial" w:eastAsia="Arial" w:hAnsi="Arial"/>
          <w:sz w:val="17"/>
          <w:szCs w:val="17"/>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280" w:top="576" w:right="339" w:bottom="1440" w:gutter="0" w:footer="0" w:header="0"/>
        </w:sectPr>
      </w:pPr>
    </w:p>
    <w:bookmarkStart w:id="49" w:name="page50"/>
    <w:bookmarkEnd w:id="49"/>
    <w:p>
      <w:pPr>
        <w:ind w:left="100"/>
        <w:spacing w:after="0"/>
        <w:tabs>
          <w:tab w:leader="none" w:pos="1580" w:val="left"/>
          <w:tab w:leader="dot" w:pos="1100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8"/>
          <w:szCs w:val="18"/>
          <w:color w:val="auto"/>
        </w:rPr>
        <w:t>Option Proceeds</w:t>
      </w:r>
      <w:r>
        <w:rPr>
          <w:sz w:val="20"/>
          <w:szCs w:val="20"/>
          <w:color w:val="auto"/>
        </w:rPr>
        <w:tab/>
      </w:r>
      <w:r>
        <w:rPr>
          <w:rFonts w:ascii="Arial" w:cs="Arial" w:eastAsia="Arial" w:hAnsi="Arial"/>
          <w:sz w:val="17"/>
          <w:szCs w:val="17"/>
          <w:color w:val="auto"/>
        </w:rPr>
        <w:t>7</w:t>
      </w:r>
    </w:p>
    <w:p>
      <w:pPr>
        <w:spacing w:after="0" w:line="63" w:lineRule="exact"/>
        <w:rPr>
          <w:sz w:val="20"/>
          <w:szCs w:val="20"/>
          <w:color w:val="auto"/>
        </w:rPr>
      </w:pPr>
    </w:p>
    <w:p>
      <w:pPr>
        <w:ind w:left="100"/>
        <w:spacing w:after="0"/>
        <w:tabs>
          <w:tab w:leader="none" w:pos="1580" w:val="left"/>
          <w:tab w:leader="dot" w:pos="1100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8"/>
          <w:szCs w:val="18"/>
          <w:color w:val="auto"/>
        </w:rPr>
        <w:t>Exercisability</w:t>
      </w:r>
      <w:r>
        <w:rPr>
          <w:sz w:val="20"/>
          <w:szCs w:val="20"/>
          <w:color w:val="auto"/>
        </w:rPr>
        <w:tab/>
      </w:r>
      <w:r>
        <w:rPr>
          <w:rFonts w:ascii="Arial" w:cs="Arial" w:eastAsia="Arial" w:hAnsi="Arial"/>
          <w:sz w:val="17"/>
          <w:szCs w:val="17"/>
          <w:color w:val="auto"/>
        </w:rPr>
        <w:t>7</w:t>
      </w:r>
    </w:p>
    <w:p>
      <w:pPr>
        <w:spacing w:after="0" w:line="63" w:lineRule="exact"/>
        <w:rPr>
          <w:sz w:val="20"/>
          <w:szCs w:val="20"/>
          <w:color w:val="auto"/>
        </w:rPr>
      </w:pPr>
    </w:p>
    <w:p>
      <w:pPr>
        <w:ind w:left="100"/>
        <w:spacing w:after="0"/>
        <w:tabs>
          <w:tab w:leader="none" w:pos="1580" w:val="left"/>
          <w:tab w:leader="dot" w:pos="1100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8"/>
          <w:szCs w:val="18"/>
          <w:color w:val="auto"/>
        </w:rPr>
        <w:t>Time and Method of Payment for Options</w:t>
      </w:r>
      <w:r>
        <w:rPr>
          <w:sz w:val="20"/>
          <w:szCs w:val="20"/>
          <w:color w:val="auto"/>
        </w:rPr>
        <w:tab/>
      </w:r>
      <w:r>
        <w:rPr>
          <w:rFonts w:ascii="Arial" w:cs="Arial" w:eastAsia="Arial" w:hAnsi="Arial"/>
          <w:sz w:val="17"/>
          <w:szCs w:val="17"/>
          <w:color w:val="auto"/>
        </w:rPr>
        <w:t>7</w:t>
      </w:r>
    </w:p>
    <w:p>
      <w:pPr>
        <w:spacing w:after="0" w:line="63" w:lineRule="exact"/>
        <w:rPr>
          <w:sz w:val="20"/>
          <w:szCs w:val="20"/>
          <w:color w:val="auto"/>
        </w:rPr>
      </w:pPr>
    </w:p>
    <w:p>
      <w:pPr>
        <w:ind w:left="100"/>
        <w:spacing w:after="0"/>
        <w:tabs>
          <w:tab w:leader="none" w:pos="1580" w:val="left"/>
          <w:tab w:leader="dot" w:pos="1100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8"/>
          <w:szCs w:val="18"/>
          <w:color w:val="auto"/>
        </w:rPr>
        <w:t>Delivery of Shares Pursuant to Exercise of Option</w:t>
      </w:r>
      <w:r>
        <w:rPr>
          <w:sz w:val="20"/>
          <w:szCs w:val="20"/>
          <w:color w:val="auto"/>
        </w:rPr>
        <w:tab/>
      </w:r>
      <w:r>
        <w:rPr>
          <w:rFonts w:ascii="Arial" w:cs="Arial" w:eastAsia="Arial" w:hAnsi="Arial"/>
          <w:sz w:val="17"/>
          <w:szCs w:val="17"/>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VI</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STOCK APPRECIATION RIGHTS</w:t>
      </w:r>
    </w:p>
    <w:p>
      <w:pPr>
        <w:sectPr>
          <w:pgSz w:w="11900" w:h="16838" w:orient="portrait"/>
          <w:cols w:equalWidth="0" w:num="1">
            <w:col w:w="11320"/>
          </w:cols>
          <w:pgMar w:left="280" w:top="1098" w:right="299" w:bottom="842"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Section 6.1</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Section 6.2</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Section 6.3</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Section 6.4</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auto"/>
        </w:rPr>
        <w:t>Section 6.5</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Section 6.6</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Awards of SARs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SAR Periods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Exercisability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Method of Exercise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Payment Amount, Time and Method of Payment with Respect to SARs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Nature of SARs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tabs>
          <w:tab w:leader="none" w:pos="5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7"/>
          <w:szCs w:val="17"/>
          <w:color w:val="auto"/>
        </w:rPr>
        <w:t>8</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7"/>
          <w:szCs w:val="17"/>
          <w:color w:val="auto"/>
        </w:rPr>
        <w:t>8</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7"/>
          <w:szCs w:val="17"/>
          <w:color w:val="auto"/>
        </w:rPr>
        <w:t>9</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7"/>
          <w:szCs w:val="17"/>
          <w:color w:val="auto"/>
        </w:rPr>
        <w:t>9</w:t>
      </w:r>
    </w:p>
    <w:p>
      <w:pPr>
        <w:spacing w:after="0" w:line="200" w:lineRule="exact"/>
        <w:rPr>
          <w:sz w:val="20"/>
          <w:szCs w:val="20"/>
          <w:color w:val="auto"/>
        </w:rPr>
      </w:pPr>
    </w:p>
    <w:p>
      <w:pPr>
        <w:spacing w:after="0" w:line="226" w:lineRule="exact"/>
        <w:rPr>
          <w:sz w:val="20"/>
          <w:szCs w:val="20"/>
          <w:color w:val="auto"/>
        </w:rPr>
      </w:pPr>
    </w:p>
    <w:p>
      <w:pPr>
        <w:spacing w:after="0"/>
        <w:tabs>
          <w:tab w:leader="none" w:pos="5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7"/>
          <w:szCs w:val="17"/>
          <w:color w:val="auto"/>
        </w:rPr>
        <w:t>9</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7"/>
          <w:szCs w:val="17"/>
          <w:color w:val="auto"/>
        </w:rPr>
        <w:t>9</w:t>
      </w:r>
    </w:p>
    <w:p>
      <w:pPr>
        <w:spacing w:after="0" w:line="200" w:lineRule="exact"/>
        <w:rPr>
          <w:sz w:val="20"/>
          <w:szCs w:val="20"/>
          <w:color w:val="auto"/>
        </w:rPr>
      </w:pPr>
    </w:p>
    <w:p>
      <w:pPr>
        <w:sectPr>
          <w:pgSz w:w="11900" w:h="16838" w:orient="portrait"/>
          <w:cols w:equalWidth="0" w:num="3">
            <w:col w:w="800" w:space="380"/>
            <w:col w:w="3880" w:space="320"/>
            <w:col w:w="5940"/>
          </w:cols>
          <w:pgMar w:left="280" w:top="1098" w:right="299" w:bottom="84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ARTICLE VII</w:t>
      </w:r>
    </w:p>
    <w:p>
      <w:pPr>
        <w:spacing w:after="0" w:line="135"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RESTRICTED STOCK AWARDS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Grants</w:t>
      </w:r>
    </w:p>
    <w:p>
      <w:pPr>
        <w:ind w:left="20"/>
        <w:spacing w:after="0"/>
        <w:tabs>
          <w:tab w:leader="dot" w:pos="1118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4"/>
          <w:szCs w:val="14"/>
          <w:color w:val="auto"/>
        </w:rPr>
        <w:t>9</w:t>
      </w:r>
    </w:p>
    <w:p>
      <w:pPr>
        <w:ind w:left="1200"/>
        <w:spacing w:after="0" w:line="229" w:lineRule="auto"/>
        <w:rPr>
          <w:sz w:val="20"/>
          <w:szCs w:val="20"/>
          <w:color w:val="auto"/>
        </w:rPr>
      </w:pPr>
      <w:r>
        <w:rPr>
          <w:rFonts w:ascii="Arial" w:cs="Arial" w:eastAsia="Arial" w:hAnsi="Arial"/>
          <w:sz w:val="18"/>
          <w:szCs w:val="18"/>
          <w:color w:val="auto"/>
        </w:rPr>
        <w:t>Maximum Award to An Individual</w:t>
      </w:r>
    </w:p>
    <w:p>
      <w:pPr>
        <w:spacing w:after="0" w:line="1" w:lineRule="exact"/>
        <w:rPr>
          <w:sz w:val="20"/>
          <w:szCs w:val="20"/>
          <w:color w:val="auto"/>
        </w:rPr>
      </w:pPr>
    </w:p>
    <w:p>
      <w:pPr>
        <w:ind w:left="20"/>
        <w:spacing w:after="0"/>
        <w:tabs>
          <w:tab w:leader="dot" w:pos="1108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color w:val="auto"/>
        </w:rPr>
        <w:t>10</w:t>
      </w:r>
    </w:p>
    <w:p>
      <w:pPr>
        <w:ind w:left="1200"/>
        <w:spacing w:after="0" w:line="229" w:lineRule="auto"/>
        <w:rPr>
          <w:sz w:val="20"/>
          <w:szCs w:val="20"/>
          <w:color w:val="auto"/>
        </w:rPr>
      </w:pPr>
      <w:r>
        <w:rPr>
          <w:rFonts w:ascii="Arial" w:cs="Arial" w:eastAsia="Arial" w:hAnsi="Arial"/>
          <w:sz w:val="18"/>
          <w:szCs w:val="18"/>
          <w:color w:val="auto"/>
        </w:rPr>
        <w:t>Restricted Period</w:t>
      </w:r>
    </w:p>
    <w:p>
      <w:pPr>
        <w:spacing w:after="0" w:line="1" w:lineRule="exact"/>
        <w:rPr>
          <w:sz w:val="20"/>
          <w:szCs w:val="20"/>
          <w:color w:val="auto"/>
        </w:rPr>
      </w:pPr>
    </w:p>
    <w:p>
      <w:pPr>
        <w:ind w:left="20"/>
        <w:spacing w:after="0"/>
        <w:tabs>
          <w:tab w:leader="dot" w:pos="1108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color w:val="auto"/>
        </w:rPr>
        <w:t>10</w:t>
      </w:r>
    </w:p>
    <w:p>
      <w:pPr>
        <w:ind w:left="1200"/>
        <w:spacing w:after="0" w:line="229" w:lineRule="auto"/>
        <w:rPr>
          <w:sz w:val="20"/>
          <w:szCs w:val="20"/>
          <w:color w:val="auto"/>
        </w:rPr>
      </w:pPr>
      <w:r>
        <w:rPr>
          <w:rFonts w:ascii="Arial" w:cs="Arial" w:eastAsia="Arial" w:hAnsi="Arial"/>
          <w:sz w:val="18"/>
          <w:szCs w:val="18"/>
          <w:color w:val="auto"/>
        </w:rPr>
        <w:t>Restrictions and Forfeiture</w:t>
      </w:r>
    </w:p>
    <w:p>
      <w:pPr>
        <w:spacing w:after="0" w:line="1" w:lineRule="exact"/>
        <w:rPr>
          <w:sz w:val="20"/>
          <w:szCs w:val="20"/>
          <w:color w:val="auto"/>
        </w:rPr>
      </w:pPr>
    </w:p>
    <w:p>
      <w:pPr>
        <w:ind w:left="20"/>
        <w:spacing w:after="0"/>
        <w:tabs>
          <w:tab w:leader="dot" w:pos="1108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color w:val="auto"/>
        </w:rPr>
        <w:t>10</w:t>
      </w:r>
    </w:p>
    <w:p>
      <w:pPr>
        <w:ind w:left="1200"/>
        <w:spacing w:after="0" w:line="229" w:lineRule="auto"/>
        <w:rPr>
          <w:sz w:val="20"/>
          <w:szCs w:val="20"/>
          <w:color w:val="auto"/>
        </w:rPr>
      </w:pPr>
      <w:r>
        <w:rPr>
          <w:rFonts w:ascii="Arial" w:cs="Arial" w:eastAsia="Arial" w:hAnsi="Arial"/>
          <w:sz w:val="18"/>
          <w:szCs w:val="18"/>
          <w:color w:val="auto"/>
        </w:rPr>
        <w:t>Issuance of Stock and Stock Certificate(s)</w:t>
      </w:r>
    </w:p>
    <w:p>
      <w:pPr>
        <w:spacing w:after="0" w:line="1" w:lineRule="exact"/>
        <w:rPr>
          <w:sz w:val="20"/>
          <w:szCs w:val="20"/>
          <w:color w:val="auto"/>
        </w:rPr>
      </w:pPr>
    </w:p>
    <w:p>
      <w:pPr>
        <w:ind w:left="20"/>
        <w:spacing w:after="0"/>
        <w:tabs>
          <w:tab w:leader="dot" w:pos="1108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color w:val="auto"/>
        </w:rPr>
        <w:t>10</w:t>
      </w:r>
    </w:p>
    <w:p>
      <w:pPr>
        <w:ind w:left="1200"/>
        <w:spacing w:after="0" w:line="229" w:lineRule="auto"/>
        <w:rPr>
          <w:sz w:val="20"/>
          <w:szCs w:val="20"/>
          <w:color w:val="auto"/>
        </w:rPr>
      </w:pPr>
      <w:r>
        <w:rPr>
          <w:rFonts w:ascii="Arial" w:cs="Arial" w:eastAsia="Arial" w:hAnsi="Arial"/>
          <w:sz w:val="18"/>
          <w:szCs w:val="18"/>
          <w:color w:val="auto"/>
        </w:rPr>
        <w:t>Shareholder Rights</w:t>
      </w:r>
    </w:p>
    <w:p>
      <w:pPr>
        <w:spacing w:after="0" w:line="1" w:lineRule="exact"/>
        <w:rPr>
          <w:sz w:val="20"/>
          <w:szCs w:val="20"/>
          <w:color w:val="auto"/>
        </w:rPr>
      </w:pPr>
    </w:p>
    <w:p>
      <w:pPr>
        <w:ind w:left="20"/>
        <w:spacing w:after="0"/>
        <w:tabs>
          <w:tab w:leader="dot" w:pos="1108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color w:val="auto"/>
        </w:rPr>
        <w:t>10</w:t>
      </w:r>
    </w:p>
    <w:p>
      <w:pPr>
        <w:ind w:left="1200"/>
        <w:spacing w:after="0" w:line="229" w:lineRule="auto"/>
        <w:rPr>
          <w:sz w:val="20"/>
          <w:szCs w:val="20"/>
          <w:color w:val="auto"/>
        </w:rPr>
      </w:pPr>
      <w:r>
        <w:rPr>
          <w:rFonts w:ascii="Arial" w:cs="Arial" w:eastAsia="Arial" w:hAnsi="Arial"/>
          <w:sz w:val="18"/>
          <w:szCs w:val="18"/>
          <w:color w:val="auto"/>
        </w:rPr>
        <w:t>Delivery of Shares</w:t>
      </w:r>
    </w:p>
    <w:p>
      <w:pPr>
        <w:spacing w:after="0" w:line="1" w:lineRule="exact"/>
        <w:rPr>
          <w:sz w:val="20"/>
          <w:szCs w:val="20"/>
          <w:color w:val="auto"/>
        </w:rPr>
      </w:pPr>
    </w:p>
    <w:p>
      <w:pPr>
        <w:ind w:left="20"/>
        <w:spacing w:after="0"/>
        <w:tabs>
          <w:tab w:leader="dot" w:pos="1108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VII</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PHANTOM STOCK UNIT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700" w:val="left"/>
          <w:tab w:leader="none" w:pos="2620" w:val="left"/>
          <w:tab w:leader="none" w:pos="1108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8"/>
          <w:szCs w:val="18"/>
          <w:color w:val="auto"/>
        </w:rPr>
        <w:t>Grants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11</w:t>
      </w:r>
    </w:p>
    <w:p>
      <w:pPr>
        <w:sectPr>
          <w:pgSz w:w="11900" w:h="16838" w:orient="portrait"/>
          <w:cols w:equalWidth="0" w:num="1">
            <w:col w:w="11320"/>
          </w:cols>
          <w:pgMar w:left="280" w:top="1098" w:right="299" w:bottom="84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80" w:top="1098" w:right="299" w:bottom="842" w:gutter="0" w:footer="0" w:header="0"/>
          <w:type w:val="continuous"/>
        </w:sectPr>
      </w:pPr>
    </w:p>
    <w:bookmarkStart w:id="50" w:name="page51"/>
    <w:bookmarkEnd w:id="50"/>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Section 8.2</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Section 8.3</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Section 8.4</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Section 8.5</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Section 8.6</w:t>
      </w:r>
    </w:p>
    <w:p>
      <w:pPr>
        <w:spacing w:after="0" w:line="20" w:lineRule="exact"/>
        <w:rPr>
          <w:sz w:val="20"/>
          <w:szCs w:val="20"/>
          <w:color w:val="auto"/>
        </w:rPr>
      </w:pPr>
      <w:r>
        <w:rPr>
          <w:sz w:val="20"/>
          <w:szCs w:val="20"/>
          <w:color w:val="auto"/>
        </w:rPr>
        <w:br w:type="column"/>
      </w:r>
    </w:p>
    <w:p>
      <w:pPr>
        <w:spacing w:after="0" w:line="469" w:lineRule="auto"/>
        <w:rPr>
          <w:sz w:val="20"/>
          <w:szCs w:val="20"/>
          <w:color w:val="auto"/>
        </w:rPr>
      </w:pPr>
      <w:r>
        <w:rPr>
          <w:rFonts w:ascii="Arial" w:cs="Arial" w:eastAsia="Arial" w:hAnsi="Arial"/>
          <w:sz w:val="18"/>
          <w:szCs w:val="18"/>
          <w:color w:val="auto"/>
        </w:rPr>
        <w:t>Maximum Award to An Individual Vesting of Phantom Stock Unit Awards Cash Value of Phantom Stock Unit Payments Time of Payment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Nature of Phantom Stock Units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tabs>
          <w:tab w:leader="none" w:pos="58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11</w:t>
      </w:r>
    </w:p>
    <w:p>
      <w:pPr>
        <w:spacing w:after="0" w:line="210" w:lineRule="exact"/>
        <w:rPr>
          <w:sz w:val="20"/>
          <w:szCs w:val="20"/>
          <w:color w:val="auto"/>
        </w:rPr>
      </w:pPr>
    </w:p>
    <w:p>
      <w:pPr>
        <w:spacing w:after="0"/>
        <w:tabs>
          <w:tab w:leader="none" w:pos="58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11</w:t>
      </w:r>
    </w:p>
    <w:p>
      <w:pPr>
        <w:spacing w:after="0" w:line="210" w:lineRule="exact"/>
        <w:rPr>
          <w:sz w:val="20"/>
          <w:szCs w:val="20"/>
          <w:color w:val="auto"/>
        </w:rPr>
      </w:pPr>
    </w:p>
    <w:p>
      <w:pPr>
        <w:spacing w:after="0"/>
        <w:tabs>
          <w:tab w:leader="none" w:pos="58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11</w:t>
      </w:r>
    </w:p>
    <w:p>
      <w:pPr>
        <w:spacing w:after="0" w:line="210" w:lineRule="exact"/>
        <w:rPr>
          <w:sz w:val="20"/>
          <w:szCs w:val="20"/>
          <w:color w:val="auto"/>
        </w:rPr>
      </w:pPr>
    </w:p>
    <w:p>
      <w:pPr>
        <w:spacing w:after="0"/>
        <w:tabs>
          <w:tab w:leader="none" w:pos="58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11</w:t>
      </w:r>
    </w:p>
    <w:p>
      <w:pPr>
        <w:spacing w:after="0" w:line="210" w:lineRule="exact"/>
        <w:rPr>
          <w:sz w:val="20"/>
          <w:szCs w:val="20"/>
          <w:color w:val="auto"/>
        </w:rPr>
      </w:pPr>
    </w:p>
    <w:p>
      <w:pPr>
        <w:spacing w:after="0"/>
        <w:tabs>
          <w:tab w:leader="none" w:pos="58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11</w:t>
      </w:r>
    </w:p>
    <w:p>
      <w:pPr>
        <w:spacing w:after="0" w:line="200" w:lineRule="exact"/>
        <w:rPr>
          <w:sz w:val="20"/>
          <w:szCs w:val="20"/>
          <w:color w:val="auto"/>
        </w:rPr>
      </w:pPr>
    </w:p>
    <w:p>
      <w:pPr>
        <w:sectPr>
          <w:pgSz w:w="11900" w:h="16838" w:orient="portrait"/>
          <w:cols w:equalWidth="0" w:num="3">
            <w:col w:w="800" w:space="640"/>
            <w:col w:w="3260" w:space="560"/>
            <w:col w:w="6020"/>
          </w:cols>
          <w:pgMar w:left="280" w:top="1111" w:right="339" w:bottom="3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5"/>
          <w:szCs w:val="15"/>
          <w:color w:val="auto"/>
        </w:rPr>
        <w:t>Section 9.1</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Section 9.2</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Section 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Grants</w:t>
      </w:r>
    </w:p>
    <w:p>
      <w:pPr>
        <w:spacing w:after="0" w:line="198" w:lineRule="exact"/>
        <w:rPr>
          <w:sz w:val="20"/>
          <w:szCs w:val="20"/>
          <w:color w:val="auto"/>
        </w:rPr>
      </w:pPr>
    </w:p>
    <w:p>
      <w:pPr>
        <w:spacing w:after="0" w:line="540" w:lineRule="auto"/>
        <w:rPr>
          <w:sz w:val="20"/>
          <w:szCs w:val="20"/>
          <w:color w:val="auto"/>
        </w:rPr>
      </w:pPr>
      <w:r>
        <w:rPr>
          <w:rFonts w:ascii="Arial" w:cs="Arial" w:eastAsia="Arial" w:hAnsi="Arial"/>
          <w:sz w:val="17"/>
          <w:szCs w:val="17"/>
          <w:color w:val="auto"/>
        </w:rPr>
        <w:t>Maximum Award to An Individual Description of Other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840"/>
        <w:spacing w:after="0"/>
        <w:rPr>
          <w:sz w:val="20"/>
          <w:szCs w:val="20"/>
          <w:color w:val="auto"/>
        </w:rPr>
      </w:pPr>
      <w:r>
        <w:rPr>
          <w:rFonts w:ascii="Arial" w:cs="Arial" w:eastAsia="Arial" w:hAnsi="Arial"/>
          <w:sz w:val="20"/>
          <w:szCs w:val="20"/>
          <w:color w:val="auto"/>
        </w:rPr>
        <w:t>ARTICLE IX</w:t>
      </w:r>
    </w:p>
    <w:p>
      <w:pPr>
        <w:spacing w:after="0" w:line="135" w:lineRule="exact"/>
        <w:rPr>
          <w:sz w:val="20"/>
          <w:szCs w:val="20"/>
          <w:color w:val="auto"/>
        </w:rPr>
      </w:pPr>
    </w:p>
    <w:p>
      <w:pPr>
        <w:jc w:val="center"/>
        <w:ind w:right="4840"/>
        <w:spacing w:after="0"/>
        <w:rPr>
          <w:sz w:val="20"/>
          <w:szCs w:val="20"/>
          <w:color w:val="auto"/>
        </w:rPr>
      </w:pPr>
      <w:r>
        <w:rPr>
          <w:rFonts w:ascii="Arial" w:cs="Arial" w:eastAsia="Arial" w:hAnsi="Arial"/>
          <w:sz w:val="18"/>
          <w:szCs w:val="18"/>
          <w:color w:val="auto"/>
        </w:rPr>
        <w:t>OTHER AWARDS</w:t>
      </w:r>
    </w:p>
    <w:p>
      <w:pPr>
        <w:spacing w:after="0" w:line="200" w:lineRule="exact"/>
        <w:rPr>
          <w:sz w:val="20"/>
          <w:szCs w:val="20"/>
          <w:color w:val="auto"/>
        </w:rPr>
      </w:pPr>
    </w:p>
    <w:p>
      <w:pPr>
        <w:spacing w:after="0" w:line="257" w:lineRule="exact"/>
        <w:rPr>
          <w:sz w:val="20"/>
          <w:szCs w:val="20"/>
          <w:color w:val="auto"/>
        </w:rPr>
      </w:pPr>
    </w:p>
    <w:p>
      <w:pPr>
        <w:ind w:left="140"/>
        <w:spacing w:after="0"/>
        <w:tabs>
          <w:tab w:leader="none" w:pos="61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w:t>
      </w:r>
    </w:p>
    <w:p>
      <w:pPr>
        <w:spacing w:after="0" w:line="221" w:lineRule="exact"/>
        <w:rPr>
          <w:sz w:val="20"/>
          <w:szCs w:val="20"/>
          <w:color w:val="auto"/>
        </w:rPr>
      </w:pPr>
    </w:p>
    <w:p>
      <w:pPr>
        <w:ind w:left="140"/>
        <w:spacing w:after="0"/>
        <w:tabs>
          <w:tab w:leader="none" w:pos="61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w:t>
      </w:r>
    </w:p>
    <w:p>
      <w:pPr>
        <w:spacing w:after="0" w:line="221" w:lineRule="exact"/>
        <w:rPr>
          <w:sz w:val="20"/>
          <w:szCs w:val="20"/>
          <w:color w:val="auto"/>
        </w:rPr>
      </w:pPr>
    </w:p>
    <w:p>
      <w:pPr>
        <w:ind w:left="140"/>
        <w:spacing w:after="0"/>
        <w:tabs>
          <w:tab w:leader="none" w:pos="61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w:t>
      </w:r>
    </w:p>
    <w:p>
      <w:pPr>
        <w:spacing w:after="0" w:line="355" w:lineRule="exact"/>
        <w:rPr>
          <w:sz w:val="20"/>
          <w:szCs w:val="20"/>
          <w:color w:val="auto"/>
        </w:rPr>
      </w:pPr>
    </w:p>
    <w:p>
      <w:pPr>
        <w:sectPr>
          <w:pgSz w:w="11900" w:h="16838" w:orient="portrait"/>
          <w:cols w:equalWidth="0" w:num="3">
            <w:col w:w="1000" w:space="720"/>
            <w:col w:w="2500" w:space="680"/>
            <w:col w:w="6380"/>
          </w:cols>
          <w:pgMar w:left="280" w:top="1111" w:right="339" w:bottom="397"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ARTICLE X</w:t>
      </w:r>
    </w:p>
    <w:p>
      <w:pPr>
        <w:spacing w:after="0" w:line="135"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TERMINATION OF EMPLOYMENT OR CESSATION OF SERVICE</w:t>
      </w:r>
    </w:p>
    <w:p>
      <w:pPr>
        <w:spacing w:after="0" w:line="200" w:lineRule="exact"/>
        <w:rPr>
          <w:sz w:val="20"/>
          <w:szCs w:val="20"/>
          <w:color w:val="auto"/>
        </w:rPr>
      </w:pPr>
    </w:p>
    <w:p>
      <w:pPr>
        <w:spacing w:after="0" w:line="39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Stock Options and SARs</w:t>
      </w:r>
    </w:p>
    <w:p>
      <w:pPr>
        <w:spacing w:after="0"/>
        <w:tabs>
          <w:tab w:leader="dot" w:pos="110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color w:val="auto"/>
        </w:rPr>
        <w:t>12</w:t>
      </w:r>
    </w:p>
    <w:p>
      <w:pPr>
        <w:ind w:left="1440"/>
        <w:spacing w:after="0" w:line="229" w:lineRule="auto"/>
        <w:rPr>
          <w:sz w:val="20"/>
          <w:szCs w:val="20"/>
          <w:color w:val="auto"/>
        </w:rPr>
      </w:pPr>
      <w:r>
        <w:rPr>
          <w:rFonts w:ascii="Arial" w:cs="Arial" w:eastAsia="Arial" w:hAnsi="Arial"/>
          <w:sz w:val="18"/>
          <w:szCs w:val="18"/>
          <w:color w:val="auto"/>
        </w:rPr>
        <w:t>Restricted Stock and Phantom Stock Units</w:t>
      </w:r>
    </w:p>
    <w:p>
      <w:pPr>
        <w:spacing w:after="0" w:line="1" w:lineRule="exact"/>
        <w:rPr>
          <w:sz w:val="20"/>
          <w:szCs w:val="20"/>
          <w:color w:val="auto"/>
        </w:rPr>
      </w:pPr>
    </w:p>
    <w:p>
      <w:pPr>
        <w:spacing w:after="0"/>
        <w:tabs>
          <w:tab w:leader="dot" w:pos="1108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color w:val="auto"/>
        </w:rPr>
        <w:t>12</w:t>
      </w:r>
    </w:p>
    <w:p>
      <w:pPr>
        <w:ind w:left="1440"/>
        <w:spacing w:after="0" w:line="229" w:lineRule="auto"/>
        <w:rPr>
          <w:sz w:val="20"/>
          <w:szCs w:val="20"/>
          <w:color w:val="auto"/>
        </w:rPr>
      </w:pPr>
      <w:r>
        <w:rPr>
          <w:rFonts w:ascii="Arial" w:cs="Arial" w:eastAsia="Arial" w:hAnsi="Arial"/>
          <w:sz w:val="18"/>
          <w:szCs w:val="18"/>
          <w:color w:val="auto"/>
        </w:rPr>
        <w:t>Date of Termination of Employment</w:t>
      </w:r>
    </w:p>
    <w:p>
      <w:pPr>
        <w:spacing w:after="0" w:line="1" w:lineRule="exact"/>
        <w:rPr>
          <w:sz w:val="20"/>
          <w:szCs w:val="20"/>
          <w:color w:val="auto"/>
        </w:rPr>
      </w:pPr>
    </w:p>
    <w:p>
      <w:pPr>
        <w:spacing w:after="0"/>
        <w:tabs>
          <w:tab w:leader="dot" w:pos="1108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color w:val="auto"/>
        </w:rPr>
        <w:t>12</w:t>
      </w:r>
    </w:p>
    <w:p>
      <w:pPr>
        <w:ind w:left="1440"/>
        <w:spacing w:after="0" w:line="229" w:lineRule="auto"/>
        <w:rPr>
          <w:sz w:val="20"/>
          <w:szCs w:val="20"/>
          <w:color w:val="auto"/>
        </w:rPr>
      </w:pPr>
      <w:r>
        <w:rPr>
          <w:rFonts w:ascii="Arial" w:cs="Arial" w:eastAsia="Arial" w:hAnsi="Arial"/>
          <w:sz w:val="18"/>
          <w:szCs w:val="18"/>
          <w:color w:val="auto"/>
        </w:rPr>
        <w:t>Specified Employee Restriction</w:t>
      </w:r>
    </w:p>
    <w:p>
      <w:pPr>
        <w:spacing w:after="0" w:line="1" w:lineRule="exact"/>
        <w:rPr>
          <w:sz w:val="20"/>
          <w:szCs w:val="20"/>
          <w:color w:val="auto"/>
        </w:rPr>
      </w:pPr>
    </w:p>
    <w:p>
      <w:pPr>
        <w:spacing w:after="0"/>
        <w:tabs>
          <w:tab w:leader="dot" w:pos="1108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color w:val="auto"/>
        </w:rPr>
        <w:t>13</w:t>
      </w:r>
    </w:p>
    <w:p>
      <w:pPr>
        <w:ind w:left="1440"/>
        <w:spacing w:after="0" w:line="229" w:lineRule="auto"/>
        <w:rPr>
          <w:sz w:val="20"/>
          <w:szCs w:val="20"/>
          <w:color w:val="auto"/>
        </w:rPr>
      </w:pPr>
      <w:r>
        <w:rPr>
          <w:rFonts w:ascii="Arial" w:cs="Arial" w:eastAsia="Arial" w:hAnsi="Arial"/>
          <w:sz w:val="18"/>
          <w:szCs w:val="18"/>
          <w:color w:val="auto"/>
        </w:rPr>
        <w:t>Immediate Forfeiture; Acceleration</w:t>
      </w:r>
    </w:p>
    <w:p>
      <w:pPr>
        <w:spacing w:after="0" w:line="1" w:lineRule="exact"/>
        <w:rPr>
          <w:sz w:val="20"/>
          <w:szCs w:val="20"/>
          <w:color w:val="auto"/>
        </w:rPr>
      </w:pPr>
    </w:p>
    <w:p>
      <w:pPr>
        <w:spacing w:after="0"/>
        <w:tabs>
          <w:tab w:leader="dot" w:pos="1108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color w:val="auto"/>
        </w:rPr>
        <w:t>13</w:t>
      </w:r>
    </w:p>
    <w:p>
      <w:pPr>
        <w:ind w:left="1440"/>
        <w:spacing w:after="0" w:line="229" w:lineRule="auto"/>
        <w:rPr>
          <w:sz w:val="20"/>
          <w:szCs w:val="20"/>
          <w:color w:val="auto"/>
        </w:rPr>
      </w:pPr>
      <w:r>
        <w:rPr>
          <w:rFonts w:ascii="Arial" w:cs="Arial" w:eastAsia="Arial" w:hAnsi="Arial"/>
          <w:sz w:val="18"/>
          <w:szCs w:val="18"/>
          <w:color w:val="auto"/>
        </w:rPr>
        <w:t>Term of Award Agreement</w:t>
      </w:r>
    </w:p>
    <w:p>
      <w:pPr>
        <w:spacing w:after="0" w:line="1" w:lineRule="exact"/>
        <w:rPr>
          <w:sz w:val="20"/>
          <w:szCs w:val="20"/>
          <w:color w:val="auto"/>
        </w:rPr>
      </w:pPr>
    </w:p>
    <w:p>
      <w:pPr>
        <w:spacing w:after="0"/>
        <w:tabs>
          <w:tab w:leader="dot" w:pos="1108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ARTICLE XI</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CERTAIN TERMS APPLICABLE TO ALL AWARDS</w:t>
      </w:r>
    </w:p>
    <w:p>
      <w:pPr>
        <w:sectPr>
          <w:pgSz w:w="11900" w:h="16838" w:orient="portrait"/>
          <w:cols w:equalWidth="0" w:num="1">
            <w:col w:w="11280"/>
          </w:cols>
          <w:pgMar w:left="280" w:top="1111" w:right="339" w:bottom="39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Section 11.1</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Section 11.2</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Section 11.3</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Section 11.4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Withholding Taxes</w:t>
      </w:r>
    </w:p>
    <w:p>
      <w:pPr>
        <w:spacing w:after="0" w:line="198" w:lineRule="exact"/>
        <w:rPr>
          <w:sz w:val="20"/>
          <w:szCs w:val="20"/>
          <w:color w:val="auto"/>
        </w:rPr>
      </w:pPr>
    </w:p>
    <w:p>
      <w:pPr>
        <w:spacing w:after="0" w:line="558" w:lineRule="auto"/>
        <w:rPr>
          <w:sz w:val="20"/>
          <w:szCs w:val="20"/>
          <w:color w:val="auto"/>
        </w:rPr>
      </w:pPr>
      <w:r>
        <w:rPr>
          <w:rFonts w:ascii="Arial" w:cs="Arial" w:eastAsia="Arial" w:hAnsi="Arial"/>
          <w:sz w:val="16"/>
          <w:szCs w:val="16"/>
          <w:color w:val="auto"/>
        </w:rPr>
        <w:t>Adjustments to Reflect Capital Changes Failure to Comply with Terms and Conditions Regulatory Approvals and Listing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13</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13</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14</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15</w:t>
      </w:r>
    </w:p>
    <w:p>
      <w:pPr>
        <w:spacing w:after="0" w:line="342" w:lineRule="exact"/>
        <w:rPr>
          <w:sz w:val="20"/>
          <w:szCs w:val="20"/>
          <w:color w:val="auto"/>
        </w:rPr>
      </w:pPr>
    </w:p>
    <w:p>
      <w:pPr>
        <w:sectPr>
          <w:pgSz w:w="11900" w:h="16838" w:orient="portrait"/>
          <w:cols w:equalWidth="0" w:num="3">
            <w:col w:w="880" w:space="560"/>
            <w:col w:w="3320" w:space="500"/>
            <w:col w:w="6020"/>
          </w:cols>
          <w:pgMar w:left="280" w:top="1111" w:right="339" w:bottom="39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80"/>
          </w:cols>
          <w:pgMar w:left="280" w:top="1111" w:right="339" w:bottom="397" w:gutter="0" w:footer="0" w:header="0"/>
          <w:type w:val="continuous"/>
        </w:sectPr>
      </w:pPr>
    </w:p>
    <w:bookmarkStart w:id="51" w:name="page52"/>
    <w:bookmarkEnd w:id="51"/>
    <w:p>
      <w:pPr>
        <w:ind w:left="1600"/>
        <w:spacing w:after="0"/>
        <w:rPr>
          <w:sz w:val="20"/>
          <w:szCs w:val="20"/>
          <w:color w:val="auto"/>
        </w:rPr>
      </w:pPr>
      <w:r>
        <w:rPr>
          <w:rFonts w:ascii="Arial" w:cs="Arial" w:eastAsia="Arial" w:hAnsi="Arial"/>
          <w:sz w:val="18"/>
          <w:szCs w:val="18"/>
          <w:color w:val="auto"/>
        </w:rPr>
        <w:t>Restrictions Upon Resale of Stock</w:t>
      </w:r>
    </w:p>
    <w:p>
      <w:pPr>
        <w:spacing w:after="0"/>
        <w:tabs>
          <w:tab w:leader="dot" w:pos="11080" w:val="left"/>
        </w:tabs>
        <w:rPr>
          <w:sz w:val="20"/>
          <w:szCs w:val="20"/>
          <w:color w:val="auto"/>
        </w:rPr>
      </w:pPr>
      <w:r>
        <w:rPr>
          <w:rFonts w:ascii="Arial" w:cs="Arial" w:eastAsia="Arial" w:hAnsi="Arial"/>
          <w:sz w:val="18"/>
          <w:szCs w:val="18"/>
          <w:color w:val="auto"/>
        </w:rPr>
        <w:t>Section 11.5</w:t>
      </w:r>
      <w:r>
        <w:rPr>
          <w:sz w:val="20"/>
          <w:szCs w:val="20"/>
          <w:color w:val="auto"/>
        </w:rPr>
        <w:tab/>
      </w:r>
      <w:r>
        <w:rPr>
          <w:rFonts w:ascii="Arial" w:cs="Arial" w:eastAsia="Arial" w:hAnsi="Arial"/>
          <w:sz w:val="16"/>
          <w:szCs w:val="16"/>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ARTICLE XII</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ADMINSTRATION OF THE PLAN</w:t>
      </w:r>
    </w:p>
    <w:p>
      <w:pPr>
        <w:sectPr>
          <w:pgSz w:w="11900" w:h="16838" w:orient="portrait"/>
          <w:cols w:equalWidth="0" w:num="1">
            <w:col w:w="11300"/>
          </w:cols>
          <w:pgMar w:left="280" w:top="1042" w:right="3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Section 12.1</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Section 12.2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Section 12.3</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Section 12.4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Section 12.5</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Section 12.6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Section 12.7</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Section 12.8</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Section 12.9</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Section 12.10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Section 12.11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Section 12.12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Section 12.13</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Section 12.14</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Section 12.15</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Section 12.16</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Section 12.17</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Section 12.18</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Section 12.19</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Committee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Committee 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Designation of Beneficiary</w:t>
      </w:r>
    </w:p>
    <w:p>
      <w:pPr>
        <w:spacing w:after="0" w:line="198" w:lineRule="exact"/>
        <w:rPr>
          <w:sz w:val="20"/>
          <w:szCs w:val="20"/>
          <w:color w:val="auto"/>
        </w:rPr>
      </w:pPr>
    </w:p>
    <w:p>
      <w:pPr>
        <w:spacing w:after="0" w:line="469" w:lineRule="auto"/>
        <w:rPr>
          <w:sz w:val="20"/>
          <w:szCs w:val="20"/>
          <w:color w:val="auto"/>
        </w:rPr>
      </w:pPr>
      <w:r>
        <w:rPr>
          <w:rFonts w:ascii="Arial" w:cs="Arial" w:eastAsia="Arial" w:hAnsi="Arial"/>
          <w:sz w:val="18"/>
          <w:szCs w:val="18"/>
          <w:color w:val="auto"/>
        </w:rPr>
        <w:t>No Right to an Award or to Continued Employment Discretion of the Grantor</w:t>
      </w:r>
    </w:p>
    <w:p>
      <w:pPr>
        <w:spacing w:after="0" w:line="1" w:lineRule="exact"/>
        <w:rPr>
          <w:sz w:val="20"/>
          <w:szCs w:val="20"/>
          <w:color w:val="auto"/>
        </w:rPr>
      </w:pPr>
    </w:p>
    <w:p>
      <w:pPr>
        <w:ind w:right="1360"/>
        <w:spacing w:after="0" w:line="469" w:lineRule="auto"/>
        <w:rPr>
          <w:sz w:val="20"/>
          <w:szCs w:val="20"/>
          <w:color w:val="auto"/>
        </w:rPr>
      </w:pPr>
      <w:r>
        <w:rPr>
          <w:rFonts w:ascii="Arial" w:cs="Arial" w:eastAsia="Arial" w:hAnsi="Arial"/>
          <w:sz w:val="18"/>
          <w:szCs w:val="18"/>
          <w:color w:val="auto"/>
        </w:rPr>
        <w:t>Indemnification and Exculpation Unfunded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Inalienability of Rights and Interests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Awards Not Included for Benefit Purposes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 Issuance of Fractional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Modification for International Grantees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Leave of Absence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Communications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Parties in Interest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Severability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Laws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 Strict Construction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Modification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Governing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15</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15</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15</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16</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16</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16</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16</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17</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17</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17</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17</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17</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18</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18</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18</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18</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18</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18</w:t>
      </w:r>
    </w:p>
    <w:p>
      <w:pPr>
        <w:spacing w:after="0" w:line="2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18</w:t>
      </w:r>
    </w:p>
    <w:p>
      <w:pPr>
        <w:spacing w:after="0" w:line="200" w:lineRule="exact"/>
        <w:rPr>
          <w:sz w:val="20"/>
          <w:szCs w:val="20"/>
          <w:color w:val="auto"/>
        </w:rPr>
      </w:pPr>
    </w:p>
    <w:p>
      <w:pPr>
        <w:sectPr>
          <w:pgSz w:w="11900" w:h="16838" w:orient="portrait"/>
          <w:cols w:equalWidth="0" w:num="3">
            <w:col w:w="980" w:space="480"/>
            <w:col w:w="3740" w:space="80"/>
            <w:col w:w="6020"/>
          </w:cols>
          <w:pgMar w:left="280" w:top="1042"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ARTICLE XII</w:t>
      </w:r>
    </w:p>
    <w:p>
      <w:pPr>
        <w:spacing w:after="0" w:line="135"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CHANGE OF CONTROL</w:t>
      </w:r>
    </w:p>
    <w:p>
      <w:pPr>
        <w:spacing w:after="0" w:line="2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Options and SARs</w:t>
      </w:r>
    </w:p>
    <w:p>
      <w:pPr>
        <w:spacing w:after="0"/>
        <w:tabs>
          <w:tab w:leader="dot" w:pos="11100" w:val="left"/>
        </w:tabs>
        <w:rPr>
          <w:sz w:val="20"/>
          <w:szCs w:val="20"/>
          <w:color w:val="auto"/>
        </w:rPr>
      </w:pPr>
      <w:r>
        <w:rPr>
          <w:rFonts w:ascii="Arial" w:cs="Arial" w:eastAsia="Arial" w:hAnsi="Arial"/>
          <w:sz w:val="18"/>
          <w:szCs w:val="18"/>
          <w:color w:val="auto"/>
        </w:rPr>
        <w:t>Section 13.1</w:t>
      </w:r>
      <w:r>
        <w:rPr>
          <w:sz w:val="20"/>
          <w:szCs w:val="20"/>
          <w:color w:val="auto"/>
        </w:rPr>
        <w:tab/>
      </w:r>
      <w:r>
        <w:rPr>
          <w:rFonts w:ascii="Arial" w:cs="Arial" w:eastAsia="Arial" w:hAnsi="Arial"/>
          <w:sz w:val="16"/>
          <w:szCs w:val="16"/>
          <w:color w:val="auto"/>
        </w:rPr>
        <w:t>19</w:t>
      </w:r>
    </w:p>
    <w:p>
      <w:pPr>
        <w:spacing w:after="0" w:line="4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Restricted Stock Awards and Phantom Stock Unit</w:t>
      </w:r>
    </w:p>
    <w:p>
      <w:pPr>
        <w:ind w:left="1380"/>
        <w:spacing w:after="0" w:line="185" w:lineRule="auto"/>
        <w:rPr>
          <w:sz w:val="20"/>
          <w:szCs w:val="20"/>
          <w:color w:val="auto"/>
        </w:rPr>
      </w:pPr>
      <w:r>
        <w:rPr>
          <w:rFonts w:ascii="Arial" w:cs="Arial" w:eastAsia="Arial" w:hAnsi="Arial"/>
          <w:sz w:val="18"/>
          <w:szCs w:val="18"/>
          <w:color w:val="auto"/>
        </w:rPr>
        <w:t>Awards</w:t>
      </w:r>
    </w:p>
    <w:p>
      <w:pPr>
        <w:spacing w:after="0" w:line="1" w:lineRule="exact"/>
        <w:rPr>
          <w:sz w:val="20"/>
          <w:szCs w:val="20"/>
          <w:color w:val="auto"/>
        </w:rPr>
      </w:pPr>
    </w:p>
    <w:p>
      <w:pPr>
        <w:spacing w:after="0"/>
        <w:tabs>
          <w:tab w:leader="dot" w:pos="11100" w:val="left"/>
        </w:tabs>
        <w:rPr>
          <w:sz w:val="20"/>
          <w:szCs w:val="20"/>
          <w:color w:val="auto"/>
        </w:rPr>
      </w:pPr>
      <w:r>
        <w:rPr>
          <w:rFonts w:ascii="Arial" w:cs="Arial" w:eastAsia="Arial" w:hAnsi="Arial"/>
          <w:sz w:val="18"/>
          <w:szCs w:val="18"/>
          <w:color w:val="auto"/>
        </w:rPr>
        <w:t>Section 13.2</w:t>
      </w:r>
      <w:r>
        <w:rPr>
          <w:sz w:val="20"/>
          <w:szCs w:val="20"/>
          <w:color w:val="auto"/>
        </w:rPr>
        <w:tab/>
      </w:r>
      <w:r>
        <w:rPr>
          <w:rFonts w:ascii="Arial" w:cs="Arial" w:eastAsia="Arial" w:hAnsi="Arial"/>
          <w:sz w:val="16"/>
          <w:szCs w:val="16"/>
          <w:color w:val="auto"/>
        </w:rPr>
        <w:t>19</w:t>
      </w:r>
    </w:p>
    <w:p>
      <w:pPr>
        <w:sectPr>
          <w:pgSz w:w="11900" w:h="16838" w:orient="portrait"/>
          <w:cols w:equalWidth="0" w:num="1">
            <w:col w:w="11300"/>
          </w:cols>
          <w:pgMar w:left="280" w:top="1042" w:right="31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9019"/>
          </w:cols>
          <w:pgMar w:left="1440" w:top="125" w:right="1440" w:bottom="1440" w:gutter="0" w:footer="0" w:header="0"/>
        </w:sectPr>
      </w:pPr>
    </w:p>
    <w:bookmarkStart w:id="53" w:name="page54"/>
    <w:bookmarkEnd w:id="53"/>
    <w:p>
      <w:pPr>
        <w:ind w:left="1600"/>
        <w:spacing w:after="0"/>
        <w:rPr>
          <w:sz w:val="20"/>
          <w:szCs w:val="20"/>
          <w:color w:val="auto"/>
        </w:rPr>
      </w:pPr>
      <w:r>
        <w:rPr>
          <w:rFonts w:ascii="Arial" w:cs="Arial" w:eastAsia="Arial" w:hAnsi="Arial"/>
          <w:sz w:val="18"/>
          <w:szCs w:val="18"/>
          <w:color w:val="auto"/>
        </w:rPr>
        <w:t>Impact of Change of Control</w:t>
      </w:r>
    </w:p>
    <w:p>
      <w:pPr>
        <w:spacing w:after="0"/>
        <w:tabs>
          <w:tab w:leader="dot" w:pos="11080" w:val="left"/>
        </w:tabs>
        <w:rPr>
          <w:sz w:val="20"/>
          <w:szCs w:val="20"/>
          <w:color w:val="auto"/>
        </w:rPr>
      </w:pPr>
      <w:r>
        <w:rPr>
          <w:rFonts w:ascii="Arial" w:cs="Arial" w:eastAsia="Arial" w:hAnsi="Arial"/>
          <w:sz w:val="18"/>
          <w:szCs w:val="18"/>
          <w:color w:val="auto"/>
        </w:rPr>
        <w:t>Section 13.3</w:t>
      </w:r>
      <w:r>
        <w:rPr>
          <w:sz w:val="20"/>
          <w:szCs w:val="20"/>
          <w:color w:val="auto"/>
        </w:rPr>
        <w:tab/>
      </w:r>
      <w:r>
        <w:rPr>
          <w:rFonts w:ascii="Arial" w:cs="Arial" w:eastAsia="Arial" w:hAnsi="Arial"/>
          <w:sz w:val="16"/>
          <w:szCs w:val="16"/>
          <w:color w:val="auto"/>
        </w:rPr>
        <w:t>19</w:t>
      </w:r>
    </w:p>
    <w:p>
      <w:pPr>
        <w:ind w:left="1600"/>
        <w:spacing w:after="0" w:line="229" w:lineRule="auto"/>
        <w:rPr>
          <w:sz w:val="20"/>
          <w:szCs w:val="20"/>
          <w:color w:val="auto"/>
        </w:rPr>
      </w:pPr>
      <w:r>
        <w:rPr>
          <w:rFonts w:ascii="Arial" w:cs="Arial" w:eastAsia="Arial" w:hAnsi="Arial"/>
          <w:sz w:val="18"/>
          <w:szCs w:val="18"/>
          <w:color w:val="auto"/>
        </w:rPr>
        <w:t>Assumption Upon Change of Control</w:t>
      </w:r>
    </w:p>
    <w:p>
      <w:pPr>
        <w:spacing w:after="0" w:line="1" w:lineRule="exact"/>
        <w:rPr>
          <w:sz w:val="20"/>
          <w:szCs w:val="20"/>
          <w:color w:val="auto"/>
        </w:rPr>
      </w:pPr>
    </w:p>
    <w:p>
      <w:pPr>
        <w:spacing w:after="0"/>
        <w:tabs>
          <w:tab w:leader="dot" w:pos="11080" w:val="left"/>
        </w:tabs>
        <w:rPr>
          <w:sz w:val="20"/>
          <w:szCs w:val="20"/>
          <w:color w:val="auto"/>
        </w:rPr>
      </w:pPr>
      <w:r>
        <w:rPr>
          <w:rFonts w:ascii="Arial" w:cs="Arial" w:eastAsia="Arial" w:hAnsi="Arial"/>
          <w:sz w:val="18"/>
          <w:szCs w:val="18"/>
          <w:color w:val="auto"/>
        </w:rPr>
        <w:t>Section 13.4</w:t>
      </w:r>
      <w:r>
        <w:rPr>
          <w:sz w:val="20"/>
          <w:szCs w:val="20"/>
          <w:color w:val="auto"/>
        </w:rPr>
        <w:tab/>
      </w:r>
      <w:r>
        <w:rPr>
          <w:rFonts w:ascii="Arial" w:cs="Arial" w:eastAsia="Arial" w:hAnsi="Arial"/>
          <w:sz w:val="16"/>
          <w:szCs w:val="16"/>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ARTICLE XIV</w:t>
      </w:r>
    </w:p>
    <w:p>
      <w:pPr>
        <w:spacing w:after="0" w:line="13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AMENDMENT AND TERMINATION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Amendment; No Repricing</w:t>
      </w:r>
    </w:p>
    <w:p>
      <w:pPr>
        <w:spacing w:after="0"/>
        <w:tabs>
          <w:tab w:leader="dot" w:pos="11080" w:val="left"/>
        </w:tabs>
        <w:rPr>
          <w:sz w:val="20"/>
          <w:szCs w:val="20"/>
          <w:color w:val="auto"/>
        </w:rPr>
      </w:pPr>
      <w:r>
        <w:rPr>
          <w:rFonts w:ascii="Arial" w:cs="Arial" w:eastAsia="Arial" w:hAnsi="Arial"/>
          <w:sz w:val="18"/>
          <w:szCs w:val="18"/>
          <w:color w:val="auto"/>
        </w:rPr>
        <w:t>Section 14.1</w:t>
      </w:r>
      <w:r>
        <w:rPr>
          <w:sz w:val="20"/>
          <w:szCs w:val="20"/>
          <w:color w:val="auto"/>
        </w:rPr>
        <w:tab/>
      </w:r>
      <w:r>
        <w:rPr>
          <w:rFonts w:ascii="Arial" w:cs="Arial" w:eastAsia="Arial" w:hAnsi="Arial"/>
          <w:sz w:val="16"/>
          <w:szCs w:val="16"/>
          <w:color w:val="auto"/>
        </w:rPr>
        <w:t>20</w:t>
      </w:r>
    </w:p>
    <w:p>
      <w:pPr>
        <w:ind w:left="1720"/>
        <w:spacing w:after="0" w:line="229" w:lineRule="auto"/>
        <w:rPr>
          <w:sz w:val="20"/>
          <w:szCs w:val="20"/>
          <w:color w:val="auto"/>
        </w:rPr>
      </w:pPr>
      <w:r>
        <w:rPr>
          <w:rFonts w:ascii="Arial" w:cs="Arial" w:eastAsia="Arial" w:hAnsi="Arial"/>
          <w:sz w:val="18"/>
          <w:szCs w:val="18"/>
          <w:color w:val="auto"/>
        </w:rPr>
        <w:t>Suspension or Termination</w:t>
      </w:r>
    </w:p>
    <w:p>
      <w:pPr>
        <w:spacing w:after="0" w:line="1" w:lineRule="exact"/>
        <w:rPr>
          <w:sz w:val="20"/>
          <w:szCs w:val="20"/>
          <w:color w:val="auto"/>
        </w:rPr>
      </w:pPr>
    </w:p>
    <w:p>
      <w:pPr>
        <w:spacing w:after="0"/>
        <w:tabs>
          <w:tab w:leader="dot" w:pos="11080" w:val="left"/>
        </w:tabs>
        <w:rPr>
          <w:sz w:val="20"/>
          <w:szCs w:val="20"/>
          <w:color w:val="auto"/>
        </w:rPr>
      </w:pPr>
      <w:r>
        <w:rPr>
          <w:rFonts w:ascii="Arial" w:cs="Arial" w:eastAsia="Arial" w:hAnsi="Arial"/>
          <w:sz w:val="18"/>
          <w:szCs w:val="18"/>
          <w:color w:val="auto"/>
        </w:rPr>
        <w:t>Section 14.2</w:t>
      </w:r>
      <w:r>
        <w:rPr>
          <w:sz w:val="20"/>
          <w:szCs w:val="20"/>
          <w:color w:val="auto"/>
        </w:rPr>
        <w:tab/>
      </w:r>
      <w:r>
        <w:rPr>
          <w:rFonts w:ascii="Arial" w:cs="Arial" w:eastAsia="Arial" w:hAnsi="Arial"/>
          <w:sz w:val="16"/>
          <w:szCs w:val="16"/>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ARTICLE XV</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SECTION 409 A</w:t>
      </w: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ARTICLE XVI</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EFFECTIVE DATE AND TERM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80"/>
          </w:cols>
          <w:pgMar w:left="280" w:top="691"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20"/>
          <w:szCs w:val="20"/>
          <w:b w:val="1"/>
          <w:bCs w:val="1"/>
          <w:color w:val="auto"/>
        </w:rPr>
        <w:t>GAMING AND LEISURE PROPERTIES, INC.</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2013 LONG TERM INCENTIVE COMPENSATION PLAN</w:t>
      </w:r>
    </w:p>
    <w:p>
      <w:pPr>
        <w:spacing w:after="0" w:line="200" w:lineRule="exact"/>
        <w:rPr>
          <w:sz w:val="20"/>
          <w:szCs w:val="20"/>
          <w:color w:val="auto"/>
        </w:rPr>
      </w:pPr>
    </w:p>
    <w:p>
      <w:pPr>
        <w:spacing w:after="0" w:line="286"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ARTICLE I</w:t>
      </w:r>
    </w:p>
    <w:p>
      <w:pPr>
        <w:spacing w:after="0" w:line="135" w:lineRule="exact"/>
        <w:rPr>
          <w:sz w:val="20"/>
          <w:szCs w:val="20"/>
          <w:color w:val="auto"/>
        </w:rPr>
      </w:pPr>
    </w:p>
    <w:p>
      <w:pPr>
        <w:ind w:left="5260"/>
        <w:spacing w:after="0"/>
        <w:rPr>
          <w:sz w:val="20"/>
          <w:szCs w:val="20"/>
          <w:color w:val="auto"/>
        </w:rPr>
      </w:pPr>
      <w:r>
        <w:rPr>
          <w:rFonts w:ascii="Arial" w:cs="Arial" w:eastAsia="Arial" w:hAnsi="Arial"/>
          <w:sz w:val="20"/>
          <w:szCs w:val="20"/>
          <w:b w:val="1"/>
          <w:bCs w:val="1"/>
          <w:u w:val="single" w:color="auto"/>
          <w:color w:val="auto"/>
        </w:rPr>
        <w:t>PURPOSE</w:t>
      </w:r>
    </w:p>
    <w:p>
      <w:pPr>
        <w:spacing w:after="0" w:line="14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2013 Long Term Incentive Compensation Plan is intended to advance the interest of Gaming and Leisure Properties, Inc., a Pennsylvania corporation, and its shareholders by providing a means by which the Company and its subsidiaries and affiliates shall be able to motivate Directors, selected key employees (including officers) and consultants to direct their efforts to those activities that will contribute materially to the Company’s success. The Plan is also intended to service the best interests of the shareholders by linking remunerative benefits paid to participates who have substantial responsibility for the successful operation, administration and management of the Company and/or its subsidiaries and affiliates with the enhancement of shareholder value while such participants increase their proprietary interest in the Company. Finally, the Plan is intended to enable the Company to attract and retain in its service highly qualified persons for the successful conduct of its business.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DEFINITIONS AND CONSTRUCTION</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Definitions</w:t>
      </w:r>
    </w:p>
    <w:p>
      <w:pPr>
        <w:spacing w:after="0" w:line="1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words and phrases when used in the Plan with an initial capital letter, unless their context clearly indicates to the contrary, shall have the respective meanings set forth below in this Section 2.1:</w:t>
      </w:r>
    </w:p>
    <w:p>
      <w:pPr>
        <w:spacing w:after="0" w:line="9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i w:val="1"/>
          <w:iCs w:val="1"/>
          <w:color w:val="auto"/>
        </w:rPr>
        <w:t>Act</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Securities Exchange Act of 1934, as now in effect or as hereafter amended from time to time. References to any Section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Subsection of the Act are to such Section or Subsection as the same may from time to time be amended or renumbered and/or any comparable or succeeding provisions of any legislation that amends, supplements or replaces such Section or Subsection.</w:t>
      </w:r>
    </w:p>
    <w:p>
      <w:pPr>
        <w:spacing w:after="0" w:line="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Award. </w:t>
      </w:r>
      <w:r>
        <w:rPr>
          <w:rFonts w:ascii="Arial" w:cs="Arial" w:eastAsia="Arial" w:hAnsi="Arial"/>
          <w:sz w:val="20"/>
          <w:szCs w:val="20"/>
          <w:color w:val="auto"/>
        </w:rPr>
        <w:t>A grant of one of the following under the Plan: “Stock Option Award”; “Stock Appreciation Right Award”; “Restriction Stock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Award’; and “Other Award”; all as further defined herein. Awards shall also include Converted Awards.</w:t>
      </w:r>
    </w:p>
    <w:p>
      <w:pPr>
        <w:spacing w:after="0" w:line="9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The written instrument delivered by the Company to a Grantee evidencing an Award, and setting forth such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conditions of the Award as may be deemed appropriate by the Grantor. The Award Agreement shall be in a form approved by the Grantor, and once executed (if required to be executed), shall be amended from time to time to include such additional or amended terms and conditions as the Grantor may specify after the execution in the exercise of his or its, as the case may be, powers under the Plan.</w:t>
      </w:r>
    </w:p>
    <w:p>
      <w:pPr>
        <w:spacing w:after="0" w:line="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Beneficiary</w:t>
      </w:r>
      <w:r>
        <w:rPr>
          <w:rFonts w:ascii="Arial" w:cs="Arial" w:eastAsia="Arial" w:hAnsi="Arial"/>
          <w:sz w:val="20"/>
          <w:szCs w:val="20"/>
          <w:color w:val="auto"/>
        </w:rPr>
        <w:t>. Any individual, estate or trust who or which by designation of a Holder pursuant to Section 12.3 or operation of law</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succeeds to the rights and obligations of the Holder under the Plan and one or more Award Agreements.</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Board. </w:t>
      </w:r>
      <w:r>
        <w:rPr>
          <w:rFonts w:ascii="Arial" w:cs="Arial" w:eastAsia="Arial" w:hAnsi="Arial"/>
          <w:sz w:val="20"/>
          <w:szCs w:val="20"/>
          <w:color w:val="auto"/>
        </w:rPr>
        <w:t>The Board of Directors of the Company, as it may be constituted from time to time.</w:t>
      </w:r>
    </w:p>
    <w:p>
      <w:pPr>
        <w:spacing w:after="0" w:line="13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 xml:space="preserve">Cause. </w:t>
      </w:r>
      <w:r>
        <w:rPr>
          <w:rFonts w:ascii="Arial" w:cs="Arial" w:eastAsia="Arial" w:hAnsi="Arial"/>
          <w:sz w:val="18"/>
          <w:szCs w:val="18"/>
          <w:color w:val="auto"/>
        </w:rPr>
        <w:t>Fraud, embezzlement, theft or dishonesty against the Company, conviction of a felony, willful misconduct, being found to be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Unsuitable Person as defined in the Company’s articles of incorporation, willful and wrongful disclosure of confidential information, engagement in competition with the Company or any Subsidiary; provided that, for Grantees with an employment or similar agreement in effect with the Company or a Subsidiary containing a definition of Cause, Cause shall have the meaning set forth in such agreement.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941" w:right="239" w:bottom="1440" w:gutter="0" w:footer="0" w:header="0"/>
        </w:sectPr>
      </w:pPr>
    </w:p>
    <w:bookmarkStart w:id="55" w:name="page56"/>
    <w:bookmarkEnd w:id="55"/>
    <w:p>
      <w:pPr>
        <w:ind w:left="660"/>
        <w:spacing w:after="0"/>
        <w:rPr>
          <w:sz w:val="20"/>
          <w:szCs w:val="20"/>
          <w:color w:val="auto"/>
        </w:rPr>
      </w:pPr>
      <w:r>
        <w:rPr>
          <w:rFonts w:ascii="Arial" w:cs="Arial" w:eastAsia="Arial" w:hAnsi="Arial"/>
          <w:sz w:val="20"/>
          <w:szCs w:val="20"/>
          <w:b w:val="1"/>
          <w:bCs w:val="1"/>
          <w:i w:val="1"/>
          <w:iCs w:val="1"/>
          <w:color w:val="auto"/>
        </w:rPr>
        <w:t xml:space="preserve">Chairman. </w:t>
      </w:r>
      <w:r>
        <w:rPr>
          <w:rFonts w:ascii="Arial" w:cs="Arial" w:eastAsia="Arial" w:hAnsi="Arial"/>
          <w:sz w:val="20"/>
          <w:szCs w:val="20"/>
          <w:color w:val="auto"/>
        </w:rPr>
        <w:t>The Chairman of the Board of the Company or his designee(s).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Change of Control</w:t>
      </w:r>
      <w:r>
        <w:rPr>
          <w:rFonts w:ascii="Arial" w:cs="Arial" w:eastAsia="Arial" w:hAnsi="Arial"/>
          <w:sz w:val="20"/>
          <w:szCs w:val="20"/>
          <w:color w:val="auto"/>
        </w:rPr>
        <w:t>.</w:t>
      </w:r>
    </w:p>
    <w:p>
      <w:pPr>
        <w:spacing w:after="0" w:line="135" w:lineRule="exact"/>
        <w:rPr>
          <w:sz w:val="20"/>
          <w:szCs w:val="20"/>
          <w:color w:val="auto"/>
        </w:rPr>
      </w:pPr>
    </w:p>
    <w:p>
      <w:pPr>
        <w:ind w:firstLine="656"/>
        <w:spacing w:after="0" w:line="260" w:lineRule="auto"/>
        <w:tabs>
          <w:tab w:leader="none" w:pos="917" w:val="left"/>
        </w:tabs>
        <w:numPr>
          <w:ilvl w:val="0"/>
          <w:numId w:val="20"/>
        </w:numPr>
        <w:rPr>
          <w:rFonts w:ascii="Arial" w:cs="Arial" w:eastAsia="Arial" w:hAnsi="Arial"/>
          <w:sz w:val="20"/>
          <w:szCs w:val="20"/>
          <w:color w:val="auto"/>
        </w:rPr>
      </w:pPr>
      <w:r>
        <w:rPr>
          <w:rFonts w:ascii="Arial" w:cs="Arial" w:eastAsia="Arial" w:hAnsi="Arial"/>
          <w:sz w:val="20"/>
          <w:szCs w:val="20"/>
          <w:color w:val="auto"/>
        </w:rPr>
        <w:t>with respect to Awards that are not “deferred compensation” under Section 409A of the Code, any of the following events occurring following the spin-off shall constitute a Change of Control for purposes of this Plan:</w:t>
      </w:r>
    </w:p>
    <w:p>
      <w:pPr>
        <w:spacing w:after="0" w:line="95" w:lineRule="exact"/>
        <w:rPr>
          <w:rFonts w:ascii="Arial" w:cs="Arial" w:eastAsia="Arial" w:hAnsi="Arial"/>
          <w:sz w:val="20"/>
          <w:szCs w:val="20"/>
          <w:color w:val="auto"/>
        </w:rPr>
      </w:pPr>
    </w:p>
    <w:p>
      <w:pPr>
        <w:jc w:val="both"/>
        <w:ind w:firstLine="980"/>
        <w:spacing w:after="0" w:line="257" w:lineRule="auto"/>
        <w:tabs>
          <w:tab w:leader="none" w:pos="1218" w:val="left"/>
        </w:tabs>
        <w:numPr>
          <w:ilvl w:val="1"/>
          <w:numId w:val="20"/>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 (2) of the Act) (a “Person”) of beneficial ownership (within the meaning of Rule 13d-3 promulgated under the Act) of fifty percent (50%) or more of either (A) then outstanding shares of the Company (the “Outstanding Company Shares”) or (B) the combined voting power of the then outstanding voting securities of the Company entitled to vote generally in the election of Directors (the “Outstanding Company Voting Securities”); provided, however, that for purposes of this subsection (i), the following acquisitions shall not constitute a Change of Control: (1) any acquisition directly from the Company; (2) any acquisition by the Company; (3) any acquisition by any employee benefit Plan (or related trust) sponsored or maintained by the Company or any corporation controlled by the Company; or (4) any acquisition pursuant to a transaction which complies with clauses (A), (B) and (C) of Subsection (iii) below; or</w:t>
      </w:r>
    </w:p>
    <w:p>
      <w:pPr>
        <w:spacing w:after="0" w:line="100" w:lineRule="exact"/>
        <w:rPr>
          <w:rFonts w:ascii="Arial" w:cs="Arial" w:eastAsia="Arial" w:hAnsi="Arial"/>
          <w:sz w:val="19"/>
          <w:szCs w:val="19"/>
          <w:color w:val="auto"/>
        </w:rPr>
      </w:pPr>
    </w:p>
    <w:p>
      <w:pPr>
        <w:ind w:left="1280" w:hanging="300"/>
        <w:spacing w:after="0"/>
        <w:tabs>
          <w:tab w:leader="none" w:pos="1280" w:val="left"/>
        </w:tabs>
        <w:numPr>
          <w:ilvl w:val="1"/>
          <w:numId w:val="20"/>
        </w:numPr>
        <w:rPr>
          <w:rFonts w:ascii="Arial" w:cs="Arial" w:eastAsia="Arial" w:hAnsi="Arial"/>
          <w:sz w:val="20"/>
          <w:szCs w:val="20"/>
          <w:color w:val="auto"/>
        </w:rPr>
      </w:pPr>
      <w:r>
        <w:rPr>
          <w:rFonts w:ascii="Arial" w:cs="Arial" w:eastAsia="Arial" w:hAnsi="Arial"/>
          <w:sz w:val="20"/>
          <w:szCs w:val="20"/>
          <w:color w:val="auto"/>
        </w:rPr>
        <w:t>approval by the shareholders of the Company of a complete liquidation or dissolution of the Company; or</w:t>
      </w:r>
    </w:p>
    <w:p>
      <w:pPr>
        <w:spacing w:after="0" w:line="134" w:lineRule="exact"/>
        <w:rPr>
          <w:rFonts w:ascii="Arial" w:cs="Arial" w:eastAsia="Arial" w:hAnsi="Arial"/>
          <w:sz w:val="20"/>
          <w:szCs w:val="20"/>
          <w:color w:val="auto"/>
        </w:rPr>
      </w:pPr>
    </w:p>
    <w:p>
      <w:pPr>
        <w:jc w:val="both"/>
        <w:ind w:firstLine="980"/>
        <w:spacing w:after="0" w:line="269" w:lineRule="auto"/>
        <w:tabs>
          <w:tab w:leader="none" w:pos="1327"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consummation of reorganization, merger or consolidation or sale or other disposition of all or substantially all of the assets of the Company or the acquisition of assets of another entity (each, a “Corporate Transaction”), in each case, unless, immediately following such Corporate Transaction, (A) all or substantially all of the individuals and entities who were beneficial owners, respectively, of the Outstanding Company Shares and Outstanding Company Voting Securities immediately prior to such Corporate Transaction beneficially own, directly or indirectly, more than fifty percent (50%) of, respectively, the then outstanding shares and the combined voting power of the then outstanding voting securities entitled to vote generally in the election of Directors, as the case may be, of the corporation or other entity resulting from such Corporate Transaction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Corporate Transaction of the Outstanding Company Shares and Outstanding Company Voting Securities, as the case may be, (B) no Person (excluding any employee benefit Plan or related trust of the Company or such corporation resulting from such Corporate Transaction) beneficially owns, directly or indirectly, twenty percent (20%) or more of, respectively, the then outstanding shares of the corporation resulting from such Corporate Transaction or the combined voting power of the then outstanding voting securities of such corporations except to the extent that such ownership of the Company existed prior to the Corporate Transaction and (C) at least a majority of the members of the board of Directors of the corporation (or other governing board of a non-corporate entity) resulting from such Corporate Transaction were members of the Incumbent Board at the time of the execution of the initial agreement, or of the action of the Board, providing for such Corporate Transaction; or</w:t>
      </w:r>
    </w:p>
    <w:p>
      <w:pPr>
        <w:spacing w:after="0" w:line="96" w:lineRule="exact"/>
        <w:rPr>
          <w:rFonts w:ascii="Arial" w:cs="Arial" w:eastAsia="Arial" w:hAnsi="Arial"/>
          <w:sz w:val="18"/>
          <w:szCs w:val="18"/>
          <w:color w:val="auto"/>
        </w:rPr>
      </w:pPr>
    </w:p>
    <w:p>
      <w:pPr>
        <w:jc w:val="both"/>
        <w:ind w:firstLine="980"/>
        <w:spacing w:after="0" w:line="276" w:lineRule="auto"/>
        <w:tabs>
          <w:tab w:leader="none" w:pos="1321"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individuals who, as of the Effective Date, constitute the Board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two-thirds (2/3) of the Directors then compromising the Incumbent Board shall be considered as though such individual were a member of the Incumbent Board, but excluding, for this purpose, any such individual whose initial assumption of office as a result of an actual or threatened election contest with respect to the election or removal of Directors or other actual or threatened solicitation of proxies or consents by or on behalf of a Person other than the Board.</w:t>
      </w:r>
    </w:p>
    <w:p>
      <w:pPr>
        <w:spacing w:after="0" w:line="84" w:lineRule="exact"/>
        <w:rPr>
          <w:rFonts w:ascii="Arial" w:cs="Arial" w:eastAsia="Arial" w:hAnsi="Arial"/>
          <w:sz w:val="18"/>
          <w:szCs w:val="18"/>
          <w:color w:val="auto"/>
        </w:rPr>
      </w:pPr>
    </w:p>
    <w:p>
      <w:pPr>
        <w:jc w:val="both"/>
        <w:ind w:firstLine="656"/>
        <w:spacing w:after="0" w:line="263" w:lineRule="auto"/>
        <w:tabs>
          <w:tab w:leader="none" w:pos="939" w:val="left"/>
        </w:tabs>
        <w:numPr>
          <w:ilvl w:val="0"/>
          <w:numId w:val="20"/>
        </w:numPr>
        <w:rPr>
          <w:rFonts w:ascii="Arial" w:cs="Arial" w:eastAsia="Arial" w:hAnsi="Arial"/>
          <w:sz w:val="19"/>
          <w:szCs w:val="19"/>
          <w:color w:val="auto"/>
        </w:rPr>
      </w:pPr>
      <w:r>
        <w:rPr>
          <w:rFonts w:ascii="Arial" w:cs="Arial" w:eastAsia="Arial" w:hAnsi="Arial"/>
          <w:sz w:val="19"/>
          <w:szCs w:val="19"/>
          <w:color w:val="auto"/>
        </w:rPr>
        <w:t>with respect to Awards that are “deferred compensation” under Section 409A of the Code, each of the foregoing events shall only be deemed to be a Change of Control for purposes of the Plan to the extent such event qualifies as a “change in control event” for purposes of Section 409A of the Code. The Grantor shall be entitled to amend or interpret the terms of any Award to the extent necessary to avoid adverse Federal income tax consequences to a Grantee under the Section 409A of the Code.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2" w:right="239" w:bottom="1440" w:gutter="0" w:footer="0" w:header="0"/>
        </w:sectPr>
      </w:pPr>
    </w:p>
    <w:bookmarkStart w:id="56" w:name="page57"/>
    <w:bookmarkEnd w:id="56"/>
    <w:p>
      <w:pPr>
        <w:jc w:val="both"/>
        <w:ind w:firstLine="648"/>
        <w:spacing w:after="0" w:line="291" w:lineRule="auto"/>
        <w:rPr>
          <w:sz w:val="20"/>
          <w:szCs w:val="20"/>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The Internal Revenue Code of 1986, amended from time to time, and any successor thereto, the Treasury Regulations thereunder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Committee. </w:t>
      </w:r>
      <w:r>
        <w:rPr>
          <w:rFonts w:ascii="Arial" w:cs="Arial" w:eastAsia="Arial" w:hAnsi="Arial"/>
          <w:sz w:val="20"/>
          <w:szCs w:val="20"/>
          <w:color w:val="auto"/>
        </w:rPr>
        <w:t>The Compensation Committee of the Board.</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Common Stock. </w:t>
      </w:r>
      <w:r>
        <w:rPr>
          <w:rFonts w:ascii="Arial" w:cs="Arial" w:eastAsia="Arial" w:hAnsi="Arial"/>
          <w:sz w:val="20"/>
          <w:szCs w:val="20"/>
          <w:color w:val="auto"/>
        </w:rPr>
        <w:t>Common stock of the Company, par value $.01.</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Company</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Gaming and Leisure Properties, Inc., a Pennsylvania corporation, and its successors and assigns.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Consultant</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 individual retained (but not employed) by the Company or a subsidiary to perform services.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Converted Award</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 Award described in Section 11.2.4</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Date of Grant. </w:t>
      </w:r>
      <w:r>
        <w:rPr>
          <w:rFonts w:ascii="Arial" w:cs="Arial" w:eastAsia="Arial" w:hAnsi="Arial"/>
          <w:sz w:val="20"/>
          <w:szCs w:val="20"/>
          <w:color w:val="auto"/>
        </w:rPr>
        <w:t>The date as of which the Grantor grants an Award.</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Director. </w:t>
      </w:r>
      <w:r>
        <w:rPr>
          <w:rFonts w:ascii="Arial" w:cs="Arial" w:eastAsia="Arial" w:hAnsi="Arial"/>
          <w:sz w:val="20"/>
          <w:szCs w:val="20"/>
          <w:color w:val="auto"/>
        </w:rPr>
        <w:t>A member of the Board who is not also an employee of the Company or any Subsidiary.</w:t>
      </w:r>
    </w:p>
    <w:p>
      <w:pPr>
        <w:spacing w:after="0" w:line="1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Disability</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physical or mental impairment sufficient to make the Grantee who is an Employee eligible for benefits under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Company’s or Subsidiary’s long-term disability plan in which the Grantee is a participant. Any Grantee who is a director shall be treated as having a Disability if a physical or mental impairment would have made the Grantee eligible for benefits under the Company’s long-term disability plan has the Grantee been an Employee.</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Effective Date. </w:t>
      </w:r>
      <w:r>
        <w:rPr>
          <w:rFonts w:ascii="Arial" w:cs="Arial" w:eastAsia="Arial" w:hAnsi="Arial"/>
          <w:sz w:val="20"/>
          <w:szCs w:val="20"/>
          <w:color w:val="auto"/>
        </w:rPr>
        <w:t>October 23, 2013, the date on which the shareholders of the Company approved the plan.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Employee. </w:t>
      </w:r>
      <w:r>
        <w:rPr>
          <w:rFonts w:ascii="Arial" w:cs="Arial" w:eastAsia="Arial" w:hAnsi="Arial"/>
          <w:sz w:val="18"/>
          <w:szCs w:val="18"/>
          <w:color w:val="auto"/>
        </w:rPr>
        <w:t>An employee of the Company or any Subsidiary or “parent corporation” within the meaning of Section 424(e) of the Code.</w:t>
      </w:r>
    </w:p>
    <w:p>
      <w:pPr>
        <w:spacing w:after="0" w:line="15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Fair Market Value. </w:t>
      </w:r>
      <w:r>
        <w:rPr>
          <w:rFonts w:ascii="Arial" w:cs="Arial" w:eastAsia="Arial" w:hAnsi="Arial"/>
          <w:sz w:val="20"/>
          <w:szCs w:val="20"/>
          <w:color w:val="auto"/>
        </w:rPr>
        <w:t>With respect to the Common Stock on any day, (i) the closing sales price on the immediately preceding business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day of a share of Common Stock as reported on the principal securities exchange on which shares of Common Stock are then listed or admitted to trading, or (ii) if the Common Stock is not listed or admitted to trading on a securities exchange, as determined in a manner specified by the Committee determined in accordance with Section 409A of the Code. A “business day” is any day on which the relevant market is open for trading.</w:t>
      </w:r>
    </w:p>
    <w:p>
      <w:pPr>
        <w:spacing w:after="0" w:line="1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Grantee. </w:t>
      </w:r>
      <w:r>
        <w:rPr>
          <w:rFonts w:ascii="Arial" w:cs="Arial" w:eastAsia="Arial" w:hAnsi="Arial"/>
          <w:sz w:val="20"/>
          <w:szCs w:val="20"/>
          <w:color w:val="auto"/>
        </w:rPr>
        <w:t>An Employee or former Employee of the Company or any Subsidiary, a Director or a Consultant to whom an Award is or has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been granted under the Plan; Grantees shall also include individuals to whom Converted Awards were granted.</w:t>
      </w:r>
    </w:p>
    <w:p>
      <w:pPr>
        <w:spacing w:after="0" w:line="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Grantor. </w:t>
      </w:r>
      <w:r>
        <w:rPr>
          <w:rFonts w:ascii="Arial" w:cs="Arial" w:eastAsia="Arial" w:hAnsi="Arial"/>
          <w:sz w:val="20"/>
          <w:szCs w:val="20"/>
          <w:color w:val="auto"/>
        </w:rPr>
        <w:t>With respect to an Award granted to an Employee or Consultant, the Committee or the Chairman, as the case may be, that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grants the Award. With respect to an Award granted to a Director, the Board or Committee is the Grantor.</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Holder. </w:t>
      </w:r>
      <w:r>
        <w:rPr>
          <w:rFonts w:ascii="Arial" w:cs="Arial" w:eastAsia="Arial" w:hAnsi="Arial"/>
          <w:sz w:val="20"/>
          <w:szCs w:val="20"/>
          <w:color w:val="auto"/>
        </w:rPr>
        <w:t>The individual who holds an Award, who shall be the Grantee or a Beneficiary.</w:t>
      </w:r>
    </w:p>
    <w:p>
      <w:pPr>
        <w:spacing w:after="0" w:line="1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Incentive Stock Option or ISO</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 option that is intended to meet, and structured with a view to satisfying, the requirements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Section 422 of the Code and is designated by the Grantor as an Incentive Stock Option.</w:t>
      </w:r>
    </w:p>
    <w:p>
      <w:pPr>
        <w:spacing w:after="0" w:line="9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b w:val="1"/>
          <w:bCs w:val="1"/>
          <w:i w:val="1"/>
          <w:iCs w:val="1"/>
          <w:color w:val="auto"/>
        </w:rPr>
        <w:t xml:space="preserve">Non-Qualified Stock Option. </w:t>
      </w:r>
      <w:r>
        <w:rPr>
          <w:rFonts w:ascii="Arial" w:cs="Arial" w:eastAsia="Arial" w:hAnsi="Arial"/>
          <w:sz w:val="19"/>
          <w:szCs w:val="19"/>
          <w:color w:val="auto"/>
        </w:rPr>
        <w:t>An Option that is not designated by the Grantor as an Incentive Stock Option, or an Option that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designated by the Grantor as an Incentive Stock option to the extent it does not satisfy the requirements of Section 422 of the Code.</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Nonreporting Person</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Grantee who is not subject to Section 16 of the Act with respect to the Company.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Option or Stock Option. </w:t>
      </w:r>
      <w:r>
        <w:rPr>
          <w:rFonts w:ascii="Arial" w:cs="Arial" w:eastAsia="Arial" w:hAnsi="Arial"/>
          <w:sz w:val="20"/>
          <w:szCs w:val="20"/>
          <w:color w:val="auto"/>
        </w:rPr>
        <w:t>A right granted pursuant to Article V.</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Option Price</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per share price at which shares of Common Stock may be purchased upon exercise of a particular Option.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Other Award. </w:t>
      </w:r>
      <w:r>
        <w:rPr>
          <w:rFonts w:ascii="Arial" w:cs="Arial" w:eastAsia="Arial" w:hAnsi="Arial"/>
          <w:sz w:val="20"/>
          <w:szCs w:val="20"/>
          <w:color w:val="auto"/>
        </w:rPr>
        <w:t>Awards granted pursuant to Article IX.</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2" w:right="239" w:bottom="1440" w:gutter="0" w:footer="0" w:header="0"/>
        </w:sectPr>
      </w:pPr>
    </w:p>
    <w:bookmarkStart w:id="57" w:name="page58"/>
    <w:bookmarkEnd w:id="57"/>
    <w:p>
      <w:pPr>
        <w:jc w:val="both"/>
        <w:ind w:firstLine="648"/>
        <w:spacing w:after="0" w:line="269" w:lineRule="auto"/>
        <w:rPr>
          <w:sz w:val="20"/>
          <w:szCs w:val="20"/>
          <w:color w:val="auto"/>
        </w:rPr>
      </w:pPr>
      <w:r>
        <w:rPr>
          <w:rFonts w:ascii="Arial" w:cs="Arial" w:eastAsia="Arial" w:hAnsi="Arial"/>
          <w:sz w:val="18"/>
          <w:szCs w:val="18"/>
          <w:b w:val="1"/>
          <w:bCs w:val="1"/>
          <w:i w:val="1"/>
          <w:iCs w:val="1"/>
          <w:color w:val="auto"/>
        </w:rPr>
        <w:t xml:space="preserve">Performance Goals. </w:t>
      </w:r>
      <w:r>
        <w:rPr>
          <w:rFonts w:ascii="Arial" w:cs="Arial" w:eastAsia="Arial" w:hAnsi="Arial"/>
          <w:sz w:val="18"/>
          <w:szCs w:val="18"/>
          <w:color w:val="auto"/>
        </w:rPr>
        <w:t>One or more of the following performance criteria, either individually, alternatively or in any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applied to either the Company as a whole or to a business unit or related company, and measured either annually or cumulatively over a period of years, on an absolute basis or relative to a pre-established target, to a previous year’s results or to a designated comparison group, in each case as specified by the Grantor in the Award; free cashflow, adjusted free cashflow, EBITDA, adjusted EBITDA, sales, revenue, revenue growth, income, operating income, net income, net earnings, earnings per share, return on total capital, return on equity, cash flow, funds from operations, operating profit and margin rate, gross margins, debt leverage (debt to capital), market capitalization, total enterprise value (market capitalization plus debt), total shareholder return and stock price. With respect to any Award that is intended to be “performance-based compensation” under Section 162 of the Code, (i) the outcome of the Performance Goals must be substantially uncertain at the time the Grantor establishes the Performance Goals, and (ii) to the extent consistent with Section 162 of the Code, the Grantor shall appropriately adjust any Performance Goal to take into account the impact of any of the following events on the Company that occurs during the period to which such Performance Goal is applied: asset write-downs; litigation, claims, judgments, settlements; currency fluctuations and other non-cash charges; changes in applicable law, rule or regulation or accounting principles; accruals for reorganization and restructuring programs; costs incurred in the pursuit of acquisition opportunities; strikes, delays or similar disruptions by organized labor, guilds or horsemen’s organizations; national macroeconomic conditions; terrorism and other international hostilities; significant regional weather events; and any other extraordinary, unusual or non-recurring event as described in Accounting Principles Board Opinion No.3 (or any successor opinion) and/or management’s discussion and analysis of financial condition and results of operations appearing in the Company’s securities filings. Any Award may be granted subject to the attainment of such Performance Goals as determined by the Grantor.</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Phantom Stock Unit</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right granted under Article VIII.</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Phantom Stock Unit Award</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 Award of Phantom Stock Units under Article VIII.</w:t>
      </w:r>
    </w:p>
    <w:p>
      <w:pPr>
        <w:spacing w:after="0" w:line="1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Plan. </w:t>
      </w:r>
      <w:r>
        <w:rPr>
          <w:rFonts w:ascii="Arial" w:cs="Arial" w:eastAsia="Arial" w:hAnsi="Arial"/>
          <w:sz w:val="20"/>
          <w:szCs w:val="20"/>
          <w:color w:val="auto"/>
        </w:rPr>
        <w:t>Gaming and Leisure Properties, Inc. 2013 Long Term Incentive Compensation Plan, as set forth herein and as amended from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time to time.</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Reporting Person</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Grantee who is subject to Section 16 of the Act With respect to the Company.</w:t>
      </w:r>
    </w:p>
    <w:p>
      <w:pPr>
        <w:spacing w:after="0" w:line="1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Restricted Period</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period of time beginning with the Date of Grant of a Restricted Stock Award or Phantom Stock Unit Award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ending when the Restricted Stock or Phantom Stock is forfeited or when all conditions for vesting are satisfied.</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Restricted Stock. </w:t>
      </w:r>
      <w:r>
        <w:rPr>
          <w:rFonts w:ascii="Arial" w:cs="Arial" w:eastAsia="Arial" w:hAnsi="Arial"/>
          <w:sz w:val="20"/>
          <w:szCs w:val="20"/>
          <w:color w:val="auto"/>
        </w:rPr>
        <w:t>Shares of Common Stock issued pursuant to a Restricted Stock Award.</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Restricted Stock Award</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 Award of Restricted Stock under Article VII.</w:t>
      </w:r>
    </w:p>
    <w:p>
      <w:pPr>
        <w:spacing w:after="0" w:line="1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Retirement. </w:t>
      </w:r>
      <w:r>
        <w:rPr>
          <w:rFonts w:ascii="Arial" w:cs="Arial" w:eastAsia="Arial" w:hAnsi="Arial"/>
          <w:sz w:val="20"/>
          <w:szCs w:val="20"/>
          <w:color w:val="auto"/>
        </w:rPr>
        <w:t>Termination of service by the Grantee who is an Employee on or after the normal retirement date under a tax-qualified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retirement plan maintained by the Company or a Subsidiary in which the Grantee is a participate or as otherwise agreed to by the Company in an Award Agreement.</w:t>
      </w:r>
    </w:p>
    <w:p>
      <w:pPr>
        <w:spacing w:after="0" w:line="1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Rule 16b-3. </w:t>
      </w:r>
      <w:r>
        <w:rPr>
          <w:rFonts w:ascii="Arial" w:cs="Arial" w:eastAsia="Arial" w:hAnsi="Arial"/>
          <w:sz w:val="20"/>
          <w:szCs w:val="20"/>
          <w:color w:val="auto"/>
        </w:rPr>
        <w:t>Rule 16b-3 of the General Rules and Regulations under the Act, or any law, rule, regulation or other provision that may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hereafter replace such Rule.</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SAR Base Amount</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 amount set forth in the Award Agreement for a SAR.</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Spin-Off. </w:t>
      </w:r>
      <w:r>
        <w:rPr>
          <w:rFonts w:ascii="Arial" w:cs="Arial" w:eastAsia="Arial" w:hAnsi="Arial"/>
          <w:sz w:val="20"/>
          <w:szCs w:val="20"/>
          <w:color w:val="auto"/>
        </w:rPr>
        <w:t>The date upon which Penn National Gaming, Inc. distributes the shares of the Company to its stockholders.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Stock Appreciation Right or SAR</w:t>
      </w:r>
      <w:r>
        <w:rPr>
          <w:rFonts w:ascii="Arial" w:cs="Arial" w:eastAsia="Arial" w:hAnsi="Arial"/>
          <w:sz w:val="20"/>
          <w:szCs w:val="20"/>
          <w:color w:val="auto"/>
        </w:rPr>
        <w:t>. A right granted under Article VI.</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Stock Appreciation Right Award</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 Award of Stock Appreciation Rights under Article VI.</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Stock Option Award. </w:t>
      </w:r>
      <w:r>
        <w:rPr>
          <w:rFonts w:ascii="Arial" w:cs="Arial" w:eastAsia="Arial" w:hAnsi="Arial"/>
          <w:sz w:val="20"/>
          <w:szCs w:val="20"/>
          <w:color w:val="auto"/>
        </w:rPr>
        <w:t>An Award of Options under Article V.</w:t>
      </w:r>
    </w:p>
    <w:p>
      <w:pPr>
        <w:spacing w:after="0" w:line="1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Subsidiary. </w:t>
      </w:r>
      <w:r>
        <w:rPr>
          <w:rFonts w:ascii="Arial" w:cs="Arial" w:eastAsia="Arial" w:hAnsi="Arial"/>
          <w:sz w:val="20"/>
          <w:szCs w:val="20"/>
          <w:color w:val="auto"/>
        </w:rPr>
        <w:t>Any corporation, partnership, joint venture or other entity in which the Committee has determined that the Company had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made, directly or indirectly through one or more intermediaries, a substantial investment or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2" w:right="239" w:bottom="1440" w:gutter="0" w:footer="0" w:header="0"/>
        </w:sectPr>
      </w:pPr>
    </w:p>
    <w:bookmarkStart w:id="58" w:name="page59"/>
    <w:bookmarkEnd w:id="58"/>
    <w:p>
      <w:pPr>
        <w:jc w:val="both"/>
        <w:spacing w:after="0" w:line="250" w:lineRule="auto"/>
        <w:rPr>
          <w:sz w:val="20"/>
          <w:szCs w:val="20"/>
          <w:color w:val="auto"/>
        </w:rPr>
      </w:pPr>
      <w:r>
        <w:rPr>
          <w:rFonts w:ascii="Arial" w:cs="Arial" w:eastAsia="Arial" w:hAnsi="Arial"/>
          <w:sz w:val="20"/>
          <w:szCs w:val="20"/>
          <w:color w:val="auto"/>
        </w:rPr>
        <w:t>commitment, including, without limit, through the purchase of equity or debt or the entering into of a management agreement or joint operating agreement. In the case of Incentive Stock Options, Subsidiary shall mean any entity that qualifies as a “subsidiary corporation” of the Company under Section 424(f) of the Code.</w:t>
      </w:r>
    </w:p>
    <w:p>
      <w:pPr>
        <w:spacing w:after="0" w:line="1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Ten Percent Shareholder</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person owning shares possessing more than 10% of the total combined voting power of all classes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shares of the Company, any subsidiary corporation (within the meaning of Section 424(f) of the Code) or parent corporation (within the meaning of Section 424(e) of the Code).</w:t>
      </w:r>
    </w:p>
    <w:p>
      <w:pPr>
        <w:spacing w:after="0" w:line="10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2.2</w:t>
      </w:r>
      <w:r>
        <w:rPr>
          <w:sz w:val="20"/>
          <w:szCs w:val="20"/>
          <w:color w:val="auto"/>
        </w:rPr>
        <w:tab/>
      </w:r>
      <w:r>
        <w:rPr>
          <w:rFonts w:ascii="Arial" w:cs="Arial" w:eastAsia="Arial" w:hAnsi="Arial"/>
          <w:sz w:val="18"/>
          <w:szCs w:val="18"/>
          <w:u w:val="single" w:color="auto"/>
          <w:color w:val="auto"/>
        </w:rPr>
        <w:t>Construction</w:t>
      </w:r>
    </w:p>
    <w:p>
      <w:pPr>
        <w:spacing w:after="0" w:line="13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Whenever any words are used herein in the masculine gender, they shall be constructed as though they were also used in the feminine gender in all cases where they would so apply, and wherever any words are used herein the singular form they shall be constructed as though they were also used in the plural form in all cases where they would so apply. Headings of Sections and Subsections of the Plan are inserted for convenience of reference, are not a part of the Plan, and are not to be considered in the construction hereof. The words “hereof”, “herein”, “hereunder” and other similar compounds of the word “here” shall mean and refer to the entire Plan, and not to any particular provision or Section. The words “includes”, “including” and other similar compounds o the word “include” shall mean and refer to including without limitation. All references herein to specific Articles, Sections or subsections shall mean Articles, Sections or Subsections of this document unless otherwise qualified.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STOCK AVAILABLE FOR AWARDS</w:t>
      </w:r>
    </w:p>
    <w:p>
      <w:pPr>
        <w:spacing w:after="0" w:line="14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3.1</w:t>
      </w:r>
      <w:r>
        <w:rPr>
          <w:sz w:val="20"/>
          <w:szCs w:val="20"/>
          <w:color w:val="auto"/>
        </w:rPr>
        <w:tab/>
      </w:r>
      <w:r>
        <w:rPr>
          <w:rFonts w:ascii="Arial" w:cs="Arial" w:eastAsia="Arial" w:hAnsi="Arial"/>
          <w:sz w:val="18"/>
          <w:szCs w:val="18"/>
          <w:u w:val="single" w:color="auto"/>
          <w:color w:val="auto"/>
        </w:rPr>
        <w:t>Common Stock</w:t>
      </w:r>
    </w:p>
    <w:p>
      <w:pPr>
        <w:spacing w:after="0" w:line="1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Shares of Common Stock may be delivered under the Plan, such shares to be made available from authorized but unissued shares or from share reacquired by the Company, including shares purchased in the open market.</w:t>
      </w:r>
    </w:p>
    <w:p>
      <w:pPr>
        <w:spacing w:after="0" w:line="9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3.2</w:t>
      </w:r>
      <w:r>
        <w:rPr>
          <w:sz w:val="20"/>
          <w:szCs w:val="20"/>
          <w:color w:val="auto"/>
        </w:rPr>
        <w:tab/>
      </w:r>
      <w:r>
        <w:rPr>
          <w:rFonts w:ascii="Arial" w:cs="Arial" w:eastAsia="Arial" w:hAnsi="Arial"/>
          <w:sz w:val="18"/>
          <w:szCs w:val="18"/>
          <w:u w:val="single" w:color="auto"/>
          <w:color w:val="auto"/>
        </w:rPr>
        <w:t>Number of Shares Deliverable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adjustments as provided in Section 11.2, no more than 5,147,059 shares of Common Stock may be issued under the Plan.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Any Awards that are not settled in shares of Common Stock shall not count against this limit.</w:t>
      </w:r>
    </w:p>
    <w:p>
      <w:pPr>
        <w:spacing w:after="0" w:line="11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3.3</w:t>
      </w:r>
      <w:r>
        <w:rPr>
          <w:sz w:val="20"/>
          <w:szCs w:val="20"/>
          <w:color w:val="auto"/>
        </w:rPr>
        <w:tab/>
      </w:r>
      <w:r>
        <w:rPr>
          <w:rFonts w:ascii="Arial" w:cs="Arial" w:eastAsia="Arial" w:hAnsi="Arial"/>
          <w:sz w:val="16"/>
          <w:szCs w:val="16"/>
          <w:u w:val="single" w:color="auto"/>
          <w:color w:val="auto"/>
        </w:rPr>
        <w:t>Reusable Share</w:t>
      </w:r>
      <w:r>
        <w:rPr>
          <w:rFonts w:ascii="Arial" w:cs="Arial" w:eastAsia="Arial" w:hAnsi="Arial"/>
          <w:sz w:val="16"/>
          <w:szCs w:val="16"/>
          <w:color w:val="auto"/>
        </w:rPr>
        <w:t>s</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color w:val="auto"/>
        </w:rPr>
        <w:t>Shares of Common Stock subject to an Award that are forfeited to the Company shall again be available for issuance under the Plan.</w:t>
      </w:r>
    </w:p>
    <w:p>
      <w:pPr>
        <w:spacing w:after="0" w:line="140"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ARTICLE IV</w:t>
      </w:r>
    </w:p>
    <w:p>
      <w:pPr>
        <w:spacing w:after="0" w:line="135" w:lineRule="exact"/>
        <w:rPr>
          <w:sz w:val="20"/>
          <w:szCs w:val="20"/>
          <w:color w:val="auto"/>
        </w:rPr>
      </w:pPr>
    </w:p>
    <w:p>
      <w:pPr>
        <w:ind w:left="3940"/>
        <w:spacing w:after="0"/>
        <w:rPr>
          <w:sz w:val="20"/>
          <w:szCs w:val="20"/>
          <w:color w:val="auto"/>
        </w:rPr>
      </w:pPr>
      <w:r>
        <w:rPr>
          <w:rFonts w:ascii="Arial" w:cs="Arial" w:eastAsia="Arial" w:hAnsi="Arial"/>
          <w:sz w:val="20"/>
          <w:szCs w:val="20"/>
          <w:b w:val="1"/>
          <w:bCs w:val="1"/>
          <w:u w:val="single" w:color="auto"/>
          <w:color w:val="auto"/>
        </w:rPr>
        <w:t>AWARDS AND AWARD AGREEMENTS</w:t>
      </w:r>
    </w:p>
    <w:p>
      <w:pPr>
        <w:spacing w:after="0" w:line="14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4.1</w:t>
      </w:r>
      <w:r>
        <w:rPr>
          <w:sz w:val="20"/>
          <w:szCs w:val="20"/>
          <w:color w:val="auto"/>
        </w:rPr>
        <w:tab/>
      </w:r>
      <w:r>
        <w:rPr>
          <w:rFonts w:ascii="Arial" w:cs="Arial" w:eastAsia="Arial" w:hAnsi="Arial"/>
          <w:sz w:val="16"/>
          <w:szCs w:val="16"/>
          <w:u w:val="single" w:color="auto"/>
          <w:color w:val="auto"/>
        </w:rPr>
        <w:t>General</w:t>
      </w:r>
    </w:p>
    <w:p>
      <w:pPr>
        <w:spacing w:after="0" w:line="135"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8"/>
          <w:szCs w:val="18"/>
          <w:color w:val="auto"/>
        </w:rPr>
        <w:t>4.1.1 Subject to the provisions of the Plan, the Committee may at any time and from time to time (i) determine and designate those Reporting Persons who are Employees to whom Awards are to be granted; (ii) determine the time or times when Awards to Reporting Persons who are Employees shall be granted; (iii) determine the form or forms of Awards to be granted to any Reporting Person who is an Employee;</w:t>
      </w:r>
    </w:p>
    <w:p>
      <w:pPr>
        <w:spacing w:after="0" w:line="1" w:lineRule="exact"/>
        <w:rPr>
          <w:sz w:val="20"/>
          <w:szCs w:val="20"/>
          <w:color w:val="auto"/>
        </w:rPr>
      </w:pPr>
    </w:p>
    <w:p>
      <w:pPr>
        <w:jc w:val="both"/>
        <w:ind w:firstLine="8"/>
        <w:spacing w:after="0" w:line="321" w:lineRule="auto"/>
        <w:tabs>
          <w:tab w:leader="none" w:pos="365"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determine the number of shares of Common Stock or dollar amounts subject to or denominated by each Award to be granted to any Reporting Person who is an Employee; </w:t>
      </w:r>
      <w:r>
        <w:rPr>
          <w:rFonts w:ascii="Arial" w:cs="Arial" w:eastAsia="Arial" w:hAnsi="Arial"/>
          <w:sz w:val="16"/>
          <w:szCs w:val="16"/>
          <w:color w:val="181818"/>
        </w:rPr>
        <w:t>; (v) determine the terms and conditions of each Award to a Reporting Person who is an Employee; (vi)</w:t>
      </w:r>
      <w:r>
        <w:rPr>
          <w:rFonts w:ascii="Arial" w:cs="Arial" w:eastAsia="Arial" w:hAnsi="Arial"/>
          <w:sz w:val="16"/>
          <w:szCs w:val="16"/>
          <w:color w:val="auto"/>
        </w:rPr>
        <w:t xml:space="preserve"> </w:t>
      </w:r>
      <w:r>
        <w:rPr>
          <w:rFonts w:ascii="Arial" w:cs="Arial" w:eastAsia="Arial" w:hAnsi="Arial"/>
          <w:sz w:val="16"/>
          <w:szCs w:val="16"/>
          <w:color w:val="181818"/>
        </w:rPr>
        <w:t>determine the maximum aggregate number of shares or, for purposes of Other Awards payable in cash, the aggregate amount of cash subject to Awards to be granted to Nonreporting Persons; and (vii) determine the general form or forms of Awards to be granted to Nonreporting Persons.</w:t>
      </w:r>
    </w:p>
    <w:p>
      <w:pPr>
        <w:spacing w:after="0" w:line="53" w:lineRule="exact"/>
        <w:rPr>
          <w:sz w:val="20"/>
          <w:szCs w:val="20"/>
          <w:color w:val="auto"/>
        </w:rPr>
      </w:pPr>
    </w:p>
    <w:p>
      <w:pPr>
        <w:jc w:val="both"/>
        <w:ind w:firstLine="972"/>
        <w:spacing w:after="0" w:line="244" w:lineRule="auto"/>
        <w:rPr>
          <w:sz w:val="20"/>
          <w:szCs w:val="20"/>
          <w:color w:val="auto"/>
        </w:rPr>
      </w:pPr>
      <w:r>
        <w:rPr>
          <w:rFonts w:ascii="Arial" w:cs="Arial" w:eastAsia="Arial" w:hAnsi="Arial"/>
          <w:sz w:val="20"/>
          <w:szCs w:val="20"/>
          <w:color w:val="181818"/>
        </w:rPr>
        <w:t>4.1.2 The Committee or the Chairman, subject to the provisions of the Plan and authorization by the Committee, may, at any time and from time to time, (i) determine and designate at any time and from time to time those Nonreporting Persons to whom Awards are to be granted; (ii) determine the time or times when Awards to Nonreporting Persons shall be granted; (iii) determine the form or forms of Award to be granted to any Nonreporting Person, from among the form or forms approved by the Committee; (iv) determine the number of shares of Common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2" w:right="239" w:bottom="1440" w:gutter="0" w:footer="0" w:header="0"/>
        </w:sectPr>
      </w:pPr>
    </w:p>
    <w:bookmarkStart w:id="59" w:name="page60"/>
    <w:bookmarkEnd w:id="59"/>
    <w:p>
      <w:pPr>
        <w:jc w:val="both"/>
        <w:spacing w:after="0" w:line="260" w:lineRule="auto"/>
        <w:rPr>
          <w:sz w:val="20"/>
          <w:szCs w:val="20"/>
          <w:color w:val="auto"/>
        </w:rPr>
      </w:pPr>
      <w:r>
        <w:rPr>
          <w:rFonts w:ascii="Arial" w:cs="Arial" w:eastAsia="Arial" w:hAnsi="Arial"/>
          <w:sz w:val="20"/>
          <w:szCs w:val="20"/>
          <w:color w:val="181818"/>
        </w:rPr>
        <w:t>Stock or dollar amounts subject to or denominated by each Award to be granted to any Nonreporting Person; and (v) determine the terms and conditions of each Award to a Nonreporting Person.</w:t>
      </w:r>
    </w:p>
    <w:p>
      <w:pPr>
        <w:spacing w:after="0" w:line="96" w:lineRule="exact"/>
        <w:rPr>
          <w:sz w:val="20"/>
          <w:szCs w:val="20"/>
          <w:color w:val="auto"/>
        </w:rPr>
      </w:pPr>
    </w:p>
    <w:p>
      <w:pPr>
        <w:jc w:val="both"/>
        <w:ind w:firstLine="972"/>
        <w:spacing w:after="0" w:line="244" w:lineRule="auto"/>
        <w:rPr>
          <w:sz w:val="20"/>
          <w:szCs w:val="20"/>
          <w:color w:val="auto"/>
        </w:rPr>
      </w:pPr>
      <w:r>
        <w:rPr>
          <w:rFonts w:ascii="Arial" w:cs="Arial" w:eastAsia="Arial" w:hAnsi="Arial"/>
          <w:sz w:val="20"/>
          <w:szCs w:val="20"/>
          <w:color w:val="181818"/>
        </w:rPr>
        <w:t>4.1.3 Subject to the provisions of the Plan, the Board or Committee may, at any time and from time to time, (i) determine and designate at any time and from time to time those Directors to whom Awards, other than Incentive Stock Options, are to be granted; (ii) determine the time or times when Awards to Directors shall be granted; (iii) determine the form or forms of Awards to be granted to any Director; (iv) determine the number of shares of Common Stock or dollar amounts subject to or denominated by each Award to be granted to a Director; and (v) determine the terms and condition of each Award to a Director.</w:t>
      </w:r>
    </w:p>
    <w:p>
      <w:pPr>
        <w:spacing w:after="0" w:line="114" w:lineRule="exact"/>
        <w:rPr>
          <w:sz w:val="20"/>
          <w:szCs w:val="20"/>
          <w:color w:val="auto"/>
        </w:rPr>
      </w:pPr>
    </w:p>
    <w:p>
      <w:pPr>
        <w:jc w:val="both"/>
        <w:ind w:firstLine="972"/>
        <w:spacing w:after="0" w:line="243" w:lineRule="auto"/>
        <w:rPr>
          <w:sz w:val="20"/>
          <w:szCs w:val="20"/>
          <w:color w:val="auto"/>
        </w:rPr>
      </w:pPr>
      <w:r>
        <w:rPr>
          <w:rFonts w:ascii="Arial" w:cs="Arial" w:eastAsia="Arial" w:hAnsi="Arial"/>
          <w:sz w:val="20"/>
          <w:szCs w:val="20"/>
          <w:color w:val="181818"/>
        </w:rPr>
        <w:t>4.1.4 Awards may be granted singly, in combination or in tandem and may be made in combination or in tandem with or in replacement of, or as alternatives to awards or grants under any other employee plan maintained by the Company or its Subsidiaries. No Awards shall be granted under the Plan after the tenth anniversary of the Effective Date; provided that Awards made on or prior to such anniversary may continue in effect in accordance with their terms following such anniversary. Awards may be granted with dividend equivalent rights, on such terms as the Committee may determine; provided that the provisions of Section 7.6 shall govern with respect to dividends on Restricted Stock Awards.</w:t>
      </w:r>
    </w:p>
    <w:p>
      <w:pPr>
        <w:spacing w:after="0" w:line="11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4.2</w:t>
      </w:r>
      <w:r>
        <w:rPr>
          <w:sz w:val="20"/>
          <w:szCs w:val="20"/>
          <w:color w:val="auto"/>
        </w:rPr>
        <w:tab/>
      </w:r>
      <w:r>
        <w:rPr>
          <w:rFonts w:ascii="Arial" w:cs="Arial" w:eastAsia="Arial" w:hAnsi="Arial"/>
          <w:sz w:val="20"/>
          <w:szCs w:val="20"/>
          <w:u w:val="single" w:color="auto"/>
          <w:color w:val="auto"/>
        </w:rPr>
        <w:t>Eligibility</w:t>
      </w:r>
    </w:p>
    <w:p>
      <w:pPr>
        <w:spacing w:after="0" w:line="1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181818"/>
        </w:rPr>
        <w:t xml:space="preserve">Any Director, Employee or Consultant, including any officer who is an Employee and any director who is an </w:t>
      </w:r>
      <w:r>
        <w:rPr>
          <w:rFonts w:ascii="Arial" w:cs="Arial" w:eastAsia="Arial" w:hAnsi="Arial"/>
          <w:sz w:val="20"/>
          <w:szCs w:val="20"/>
          <w:color w:val="2F2F2F"/>
        </w:rPr>
        <w:t>Employee</w:t>
      </w:r>
      <w:r>
        <w:rPr>
          <w:rFonts w:ascii="Arial" w:cs="Arial" w:eastAsia="Arial" w:hAnsi="Arial"/>
          <w:sz w:val="20"/>
          <w:szCs w:val="20"/>
          <w:color w:val="181818"/>
        </w:rPr>
        <w:t xml:space="preserve"> and an individual who has accepted the Company's or a Subsidiary's offer of employment or consultancy but who has not commenced performing services for the Company or a Subsidiary, shall be eligible to receive Awards under the Plan. Individuals holding Converted Awards shall also eligible to participate in the Plan with respect to such Converted Awards.</w:t>
      </w:r>
    </w:p>
    <w:p>
      <w:pPr>
        <w:spacing w:after="0" w:line="110"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81818"/>
        </w:rPr>
        <w:t>Section 4.3</w:t>
      </w:r>
      <w:r>
        <w:rPr>
          <w:sz w:val="20"/>
          <w:szCs w:val="20"/>
          <w:color w:val="auto"/>
        </w:rPr>
        <w:tab/>
      </w:r>
      <w:r>
        <w:rPr>
          <w:rFonts w:ascii="Arial" w:cs="Arial" w:eastAsia="Arial" w:hAnsi="Arial"/>
          <w:sz w:val="16"/>
          <w:szCs w:val="16"/>
          <w:u w:val="single" w:color="auto"/>
          <w:color w:val="181818"/>
        </w:rPr>
        <w:t>Terms and Conditions; Award Agreements</w:t>
      </w:r>
    </w:p>
    <w:p>
      <w:pPr>
        <w:spacing w:after="0" w:line="135"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8"/>
          <w:szCs w:val="18"/>
          <w:color w:val="181818"/>
        </w:rPr>
        <w:t xml:space="preserve">4.3.1 </w:t>
      </w:r>
      <w:r>
        <w:rPr>
          <w:rFonts w:ascii="Arial" w:cs="Arial" w:eastAsia="Arial" w:hAnsi="Arial"/>
          <w:sz w:val="18"/>
          <w:szCs w:val="18"/>
          <w:i w:val="1"/>
          <w:iCs w:val="1"/>
          <w:color w:val="181818"/>
        </w:rPr>
        <w:t>Terms and Conditions.</w:t>
      </w:r>
      <w:r>
        <w:rPr>
          <w:rFonts w:ascii="Arial" w:cs="Arial" w:eastAsia="Arial" w:hAnsi="Arial"/>
          <w:sz w:val="18"/>
          <w:szCs w:val="18"/>
          <w:color w:val="181818"/>
        </w:rPr>
        <w:t xml:space="preserve"> Except as otherwise provided herein with respect to Converted Awards, each Award granted pursuant to the Plan shall be subject to all of the terms, conditions and restrictions provided in the Plan and such other terms, conditions and restrictions, if any, as may be specified by the Grantor with respect to the Award at the time of the making of the Award or as may be amended or specified thereafter by the Grantor in the exercise of its or his or her, as the case may be, powers under the Plan. Without limiting the foregoing, it is understood that the Grantor may, at any time and from time to time after the granting of an Award hereunder, specify such amended or additional terms, conditions and restrictions with respect to such Award (including Converted Awards) as may be deemed necessary or appropriate to ensure compliance with any and all applicable laws, including, but not limited to, compliance with Federal and state securities laws, compliance with Federal and state gaming or racing laws, compliance with Federal and state tax laws that would otherwise result in adverse and unintended tax consequences for a Grantee, the Company or any Subsidiary and methods of withholding or providing for the payment of required taxes. The terms, conditions and restrictions with respect to any Award, Grantee or Award Agreement need not be identical with the terms, conditions and restrictions with respect to any other Award, Grantee or Award Agreement.</w:t>
      </w:r>
    </w:p>
    <w:p>
      <w:pPr>
        <w:spacing w:after="0" w:line="90"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9"/>
          <w:szCs w:val="19"/>
          <w:color w:val="181818"/>
        </w:rPr>
        <w:t>4.3.</w:t>
      </w:r>
      <w:r>
        <w:rPr>
          <w:rFonts w:ascii="Arial" w:cs="Arial" w:eastAsia="Arial" w:hAnsi="Arial"/>
          <w:sz w:val="19"/>
          <w:szCs w:val="19"/>
          <w:i w:val="1"/>
          <w:iCs w:val="1"/>
          <w:color w:val="181818"/>
        </w:rPr>
        <w:t>2 Award Agreements.</w:t>
      </w:r>
      <w:r>
        <w:rPr>
          <w:rFonts w:ascii="Arial" w:cs="Arial" w:eastAsia="Arial" w:hAnsi="Arial"/>
          <w:sz w:val="19"/>
          <w:szCs w:val="19"/>
          <w:color w:val="181818"/>
        </w:rPr>
        <w:t xml:space="preserve"> Each Award granted pursuant to the Plan may be evidenced by an Award Agreement and (except as otherwise provided herein with respect to Converted Awards) shall comply with, and be subject to, the provisions of the Plan.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81818"/>
        </w:rPr>
        <w:t>ARTICLE V</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181818"/>
        </w:rPr>
        <w:t>OPTIONS</w:t>
      </w:r>
    </w:p>
    <w:p>
      <w:pPr>
        <w:spacing w:after="0" w:line="14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81818"/>
        </w:rPr>
        <w:t>Section 5.1</w:t>
      </w:r>
      <w:r>
        <w:rPr>
          <w:sz w:val="20"/>
          <w:szCs w:val="20"/>
          <w:color w:val="auto"/>
        </w:rPr>
        <w:tab/>
      </w:r>
      <w:r>
        <w:rPr>
          <w:rFonts w:ascii="Arial" w:cs="Arial" w:eastAsia="Arial" w:hAnsi="Arial"/>
          <w:sz w:val="18"/>
          <w:szCs w:val="18"/>
          <w:u w:val="single" w:color="auto"/>
          <w:color w:val="181818"/>
        </w:rPr>
        <w:t>Award of Options</w:t>
      </w:r>
    </w:p>
    <w:p>
      <w:pPr>
        <w:spacing w:after="0" w:line="135" w:lineRule="exact"/>
        <w:rPr>
          <w:sz w:val="20"/>
          <w:szCs w:val="20"/>
          <w:color w:val="auto"/>
        </w:rPr>
      </w:pPr>
    </w:p>
    <w:p>
      <w:pPr>
        <w:jc w:val="both"/>
        <w:ind w:firstLine="972"/>
        <w:spacing w:after="0" w:line="246" w:lineRule="auto"/>
        <w:rPr>
          <w:sz w:val="20"/>
          <w:szCs w:val="20"/>
          <w:color w:val="auto"/>
        </w:rPr>
      </w:pPr>
      <w:r>
        <w:rPr>
          <w:rFonts w:ascii="Arial" w:cs="Arial" w:eastAsia="Arial" w:hAnsi="Arial"/>
          <w:sz w:val="20"/>
          <w:szCs w:val="20"/>
          <w:color w:val="181818"/>
        </w:rPr>
        <w:t xml:space="preserve">5.1.1 </w:t>
      </w:r>
      <w:r>
        <w:rPr>
          <w:rFonts w:ascii="Arial" w:cs="Arial" w:eastAsia="Arial" w:hAnsi="Arial"/>
          <w:sz w:val="20"/>
          <w:szCs w:val="20"/>
          <w:i w:val="1"/>
          <w:iCs w:val="1"/>
          <w:color w:val="181818"/>
        </w:rPr>
        <w:t>Grants.</w:t>
      </w:r>
      <w:r>
        <w:rPr>
          <w:rFonts w:ascii="Arial" w:cs="Arial" w:eastAsia="Arial" w:hAnsi="Arial"/>
          <w:sz w:val="20"/>
          <w:szCs w:val="20"/>
          <w:color w:val="181818"/>
        </w:rPr>
        <w:t xml:space="preserve"> From time to time, the Committee may grant Stock Option Awards to such Reporting Persons who are Employees as the Committee may select in its sole discretion. From time to time, the Committee or the Chairman may grant Stock Option Awards in such number as the Committee or the Chairman may determine to such Nonreporting Persons as the Committee or the Chairman may select in its or his or her, as the case may be, sole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2" w:right="239" w:bottom="1440" w:gutter="0" w:footer="0" w:header="0"/>
        </w:sectPr>
      </w:pPr>
    </w:p>
    <w:bookmarkStart w:id="60" w:name="page61"/>
    <w:bookmarkEnd w:id="60"/>
    <w:p>
      <w:pPr>
        <w:jc w:val="both"/>
        <w:spacing w:after="0" w:line="244" w:lineRule="auto"/>
        <w:rPr>
          <w:sz w:val="20"/>
          <w:szCs w:val="20"/>
          <w:color w:val="auto"/>
        </w:rPr>
      </w:pPr>
      <w:r>
        <w:rPr>
          <w:rFonts w:ascii="Arial" w:cs="Arial" w:eastAsia="Arial" w:hAnsi="Arial"/>
          <w:sz w:val="20"/>
          <w:szCs w:val="20"/>
          <w:color w:val="181818"/>
        </w:rPr>
        <w:t xml:space="preserve">discretion; </w:t>
      </w:r>
      <w:r>
        <w:rPr>
          <w:rFonts w:ascii="Arial" w:cs="Arial" w:eastAsia="Arial" w:hAnsi="Arial"/>
          <w:sz w:val="20"/>
          <w:szCs w:val="20"/>
          <w:i w:val="1"/>
          <w:iCs w:val="1"/>
          <w:color w:val="181818"/>
        </w:rPr>
        <w:t>provided, however,</w:t>
      </w:r>
      <w:r>
        <w:rPr>
          <w:rFonts w:ascii="Arial" w:cs="Arial" w:eastAsia="Arial" w:hAnsi="Arial"/>
          <w:sz w:val="20"/>
          <w:szCs w:val="20"/>
          <w:color w:val="181818"/>
        </w:rPr>
        <w:t xml:space="preserve"> each and all such grants shall be subject to any maximum aggregate amount of Awards in general and Options in particular (if any) established by the Committee for grants under the Plan for Nonreporting Persons as a group. From time to time, the Board or Committee may grant Options to such Directors as the Board or Committee may select in its sole discretion. The Grantor shall determine the number of shares of Common Stock to which each Option relates. A Stock Option entitles the holder thereof to purchase full shares of Common Stock at a stated price for a specified period of time.</w:t>
      </w:r>
    </w:p>
    <w:p>
      <w:pPr>
        <w:spacing w:after="0" w:line="114" w:lineRule="exact"/>
        <w:rPr>
          <w:sz w:val="20"/>
          <w:szCs w:val="20"/>
          <w:color w:val="auto"/>
        </w:rPr>
      </w:pPr>
    </w:p>
    <w:p>
      <w:pPr>
        <w:ind w:left="980"/>
        <w:spacing w:after="0"/>
        <w:tabs>
          <w:tab w:leader="none" w:pos="1540" w:val="left"/>
        </w:tabs>
        <w:rPr>
          <w:sz w:val="20"/>
          <w:szCs w:val="20"/>
          <w:color w:val="auto"/>
        </w:rPr>
      </w:pPr>
      <w:r>
        <w:rPr>
          <w:rFonts w:ascii="Arial" w:cs="Arial" w:eastAsia="Arial" w:hAnsi="Arial"/>
          <w:sz w:val="20"/>
          <w:szCs w:val="20"/>
          <w:color w:val="181818"/>
        </w:rPr>
        <w:t>5.1.2</w:t>
      </w:r>
      <w:r>
        <w:rPr>
          <w:sz w:val="20"/>
          <w:szCs w:val="20"/>
          <w:color w:val="auto"/>
        </w:rPr>
        <w:tab/>
      </w:r>
      <w:r>
        <w:rPr>
          <w:rFonts w:ascii="Arial" w:cs="Arial" w:eastAsia="Arial" w:hAnsi="Arial"/>
          <w:sz w:val="16"/>
          <w:szCs w:val="16"/>
          <w:color w:val="181818"/>
        </w:rPr>
        <w:t>Types of Options</w:t>
      </w:r>
    </w:p>
    <w:p>
      <w:pPr>
        <w:spacing w:after="0" w:line="13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181818"/>
        </w:rPr>
        <w:t xml:space="preserve">5.1.2.1 </w:t>
      </w:r>
      <w:r>
        <w:rPr>
          <w:rFonts w:ascii="Arial" w:cs="Arial" w:eastAsia="Arial" w:hAnsi="Arial"/>
          <w:sz w:val="20"/>
          <w:szCs w:val="20"/>
          <w:i w:val="1"/>
          <w:iCs w:val="1"/>
          <w:color w:val="181818"/>
        </w:rPr>
        <w:t>Employees.</w:t>
      </w:r>
      <w:r>
        <w:rPr>
          <w:rFonts w:ascii="Arial" w:cs="Arial" w:eastAsia="Arial" w:hAnsi="Arial"/>
          <w:sz w:val="20"/>
          <w:szCs w:val="20"/>
          <w:color w:val="181818"/>
        </w:rPr>
        <w:t xml:space="preserve"> </w:t>
      </w:r>
      <w:r>
        <w:rPr>
          <w:rFonts w:ascii="Arial" w:cs="Arial" w:eastAsia="Arial" w:hAnsi="Arial"/>
          <w:sz w:val="20"/>
          <w:szCs w:val="20"/>
          <w:color w:val="1D1D1D"/>
        </w:rPr>
        <w:t>Options granted to Employees pursuant to the Plan may be either in the form of Incentive Stock Options or</w:t>
      </w:r>
      <w:r>
        <w:rPr>
          <w:rFonts w:ascii="Arial" w:cs="Arial" w:eastAsia="Arial" w:hAnsi="Arial"/>
          <w:sz w:val="20"/>
          <w:szCs w:val="20"/>
          <w:color w:val="181818"/>
        </w:rPr>
        <w:t xml:space="preserve"> </w:t>
      </w:r>
      <w:r>
        <w:rPr>
          <w:rFonts w:ascii="Arial" w:cs="Arial" w:eastAsia="Arial" w:hAnsi="Arial"/>
          <w:sz w:val="20"/>
          <w:szCs w:val="20"/>
          <w:color w:val="1D1D1D"/>
        </w:rPr>
        <w:t>in the form of Non-Qualified Stock Options.</w:t>
      </w:r>
    </w:p>
    <w:p>
      <w:pPr>
        <w:spacing w:after="0" w:line="96"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1D1D1D"/>
        </w:rPr>
        <w:t xml:space="preserve">5.1.2.2 </w:t>
      </w:r>
      <w:r>
        <w:rPr>
          <w:rFonts w:ascii="Arial" w:cs="Arial" w:eastAsia="Arial" w:hAnsi="Arial"/>
          <w:sz w:val="20"/>
          <w:szCs w:val="20"/>
          <w:i w:val="1"/>
          <w:iCs w:val="1"/>
          <w:color w:val="1D1D1D"/>
        </w:rPr>
        <w:t>Directors and Consultants.</w:t>
      </w:r>
      <w:r>
        <w:rPr>
          <w:rFonts w:ascii="Arial" w:cs="Arial" w:eastAsia="Arial" w:hAnsi="Arial"/>
          <w:sz w:val="20"/>
          <w:szCs w:val="20"/>
          <w:color w:val="1D1D1D"/>
        </w:rPr>
        <w:t xml:space="preserve"> Options granted to Directors or Consultants pursuant to the Plan will be in the form of Non-Qualified Stock Options.</w:t>
      </w:r>
    </w:p>
    <w:p>
      <w:pPr>
        <w:spacing w:after="0" w:line="96" w:lineRule="exact"/>
        <w:rPr>
          <w:sz w:val="20"/>
          <w:szCs w:val="20"/>
          <w:color w:val="auto"/>
        </w:rPr>
      </w:pPr>
    </w:p>
    <w:p>
      <w:pPr>
        <w:ind w:left="980"/>
        <w:spacing w:after="0"/>
        <w:rPr>
          <w:sz w:val="20"/>
          <w:szCs w:val="20"/>
          <w:color w:val="auto"/>
        </w:rPr>
      </w:pPr>
      <w:r>
        <w:rPr>
          <w:rFonts w:ascii="Arial" w:cs="Arial" w:eastAsia="Arial" w:hAnsi="Arial"/>
          <w:sz w:val="19"/>
          <w:szCs w:val="19"/>
          <w:color w:val="1D1D1D"/>
        </w:rPr>
        <w:t xml:space="preserve">5.1.3 </w:t>
      </w:r>
      <w:r>
        <w:rPr>
          <w:rFonts w:ascii="Arial" w:cs="Arial" w:eastAsia="Arial" w:hAnsi="Arial"/>
          <w:sz w:val="19"/>
          <w:szCs w:val="19"/>
          <w:i w:val="1"/>
          <w:iCs w:val="1"/>
          <w:color w:val="1D1D1D"/>
        </w:rPr>
        <w:t>Maximum Award to an Individual.</w:t>
      </w:r>
      <w:r>
        <w:rPr>
          <w:rFonts w:ascii="Arial" w:cs="Arial" w:eastAsia="Arial" w:hAnsi="Arial"/>
          <w:sz w:val="19"/>
          <w:szCs w:val="19"/>
          <w:color w:val="1D1D1D"/>
        </w:rPr>
        <w:t xml:space="preserve"> No individual shall be granted in any calendar year Options to purchase more than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1D1D1D"/>
        </w:rPr>
        <w:t>1,000,000 shares of Common Stock.</w:t>
      </w:r>
    </w:p>
    <w:p>
      <w:pPr>
        <w:spacing w:after="0" w:line="11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9"/>
          <w:szCs w:val="19"/>
          <w:color w:val="1D1D1D"/>
        </w:rPr>
        <w:t xml:space="preserve">5.1.4 </w:t>
      </w:r>
      <w:r>
        <w:rPr>
          <w:rFonts w:ascii="Arial" w:cs="Arial" w:eastAsia="Arial" w:hAnsi="Arial"/>
          <w:sz w:val="19"/>
          <w:szCs w:val="19"/>
          <w:i w:val="1"/>
          <w:iCs w:val="1"/>
          <w:color w:val="1D1D1D"/>
        </w:rPr>
        <w:t>Internal Revenue Code Limits.</w:t>
      </w:r>
      <w:r>
        <w:rPr>
          <w:rFonts w:ascii="Arial" w:cs="Arial" w:eastAsia="Arial" w:hAnsi="Arial"/>
          <w:sz w:val="19"/>
          <w:szCs w:val="19"/>
          <w:color w:val="1D1D1D"/>
        </w:rPr>
        <w:t xml:space="preserve"> Options designated as Incentive Stock Options shall not be eligible for treatment under the Code as "incentive stock options" (and will be deemed to be Non-Qualified Stock Options) to the extent that either (1) the aggregate Fair Market Value of Shares (determined as of the time of grant) with respect to which such Options are exercisable for the first time by the Grantee during any calendar year (under all plans of the Company and any Subsidiary) exceeds $100,000, taking Options into account in the order in which they were granted or (2) such Options otherwise remain exercisable but are not exercised within three (3) months of termination of employment (or such other period of time provided in Section 422 of the Code).</w:t>
      </w:r>
    </w:p>
    <w:p>
      <w:pPr>
        <w:spacing w:after="0" w:line="98"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81818"/>
        </w:rPr>
        <w:t>Section 5.2</w:t>
      </w:r>
      <w:r>
        <w:rPr>
          <w:sz w:val="20"/>
          <w:szCs w:val="20"/>
          <w:color w:val="auto"/>
        </w:rPr>
        <w:tab/>
      </w:r>
      <w:r>
        <w:rPr>
          <w:rFonts w:ascii="Arial" w:cs="Arial" w:eastAsia="Arial" w:hAnsi="Arial"/>
          <w:sz w:val="18"/>
          <w:szCs w:val="18"/>
          <w:u w:val="single" w:color="auto"/>
          <w:color w:val="181818"/>
        </w:rPr>
        <w:t>Option Price</w:t>
      </w:r>
    </w:p>
    <w:p>
      <w:pPr>
        <w:spacing w:after="0" w:line="1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181818"/>
        </w:rPr>
        <w:t xml:space="preserve">The Option Price of Common Stock </w:t>
      </w:r>
      <w:r>
        <w:rPr>
          <w:rFonts w:ascii="Arial" w:cs="Arial" w:eastAsia="Arial" w:hAnsi="Arial"/>
          <w:sz w:val="20"/>
          <w:szCs w:val="20"/>
          <w:color w:val="1D1D1D"/>
        </w:rPr>
        <w:t>covered by each Option shall be determined by the Grantor, but shall not be less than 100% of the</w:t>
      </w:r>
      <w:r>
        <w:rPr>
          <w:rFonts w:ascii="Arial" w:cs="Arial" w:eastAsia="Arial" w:hAnsi="Arial"/>
          <w:sz w:val="20"/>
          <w:szCs w:val="20"/>
          <w:color w:val="181818"/>
        </w:rPr>
        <w:t xml:space="preserve"> </w:t>
      </w:r>
      <w:r>
        <w:rPr>
          <w:rFonts w:ascii="Arial" w:cs="Arial" w:eastAsia="Arial" w:hAnsi="Arial"/>
          <w:sz w:val="20"/>
          <w:szCs w:val="20"/>
          <w:color w:val="1D1D1D"/>
        </w:rPr>
        <w:t xml:space="preserve">Fair Market Value of a share of Common Stock on the Date of Grant, </w:t>
      </w:r>
      <w:r>
        <w:rPr>
          <w:rFonts w:ascii="Arial" w:cs="Arial" w:eastAsia="Arial" w:hAnsi="Arial"/>
          <w:sz w:val="20"/>
          <w:szCs w:val="20"/>
          <w:i w:val="1"/>
          <w:iCs w:val="1"/>
          <w:color w:val="1D1D1D"/>
        </w:rPr>
        <w:t>provided, however,</w:t>
      </w:r>
      <w:r>
        <w:rPr>
          <w:rFonts w:ascii="Arial" w:cs="Arial" w:eastAsia="Arial" w:hAnsi="Arial"/>
          <w:sz w:val="20"/>
          <w:szCs w:val="20"/>
          <w:color w:val="1D1D1D"/>
        </w:rPr>
        <w:t xml:space="preserve"> in the case of an Incentive Stock Option granted to a Ten Percent Shareholder, the Option Price shall be no less than 110% of the Fair Market Value of a share of Common Stock on the Date of Grant.</w:t>
      </w:r>
    </w:p>
    <w:p>
      <w:pPr>
        <w:spacing w:after="0" w:line="110"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D1D1D"/>
        </w:rPr>
        <w:t>Section 5.3</w:t>
      </w:r>
      <w:r>
        <w:rPr>
          <w:sz w:val="20"/>
          <w:szCs w:val="20"/>
          <w:color w:val="auto"/>
        </w:rPr>
        <w:tab/>
      </w:r>
      <w:r>
        <w:rPr>
          <w:rFonts w:ascii="Arial" w:cs="Arial" w:eastAsia="Arial" w:hAnsi="Arial"/>
          <w:sz w:val="18"/>
          <w:szCs w:val="18"/>
          <w:u w:val="single" w:color="auto"/>
          <w:color w:val="1D1D1D"/>
        </w:rPr>
        <w:t>Option Periods</w:t>
      </w:r>
    </w:p>
    <w:p>
      <w:pPr>
        <w:spacing w:after="0" w:line="1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1D1D1D"/>
        </w:rPr>
        <w:t xml:space="preserve">The Grantor shall, from time to time, determine the term of each Option which shall be reflected in the Award Agreement. No Option may be exercised after the expiration of its term. Subject to earlier termination as provided in the Plan, the term shall not exceed ten (10) years from the Date of Grant; </w:t>
      </w:r>
      <w:r>
        <w:rPr>
          <w:rFonts w:ascii="Arial" w:cs="Arial" w:eastAsia="Arial" w:hAnsi="Arial"/>
          <w:sz w:val="20"/>
          <w:szCs w:val="20"/>
          <w:i w:val="1"/>
          <w:iCs w:val="1"/>
          <w:color w:val="1D1D1D"/>
        </w:rPr>
        <w:t>provided,</w:t>
      </w:r>
      <w:r>
        <w:rPr>
          <w:rFonts w:ascii="Arial" w:cs="Arial" w:eastAsia="Arial" w:hAnsi="Arial"/>
          <w:sz w:val="20"/>
          <w:szCs w:val="20"/>
          <w:color w:val="1D1D1D"/>
        </w:rPr>
        <w:t xml:space="preserve"> that the term of an Incentive Stock Option granted to a Ten Percent Shareholder shall not exceed five (5) years.</w:t>
      </w:r>
    </w:p>
    <w:p>
      <w:pPr>
        <w:spacing w:after="0" w:line="110"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D1D1D"/>
        </w:rPr>
        <w:t>Section 5.4</w:t>
      </w:r>
      <w:r>
        <w:rPr>
          <w:sz w:val="20"/>
          <w:szCs w:val="20"/>
          <w:color w:val="auto"/>
        </w:rPr>
        <w:tab/>
      </w:r>
      <w:r>
        <w:rPr>
          <w:rFonts w:ascii="Arial" w:cs="Arial" w:eastAsia="Arial" w:hAnsi="Arial"/>
          <w:sz w:val="18"/>
          <w:szCs w:val="18"/>
          <w:u w:val="single" w:color="auto"/>
          <w:color w:val="1D1D1D"/>
        </w:rPr>
        <w:t>Exercisability</w:t>
      </w:r>
    </w:p>
    <w:p>
      <w:pPr>
        <w:spacing w:after="0" w:line="13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1D1D1D"/>
        </w:rPr>
        <w:t>5.4.1 Subject to Article X and XIII, each Option shall be exercisable at any time or times during the term of the Option and in such amount or amounts and subject to such conditions, including, without limitation, attainment of one or more Performance Goals, as the Grantor may prescribe in the applicable Award Agreement.</w:t>
      </w:r>
    </w:p>
    <w:p>
      <w:pPr>
        <w:spacing w:after="0" w:line="10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1D1D1D"/>
        </w:rPr>
        <w:t xml:space="preserve">5.4.2 Except as provided in Article X, or as otherwise provided in an Award Agreement, an Option may be exercised only during the Grantee's employment with the </w:t>
      </w:r>
      <w:r>
        <w:rPr>
          <w:rFonts w:ascii="Arial" w:cs="Arial" w:eastAsia="Arial" w:hAnsi="Arial"/>
          <w:sz w:val="20"/>
          <w:szCs w:val="20"/>
          <w:color w:val="1C1C1C"/>
        </w:rPr>
        <w:t>Company or any of its Subsidiaries or service as a Director or Consultant. No Option may be exercised for a</w:t>
      </w:r>
      <w:r>
        <w:rPr>
          <w:rFonts w:ascii="Arial" w:cs="Arial" w:eastAsia="Arial" w:hAnsi="Arial"/>
          <w:sz w:val="20"/>
          <w:szCs w:val="20"/>
          <w:color w:val="1D1D1D"/>
        </w:rPr>
        <w:t xml:space="preserve"> </w:t>
      </w:r>
      <w:r>
        <w:rPr>
          <w:rFonts w:ascii="Arial" w:cs="Arial" w:eastAsia="Arial" w:hAnsi="Arial"/>
          <w:sz w:val="20"/>
          <w:szCs w:val="20"/>
          <w:color w:val="1C1C1C"/>
        </w:rPr>
        <w:t>fractional share.</w:t>
      </w:r>
    </w:p>
    <w:p>
      <w:pPr>
        <w:spacing w:after="0" w:line="105"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9"/>
          <w:szCs w:val="19"/>
          <w:color w:val="1C1C1C"/>
        </w:rPr>
        <w:t xml:space="preserve">5.4.3 </w:t>
      </w:r>
      <w:r>
        <w:rPr>
          <w:rFonts w:ascii="Arial" w:cs="Arial" w:eastAsia="Arial" w:hAnsi="Arial"/>
          <w:sz w:val="19"/>
          <w:szCs w:val="19"/>
          <w:i w:val="1"/>
          <w:iCs w:val="1"/>
          <w:color w:val="1C1C1C"/>
        </w:rPr>
        <w:t>Method of Exercise.</w:t>
      </w:r>
      <w:r>
        <w:rPr>
          <w:rFonts w:ascii="Arial" w:cs="Arial" w:eastAsia="Arial" w:hAnsi="Arial"/>
          <w:sz w:val="19"/>
          <w:szCs w:val="19"/>
          <w:color w:val="1C1C1C"/>
        </w:rPr>
        <w:t xml:space="preserve"> A Holder may exercise an Option, in whole or from time to time in part, by giving notice of exercise to the Company, in a form and manner acceptable to the Company, together with payment in accordance with section 5.5.</w:t>
      </w:r>
    </w:p>
    <w:p>
      <w:pPr>
        <w:spacing w:after="0" w:line="7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C1C1C"/>
        </w:rPr>
        <w:t>Section 5.5</w:t>
      </w:r>
      <w:r>
        <w:rPr>
          <w:sz w:val="20"/>
          <w:szCs w:val="20"/>
          <w:color w:val="auto"/>
        </w:rPr>
        <w:tab/>
      </w:r>
      <w:r>
        <w:rPr>
          <w:rFonts w:ascii="Arial" w:cs="Arial" w:eastAsia="Arial" w:hAnsi="Arial"/>
          <w:sz w:val="18"/>
          <w:szCs w:val="18"/>
          <w:u w:val="single" w:color="auto"/>
          <w:color w:val="1C1C1C"/>
        </w:rPr>
        <w:t>Time and Method of Payment for Options</w:t>
      </w:r>
    </w:p>
    <w:p>
      <w:pPr>
        <w:spacing w:after="0" w:line="13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1C1C1C"/>
        </w:rPr>
        <w:t xml:space="preserve">5.5.1 </w:t>
      </w:r>
      <w:r>
        <w:rPr>
          <w:rFonts w:ascii="Arial" w:cs="Arial" w:eastAsia="Arial" w:hAnsi="Arial"/>
          <w:sz w:val="20"/>
          <w:szCs w:val="20"/>
          <w:i w:val="1"/>
          <w:iCs w:val="1"/>
          <w:color w:val="1C1C1C"/>
        </w:rPr>
        <w:t>Form of Payment.</w:t>
      </w:r>
      <w:r>
        <w:rPr>
          <w:rFonts w:ascii="Arial" w:cs="Arial" w:eastAsia="Arial" w:hAnsi="Arial"/>
          <w:sz w:val="20"/>
          <w:szCs w:val="20"/>
          <w:color w:val="1C1C1C"/>
        </w:rPr>
        <w:t xml:space="preserve"> The Holder shall pay the Option Price in cash (including a personal check) or, with the Grantor's permission and according to such rules as it may prescribe, by delivering shares of Common Stock already owned by the Holder having a Fair Market Value on the date of exercise equal to the Option Price, or a</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2" w:right="239" w:bottom="1440" w:gutter="0" w:footer="0" w:header="0"/>
        </w:sectPr>
      </w:pPr>
    </w:p>
    <w:bookmarkStart w:id="61" w:name="page62"/>
    <w:bookmarkEnd w:id="61"/>
    <w:p>
      <w:pPr>
        <w:jc w:val="both"/>
        <w:spacing w:after="0" w:line="243" w:lineRule="auto"/>
        <w:rPr>
          <w:sz w:val="20"/>
          <w:szCs w:val="20"/>
          <w:color w:val="auto"/>
        </w:rPr>
      </w:pPr>
      <w:r>
        <w:rPr>
          <w:rFonts w:ascii="Arial" w:cs="Arial" w:eastAsia="Arial" w:hAnsi="Arial"/>
          <w:sz w:val="20"/>
          <w:szCs w:val="20"/>
          <w:color w:val="1C1C1C"/>
        </w:rPr>
        <w:t xml:space="preserve">combination of cash and such shares. The Grantor may also permit payment in accordance with a cashless exercise program, including one under which, if so instructed by the Holder, shares of Common Stock may be issued directly to the Holder's broker or dealer who in tum will sell the shares and pay the Option Price in cash to the Company from the sale proceeds. Finally, the Grantor may permit payment by reducing the number of shares of Common Stock delivered upon exercise by an amount equal to the largest number of </w:t>
      </w:r>
      <w:r>
        <w:rPr>
          <w:rFonts w:ascii="Arial" w:cs="Arial" w:eastAsia="Arial" w:hAnsi="Arial"/>
          <w:sz w:val="20"/>
          <w:szCs w:val="20"/>
          <w:color w:val="313131"/>
        </w:rPr>
        <w:t>whole</w:t>
      </w:r>
      <w:r>
        <w:rPr>
          <w:rFonts w:ascii="Arial" w:cs="Arial" w:eastAsia="Arial" w:hAnsi="Arial"/>
          <w:sz w:val="20"/>
          <w:szCs w:val="20"/>
          <w:color w:val="1C1C1C"/>
        </w:rPr>
        <w:t xml:space="preserve"> shares of Common Stock with a Fair Market Value that does not exceed the amount of the Option Price plus the amount of any applicable tax withholding requirements, with the remainder of such amounts being payable in cash.</w:t>
      </w:r>
    </w:p>
    <w:p>
      <w:pPr>
        <w:spacing w:after="0" w:line="115"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9"/>
          <w:szCs w:val="19"/>
          <w:color w:val="1C1C1C"/>
        </w:rPr>
        <w:t xml:space="preserve">5.5.2. </w:t>
      </w:r>
      <w:r>
        <w:rPr>
          <w:rFonts w:ascii="Arial" w:cs="Arial" w:eastAsia="Arial" w:hAnsi="Arial"/>
          <w:sz w:val="19"/>
          <w:szCs w:val="19"/>
          <w:i w:val="1"/>
          <w:iCs w:val="1"/>
          <w:color w:val="1C1C1C"/>
        </w:rPr>
        <w:t>Time of Payment.</w:t>
      </w:r>
      <w:r>
        <w:rPr>
          <w:rFonts w:ascii="Arial" w:cs="Arial" w:eastAsia="Arial" w:hAnsi="Arial"/>
          <w:sz w:val="19"/>
          <w:szCs w:val="19"/>
          <w:color w:val="1C1C1C"/>
        </w:rPr>
        <w:t xml:space="preserve"> Except in the case where exercise is conditioned on a simultaneous sale of the Option shares or the payment of a cash balance pursuant to a cashless exercise, the Holder shall pay the Option Price before an Option is exercised.</w:t>
      </w:r>
    </w:p>
    <w:p>
      <w:pPr>
        <w:spacing w:after="0" w:line="72"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1C1C1C"/>
        </w:rPr>
        <w:t xml:space="preserve">5.5.3 </w:t>
      </w:r>
      <w:r>
        <w:rPr>
          <w:rFonts w:ascii="Arial" w:cs="Arial" w:eastAsia="Arial" w:hAnsi="Arial"/>
          <w:sz w:val="20"/>
          <w:szCs w:val="20"/>
          <w:i w:val="1"/>
          <w:iCs w:val="1"/>
          <w:color w:val="1C1C1C"/>
        </w:rPr>
        <w:t>Methods for Tendering Shares.</w:t>
      </w:r>
      <w:r>
        <w:rPr>
          <w:rFonts w:ascii="Arial" w:cs="Arial" w:eastAsia="Arial" w:hAnsi="Arial"/>
          <w:sz w:val="20"/>
          <w:szCs w:val="20"/>
          <w:color w:val="1C1C1C"/>
        </w:rPr>
        <w:t xml:space="preserve"> The Grantor shall determine acceptable methods for tendering shares of Common Stock as payment upon exercise of an Option and may impose such limitations and restrictions on the use of shares of Common stock to exercise an Option as it or he or she, as the case may be, deems appropriate.</w:t>
      </w:r>
    </w:p>
    <w:p>
      <w:pPr>
        <w:spacing w:after="0" w:line="10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C1C1C"/>
        </w:rPr>
        <w:t>Section 5.6</w:t>
      </w:r>
      <w:r>
        <w:rPr>
          <w:sz w:val="20"/>
          <w:szCs w:val="20"/>
          <w:color w:val="auto"/>
        </w:rPr>
        <w:tab/>
      </w:r>
      <w:r>
        <w:rPr>
          <w:rFonts w:ascii="Arial" w:cs="Arial" w:eastAsia="Arial" w:hAnsi="Arial"/>
          <w:sz w:val="18"/>
          <w:szCs w:val="18"/>
          <w:u w:val="single" w:color="auto"/>
          <w:color w:val="1C1C1C"/>
        </w:rPr>
        <w:t>Delivery of Shares Pursuant to Exercise of Option</w:t>
      </w:r>
    </w:p>
    <w:p>
      <w:pPr>
        <w:spacing w:after="0" w:line="1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1C1C1C"/>
        </w:rPr>
        <w:t>Subject to Section 5.5.2, no shares of Common Stock shall be delivered pursuant to the exercise, in whole or in part, of any Option, unless and until (i) payment in full of the Option Price for such shares is received by the Company and (ii) compliance with all applicable requirements and conditions of the Plan, the Award Agreement and such rules and regulations as may be established by the Grantor, that are preconditions to delivery. Following exercise of the Option and payment in full of the Option Price, subject to Section 5.5.2, and compliance with the conditions described in the preceding sentence, the Company shall promptly affect the issuance to the Grantee of such number of shares of Common Stock as are subject to the Option exercise.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1C1C"/>
        </w:rPr>
        <w:t>ARTICLE VI</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1C1C1C"/>
        </w:rPr>
        <w:t>STOCK APPRECIATION RIGHTS</w:t>
      </w:r>
    </w:p>
    <w:p>
      <w:pPr>
        <w:spacing w:after="0" w:line="200" w:lineRule="exact"/>
        <w:rPr>
          <w:sz w:val="20"/>
          <w:szCs w:val="20"/>
          <w:color w:val="auto"/>
        </w:rPr>
      </w:pPr>
    </w:p>
    <w:p>
      <w:pPr>
        <w:spacing w:after="0" w:line="29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C1C1C"/>
        </w:rPr>
        <w:t>Section 6.1</w:t>
      </w:r>
      <w:r>
        <w:rPr>
          <w:sz w:val="20"/>
          <w:szCs w:val="20"/>
          <w:color w:val="auto"/>
        </w:rPr>
        <w:tab/>
      </w:r>
      <w:r>
        <w:rPr>
          <w:rFonts w:ascii="Arial" w:cs="Arial" w:eastAsia="Arial" w:hAnsi="Arial"/>
          <w:sz w:val="18"/>
          <w:szCs w:val="18"/>
          <w:u w:val="single" w:color="auto"/>
          <w:color w:val="1C1C1C"/>
        </w:rPr>
        <w:t>Award of SARs</w:t>
      </w:r>
    </w:p>
    <w:p>
      <w:pPr>
        <w:spacing w:after="0" w:line="135" w:lineRule="exact"/>
        <w:rPr>
          <w:sz w:val="20"/>
          <w:szCs w:val="20"/>
          <w:color w:val="auto"/>
        </w:rPr>
      </w:pPr>
    </w:p>
    <w:p>
      <w:pPr>
        <w:jc w:val="both"/>
        <w:ind w:firstLine="972"/>
        <w:spacing w:after="0" w:line="242" w:lineRule="auto"/>
        <w:rPr>
          <w:sz w:val="20"/>
          <w:szCs w:val="20"/>
          <w:color w:val="auto"/>
        </w:rPr>
      </w:pPr>
      <w:r>
        <w:rPr>
          <w:rFonts w:ascii="Arial" w:cs="Arial" w:eastAsia="Arial" w:hAnsi="Arial"/>
          <w:sz w:val="20"/>
          <w:szCs w:val="20"/>
          <w:color w:val="1C1C1C"/>
        </w:rPr>
        <w:t xml:space="preserve">6.1.1 </w:t>
      </w:r>
      <w:r>
        <w:rPr>
          <w:rFonts w:ascii="Arial" w:cs="Arial" w:eastAsia="Arial" w:hAnsi="Arial"/>
          <w:sz w:val="20"/>
          <w:szCs w:val="20"/>
          <w:i w:val="1"/>
          <w:iCs w:val="1"/>
          <w:color w:val="1C1C1C"/>
        </w:rPr>
        <w:t>Grants.</w:t>
      </w:r>
      <w:r>
        <w:rPr>
          <w:rFonts w:ascii="Arial" w:cs="Arial" w:eastAsia="Arial" w:hAnsi="Arial"/>
          <w:sz w:val="20"/>
          <w:szCs w:val="20"/>
          <w:color w:val="1C1C1C"/>
        </w:rPr>
        <w:t xml:space="preserve"> </w:t>
      </w:r>
      <w:r>
        <w:rPr>
          <w:rFonts w:ascii="Arial" w:cs="Arial" w:eastAsia="Arial" w:hAnsi="Arial"/>
          <w:sz w:val="20"/>
          <w:szCs w:val="20"/>
          <w:color w:val="181818"/>
        </w:rPr>
        <w:t>From time to time the Committee may grant Stock Appreciation Rights Awards to such Reporting Persons who are</w:t>
      </w:r>
      <w:r>
        <w:rPr>
          <w:rFonts w:ascii="Arial" w:cs="Arial" w:eastAsia="Arial" w:hAnsi="Arial"/>
          <w:sz w:val="20"/>
          <w:szCs w:val="20"/>
          <w:color w:val="1C1C1C"/>
        </w:rPr>
        <w:t xml:space="preserve"> </w:t>
      </w:r>
      <w:r>
        <w:rPr>
          <w:rFonts w:ascii="Arial" w:cs="Arial" w:eastAsia="Arial" w:hAnsi="Arial"/>
          <w:sz w:val="20"/>
          <w:szCs w:val="20"/>
          <w:color w:val="181818"/>
        </w:rPr>
        <w:t xml:space="preserve">Employees as the Committee may select in its sole discretion. From time to time, the Committee or the Chairman may grant Stock Appreciation Rights Awards in such number as the Committee or the Chairman may determine to such Nonreporting Persons as the Committee or the Chairman may select in its or his or her, as the case may be, sole discretion; </w:t>
      </w:r>
      <w:r>
        <w:rPr>
          <w:rFonts w:ascii="Arial" w:cs="Arial" w:eastAsia="Arial" w:hAnsi="Arial"/>
          <w:sz w:val="20"/>
          <w:szCs w:val="20"/>
          <w:i w:val="1"/>
          <w:iCs w:val="1"/>
          <w:color w:val="181818"/>
        </w:rPr>
        <w:t>provided, however,</w:t>
      </w:r>
      <w:r>
        <w:rPr>
          <w:rFonts w:ascii="Arial" w:cs="Arial" w:eastAsia="Arial" w:hAnsi="Arial"/>
          <w:sz w:val="20"/>
          <w:szCs w:val="20"/>
          <w:color w:val="181818"/>
        </w:rPr>
        <w:t xml:space="preserve"> each and all such grants shall be subject to any maximum aggregate amount of Awards in general and SARs in particular (if any) established by the Committee for grants under the Plan for Nonreporting Persons as a group. From time to time, the Board or Committee may grant Stock Appreciation Rights to such Directors as the Board or Committee may select in its sole discretion. The Grantor shall determine the number of shares of Common Stock to which each SAR relates.</w:t>
      </w:r>
    </w:p>
    <w:p>
      <w:pPr>
        <w:spacing w:after="0" w:line="117"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0"/>
          <w:szCs w:val="20"/>
          <w:color w:val="181818"/>
        </w:rPr>
        <w:t xml:space="preserve">6.1.2 </w:t>
      </w:r>
      <w:r>
        <w:rPr>
          <w:rFonts w:ascii="Arial" w:cs="Arial" w:eastAsia="Arial" w:hAnsi="Arial"/>
          <w:sz w:val="20"/>
          <w:szCs w:val="20"/>
          <w:i w:val="1"/>
          <w:iCs w:val="1"/>
          <w:color w:val="181818"/>
        </w:rPr>
        <w:t>Maximum Award to an Individual.</w:t>
      </w:r>
      <w:r>
        <w:rPr>
          <w:rFonts w:ascii="Arial" w:cs="Arial" w:eastAsia="Arial" w:hAnsi="Arial"/>
          <w:sz w:val="20"/>
          <w:szCs w:val="20"/>
          <w:color w:val="181818"/>
        </w:rPr>
        <w:t xml:space="preserve"> No individual shall be granted in any calendar year SARs to purchase more than 1,000,000 shares of Common Stock.</w:t>
      </w:r>
    </w:p>
    <w:p>
      <w:pPr>
        <w:spacing w:after="0" w:line="96"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0"/>
          <w:szCs w:val="20"/>
          <w:color w:val="181818"/>
        </w:rPr>
        <w:t xml:space="preserve">6.1.3 </w:t>
      </w:r>
      <w:r>
        <w:rPr>
          <w:rFonts w:ascii="Arial" w:cs="Arial" w:eastAsia="Arial" w:hAnsi="Arial"/>
          <w:sz w:val="20"/>
          <w:szCs w:val="20"/>
          <w:i w:val="1"/>
          <w:iCs w:val="1"/>
          <w:color w:val="181818"/>
        </w:rPr>
        <w:t>SAR Base Amount.</w:t>
      </w:r>
      <w:r>
        <w:rPr>
          <w:rFonts w:ascii="Arial" w:cs="Arial" w:eastAsia="Arial" w:hAnsi="Arial"/>
          <w:sz w:val="20"/>
          <w:szCs w:val="20"/>
          <w:color w:val="181818"/>
        </w:rPr>
        <w:t xml:space="preserve"> The SAR Base Amount with respect to each SAR shall be determined by the Grantor, but shall not be less than 100% of the Fair Market Value of share of Common Stock on the Date of Grant.</w:t>
      </w:r>
    </w:p>
    <w:p>
      <w:pPr>
        <w:spacing w:after="0" w:line="9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81818"/>
        </w:rPr>
        <w:t>Section 6.2</w:t>
      </w:r>
      <w:r>
        <w:rPr>
          <w:sz w:val="20"/>
          <w:szCs w:val="20"/>
          <w:color w:val="auto"/>
        </w:rPr>
        <w:tab/>
      </w:r>
      <w:r>
        <w:rPr>
          <w:rFonts w:ascii="Arial" w:cs="Arial" w:eastAsia="Arial" w:hAnsi="Arial"/>
          <w:sz w:val="18"/>
          <w:szCs w:val="18"/>
          <w:u w:val="single" w:color="auto"/>
          <w:color w:val="181818"/>
        </w:rPr>
        <w:t>SAR Periods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9"/>
          <w:szCs w:val="19"/>
          <w:color w:val="181818"/>
        </w:rPr>
        <w:t>The Grantor shall, from time to time, determine the term of each SAR. No SAR may be exercised after the expiration of its term.</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181818"/>
        </w:rPr>
        <w:t>Subject to earlier termination as provided in the Plan, the term shall not exceed ten (10)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2" w:right="239" w:bottom="1440" w:gutter="0" w:footer="0" w:header="0"/>
        </w:sectPr>
      </w:pPr>
    </w:p>
    <w:bookmarkStart w:id="62" w:name="page63"/>
    <w:bookmarkEnd w:id="62"/>
    <w:p>
      <w:pPr>
        <w:ind w:left="660"/>
        <w:spacing w:after="0"/>
        <w:tabs>
          <w:tab w:leader="none" w:pos="1700" w:val="left"/>
        </w:tabs>
        <w:rPr>
          <w:sz w:val="20"/>
          <w:szCs w:val="20"/>
          <w:color w:val="auto"/>
        </w:rPr>
      </w:pPr>
      <w:r>
        <w:rPr>
          <w:rFonts w:ascii="Arial" w:cs="Arial" w:eastAsia="Arial" w:hAnsi="Arial"/>
          <w:sz w:val="20"/>
          <w:szCs w:val="20"/>
          <w:color w:val="181818"/>
        </w:rPr>
        <w:t>Section 6.3</w:t>
      </w:r>
      <w:r>
        <w:rPr>
          <w:sz w:val="20"/>
          <w:szCs w:val="20"/>
          <w:color w:val="auto"/>
        </w:rPr>
        <w:tab/>
      </w:r>
      <w:r>
        <w:rPr>
          <w:rFonts w:ascii="Arial" w:cs="Arial" w:eastAsia="Arial" w:hAnsi="Arial"/>
          <w:sz w:val="18"/>
          <w:szCs w:val="18"/>
          <w:u w:val="single" w:color="auto"/>
          <w:color w:val="181818"/>
        </w:rPr>
        <w:t>Exercisability</w:t>
      </w:r>
    </w:p>
    <w:p>
      <w:pPr>
        <w:spacing w:after="0" w:line="13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181818"/>
        </w:rPr>
        <w:t>6.3.1 Subject to Articles X and XIII, each SAR shall be exercisable at any time or times during the term of the SAR and in such amount or amounts and subject to such conditions, including, without limitation, attainment of one or more Performance Goals, as the Grantor may, from time to time, prescribe in the applicable Award Agreement.</w:t>
      </w:r>
    </w:p>
    <w:p>
      <w:pPr>
        <w:spacing w:after="0" w:line="105"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0"/>
          <w:szCs w:val="20"/>
          <w:color w:val="181818"/>
        </w:rPr>
        <w:t>6.3.2 Except as provided in Article X, or as otherwise provided in an Award Agreement, a SAR may be exercised only during the Grantee's employment with the Company or any of its Subsidiaries or service as a Director or Consultant.</w:t>
      </w:r>
    </w:p>
    <w:p>
      <w:pPr>
        <w:spacing w:after="0" w:line="9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81818"/>
        </w:rPr>
        <w:t>Section 6.4</w:t>
      </w:r>
      <w:r>
        <w:rPr>
          <w:sz w:val="20"/>
          <w:szCs w:val="20"/>
          <w:color w:val="auto"/>
        </w:rPr>
        <w:tab/>
      </w:r>
      <w:r>
        <w:rPr>
          <w:rFonts w:ascii="Arial" w:cs="Arial" w:eastAsia="Arial" w:hAnsi="Arial"/>
          <w:sz w:val="18"/>
          <w:szCs w:val="18"/>
          <w:u w:val="single" w:color="auto"/>
          <w:color w:val="181818"/>
        </w:rPr>
        <w:t>Method of Exercise</w:t>
      </w:r>
    </w:p>
    <w:p>
      <w:pPr>
        <w:spacing w:after="0" w:line="1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181818"/>
        </w:rPr>
        <w:t>A Holder may exercise a SAR, in whole or from time to time in part, by giving notice of exercise to the Company, in a form and manner acceptable to the Company.</w:t>
      </w:r>
    </w:p>
    <w:p>
      <w:pPr>
        <w:spacing w:after="0" w:line="9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81818"/>
        </w:rPr>
        <w:t>Section 6.5</w:t>
      </w:r>
      <w:r>
        <w:rPr>
          <w:sz w:val="20"/>
          <w:szCs w:val="20"/>
          <w:color w:val="auto"/>
        </w:rPr>
        <w:tab/>
      </w:r>
      <w:r>
        <w:rPr>
          <w:rFonts w:ascii="Arial" w:cs="Arial" w:eastAsia="Arial" w:hAnsi="Arial"/>
          <w:sz w:val="18"/>
          <w:szCs w:val="18"/>
          <w:u w:val="single" w:color="auto"/>
          <w:color w:val="181818"/>
        </w:rPr>
        <w:t>Payment Amount, Time and Method of Payment with Respect to SARs</w:t>
      </w:r>
    </w:p>
    <w:p>
      <w:pPr>
        <w:spacing w:after="0" w:line="13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181818"/>
        </w:rPr>
        <w:t>6.5.1 A SAR entitles the Holder thereof, upon the Holder's exercise of the SAR, to receive an amount equal to the product of (i) the amount by which the Fair Market Value on the exercise date of one share of Common Stock exceeds the SAR Base Amount for such SAR, and (ii) the number of shares covered by the SAR, or portion thereof, that is exercised.</w:t>
      </w:r>
    </w:p>
    <w:p>
      <w:pPr>
        <w:spacing w:after="0" w:line="10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181818"/>
        </w:rPr>
        <w:t>6.5.2 Any payment which may become due from the Company by reason of a Grantee’s exercise of SAR may be paid to the Grantee all in cash, all in shares of Common Stock or partly in shares and partly in cash, as determined by the Grantor and as provided in the Award Agreement.</w:t>
      </w:r>
    </w:p>
    <w:p>
      <w:pPr>
        <w:spacing w:after="0" w:line="10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181818"/>
        </w:rPr>
        <w:t>6.5.3 In the event that all or a portion of the payment is made in shares of Common Stock, the number of shares of Common Stock received shall be determined by dividing the amount of the payment by the Fair Market Value of a share of Common Stock on the exercise date of the SAR. Cash will be paid in lieu of any fractional share of Common Stock.</w:t>
      </w:r>
    </w:p>
    <w:p>
      <w:pPr>
        <w:spacing w:after="0" w:line="10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181818"/>
        </w:rPr>
        <w:t>6.5.4 Amounts payable in connection with a SAR shall be paid to the Holder, as determined by the Grantor and as set forth in the applicable Award Agreement or in accordance with such rules, regulations and procedures as may be adopted by the Committee or Grantor.</w:t>
      </w:r>
    </w:p>
    <w:p>
      <w:pPr>
        <w:spacing w:after="0" w:line="4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81818"/>
        </w:rPr>
        <w:t>Section 6.6</w:t>
      </w:r>
      <w:r>
        <w:rPr>
          <w:sz w:val="20"/>
          <w:szCs w:val="20"/>
          <w:color w:val="auto"/>
        </w:rPr>
        <w:tab/>
      </w:r>
      <w:r>
        <w:rPr>
          <w:rFonts w:ascii="Arial" w:cs="Arial" w:eastAsia="Arial" w:hAnsi="Arial"/>
          <w:sz w:val="18"/>
          <w:szCs w:val="18"/>
          <w:u w:val="single" w:color="auto"/>
          <w:color w:val="181818"/>
        </w:rPr>
        <w:t>Nature of SAR’s</w:t>
      </w:r>
    </w:p>
    <w:p>
      <w:pPr>
        <w:spacing w:after="0" w:line="1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181818"/>
        </w:rPr>
        <w:t>SAR’s shall be used solely as a device for the measurement and determination of the amount to be paid on behalf of Grantees as provided in the Plan. SARs shall not constitute or be treated as property or as a trust fund of any kind. All amounts at any time attributable to</w:t>
      </w:r>
      <w:r>
        <w:rPr>
          <w:rFonts w:ascii="Arial" w:cs="Arial" w:eastAsia="Arial" w:hAnsi="Arial"/>
          <w:sz w:val="20"/>
          <w:szCs w:val="20"/>
          <w:color w:val="C4C4C4"/>
        </w:rPr>
        <w:t>'</w:t>
      </w:r>
      <w:r>
        <w:rPr>
          <w:rFonts w:ascii="Arial" w:cs="Arial" w:eastAsia="Arial" w:hAnsi="Arial"/>
          <w:sz w:val="20"/>
          <w:szCs w:val="20"/>
          <w:color w:val="181818"/>
        </w:rPr>
        <w:t xml:space="preserve"> the SARs shall be and remain the sole property of the Company and all Grantees' rights hereunder are limited to the rights to receive cash and shares of Common Stock as provided in the Plan and the applicable Award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81818"/>
        </w:rPr>
        <w:t>ARTICLE VII</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181818"/>
        </w:rPr>
        <w:t>RESTRICTED STOCK AWARDS</w:t>
      </w:r>
    </w:p>
    <w:p>
      <w:pPr>
        <w:spacing w:after="0" w:line="200" w:lineRule="exact"/>
        <w:rPr>
          <w:sz w:val="20"/>
          <w:szCs w:val="20"/>
          <w:color w:val="auto"/>
        </w:rPr>
      </w:pPr>
    </w:p>
    <w:p>
      <w:pPr>
        <w:spacing w:after="0" w:line="29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81818"/>
        </w:rPr>
        <w:t>Section 7.1</w:t>
      </w:r>
      <w:r>
        <w:rPr>
          <w:sz w:val="20"/>
          <w:szCs w:val="20"/>
          <w:color w:val="auto"/>
        </w:rPr>
        <w:tab/>
      </w:r>
      <w:r>
        <w:rPr>
          <w:rFonts w:ascii="Arial" w:cs="Arial" w:eastAsia="Arial" w:hAnsi="Arial"/>
          <w:sz w:val="16"/>
          <w:szCs w:val="16"/>
          <w:u w:val="single" w:color="auto"/>
          <w:color w:val="181818"/>
        </w:rPr>
        <w:t>Grants</w:t>
      </w:r>
    </w:p>
    <w:p>
      <w:pPr>
        <w:spacing w:after="0" w:line="13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181818"/>
        </w:rPr>
        <w:t xml:space="preserve">From time to time, the Committee may grant Restricted Stock Awards in such number as it may determine to such Reporting Persons who are Employees as the Committee may select in its sole discretion. From time to time, the Committee or the Chairman may grant in such number as the Committee or the Chairman may determine Restricted Stock Awards to such Nonreporting Persons as the Committee or the Chairman may select in its or his, as the case may be, sole discretion; </w:t>
      </w:r>
      <w:r>
        <w:rPr>
          <w:rFonts w:ascii="Arial" w:cs="Arial" w:eastAsia="Arial" w:hAnsi="Arial"/>
          <w:sz w:val="18"/>
          <w:szCs w:val="18"/>
          <w:i w:val="1"/>
          <w:iCs w:val="1"/>
          <w:color w:val="181818"/>
        </w:rPr>
        <w:t>provided, however,</w:t>
      </w:r>
      <w:r>
        <w:rPr>
          <w:rFonts w:ascii="Arial" w:cs="Arial" w:eastAsia="Arial" w:hAnsi="Arial"/>
          <w:sz w:val="18"/>
          <w:szCs w:val="18"/>
          <w:color w:val="181818"/>
        </w:rPr>
        <w:t xml:space="preserve"> each and all such grants shall be subject to any maximum aggregate number of Awards in general and shares of Restricted Stock in particular established by the Committee for grants under the Plan for Nonreporting Persons who are Employees as a group. From time to time, the Board or Committee may grant Restricted Stock Awards to such Directors as the Board or Committee may select in its sole discretion. A Restricted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2" w:right="239" w:bottom="1440" w:gutter="0" w:footer="0" w:header="0"/>
        </w:sectPr>
      </w:pPr>
    </w:p>
    <w:bookmarkStart w:id="63" w:name="page64"/>
    <w:bookmarkEnd w:id="63"/>
    <w:p>
      <w:pPr>
        <w:spacing w:after="0"/>
        <w:rPr>
          <w:sz w:val="20"/>
          <w:szCs w:val="20"/>
          <w:color w:val="auto"/>
        </w:rPr>
      </w:pPr>
      <w:r>
        <w:rPr>
          <w:rFonts w:ascii="Arial" w:cs="Arial" w:eastAsia="Arial" w:hAnsi="Arial"/>
          <w:sz w:val="20"/>
          <w:szCs w:val="20"/>
          <w:color w:val="181818"/>
        </w:rPr>
        <w:t>Stock Award is a grant of Common Stock subject to those conditions, if any, set forth in the Plan and the Award Agreement.</w:t>
      </w:r>
    </w:p>
    <w:p>
      <w:pPr>
        <w:spacing w:after="0" w:line="13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81818"/>
        </w:rPr>
        <w:t>Section 7.2</w:t>
      </w:r>
      <w:r>
        <w:rPr>
          <w:sz w:val="20"/>
          <w:szCs w:val="20"/>
          <w:color w:val="auto"/>
        </w:rPr>
        <w:tab/>
      </w:r>
      <w:r>
        <w:rPr>
          <w:rFonts w:ascii="Arial" w:cs="Arial" w:eastAsia="Arial" w:hAnsi="Arial"/>
          <w:sz w:val="18"/>
          <w:szCs w:val="18"/>
          <w:u w:val="single" w:color="auto"/>
          <w:color w:val="181818"/>
        </w:rPr>
        <w:t>Maximum Award to an Individual</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181818"/>
        </w:rPr>
        <w:t>No individual shall be granted or receive in any calendar year a Restricted Stock Award of more than 1,000,000 shares of Common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181818"/>
        </w:rPr>
        <w:t>Stock.</w:t>
      </w:r>
    </w:p>
    <w:p>
      <w:pPr>
        <w:spacing w:after="0" w:line="11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81818"/>
        </w:rPr>
        <w:t>Section 7.3</w:t>
      </w:r>
      <w:r>
        <w:rPr>
          <w:sz w:val="20"/>
          <w:szCs w:val="20"/>
          <w:color w:val="auto"/>
        </w:rPr>
        <w:tab/>
      </w:r>
      <w:r>
        <w:rPr>
          <w:rFonts w:ascii="Arial" w:cs="Arial" w:eastAsia="Arial" w:hAnsi="Arial"/>
          <w:sz w:val="16"/>
          <w:szCs w:val="16"/>
          <w:u w:val="single" w:color="auto"/>
          <w:color w:val="181818"/>
        </w:rPr>
        <w:t>Restricted Period</w:t>
      </w:r>
    </w:p>
    <w:p>
      <w:pPr>
        <w:spacing w:after="0" w:line="1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181818"/>
        </w:rPr>
        <w:t>The Grantor may, from time to time, establish any condition or conditions on which the Restricted Stock Award will vest and no longer be subject to forfeiture. Such conditions may include, without limitation, continued employment by the Grantee or service as a Director or Consultant, as the case may be, for a period of time specified in the Award Agreement or the attainment of one or more Performance Goals within a time period specified in the Award Agreement. A Restricted Stock Award may, if the Grantor in its sole discretion decides, provide for an unconditioned grant.</w:t>
      </w:r>
    </w:p>
    <w:p>
      <w:pPr>
        <w:spacing w:after="0" w:line="114"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81818"/>
        </w:rPr>
        <w:t>Section 7.4</w:t>
      </w:r>
      <w:r>
        <w:rPr>
          <w:sz w:val="20"/>
          <w:szCs w:val="20"/>
          <w:color w:val="auto"/>
        </w:rPr>
        <w:tab/>
      </w:r>
      <w:r>
        <w:rPr>
          <w:rFonts w:ascii="Arial" w:cs="Arial" w:eastAsia="Arial" w:hAnsi="Arial"/>
          <w:sz w:val="18"/>
          <w:szCs w:val="18"/>
          <w:u w:val="single" w:color="auto"/>
          <w:color w:val="181818"/>
        </w:rPr>
        <w:t>Restrictions and Forfeiture</w:t>
      </w:r>
    </w:p>
    <w:p>
      <w:pPr>
        <w:spacing w:after="0" w:line="1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181818"/>
        </w:rPr>
        <w:t>Except as otherwise provided in the Plan or the applicable Award Agreement, the Restricted Stock shall be subject to the following restrictions until the expiration or termination of the Restricted Period: (i) a Holder shall not be entitled to delivery of a certificate evidencing the shares of Restricted Stock until the end of the Restricted Period and the satisfaction of any and all other conditions specified in the Award Agreement applicable to such Restricted Stock and (ii) none of the Restricted Stock may be sold, transferred, assigned, pledged or otherwise encumbered or disposed of during the Restricted Period, and until the satisfaction of any and all other conditions specified in the Award Agreement applicable to such Restricted Stock. Upon the forfeiture of any Restricted Stock, such forfeited shares shall be transferred to the Company without further acts by or payment to the Holder.</w:t>
      </w:r>
    </w:p>
    <w:p>
      <w:pPr>
        <w:spacing w:after="0" w:line="98"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81818"/>
        </w:rPr>
        <w:t>Section 7.5</w:t>
      </w:r>
      <w:r>
        <w:rPr>
          <w:sz w:val="20"/>
          <w:szCs w:val="20"/>
          <w:color w:val="auto"/>
        </w:rPr>
        <w:tab/>
      </w:r>
      <w:r>
        <w:rPr>
          <w:rFonts w:ascii="Arial" w:cs="Arial" w:eastAsia="Arial" w:hAnsi="Arial"/>
          <w:sz w:val="16"/>
          <w:szCs w:val="16"/>
          <w:u w:val="single" w:color="auto"/>
          <w:color w:val="181818"/>
        </w:rPr>
        <w:t>Issuance of Stock and Stock Certificate(s)</w:t>
      </w:r>
    </w:p>
    <w:p>
      <w:pPr>
        <w:spacing w:after="0" w:line="13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9"/>
          <w:szCs w:val="19"/>
          <w:color w:val="181818"/>
        </w:rPr>
        <w:t xml:space="preserve">7.5.1 </w:t>
      </w:r>
      <w:r>
        <w:rPr>
          <w:rFonts w:ascii="Arial" w:cs="Arial" w:eastAsia="Arial" w:hAnsi="Arial"/>
          <w:sz w:val="19"/>
          <w:szCs w:val="19"/>
          <w:i w:val="1"/>
          <w:iCs w:val="1"/>
          <w:color w:val="181818"/>
        </w:rPr>
        <w:t>Issuance.</w:t>
      </w:r>
      <w:r>
        <w:rPr>
          <w:rFonts w:ascii="Arial" w:cs="Arial" w:eastAsia="Arial" w:hAnsi="Arial"/>
          <w:sz w:val="19"/>
          <w:szCs w:val="19"/>
          <w:color w:val="181818"/>
        </w:rPr>
        <w:t xml:space="preserve"> As soon as practicable after the Date of Grant of a Restricted Stock Award, the Company shall cause to be issued in the name of the Grantee (and held by the Company, if applicable, under Section 7.4) such number of shares of Common Stock as constitutes the Restricted Stock awarded under the Restricted Stock Award. Each such issuance shall be subject throughout the Restricted Period to the terms, conditions and restrictions contained in the Plan and/or the Award Agreement.</w:t>
      </w:r>
    </w:p>
    <w:p>
      <w:pPr>
        <w:spacing w:after="0" w:line="96" w:lineRule="exact"/>
        <w:rPr>
          <w:sz w:val="20"/>
          <w:szCs w:val="20"/>
          <w:color w:val="auto"/>
        </w:rPr>
      </w:pPr>
    </w:p>
    <w:p>
      <w:pPr>
        <w:jc w:val="both"/>
        <w:ind w:firstLine="972"/>
        <w:spacing w:after="0" w:line="246" w:lineRule="auto"/>
        <w:rPr>
          <w:sz w:val="20"/>
          <w:szCs w:val="20"/>
          <w:color w:val="auto"/>
        </w:rPr>
      </w:pPr>
      <w:r>
        <w:rPr>
          <w:rFonts w:ascii="Arial" w:cs="Arial" w:eastAsia="Arial" w:hAnsi="Arial"/>
          <w:sz w:val="20"/>
          <w:szCs w:val="20"/>
          <w:color w:val="181818"/>
        </w:rPr>
        <w:t xml:space="preserve">7.5.2 </w:t>
      </w:r>
      <w:r>
        <w:rPr>
          <w:rFonts w:ascii="Arial" w:cs="Arial" w:eastAsia="Arial" w:hAnsi="Arial"/>
          <w:sz w:val="20"/>
          <w:szCs w:val="20"/>
          <w:i w:val="1"/>
          <w:iCs w:val="1"/>
          <w:color w:val="181818"/>
        </w:rPr>
        <w:t>Custody and Registration.</w:t>
      </w:r>
      <w:r>
        <w:rPr>
          <w:rFonts w:ascii="Arial" w:cs="Arial" w:eastAsia="Arial" w:hAnsi="Arial"/>
          <w:sz w:val="20"/>
          <w:szCs w:val="20"/>
          <w:color w:val="181818"/>
        </w:rPr>
        <w:t xml:space="preserve"> Any issuance of Restricted Stock may be evidenced in such manner as the Grantor may deem appropriate, including, without limitation, book-entry registration or issuance of a stock certificate or certificates. In the event any stock certificate is issued in respect of Restricted Stock, such certificate shall be registered in the name of the Grantee and shall bear an appropriate legend referring to the terms, conditions, and restrictions applicable to such Restricted Stock.</w:t>
      </w:r>
    </w:p>
    <w:p>
      <w:pPr>
        <w:spacing w:after="0" w:line="110"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81818"/>
        </w:rPr>
        <w:t>Section 7.6</w:t>
      </w:r>
      <w:r>
        <w:rPr>
          <w:sz w:val="20"/>
          <w:szCs w:val="20"/>
          <w:color w:val="auto"/>
        </w:rPr>
        <w:tab/>
      </w:r>
      <w:r>
        <w:rPr>
          <w:rFonts w:ascii="Arial" w:cs="Arial" w:eastAsia="Arial" w:hAnsi="Arial"/>
          <w:sz w:val="16"/>
          <w:szCs w:val="16"/>
          <w:u w:val="single" w:color="auto"/>
          <w:color w:val="181818"/>
        </w:rPr>
        <w:t>Shareholder Rights</w:t>
      </w:r>
    </w:p>
    <w:p>
      <w:pPr>
        <w:spacing w:after="0" w:line="1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181818"/>
        </w:rPr>
        <w:t xml:space="preserve">Following Registration in the Grantee’s </w:t>
      </w:r>
      <w:r>
        <w:rPr>
          <w:rFonts w:ascii="Arial" w:cs="Arial" w:eastAsia="Arial" w:hAnsi="Arial"/>
          <w:sz w:val="19"/>
          <w:szCs w:val="19"/>
          <w:color w:val="1C1C1C"/>
        </w:rPr>
        <w:t>name, during the Restricted Period, the Grantee shall have the entire beneficial interest in, and</w:t>
      </w:r>
      <w:r>
        <w:rPr>
          <w:rFonts w:ascii="Arial" w:cs="Arial" w:eastAsia="Arial" w:hAnsi="Arial"/>
          <w:sz w:val="19"/>
          <w:szCs w:val="19"/>
          <w:color w:val="181818"/>
        </w:rPr>
        <w:t xml:space="preserve"> </w:t>
      </w:r>
      <w:r>
        <w:rPr>
          <w:rFonts w:ascii="Arial" w:cs="Arial" w:eastAsia="Arial" w:hAnsi="Arial"/>
          <w:sz w:val="19"/>
          <w:szCs w:val="19"/>
          <w:color w:val="1C1C1C"/>
        </w:rPr>
        <w:t xml:space="preserve">all rights and privileges of a shareholder as to, such shares of Common Stock covered by the Restricted Stock Award, including, but not limited to, the right to vote such shares and the right to receive dividends, subject to the restrictions and forfeitures set forth herein and such conditions on the receipt of dividends as the Grantor may determine. Unless otherwise determined by the Committee, any shares of Common Stock or other securities distributed as a dividend or otherwise with respect to any shares of Restricted Stock as to which the restrictions have not </w:t>
      </w:r>
      <w:r>
        <w:rPr>
          <w:rFonts w:ascii="Arial" w:cs="Arial" w:eastAsia="Arial" w:hAnsi="Arial"/>
          <w:sz w:val="19"/>
          <w:szCs w:val="19"/>
          <w:color w:val="343434"/>
        </w:rPr>
        <w:t>yet</w:t>
      </w:r>
      <w:r>
        <w:rPr>
          <w:rFonts w:ascii="Arial" w:cs="Arial" w:eastAsia="Arial" w:hAnsi="Arial"/>
          <w:sz w:val="19"/>
          <w:szCs w:val="19"/>
          <w:color w:val="1C1C1C"/>
        </w:rPr>
        <w:t xml:space="preserve"> lapsed shall be subject to the same restrictions as such Restricted Stock shares.</w:t>
      </w:r>
    </w:p>
    <w:p>
      <w:pPr>
        <w:spacing w:after="0" w:line="98"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C1C1C"/>
        </w:rPr>
        <w:t>Section 7.7</w:t>
      </w:r>
      <w:r>
        <w:rPr>
          <w:sz w:val="20"/>
          <w:szCs w:val="20"/>
          <w:color w:val="auto"/>
        </w:rPr>
        <w:tab/>
      </w:r>
      <w:r>
        <w:rPr>
          <w:rFonts w:ascii="Arial" w:cs="Arial" w:eastAsia="Arial" w:hAnsi="Arial"/>
          <w:sz w:val="18"/>
          <w:szCs w:val="18"/>
          <w:u w:val="single" w:color="auto"/>
          <w:color w:val="1C1C1C"/>
        </w:rPr>
        <w:t>Delivery of Shares</w:t>
      </w:r>
    </w:p>
    <w:p>
      <w:pPr>
        <w:spacing w:after="0" w:line="1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1C1C1C"/>
        </w:rPr>
        <w:t>Upon the expiration (without a forfeiture) or earlier termination of the Restricted Period or at such earlier time as provided under the Plan, all shares of Restricted Stock shall be released from all restrictions and forfeiture provisions hereunder, any similar restrictions and forfeiture provisions under the Award Agreement applicable to such shares and all other restrictions and forfeiture provisions of the Plan or such Award Agreement. No payment will be required from the Holder upon the delivery of any shares of Restricted Stock, except that any amount necessary to satisfy applicable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2" w:right="239" w:bottom="1440" w:gutter="0" w:footer="0" w:header="0"/>
        </w:sectPr>
      </w:pPr>
    </w:p>
    <w:bookmarkStart w:id="64" w:name="page65"/>
    <w:bookmarkEnd w:id="64"/>
    <w:p>
      <w:pPr>
        <w:jc w:val="center"/>
        <w:ind w:right="960"/>
        <w:spacing w:after="0"/>
        <w:rPr>
          <w:sz w:val="20"/>
          <w:szCs w:val="20"/>
          <w:color w:val="auto"/>
        </w:rPr>
      </w:pPr>
      <w:r>
        <w:rPr>
          <w:rFonts w:ascii="Arial" w:cs="Arial" w:eastAsia="Arial" w:hAnsi="Arial"/>
          <w:sz w:val="16"/>
          <w:szCs w:val="16"/>
          <w:color w:val="1C1C1C"/>
        </w:rPr>
        <w:t>Federal, state or local tax requirements shall be paid by the Holder in accordance with the requirements of the plan prior to delivery.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1C1C"/>
        </w:rPr>
        <w:t>ARTICLE VIII</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1C1C1C"/>
        </w:rPr>
        <w:t>PHANTOM STOCK UNIT AWARDS</w:t>
      </w:r>
    </w:p>
    <w:p>
      <w:pPr>
        <w:spacing w:after="0" w:line="14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C1C1C"/>
        </w:rPr>
        <w:t>Section 8.1</w:t>
      </w:r>
      <w:r>
        <w:rPr>
          <w:sz w:val="20"/>
          <w:szCs w:val="20"/>
          <w:color w:val="auto"/>
        </w:rPr>
        <w:tab/>
      </w:r>
      <w:r>
        <w:rPr>
          <w:rFonts w:ascii="Arial" w:cs="Arial" w:eastAsia="Arial" w:hAnsi="Arial"/>
          <w:sz w:val="16"/>
          <w:szCs w:val="16"/>
          <w:u w:val="single" w:color="auto"/>
          <w:color w:val="1C1C1C"/>
        </w:rPr>
        <w:t>Grants</w:t>
      </w:r>
    </w:p>
    <w:p>
      <w:pPr>
        <w:spacing w:after="0" w:line="13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1C1C1C"/>
        </w:rPr>
        <w:t xml:space="preserve">From time to time, the Committee may grant Phantom Stock Unit Awards to such Reporting Persons who are Employees as the Committee may select in its sole discretion. From time to time, the Committee or the Chairman may grant Phantom Stock Unit Awards in such number as the Committee or the Chairman may determine to such Nonreporting Persons as the Committee or the Chairman may select in its or his or her, as the case may be, sole discretion; </w:t>
      </w:r>
      <w:r>
        <w:rPr>
          <w:rFonts w:ascii="Arial" w:cs="Arial" w:eastAsia="Arial" w:hAnsi="Arial"/>
          <w:sz w:val="20"/>
          <w:szCs w:val="20"/>
          <w:i w:val="1"/>
          <w:iCs w:val="1"/>
          <w:color w:val="1C1C1C"/>
        </w:rPr>
        <w:t>provided, however,</w:t>
      </w:r>
      <w:r>
        <w:rPr>
          <w:rFonts w:ascii="Arial" w:cs="Arial" w:eastAsia="Arial" w:hAnsi="Arial"/>
          <w:sz w:val="20"/>
          <w:szCs w:val="20"/>
          <w:color w:val="1C1C1C"/>
        </w:rPr>
        <w:t xml:space="preserve"> each and all such grants shall be subject to any maximum aggregate number of Awards in general and Phantom Stock Unit Awards in particular established by the Committee for grants under the Plan for Nonreporting Persons as a group. From time to time, the Board or Committee may grant Phantom Stock Unit Awards to such Directors as the Board or Committee may select in its sole discretion. A Phantom Stock Unit represents the right to receive, without payment to the Company, shares of Common Stock, an amount of cash equal to the value of a share of Common Stock on a future date or any combination thereof, as determined by the Grantor.</w:t>
      </w:r>
    </w:p>
    <w:p>
      <w:pPr>
        <w:spacing w:after="0" w:line="114"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C1C1C"/>
        </w:rPr>
        <w:t>Section 8.2</w:t>
      </w:r>
      <w:r>
        <w:rPr>
          <w:sz w:val="20"/>
          <w:szCs w:val="20"/>
          <w:color w:val="auto"/>
        </w:rPr>
        <w:tab/>
      </w:r>
      <w:r>
        <w:rPr>
          <w:rFonts w:ascii="Arial" w:cs="Arial" w:eastAsia="Arial" w:hAnsi="Arial"/>
          <w:sz w:val="18"/>
          <w:szCs w:val="18"/>
          <w:u w:val="single" w:color="auto"/>
          <w:color w:val="1C1C1C"/>
        </w:rPr>
        <w:t>Maximum Award to an Individual</w:t>
      </w:r>
    </w:p>
    <w:p>
      <w:pPr>
        <w:spacing w:after="0" w:line="1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1C1C1C"/>
        </w:rPr>
        <w:t>No individual shall be granted or receive in any calendar year a combination of Phantom Stock Unit Awards representing more than 1,000,000 shares of Common Stock.</w:t>
      </w:r>
    </w:p>
    <w:p>
      <w:pPr>
        <w:spacing w:after="0" w:line="9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C1C1C"/>
        </w:rPr>
        <w:t>Section 8.3</w:t>
      </w:r>
      <w:r>
        <w:rPr>
          <w:sz w:val="20"/>
          <w:szCs w:val="20"/>
          <w:color w:val="auto"/>
        </w:rPr>
        <w:tab/>
      </w:r>
      <w:r>
        <w:rPr>
          <w:rFonts w:ascii="Arial" w:cs="Arial" w:eastAsia="Arial" w:hAnsi="Arial"/>
          <w:sz w:val="18"/>
          <w:szCs w:val="18"/>
          <w:u w:val="single" w:color="auto"/>
          <w:color w:val="1C1C1C"/>
        </w:rPr>
        <w:t>Vesting of Phantom Stock Unit Awards</w:t>
      </w:r>
    </w:p>
    <w:p>
      <w:pPr>
        <w:spacing w:after="0" w:line="1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1C1C1C"/>
        </w:rPr>
        <w:t xml:space="preserve">Phantom Stock Units shall become </w:t>
      </w:r>
      <w:r>
        <w:rPr>
          <w:rFonts w:ascii="Arial" w:cs="Arial" w:eastAsia="Arial" w:hAnsi="Arial"/>
          <w:sz w:val="20"/>
          <w:szCs w:val="20"/>
          <w:color w:val="181818"/>
        </w:rPr>
        <w:t>vested as determined by the Grantor, from time to time, and as set forth in the applicable Award</w:t>
      </w:r>
      <w:r>
        <w:rPr>
          <w:rFonts w:ascii="Arial" w:cs="Arial" w:eastAsia="Arial" w:hAnsi="Arial"/>
          <w:sz w:val="20"/>
          <w:szCs w:val="20"/>
          <w:color w:val="1C1C1C"/>
        </w:rPr>
        <w:t xml:space="preserve"> </w:t>
      </w:r>
      <w:r>
        <w:rPr>
          <w:rFonts w:ascii="Arial" w:cs="Arial" w:eastAsia="Arial" w:hAnsi="Arial"/>
          <w:sz w:val="20"/>
          <w:szCs w:val="20"/>
          <w:color w:val="181818"/>
        </w:rPr>
        <w:t>Agreement, unless otherwise described in the Plan.</w:t>
      </w:r>
    </w:p>
    <w:p>
      <w:pPr>
        <w:spacing w:after="0" w:line="9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81818"/>
        </w:rPr>
        <w:t>Section 8.4</w:t>
      </w:r>
      <w:r>
        <w:rPr>
          <w:sz w:val="20"/>
          <w:szCs w:val="20"/>
          <w:color w:val="auto"/>
        </w:rPr>
        <w:tab/>
      </w:r>
      <w:r>
        <w:rPr>
          <w:rFonts w:ascii="Arial" w:cs="Arial" w:eastAsia="Arial" w:hAnsi="Arial"/>
          <w:sz w:val="16"/>
          <w:szCs w:val="16"/>
          <w:u w:val="single" w:color="auto"/>
          <w:color w:val="181818"/>
        </w:rPr>
        <w:t>Cash Value of Phantom Stock Unit Payments</w:t>
      </w:r>
    </w:p>
    <w:p>
      <w:pPr>
        <w:spacing w:after="0" w:line="1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181818"/>
        </w:rPr>
        <w:t>The amount payable with respect to each to each vested Phantom Stock payable in cash shall be an amount determined by multiplying the number of Phantom Stock Units by the Fair Market Value of one share of Common Stock as of the vesting date.</w:t>
      </w:r>
    </w:p>
    <w:p>
      <w:pPr>
        <w:spacing w:after="0" w:line="7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81818"/>
        </w:rPr>
        <w:t>Section 8.5</w:t>
      </w:r>
      <w:r>
        <w:rPr>
          <w:sz w:val="20"/>
          <w:szCs w:val="20"/>
          <w:color w:val="auto"/>
        </w:rPr>
        <w:tab/>
      </w:r>
      <w:r>
        <w:rPr>
          <w:rFonts w:ascii="Arial" w:cs="Arial" w:eastAsia="Arial" w:hAnsi="Arial"/>
          <w:sz w:val="18"/>
          <w:szCs w:val="18"/>
          <w:u w:val="single" w:color="auto"/>
          <w:color w:val="181818"/>
        </w:rPr>
        <w:t>Time of Payment</w:t>
      </w:r>
    </w:p>
    <w:p>
      <w:pPr>
        <w:spacing w:after="0" w:line="1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181818"/>
        </w:rPr>
        <w:t>Amounts payable in connection with a Phantom Stock Unit shall be paid to the Holder, as determined by the Grantor and as set forth in the applicable Award Agreement or in accordance with such rules, regulations and procedures as may be adopted by the Grantor but in no event later than two and one-half months following the end of the calendar year in which a restriction lapses or a vesting condition is met.</w:t>
      </w:r>
    </w:p>
    <w:p>
      <w:pPr>
        <w:spacing w:after="0" w:line="7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81818"/>
        </w:rPr>
        <w:t>Section 8.6</w:t>
      </w:r>
      <w:r>
        <w:rPr>
          <w:sz w:val="20"/>
          <w:szCs w:val="20"/>
          <w:color w:val="auto"/>
        </w:rPr>
        <w:tab/>
      </w:r>
      <w:r>
        <w:rPr>
          <w:rFonts w:ascii="Arial" w:cs="Arial" w:eastAsia="Arial" w:hAnsi="Arial"/>
          <w:sz w:val="18"/>
          <w:szCs w:val="18"/>
          <w:u w:val="single" w:color="auto"/>
          <w:color w:val="181818"/>
        </w:rPr>
        <w:t>Nature of Phantom Stock Units</w:t>
      </w:r>
    </w:p>
    <w:p>
      <w:pPr>
        <w:spacing w:after="0" w:line="1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181818"/>
        </w:rPr>
        <w:t>Phantom Stock Units shall be used solely as a device for the measurement and determination of the amount to be paid on behalf of Grantees as provided in the Plan. Phantom Stock Units shall not constitute or be treated as property or as a trust fund of any kind. All amounts at any time attributable to the Phantom Stock Units shall be and remain the sole property of the Company and all Grantees' rights hereunder are limited to the rights to receive cash or shares of Common Stock as provided in the Plan.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81818"/>
        </w:rPr>
        <w:t>ARTICLE IX</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181818"/>
        </w:rPr>
        <w:t>OTHER AWARDS</w:t>
      </w:r>
    </w:p>
    <w:p>
      <w:pPr>
        <w:spacing w:after="0" w:line="14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81818"/>
        </w:rPr>
        <w:t>Section 9.1</w:t>
      </w:r>
      <w:r>
        <w:rPr>
          <w:sz w:val="20"/>
          <w:szCs w:val="20"/>
          <w:color w:val="auto"/>
        </w:rPr>
        <w:tab/>
      </w:r>
      <w:r>
        <w:rPr>
          <w:rFonts w:ascii="Arial" w:cs="Arial" w:eastAsia="Arial" w:hAnsi="Arial"/>
          <w:sz w:val="16"/>
          <w:szCs w:val="16"/>
          <w:u w:val="single" w:color="auto"/>
          <w:color w:val="181818"/>
        </w:rPr>
        <w:t>Grants</w:t>
      </w:r>
    </w:p>
    <w:p>
      <w:pPr>
        <w:spacing w:after="0" w:line="1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181818"/>
        </w:rPr>
        <w:t>From time to time, the Committee may grant Other Awards to such Reporting Persons who are Employees as the Committee may select in its sole discretion. From time to time, the Committee or the Chairman may grant Other Awards to such Nonreporting Persons as the Committee or the Chairman may select in its or his, as the case may be,</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2" w:right="239" w:bottom="1440" w:gutter="0" w:footer="0" w:header="0"/>
        </w:sectPr>
      </w:pPr>
    </w:p>
    <w:bookmarkStart w:id="65" w:name="page66"/>
    <w:bookmarkEnd w:id="65"/>
    <w:p>
      <w:pPr>
        <w:jc w:val="both"/>
        <w:spacing w:after="0" w:line="291" w:lineRule="auto"/>
        <w:rPr>
          <w:sz w:val="20"/>
          <w:szCs w:val="20"/>
          <w:color w:val="auto"/>
        </w:rPr>
      </w:pPr>
      <w:r>
        <w:rPr>
          <w:rFonts w:ascii="Arial" w:cs="Arial" w:eastAsia="Arial" w:hAnsi="Arial"/>
          <w:sz w:val="18"/>
          <w:szCs w:val="18"/>
          <w:color w:val="181818"/>
        </w:rPr>
        <w:t xml:space="preserve">sole discretion; </w:t>
      </w:r>
      <w:r>
        <w:rPr>
          <w:rFonts w:ascii="Arial" w:cs="Arial" w:eastAsia="Arial" w:hAnsi="Arial"/>
          <w:sz w:val="18"/>
          <w:szCs w:val="18"/>
          <w:i w:val="1"/>
          <w:iCs w:val="1"/>
          <w:color w:val="181818"/>
        </w:rPr>
        <w:t>provided, however,</w:t>
      </w:r>
      <w:r>
        <w:rPr>
          <w:rFonts w:ascii="Arial" w:cs="Arial" w:eastAsia="Arial" w:hAnsi="Arial"/>
          <w:sz w:val="18"/>
          <w:szCs w:val="18"/>
          <w:color w:val="181818"/>
        </w:rPr>
        <w:t xml:space="preserve"> each and all such grants shall be subject to any maximum aggregate amount of Awards in general and Other Awards in particular (if any) established by the Committee for grants under the Plan for Nonreporting Persons as a group. From time to time, the Board or Committee may grant Other Awards to such Directors as the Board or Committee may select in its sole direction.</w:t>
      </w:r>
    </w:p>
    <w:p>
      <w:pPr>
        <w:spacing w:after="0" w:line="7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81818"/>
        </w:rPr>
        <w:t>Section 9.2</w:t>
      </w:r>
      <w:r>
        <w:rPr>
          <w:sz w:val="20"/>
          <w:szCs w:val="20"/>
          <w:color w:val="auto"/>
        </w:rPr>
        <w:tab/>
      </w:r>
      <w:r>
        <w:rPr>
          <w:rFonts w:ascii="Arial" w:cs="Arial" w:eastAsia="Arial" w:hAnsi="Arial"/>
          <w:sz w:val="18"/>
          <w:szCs w:val="18"/>
          <w:u w:val="single" w:color="auto"/>
          <w:color w:val="181818"/>
        </w:rPr>
        <w:t>Maximum Award to an Individual</w:t>
      </w:r>
    </w:p>
    <w:p>
      <w:pPr>
        <w:spacing w:after="0" w:line="135" w:lineRule="exact"/>
        <w:rPr>
          <w:sz w:val="20"/>
          <w:szCs w:val="20"/>
          <w:color w:val="auto"/>
        </w:rPr>
      </w:pPr>
    </w:p>
    <w:p>
      <w:pPr>
        <w:jc w:val="both"/>
        <w:ind w:firstLine="972"/>
        <w:spacing w:after="0" w:line="246" w:lineRule="auto"/>
        <w:rPr>
          <w:sz w:val="20"/>
          <w:szCs w:val="20"/>
          <w:color w:val="auto"/>
        </w:rPr>
      </w:pPr>
      <w:r>
        <w:rPr>
          <w:rFonts w:ascii="Arial" w:cs="Arial" w:eastAsia="Arial" w:hAnsi="Arial"/>
          <w:sz w:val="20"/>
          <w:szCs w:val="20"/>
          <w:color w:val="181818"/>
        </w:rPr>
        <w:t xml:space="preserve">9.2.1 </w:t>
      </w:r>
      <w:r>
        <w:rPr>
          <w:rFonts w:ascii="Arial" w:cs="Arial" w:eastAsia="Arial" w:hAnsi="Arial"/>
          <w:sz w:val="20"/>
          <w:szCs w:val="20"/>
          <w:i w:val="1"/>
          <w:iCs w:val="1"/>
          <w:color w:val="181818"/>
        </w:rPr>
        <w:t>Awards Denominated or Payable with Reference to Common Stock.</w:t>
      </w:r>
      <w:r>
        <w:rPr>
          <w:rFonts w:ascii="Arial" w:cs="Arial" w:eastAsia="Arial" w:hAnsi="Arial"/>
          <w:sz w:val="20"/>
          <w:szCs w:val="20"/>
          <w:color w:val="181818"/>
        </w:rPr>
        <w:t xml:space="preserve"> No individual shall be granted or receive in any calendar year Other Awards denominated or payable in, valued in whole or in part by reference to, or otherwise based on or related to shares of Common Stock (including, without limitation, securities convertible into shares of Common Stock) representing more than 1,000,000 shares of Common Stock.</w:t>
      </w:r>
    </w:p>
    <w:p>
      <w:pPr>
        <w:spacing w:after="0" w:line="110"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0"/>
          <w:szCs w:val="20"/>
          <w:color w:val="181818"/>
        </w:rPr>
        <w:t xml:space="preserve">9.2.2 </w:t>
      </w:r>
      <w:r>
        <w:rPr>
          <w:rFonts w:ascii="Arial" w:cs="Arial" w:eastAsia="Arial" w:hAnsi="Arial"/>
          <w:sz w:val="20"/>
          <w:szCs w:val="20"/>
          <w:i w:val="1"/>
          <w:iCs w:val="1"/>
          <w:color w:val="181818"/>
        </w:rPr>
        <w:t>Awards Denominated or Payable with Reference to Cash.</w:t>
      </w:r>
      <w:r>
        <w:rPr>
          <w:rFonts w:ascii="Arial" w:cs="Arial" w:eastAsia="Arial" w:hAnsi="Arial"/>
          <w:sz w:val="20"/>
          <w:szCs w:val="20"/>
          <w:color w:val="181818"/>
        </w:rPr>
        <w:t xml:space="preserve"> No individual shall be granted or receive in any calendar year Other Awards denominated by or payable in cash representing more than $6,000,000.</w:t>
      </w:r>
    </w:p>
    <w:p>
      <w:pPr>
        <w:spacing w:after="0" w:line="9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181818"/>
        </w:rPr>
        <w:t>Section 9.3</w:t>
      </w:r>
      <w:r>
        <w:rPr>
          <w:sz w:val="20"/>
          <w:szCs w:val="20"/>
          <w:color w:val="auto"/>
        </w:rPr>
        <w:tab/>
      </w:r>
      <w:r>
        <w:rPr>
          <w:rFonts w:ascii="Arial" w:cs="Arial" w:eastAsia="Arial" w:hAnsi="Arial"/>
          <w:sz w:val="18"/>
          <w:szCs w:val="18"/>
          <w:u w:val="single" w:color="auto"/>
          <w:color w:val="181818"/>
        </w:rPr>
        <w:t>Description of Other Awards</w:t>
      </w:r>
    </w:p>
    <w:p>
      <w:pPr>
        <w:spacing w:after="0" w:line="1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181818"/>
        </w:rPr>
        <w:t>An Other Award may be a grant of a type of equity-based, equity-related, or cash based Award not otherwise described by the terms of the Plan in such amounts and subject to such terms and conditions as determined by the Grantor, from time to time, under the Plan, including but not limited to being subject to Performance Goals. Such Awards may provide for the payment of shares of Common Stock or cash or any combination thereof to a Grantee. The value of a cash-based Other Award shall be determined by the Grantor.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81818"/>
        </w:rPr>
        <w:t>ARTICLE X</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181818"/>
        </w:rPr>
        <w:t>TERMINATION OF EMPLOYMENT OR CESSATION OF SERVICE</w:t>
      </w:r>
    </w:p>
    <w:p>
      <w:pPr>
        <w:spacing w:after="0" w:line="200" w:lineRule="exact"/>
        <w:rPr>
          <w:sz w:val="20"/>
          <w:szCs w:val="20"/>
          <w:color w:val="auto"/>
        </w:rPr>
      </w:pPr>
    </w:p>
    <w:p>
      <w:pPr>
        <w:spacing w:after="0" w:line="29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81818"/>
        </w:rPr>
        <w:t>Section 10.1</w:t>
      </w:r>
      <w:r>
        <w:rPr>
          <w:sz w:val="20"/>
          <w:szCs w:val="20"/>
          <w:color w:val="auto"/>
        </w:rPr>
        <w:tab/>
      </w:r>
      <w:r>
        <w:rPr>
          <w:rFonts w:ascii="Arial" w:cs="Arial" w:eastAsia="Arial" w:hAnsi="Arial"/>
          <w:sz w:val="16"/>
          <w:szCs w:val="16"/>
          <w:u w:val="single" w:color="auto"/>
          <w:color w:val="181818"/>
        </w:rPr>
        <w:t>Stock Options and SARs</w:t>
      </w:r>
    </w:p>
    <w:p>
      <w:pPr>
        <w:spacing w:after="0" w:line="1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181818"/>
        </w:rPr>
        <w:t>Except as otherwise provided in Article XIII, if a Grantee who was an Employee, Director or Consultant, as the case may be, when the Grantee received the Options or SARs ceases to be an Employee, Director or Consultant of the Company and all Subsidiaries for any reason, then, except as otherwise provided in an Award Agreement, the Grantee's Options and SARs that are exercisable as of the termination or cessation date shall be cancelled and forfeited at the end of the 120 day period after such date (or the last day of the maximum term of such award, if earlier) and all Options and SARs that are not exercisable as of the termination or cessation date shall be forfeited and cancelled as of such date except in cases of where such termination of employment or cessation of service is a result of (i) the Grantee's death or Disability, in which case the Grantee's Options or SARs that are not then exercisable shall thereupon become exercisable and all Options and SARs shall remain exercisable for the balance of their respective terms, (ii) resignation (other than for Retirement) by the Employee or Director, in which case the Grantee's Options or SARs that are exercisable as of such termination or cessation date shall be cancelled and forfeited at the end of the 30th day after such date and (iii) termination for Cause by the Company, a Subsidiary, or the Board, in which case all of the Grantee's Options and SARs, whether or not then exercisable, shall be cancelled and forfeited as of such termination date.</w:t>
      </w:r>
    </w:p>
    <w:p>
      <w:pPr>
        <w:spacing w:after="0" w:line="9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81818"/>
        </w:rPr>
        <w:t>Section 10.2</w:t>
      </w:r>
      <w:r>
        <w:rPr>
          <w:sz w:val="20"/>
          <w:szCs w:val="20"/>
          <w:color w:val="auto"/>
        </w:rPr>
        <w:tab/>
      </w:r>
      <w:r>
        <w:rPr>
          <w:rFonts w:ascii="Arial" w:cs="Arial" w:eastAsia="Arial" w:hAnsi="Arial"/>
          <w:sz w:val="16"/>
          <w:szCs w:val="16"/>
          <w:u w:val="single" w:color="auto"/>
          <w:color w:val="181818"/>
        </w:rPr>
        <w:t>Restricted Stock and Phantom Stock Units</w:t>
      </w:r>
    </w:p>
    <w:p>
      <w:pPr>
        <w:spacing w:after="0" w:line="1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181818"/>
        </w:rPr>
        <w:t>If a Grantee who was an Employee or Director, as the case may be, when the Grantee received the Restricted Stock or Phantom Stock Units ceases to (i) be employed by the Company and all Subsidiaries or (ii) serve as a Director, then all of the Grantee's Restricted Stock and Phantom Stock Units that remain subject to restriction or vesting at such time shall be cancelled and forfeited except in cases of such Grantee's death or Disability, in which case any remaining restriction or vesting shall thereupon lapse.</w:t>
      </w:r>
    </w:p>
    <w:p>
      <w:pPr>
        <w:spacing w:after="0" w:line="96"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81818"/>
        </w:rPr>
        <w:t>Section 10.3</w:t>
      </w:r>
      <w:r>
        <w:rPr>
          <w:sz w:val="20"/>
          <w:szCs w:val="20"/>
          <w:color w:val="auto"/>
        </w:rPr>
        <w:tab/>
      </w:r>
      <w:r>
        <w:rPr>
          <w:rFonts w:ascii="Arial" w:cs="Arial" w:eastAsia="Arial" w:hAnsi="Arial"/>
          <w:sz w:val="18"/>
          <w:szCs w:val="18"/>
          <w:u w:val="single" w:color="auto"/>
          <w:color w:val="181818"/>
        </w:rPr>
        <w:t>Date of Termination of Employment</w:t>
      </w:r>
    </w:p>
    <w:p>
      <w:pPr>
        <w:spacing w:after="0" w:line="1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181818"/>
        </w:rPr>
        <w:t xml:space="preserve">Termination of employment of a Grantee for any of the reasons enumerated in this Article X </w:t>
      </w:r>
      <w:r>
        <w:rPr>
          <w:rFonts w:ascii="Arial" w:cs="Arial" w:eastAsia="Arial" w:hAnsi="Arial"/>
          <w:sz w:val="20"/>
          <w:szCs w:val="20"/>
          <w:color w:val="1C1C1C"/>
        </w:rPr>
        <w:t>shall, for purposes of the Plan, be deemed</w:t>
      </w:r>
      <w:r>
        <w:rPr>
          <w:rFonts w:ascii="Arial" w:cs="Arial" w:eastAsia="Arial" w:hAnsi="Arial"/>
          <w:sz w:val="20"/>
          <w:szCs w:val="20"/>
          <w:color w:val="181818"/>
        </w:rPr>
        <w:t xml:space="preserve"> </w:t>
      </w:r>
      <w:r>
        <w:rPr>
          <w:rFonts w:ascii="Arial" w:cs="Arial" w:eastAsia="Arial" w:hAnsi="Arial"/>
          <w:sz w:val="20"/>
          <w:szCs w:val="20"/>
          <w:color w:val="1C1C1C"/>
        </w:rPr>
        <w:t>to have occurred as of the date which is recorded in the ordinary course in the Company's or a Subsidiary's books and records in accordance with the then-prevailing procedures and practices of the Company or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2" w:right="239" w:bottom="1440" w:gutter="0" w:footer="0" w:header="0"/>
        </w:sectPr>
      </w:pPr>
    </w:p>
    <w:bookmarkStart w:id="66" w:name="page67"/>
    <w:bookmarkEnd w:id="66"/>
    <w:p>
      <w:pPr>
        <w:jc w:val="both"/>
        <w:ind w:right="20"/>
        <w:spacing w:after="0" w:line="260" w:lineRule="auto"/>
        <w:rPr>
          <w:sz w:val="20"/>
          <w:szCs w:val="20"/>
          <w:color w:val="auto"/>
        </w:rPr>
      </w:pPr>
      <w:r>
        <w:rPr>
          <w:rFonts w:ascii="Arial" w:cs="Arial" w:eastAsia="Arial" w:hAnsi="Arial"/>
          <w:sz w:val="20"/>
          <w:szCs w:val="20"/>
          <w:color w:val="1C1C1C"/>
        </w:rPr>
        <w:t>the Subsidiary or, with respect to Awards that are "deferred compensation" under Section 409A of the Code, when a Grantee has a "separation from service" as defined in the regulations promulgated under Section 409A of the Code.</w:t>
      </w:r>
    </w:p>
    <w:p>
      <w:pPr>
        <w:spacing w:after="0" w:line="96"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C1C1C"/>
        </w:rPr>
        <w:t>Section 10.4</w:t>
      </w:r>
      <w:r>
        <w:rPr>
          <w:sz w:val="20"/>
          <w:szCs w:val="20"/>
          <w:color w:val="auto"/>
        </w:rPr>
        <w:tab/>
      </w:r>
      <w:r>
        <w:rPr>
          <w:rFonts w:ascii="Arial" w:cs="Arial" w:eastAsia="Arial" w:hAnsi="Arial"/>
          <w:sz w:val="18"/>
          <w:szCs w:val="18"/>
          <w:u w:val="single" w:color="auto"/>
          <w:color w:val="1C1C1C"/>
        </w:rPr>
        <w:t>Specified Employee Restriction</w:t>
      </w:r>
    </w:p>
    <w:p>
      <w:pPr>
        <w:spacing w:after="0" w:line="13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1C1C1C"/>
        </w:rPr>
        <w:t>Notwithstanding anything in this Plan to the contrary, with respect to any Award that constitutes "nonqualified deferred compensation" subject to Section 409A of the Code, any payments (whether in cash, shares of Common Stock or other property) to be made with respect to such Award upon the Holder's termination of employment or service shall, to the extent necessary to comply with Section 409A of the Code, be delayed until the first day of the seventh month following his "separation from service" as defined under Section 409A of the Code, if the Holder is a "specified employee" within the meaning of Section 409A of the Code (as determined in accordance with the uniform policy adopted by the Committee with respect to all of the arrangements subject to Section 409A of the Code maintained by the Company and its Subsidiaries).</w:t>
      </w:r>
    </w:p>
    <w:p>
      <w:pPr>
        <w:spacing w:after="0" w:line="11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C1C1C"/>
        </w:rPr>
        <w:t>Section 10.5</w:t>
      </w:r>
      <w:r>
        <w:rPr>
          <w:sz w:val="20"/>
          <w:szCs w:val="20"/>
          <w:color w:val="auto"/>
        </w:rPr>
        <w:tab/>
      </w:r>
      <w:r>
        <w:rPr>
          <w:rFonts w:ascii="Arial" w:cs="Arial" w:eastAsia="Arial" w:hAnsi="Arial"/>
          <w:sz w:val="18"/>
          <w:szCs w:val="18"/>
          <w:u w:val="single" w:color="auto"/>
          <w:color w:val="1C1C1C"/>
        </w:rPr>
        <w:t>Immediate Forfeiture; Acceleration</w:t>
      </w:r>
    </w:p>
    <w:p>
      <w:pPr>
        <w:spacing w:after="0" w:line="135"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1C1C1C"/>
        </w:rPr>
        <w:t xml:space="preserve">Except as otherwise provided in the Article X or in an Award Agreement or as otherwise determined by the Grantor, once a Grantee's employment terminates or Board service ceases, as the case may be, any Award that is not then exercisable or vested or as to which any restrictions have not lapsed shall be cancelled and forfeited to the Company; </w:t>
      </w:r>
      <w:r>
        <w:rPr>
          <w:rFonts w:ascii="Arial" w:cs="Arial" w:eastAsia="Arial" w:hAnsi="Arial"/>
          <w:sz w:val="16"/>
          <w:szCs w:val="16"/>
          <w:i w:val="1"/>
          <w:iCs w:val="1"/>
          <w:color w:val="1C1C1C"/>
        </w:rPr>
        <w:t>provided, however,</w:t>
      </w:r>
      <w:r>
        <w:rPr>
          <w:rFonts w:ascii="Arial" w:cs="Arial" w:eastAsia="Arial" w:hAnsi="Arial"/>
          <w:sz w:val="16"/>
          <w:szCs w:val="16"/>
          <w:color w:val="1C1C1C"/>
        </w:rPr>
        <w:t xml:space="preserve"> that the Grantor may, subject to the provisions of Sections 5.3 and 6.2, extend the periods during which Awards may be exercised or provide for acceleration or continuation of the exercise or vesting date or the lapse of restrictions of such Awards to such extent and under such terms and conditions as such Grantor deems appropriate.</w:t>
      </w:r>
    </w:p>
    <w:p>
      <w:pPr>
        <w:spacing w:after="0" w:line="5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C1C1C"/>
        </w:rPr>
        <w:t>Section 10.6</w:t>
      </w:r>
      <w:r>
        <w:rPr>
          <w:sz w:val="20"/>
          <w:szCs w:val="20"/>
          <w:color w:val="auto"/>
        </w:rPr>
        <w:tab/>
      </w:r>
      <w:r>
        <w:rPr>
          <w:rFonts w:ascii="Arial" w:cs="Arial" w:eastAsia="Arial" w:hAnsi="Arial"/>
          <w:sz w:val="18"/>
          <w:szCs w:val="18"/>
          <w:u w:val="single" w:color="auto"/>
          <w:color w:val="1C1C1C"/>
        </w:rPr>
        <w:t>Terms of Award Agreement</w:t>
      </w:r>
    </w:p>
    <w:p>
      <w:pPr>
        <w:spacing w:after="0" w:line="1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1C1C1C"/>
        </w:rPr>
        <w:t>The terms for any Award Agreement may address any of the issues provided for in this Article. In the event of a discrepancy between such terms and the terms of this Article, the terms of the Award Agreement shall apply.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1C1C"/>
        </w:rPr>
        <w:t>ARTICLE XI</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1C1C1C"/>
        </w:rPr>
        <w:t>CERTAIN TERMS APPLICABLE TO ALL AWARDS</w:t>
      </w:r>
    </w:p>
    <w:p>
      <w:pPr>
        <w:spacing w:after="0" w:line="14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C1C1C"/>
        </w:rPr>
        <w:t>Section 11.1</w:t>
      </w:r>
      <w:r>
        <w:rPr>
          <w:sz w:val="20"/>
          <w:szCs w:val="20"/>
          <w:color w:val="auto"/>
        </w:rPr>
        <w:tab/>
      </w:r>
      <w:r>
        <w:rPr>
          <w:rFonts w:ascii="Arial" w:cs="Arial" w:eastAsia="Arial" w:hAnsi="Arial"/>
          <w:sz w:val="18"/>
          <w:szCs w:val="18"/>
          <w:u w:val="single" w:color="auto"/>
          <w:color w:val="1C1C1C"/>
        </w:rPr>
        <w:t>Withholding Taxes</w:t>
      </w:r>
    </w:p>
    <w:p>
      <w:pPr>
        <w:spacing w:after="0" w:line="13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1C1C1C"/>
        </w:rPr>
        <w:t xml:space="preserve">The Company and any Subsidiary shall be authorized to withhold from any Award granted or any payment due or transfer made under any Award or under the Plan the amount (in </w:t>
      </w:r>
      <w:r>
        <w:rPr>
          <w:rFonts w:ascii="Arial" w:cs="Arial" w:eastAsia="Arial" w:hAnsi="Arial"/>
          <w:sz w:val="18"/>
          <w:szCs w:val="18"/>
          <w:color w:val="1D1C1C"/>
        </w:rPr>
        <w:t>cash, shares of Common Stock</w:t>
      </w:r>
      <w:r>
        <w:rPr>
          <w:rFonts w:ascii="Arial" w:cs="Arial" w:eastAsia="Arial" w:hAnsi="Arial"/>
          <w:sz w:val="18"/>
          <w:szCs w:val="18"/>
          <w:color w:val="424242"/>
        </w:rPr>
        <w:t>,</w:t>
      </w:r>
      <w:r>
        <w:rPr>
          <w:rFonts w:ascii="Arial" w:cs="Arial" w:eastAsia="Arial" w:hAnsi="Arial"/>
          <w:sz w:val="18"/>
          <w:szCs w:val="18"/>
          <w:color w:val="1C1C1C"/>
        </w:rPr>
        <w:t xml:space="preserve"> </w:t>
      </w:r>
      <w:r>
        <w:rPr>
          <w:rFonts w:ascii="Arial" w:cs="Arial" w:eastAsia="Arial" w:hAnsi="Arial"/>
          <w:sz w:val="18"/>
          <w:szCs w:val="18"/>
          <w:color w:val="1D1C1C"/>
        </w:rPr>
        <w:t>other securities, or other Awards) of withholding taxes due in</w:t>
      </w:r>
      <w:r>
        <w:rPr>
          <w:rFonts w:ascii="Arial" w:cs="Arial" w:eastAsia="Arial" w:hAnsi="Arial"/>
          <w:sz w:val="18"/>
          <w:szCs w:val="18"/>
          <w:color w:val="1C1C1C"/>
        </w:rPr>
        <w:t xml:space="preserve"> </w:t>
      </w:r>
      <w:r>
        <w:rPr>
          <w:rFonts w:ascii="Arial" w:cs="Arial" w:eastAsia="Arial" w:hAnsi="Arial"/>
          <w:sz w:val="18"/>
          <w:szCs w:val="18"/>
          <w:color w:val="1D1C1C"/>
        </w:rPr>
        <w:t>respect of an Award, its exercise, or any payment or transfer under such Award or under the Plan and to take such other action as may be necessary in the opinion of the Company or a Subsidiary to satisfy statutory withholding obligations for the payment of such taxes.</w:t>
      </w:r>
    </w:p>
    <w:p>
      <w:pPr>
        <w:spacing w:after="0" w:line="8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C1C1C"/>
        </w:rPr>
        <w:t>Section 11.2</w:t>
      </w:r>
      <w:r>
        <w:rPr>
          <w:sz w:val="20"/>
          <w:szCs w:val="20"/>
          <w:color w:val="auto"/>
        </w:rPr>
        <w:tab/>
      </w:r>
      <w:r>
        <w:rPr>
          <w:rFonts w:ascii="Arial" w:cs="Arial" w:eastAsia="Arial" w:hAnsi="Arial"/>
          <w:sz w:val="16"/>
          <w:szCs w:val="16"/>
          <w:u w:val="single" w:color="auto"/>
          <w:color w:val="1C1C1C"/>
        </w:rPr>
        <w:t>Adjustments to Reflect Capital Changes</w:t>
      </w:r>
    </w:p>
    <w:p>
      <w:pPr>
        <w:spacing w:after="0" w:line="135" w:lineRule="exact"/>
        <w:rPr>
          <w:sz w:val="20"/>
          <w:szCs w:val="20"/>
          <w:color w:val="auto"/>
        </w:rPr>
      </w:pPr>
    </w:p>
    <w:p>
      <w:pPr>
        <w:jc w:val="both"/>
        <w:ind w:firstLine="972"/>
        <w:spacing w:after="0" w:line="243" w:lineRule="auto"/>
        <w:rPr>
          <w:sz w:val="20"/>
          <w:szCs w:val="20"/>
          <w:color w:val="auto"/>
        </w:rPr>
      </w:pPr>
      <w:r>
        <w:rPr>
          <w:rFonts w:ascii="Arial" w:cs="Arial" w:eastAsia="Arial" w:hAnsi="Arial"/>
          <w:sz w:val="20"/>
          <w:szCs w:val="20"/>
          <w:color w:val="1C1C1C"/>
        </w:rPr>
        <w:t xml:space="preserve">11.2.1 </w:t>
      </w:r>
      <w:r>
        <w:rPr>
          <w:rFonts w:ascii="Arial" w:cs="Arial" w:eastAsia="Arial" w:hAnsi="Arial"/>
          <w:sz w:val="20"/>
          <w:szCs w:val="20"/>
          <w:i w:val="1"/>
          <w:iCs w:val="1"/>
          <w:color w:val="1C1C1C"/>
        </w:rPr>
        <w:t>Recapitalization, etc.</w:t>
      </w:r>
      <w:r>
        <w:rPr>
          <w:rFonts w:ascii="Arial" w:cs="Arial" w:eastAsia="Arial" w:hAnsi="Arial"/>
          <w:sz w:val="20"/>
          <w:szCs w:val="20"/>
          <w:color w:val="1C1C1C"/>
        </w:rPr>
        <w:t xml:space="preserve"> In the event that the Committee shall determine that any dividend </w:t>
      </w:r>
      <w:r>
        <w:rPr>
          <w:rFonts w:ascii="Arial" w:cs="Arial" w:eastAsia="Arial" w:hAnsi="Arial"/>
          <w:sz w:val="20"/>
          <w:szCs w:val="20"/>
          <w:color w:val="1D1C1C"/>
        </w:rPr>
        <w:t>or other distribution (whether in the</w:t>
      </w:r>
      <w:r>
        <w:rPr>
          <w:rFonts w:ascii="Arial" w:cs="Arial" w:eastAsia="Arial" w:hAnsi="Arial"/>
          <w:sz w:val="20"/>
          <w:szCs w:val="20"/>
          <w:color w:val="1C1C1C"/>
        </w:rPr>
        <w:t xml:space="preserve"> </w:t>
      </w:r>
      <w:r>
        <w:rPr>
          <w:rFonts w:ascii="Arial" w:cs="Arial" w:eastAsia="Arial" w:hAnsi="Arial"/>
          <w:sz w:val="20"/>
          <w:szCs w:val="20"/>
          <w:color w:val="1D1C1C"/>
        </w:rPr>
        <w:t>form of cash, shares of Common Stock or other securities)</w:t>
      </w:r>
      <w:r>
        <w:rPr>
          <w:rFonts w:ascii="Arial" w:cs="Arial" w:eastAsia="Arial" w:hAnsi="Arial"/>
          <w:sz w:val="20"/>
          <w:szCs w:val="20"/>
          <w:color w:val="424242"/>
        </w:rPr>
        <w:t>,</w:t>
      </w:r>
      <w:r>
        <w:rPr>
          <w:rFonts w:ascii="Arial" w:cs="Arial" w:eastAsia="Arial" w:hAnsi="Arial"/>
          <w:sz w:val="20"/>
          <w:szCs w:val="20"/>
          <w:color w:val="1D1C1C"/>
        </w:rPr>
        <w:t xml:space="preserve"> recapitalization, stock split, reverse stock split, reorganization, merger, consolidation, split-up</w:t>
      </w:r>
      <w:r>
        <w:rPr>
          <w:rFonts w:ascii="Arial" w:cs="Arial" w:eastAsia="Arial" w:hAnsi="Arial"/>
          <w:sz w:val="20"/>
          <w:szCs w:val="20"/>
          <w:color w:val="424242"/>
        </w:rPr>
        <w:t>,</w:t>
      </w:r>
      <w:r>
        <w:rPr>
          <w:rFonts w:ascii="Arial" w:cs="Arial" w:eastAsia="Arial" w:hAnsi="Arial"/>
          <w:sz w:val="20"/>
          <w:szCs w:val="20"/>
          <w:color w:val="1D1C1C"/>
        </w:rPr>
        <w:t xml:space="preserve"> spin-off, combination, repurchase or exchange of shares of Common Stock, other securities of the Company, issuance of warrants or other rights to purchase shares of Common Stock or other securities of the Company, or other similar corporate transaction or event constitutes an equity restructuring transaction or affects the shares of Common Stock, then the Committee shall adjust the following in a manner that is determined by the Committee to be appropriate in order to prevent dilution or enlargement of the benefits or potential benefits intended to be made available under the Plan:</w:t>
      </w:r>
    </w:p>
    <w:p>
      <w:pPr>
        <w:spacing w:after="0" w:line="11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1D1C1C"/>
        </w:rPr>
        <w:t>11.2.1.1 the number and type of shares of Common Stock or other securities which thereafter may be made the subject of Awards, including the aggregate and individual limits specified in the Plan (other than the individual limits set forth in Sections 5.1.3, 6.1.2, 7.2, 8.2 and 9.2.1, which shall not be subject to adjustment unless such adjustment can be made in a manner that satisfies the requirements of Section 162(m) of the Code);</w:t>
      </w:r>
    </w:p>
    <w:p>
      <w:pPr>
        <w:spacing w:after="0" w:line="110" w:lineRule="exact"/>
        <w:rPr>
          <w:sz w:val="20"/>
          <w:szCs w:val="20"/>
          <w:color w:val="auto"/>
        </w:rPr>
      </w:pPr>
    </w:p>
    <w:p>
      <w:pPr>
        <w:ind w:left="1300"/>
        <w:spacing w:after="0"/>
        <w:rPr>
          <w:sz w:val="20"/>
          <w:szCs w:val="20"/>
          <w:color w:val="auto"/>
        </w:rPr>
      </w:pPr>
      <w:r>
        <w:rPr>
          <w:rFonts w:ascii="Arial" w:cs="Arial" w:eastAsia="Arial" w:hAnsi="Arial"/>
          <w:sz w:val="20"/>
          <w:szCs w:val="20"/>
          <w:color w:val="1D1C1C"/>
        </w:rPr>
        <w:t>11.2.1.2 the number and type of shares of Common Stock or other securities subject to outstanding Awards;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2" w:right="239" w:bottom="1440" w:gutter="0" w:footer="0" w:header="0"/>
        </w:sectPr>
      </w:pPr>
    </w:p>
    <w:bookmarkStart w:id="67" w:name="page68"/>
    <w:bookmarkEnd w:id="67"/>
    <w:p>
      <w:pPr>
        <w:jc w:val="both"/>
        <w:ind w:firstLine="1297"/>
        <w:spacing w:after="0" w:line="260" w:lineRule="auto"/>
        <w:rPr>
          <w:sz w:val="20"/>
          <w:szCs w:val="20"/>
          <w:color w:val="auto"/>
        </w:rPr>
      </w:pPr>
      <w:r>
        <w:rPr>
          <w:rFonts w:ascii="Arial" w:cs="Arial" w:eastAsia="Arial" w:hAnsi="Arial"/>
          <w:sz w:val="20"/>
          <w:szCs w:val="20"/>
          <w:color w:val="1D1C1C"/>
        </w:rPr>
        <w:t>11.2.1.3 the grant, purchase, SAR Base Amount or Option Price with respect to any Award, or, if deemed appropriate, make provision for a cash payment to the holder of an outstanding Award; and</w:t>
      </w:r>
    </w:p>
    <w:p>
      <w:pPr>
        <w:spacing w:after="0" w:line="96" w:lineRule="exact"/>
        <w:rPr>
          <w:sz w:val="20"/>
          <w:szCs w:val="20"/>
          <w:color w:val="auto"/>
        </w:rPr>
      </w:pPr>
    </w:p>
    <w:p>
      <w:pPr>
        <w:ind w:left="1300"/>
        <w:spacing w:after="0"/>
        <w:rPr>
          <w:sz w:val="20"/>
          <w:szCs w:val="20"/>
          <w:color w:val="auto"/>
        </w:rPr>
      </w:pPr>
      <w:r>
        <w:rPr>
          <w:rFonts w:ascii="Arial" w:cs="Arial" w:eastAsia="Arial" w:hAnsi="Arial"/>
          <w:sz w:val="20"/>
          <w:szCs w:val="20"/>
          <w:color w:val="1D1C1C"/>
        </w:rPr>
        <w:t>11.2.1.4 other value determinations applicable to outstanding awards.</w:t>
      </w:r>
    </w:p>
    <w:p>
      <w:pPr>
        <w:spacing w:after="0" w:line="135"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8"/>
          <w:szCs w:val="18"/>
          <w:color w:val="1D1C1C"/>
        </w:rPr>
        <w:t xml:space="preserve">11.2.2 </w:t>
      </w:r>
      <w:r>
        <w:rPr>
          <w:rFonts w:ascii="Arial" w:cs="Arial" w:eastAsia="Arial" w:hAnsi="Arial"/>
          <w:sz w:val="18"/>
          <w:szCs w:val="18"/>
          <w:i w:val="1"/>
          <w:iCs w:val="1"/>
          <w:color w:val="1D1C1C"/>
        </w:rPr>
        <w:t>Sale or Reorganization.</w:t>
      </w:r>
      <w:r>
        <w:rPr>
          <w:rFonts w:ascii="Arial" w:cs="Arial" w:eastAsia="Arial" w:hAnsi="Arial"/>
          <w:sz w:val="18"/>
          <w:szCs w:val="18"/>
          <w:color w:val="1D1C1C"/>
        </w:rPr>
        <w:t xml:space="preserve"> After any reorganization, merger, or consolidation whether or not the Company is the surviving corporation and unless there is a provision in the sale or reorganization agreement to the contrary, each Grantee shall, at no additional cost, be entitled upon any exercise of an Option or SAR or vesting of such other Award to receive (subject to any required action by shareholders), in lieu of the number of shares of Common Stock receivable or exercisable pursuant to such Award, the number and class of shares of stock or other securities to which such Grantee would have been entitled pursuant to the terms of the reorganization, merger or consolidation if, at the time of such reorganization, merger or consolidation, such Grantee had been the holder of record of a number of shares of Common Stock equal to the number of shares receivable or exercisable pursuant to such Award. Comparable rights shall accrue to each Grantee in the event of successive reorganizations, mergers or consolidations of the character described above. </w:t>
      </w:r>
      <w:r>
        <w:rPr>
          <w:rFonts w:ascii="Arial" w:cs="Arial" w:eastAsia="Arial" w:hAnsi="Arial"/>
          <w:sz w:val="18"/>
          <w:szCs w:val="18"/>
          <w:color w:val="000000"/>
        </w:rPr>
        <w:t>Notwithstanding the foregoing, in the event of a Change</w:t>
      </w:r>
      <w:r>
        <w:rPr>
          <w:rFonts w:ascii="Arial" w:cs="Arial" w:eastAsia="Arial" w:hAnsi="Arial"/>
          <w:sz w:val="18"/>
          <w:szCs w:val="18"/>
          <w:color w:val="1D1C1C"/>
        </w:rPr>
        <w:t xml:space="preserve"> </w:t>
      </w:r>
      <w:r>
        <w:rPr>
          <w:rFonts w:ascii="Arial" w:cs="Arial" w:eastAsia="Arial" w:hAnsi="Arial"/>
          <w:sz w:val="18"/>
          <w:szCs w:val="18"/>
          <w:color w:val="000000"/>
        </w:rPr>
        <w:t>of Control, the Grantor may (a) cancel without consideration any outstanding Awards with an exercise price that is more than the Fair Market Value of Common Stock as of the Change of Control, and (b) in lieu of the substituted shares referenced herein, Grantor may elect to pay Grantee a cash payment equal to the difference between the exercise price for the Award and the Fair Market Value of the Company’s Common Stock as of the Change of Control.</w:t>
      </w:r>
    </w:p>
    <w:p>
      <w:pPr>
        <w:spacing w:after="0" w:line="96" w:lineRule="exact"/>
        <w:rPr>
          <w:sz w:val="20"/>
          <w:szCs w:val="20"/>
          <w:color w:val="auto"/>
        </w:rPr>
      </w:pPr>
    </w:p>
    <w:p>
      <w:pPr>
        <w:jc w:val="both"/>
        <w:ind w:firstLine="972"/>
        <w:spacing w:after="0" w:line="278" w:lineRule="auto"/>
        <w:rPr>
          <w:sz w:val="20"/>
          <w:szCs w:val="20"/>
          <w:color w:val="auto"/>
        </w:rPr>
      </w:pPr>
      <w:r>
        <w:rPr>
          <w:rFonts w:ascii="Arial" w:cs="Arial" w:eastAsia="Arial" w:hAnsi="Arial"/>
          <w:sz w:val="18"/>
          <w:szCs w:val="18"/>
          <w:color w:val="auto"/>
        </w:rPr>
        <w:t xml:space="preserve">11.2.3 </w:t>
      </w:r>
      <w:r>
        <w:rPr>
          <w:rFonts w:ascii="Arial" w:cs="Arial" w:eastAsia="Arial" w:hAnsi="Arial"/>
          <w:sz w:val="18"/>
          <w:szCs w:val="18"/>
          <w:i w:val="1"/>
          <w:iCs w:val="1"/>
          <w:color w:val="auto"/>
        </w:rPr>
        <w:t>Options to Purchase Stock of Acquired Companies.</w:t>
      </w:r>
      <w:r>
        <w:rPr>
          <w:rFonts w:ascii="Arial" w:cs="Arial" w:eastAsia="Arial" w:hAnsi="Arial"/>
          <w:sz w:val="18"/>
          <w:szCs w:val="18"/>
          <w:color w:val="auto"/>
        </w:rPr>
        <w:t xml:space="preserve"> After any reorganization, merger </w:t>
      </w:r>
      <w:r>
        <w:rPr>
          <w:rFonts w:ascii="Arial" w:cs="Arial" w:eastAsia="Arial" w:hAnsi="Arial"/>
          <w:sz w:val="18"/>
          <w:szCs w:val="18"/>
          <w:color w:val="1D1D1D"/>
        </w:rPr>
        <w:t>or consolidation in which the Company</w:t>
      </w:r>
      <w:r>
        <w:rPr>
          <w:rFonts w:ascii="Arial" w:cs="Arial" w:eastAsia="Arial" w:hAnsi="Arial"/>
          <w:sz w:val="18"/>
          <w:szCs w:val="18"/>
          <w:color w:val="auto"/>
        </w:rPr>
        <w:t xml:space="preserve"> </w:t>
      </w:r>
      <w:r>
        <w:rPr>
          <w:rFonts w:ascii="Arial" w:cs="Arial" w:eastAsia="Arial" w:hAnsi="Arial"/>
          <w:sz w:val="18"/>
          <w:szCs w:val="18"/>
          <w:color w:val="1D1D1D"/>
        </w:rPr>
        <w:t>or a Subsidiary shall be a surviving corporation, the Committee may grant substituted options under the provisions of the Plan, pursuant to Section 424 of the Code, replacing old options granted under a plan of another party to the reorganization, merger or consolidation. The foregoing adjustments and manner of application of the foregoing provisions shall be determined by the Committee in its sole discretion. Any such adjustments may provide for the elimination of any fractional shares which might otherwise become subject to any Options.</w:t>
      </w:r>
    </w:p>
    <w:p>
      <w:pPr>
        <w:spacing w:after="0" w:line="84"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8"/>
          <w:szCs w:val="18"/>
          <w:color w:val="1D1D1D"/>
        </w:rPr>
        <w:t xml:space="preserve">11.2.4 </w:t>
      </w:r>
      <w:r>
        <w:rPr>
          <w:rFonts w:ascii="Arial" w:cs="Arial" w:eastAsia="Arial" w:hAnsi="Arial"/>
          <w:sz w:val="18"/>
          <w:szCs w:val="18"/>
          <w:i w:val="1"/>
          <w:iCs w:val="1"/>
          <w:color w:val="1D1D1D"/>
        </w:rPr>
        <w:t>Awards Converted in Separation.</w:t>
      </w:r>
      <w:r>
        <w:rPr>
          <w:rFonts w:ascii="Arial" w:cs="Arial" w:eastAsia="Arial" w:hAnsi="Arial"/>
          <w:sz w:val="18"/>
          <w:szCs w:val="18"/>
          <w:color w:val="1D1D1D"/>
        </w:rPr>
        <w:t xml:space="preserve"> Awards (“Converted Awards”) in or with respect to shares of Common Stock (including SARs and Phantom Stock Units) that result from the conversion of awards issued under the equity compensation plans of Penn National Gaming, Inc. ("Penn National") pursuant to the provisions of the Employee Matters Agreement to be entered into between the Company and Penn National, on or about November 1, 2013, (the </w:t>
      </w:r>
      <w:r>
        <w:rPr>
          <w:rFonts w:ascii="Arial" w:cs="Arial" w:eastAsia="Arial" w:hAnsi="Arial"/>
          <w:sz w:val="18"/>
          <w:szCs w:val="18"/>
          <w:color w:val="333333"/>
        </w:rPr>
        <w:t>"EMA")</w:t>
      </w:r>
      <w:r>
        <w:rPr>
          <w:rFonts w:ascii="Arial" w:cs="Arial" w:eastAsia="Arial" w:hAnsi="Arial"/>
          <w:sz w:val="18"/>
          <w:szCs w:val="18"/>
          <w:color w:val="1D1D1D"/>
        </w:rPr>
        <w:t xml:space="preserve"> or the Exchange Agreement to which the Company became a party in connection with the Spin-off (the </w:t>
      </w:r>
      <w:r>
        <w:rPr>
          <w:rFonts w:ascii="Arial" w:cs="Arial" w:eastAsia="Arial" w:hAnsi="Arial"/>
          <w:sz w:val="18"/>
          <w:szCs w:val="18"/>
          <w:color w:val="333333"/>
        </w:rPr>
        <w:t>"Exchange</w:t>
      </w:r>
      <w:r>
        <w:rPr>
          <w:rFonts w:ascii="Arial" w:cs="Arial" w:eastAsia="Arial" w:hAnsi="Arial"/>
          <w:sz w:val="18"/>
          <w:szCs w:val="18"/>
          <w:color w:val="1D1D1D"/>
        </w:rPr>
        <w:t xml:space="preserve"> Agreement") shall be issued under and, except as set forth below, governed by this Plan. All shares issued pursuant to such Converted Awards shall not be counted against the limitation on available shares set forth in Section 3.2 of the Plan (and shall not be subject to the other share and dollar limitations set forth in the Plan) and shall be available for issuance pursuant to new Awards under this Plan in the event of the forfeiture of a Converted Award. Such Converted Awards shall continue to be subject to the same terms and conditions regarding term, vesting, termination and other provisions regarding exercise and vesting (as applicable) set forth in the original award from Penn National (including applicable terms of the plan under which the award was made and any terms applicable to the award pursuant to any separate written agreement between the holder and Penn National), except as otherwise set forth in the EMA or the Exchange Agreement, as applicable; provided that the provisions of this Plan set forth in Article XII shall apply to such Converted Awards. In the event of any conflict between the terms of the Plan and those of the EMA or the Exchange Agreement, as applicable, the terms of the EMA or the Exchange Agreement, as applicable, shall govern.</w:t>
      </w:r>
    </w:p>
    <w:p>
      <w:pPr>
        <w:spacing w:after="0" w:line="8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D1C1C"/>
        </w:rPr>
        <w:t>Section 11.3</w:t>
      </w:r>
      <w:r>
        <w:rPr>
          <w:sz w:val="20"/>
          <w:szCs w:val="20"/>
          <w:color w:val="auto"/>
        </w:rPr>
        <w:tab/>
      </w:r>
      <w:r>
        <w:rPr>
          <w:rFonts w:ascii="Arial" w:cs="Arial" w:eastAsia="Arial" w:hAnsi="Arial"/>
          <w:sz w:val="18"/>
          <w:szCs w:val="18"/>
          <w:u w:val="single" w:color="auto"/>
          <w:color w:val="1D1C1C"/>
        </w:rPr>
        <w:t>Failure to Comply with Terms and Conditions</w:t>
      </w:r>
    </w:p>
    <w:p>
      <w:pPr>
        <w:spacing w:after="0" w:line="1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1D1C1C"/>
        </w:rPr>
        <w:t xml:space="preserve">Notwithstanding any other provision of the Plan, any outstanding Awards, including, without limit, </w:t>
      </w:r>
      <w:r>
        <w:rPr>
          <w:rFonts w:ascii="Arial" w:cs="Arial" w:eastAsia="Arial" w:hAnsi="Arial"/>
          <w:sz w:val="20"/>
          <w:szCs w:val="20"/>
          <w:color w:val="1D1D1D"/>
        </w:rPr>
        <w:t>any rights of payment or delivery or</w:t>
      </w:r>
      <w:r>
        <w:rPr>
          <w:rFonts w:ascii="Arial" w:cs="Arial" w:eastAsia="Arial" w:hAnsi="Arial"/>
          <w:sz w:val="20"/>
          <w:szCs w:val="20"/>
          <w:color w:val="1D1C1C"/>
        </w:rPr>
        <w:t xml:space="preserve"> </w:t>
      </w:r>
      <w:r>
        <w:rPr>
          <w:rFonts w:ascii="Arial" w:cs="Arial" w:eastAsia="Arial" w:hAnsi="Arial"/>
          <w:sz w:val="20"/>
          <w:szCs w:val="20"/>
          <w:color w:val="1D1D1D"/>
        </w:rPr>
        <w:t>any other rights of a Holder with respect to any Award shall, unless otherwise determined by the Grantor, be immediately forfeited and cancelled if the Holder:</w:t>
      </w:r>
    </w:p>
    <w:p>
      <w:pPr>
        <w:spacing w:after="0" w:line="105" w:lineRule="exact"/>
        <w:rPr>
          <w:sz w:val="20"/>
          <w:szCs w:val="20"/>
          <w:color w:val="auto"/>
        </w:rPr>
      </w:pPr>
    </w:p>
    <w:p>
      <w:pPr>
        <w:ind w:firstLine="1305"/>
        <w:spacing w:after="0" w:line="260" w:lineRule="auto"/>
        <w:tabs>
          <w:tab w:leader="none" w:pos="1545" w:val="left"/>
        </w:tabs>
        <w:numPr>
          <w:ilvl w:val="0"/>
          <w:numId w:val="22"/>
        </w:numPr>
        <w:rPr>
          <w:rFonts w:ascii="Arial" w:cs="Arial" w:eastAsia="Arial" w:hAnsi="Arial"/>
          <w:sz w:val="20"/>
          <w:szCs w:val="20"/>
          <w:color w:val="1D1D1D"/>
        </w:rPr>
      </w:pPr>
      <w:r>
        <w:rPr>
          <w:rFonts w:ascii="Arial" w:cs="Arial" w:eastAsia="Arial" w:hAnsi="Arial"/>
          <w:sz w:val="20"/>
          <w:szCs w:val="20"/>
          <w:color w:val="1D1D1D"/>
        </w:rPr>
        <w:t>breaches any term, restriction and/or condition of the Plan, any Award Agreement or any employment, separation or other agreement between the Holder and the Company or its Subsidiaries; or</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2" w:right="239" w:bottom="1440" w:gutter="0" w:footer="0" w:header="0"/>
        </w:sectPr>
      </w:pPr>
    </w:p>
    <w:bookmarkStart w:id="68" w:name="page69"/>
    <w:bookmarkEnd w:id="68"/>
    <w:p>
      <w:pPr>
        <w:ind w:firstLine="1305"/>
        <w:spacing w:after="0" w:line="260" w:lineRule="auto"/>
        <w:tabs>
          <w:tab w:leader="none" w:pos="1599" w:val="left"/>
        </w:tabs>
        <w:numPr>
          <w:ilvl w:val="0"/>
          <w:numId w:val="23"/>
        </w:numPr>
        <w:rPr>
          <w:rFonts w:ascii="Arial" w:cs="Arial" w:eastAsia="Arial" w:hAnsi="Arial"/>
          <w:sz w:val="20"/>
          <w:szCs w:val="20"/>
          <w:color w:val="1D1D1D"/>
        </w:rPr>
      </w:pPr>
      <w:r>
        <w:rPr>
          <w:rFonts w:ascii="Arial" w:cs="Arial" w:eastAsia="Arial" w:hAnsi="Arial"/>
          <w:sz w:val="20"/>
          <w:szCs w:val="20"/>
          <w:color w:val="1D1D1D"/>
        </w:rPr>
        <w:t>while serving as a Director or an Employee, is employed by or serves as a director of a competitor of the Company or its Subsidiaries, or shall be engaged in any activity in competition with the Company or its Subsidiaries; or</w:t>
      </w:r>
    </w:p>
    <w:p>
      <w:pPr>
        <w:spacing w:after="0" w:line="95" w:lineRule="exact"/>
        <w:rPr>
          <w:rFonts w:ascii="Arial" w:cs="Arial" w:eastAsia="Arial" w:hAnsi="Arial"/>
          <w:sz w:val="20"/>
          <w:szCs w:val="20"/>
          <w:color w:val="1D1D1D"/>
        </w:rPr>
      </w:pPr>
    </w:p>
    <w:p>
      <w:pPr>
        <w:jc w:val="both"/>
        <w:ind w:firstLine="1305"/>
        <w:spacing w:after="0" w:line="250" w:lineRule="auto"/>
        <w:tabs>
          <w:tab w:leader="none" w:pos="1658" w:val="left"/>
        </w:tabs>
        <w:numPr>
          <w:ilvl w:val="0"/>
          <w:numId w:val="23"/>
        </w:numPr>
        <w:rPr>
          <w:rFonts w:ascii="Arial" w:cs="Arial" w:eastAsia="Arial" w:hAnsi="Arial"/>
          <w:sz w:val="20"/>
          <w:szCs w:val="20"/>
          <w:color w:val="1D1D1D"/>
        </w:rPr>
      </w:pPr>
      <w:r>
        <w:rPr>
          <w:rFonts w:ascii="Arial" w:cs="Arial" w:eastAsia="Arial" w:hAnsi="Arial"/>
          <w:sz w:val="20"/>
          <w:szCs w:val="20"/>
          <w:color w:val="1D1D1D"/>
        </w:rPr>
        <w:t>within one (1) year of the Grantee’s termination of employment or cessation of Board service with the Company and its Subsidiaries, solicits or assists in soliciting, directly or in any manner, any person employed by the Company or a Subsidiary to leave such employment or recruit, make an offer of employment to, or hire any such person; or</w:t>
      </w:r>
    </w:p>
    <w:p>
      <w:pPr>
        <w:spacing w:after="0" w:line="105" w:lineRule="exact"/>
        <w:rPr>
          <w:rFonts w:ascii="Arial" w:cs="Arial" w:eastAsia="Arial" w:hAnsi="Arial"/>
          <w:sz w:val="20"/>
          <w:szCs w:val="20"/>
          <w:color w:val="1D1D1D"/>
        </w:rPr>
      </w:pPr>
    </w:p>
    <w:p>
      <w:pPr>
        <w:ind w:left="1640" w:hanging="335"/>
        <w:spacing w:after="0"/>
        <w:tabs>
          <w:tab w:leader="none" w:pos="1640" w:val="left"/>
        </w:tabs>
        <w:numPr>
          <w:ilvl w:val="0"/>
          <w:numId w:val="23"/>
        </w:numPr>
        <w:rPr>
          <w:rFonts w:ascii="Arial" w:cs="Arial" w:eastAsia="Arial" w:hAnsi="Arial"/>
          <w:sz w:val="20"/>
          <w:szCs w:val="20"/>
          <w:color w:val="1D1D1D"/>
        </w:rPr>
      </w:pPr>
      <w:r>
        <w:rPr>
          <w:rFonts w:ascii="Arial" w:cs="Arial" w:eastAsia="Arial" w:hAnsi="Arial"/>
          <w:sz w:val="20"/>
          <w:szCs w:val="20"/>
          <w:color w:val="1D1D1D"/>
        </w:rPr>
        <w:t>divulges at any time any confidential information belonging to the Company or any Subsidiary.</w:t>
      </w:r>
    </w:p>
    <w:p>
      <w:pPr>
        <w:spacing w:after="0" w:line="1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1D1D1D"/>
        </w:rPr>
        <w:t xml:space="preserve">The determination of the Grantor as to the occurrence of any of the events specified in this Section 11.3 </w:t>
      </w:r>
      <w:r>
        <w:rPr>
          <w:rFonts w:ascii="Arial" w:cs="Arial" w:eastAsia="Arial" w:hAnsi="Arial"/>
          <w:sz w:val="20"/>
          <w:szCs w:val="20"/>
          <w:color w:val="181818"/>
        </w:rPr>
        <w:t>shall be conclusive and binding</w:t>
      </w:r>
      <w:r>
        <w:rPr>
          <w:rFonts w:ascii="Arial" w:cs="Arial" w:eastAsia="Arial" w:hAnsi="Arial"/>
          <w:sz w:val="20"/>
          <w:szCs w:val="20"/>
          <w:color w:val="1D1D1D"/>
        </w:rPr>
        <w:t xml:space="preserve"> </w:t>
      </w:r>
      <w:r>
        <w:rPr>
          <w:rFonts w:ascii="Arial" w:cs="Arial" w:eastAsia="Arial" w:hAnsi="Arial"/>
          <w:sz w:val="20"/>
          <w:szCs w:val="20"/>
          <w:color w:val="181818"/>
        </w:rPr>
        <w:t>upon all persons for all purposes.</w:t>
      </w:r>
    </w:p>
    <w:p>
      <w:pPr>
        <w:spacing w:after="0" w:line="96"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81818"/>
        </w:rPr>
        <w:t>Section 11.4</w:t>
      </w:r>
      <w:r>
        <w:rPr>
          <w:sz w:val="20"/>
          <w:szCs w:val="20"/>
          <w:color w:val="auto"/>
        </w:rPr>
        <w:tab/>
      </w:r>
      <w:r>
        <w:rPr>
          <w:rFonts w:ascii="Arial" w:cs="Arial" w:eastAsia="Arial" w:hAnsi="Arial"/>
          <w:sz w:val="18"/>
          <w:szCs w:val="18"/>
          <w:u w:val="single" w:color="auto"/>
          <w:color w:val="181818"/>
        </w:rPr>
        <w:t>Regulatory Approvals and Listing</w:t>
      </w:r>
    </w:p>
    <w:p>
      <w:pPr>
        <w:spacing w:after="0" w:line="13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181818"/>
        </w:rPr>
        <w:t>The Company shall not be required to issue any certificate or certificates for shares of Common Stock under the Plan prior to (i) obtaining any approval from any governmental agency which the Company shall, in its discretion, determine to be necessary or advisable, (ii) the admission of such shares to listing on any national securities exchange on which the Company's Common Stock may be listed</w:t>
      </w:r>
      <w:r>
        <w:rPr>
          <w:rFonts w:ascii="Arial" w:cs="Arial" w:eastAsia="Arial" w:hAnsi="Arial"/>
          <w:sz w:val="18"/>
          <w:szCs w:val="18"/>
          <w:color w:val="313131"/>
        </w:rPr>
        <w:t>,</w:t>
      </w:r>
      <w:r>
        <w:rPr>
          <w:rFonts w:ascii="Arial" w:cs="Arial" w:eastAsia="Arial" w:hAnsi="Arial"/>
          <w:sz w:val="18"/>
          <w:szCs w:val="18"/>
          <w:color w:val="181818"/>
        </w:rPr>
        <w:t xml:space="preserve"> and (iii) the completion of any registration or other qualification of such shares of Common Stock under any state or Federal law or ruling or regulations of any governmental body which the Company shall</w:t>
      </w:r>
      <w:r>
        <w:rPr>
          <w:rFonts w:ascii="Arial" w:cs="Arial" w:eastAsia="Arial" w:hAnsi="Arial"/>
          <w:sz w:val="18"/>
          <w:szCs w:val="18"/>
          <w:color w:val="313131"/>
        </w:rPr>
        <w:t>,</w:t>
      </w:r>
      <w:r>
        <w:rPr>
          <w:rFonts w:ascii="Arial" w:cs="Arial" w:eastAsia="Arial" w:hAnsi="Arial"/>
          <w:sz w:val="18"/>
          <w:szCs w:val="18"/>
          <w:color w:val="181818"/>
        </w:rPr>
        <w:t xml:space="preserve"> in its discretion</w:t>
      </w:r>
      <w:r>
        <w:rPr>
          <w:rFonts w:ascii="Arial" w:cs="Arial" w:eastAsia="Arial" w:hAnsi="Arial"/>
          <w:sz w:val="18"/>
          <w:szCs w:val="18"/>
          <w:color w:val="313131"/>
        </w:rPr>
        <w:t>,</w:t>
      </w:r>
      <w:r>
        <w:rPr>
          <w:rFonts w:ascii="Arial" w:cs="Arial" w:eastAsia="Arial" w:hAnsi="Arial"/>
          <w:sz w:val="18"/>
          <w:szCs w:val="18"/>
          <w:color w:val="181818"/>
        </w:rPr>
        <w:t xml:space="preserve"> determine to be necessary or advisable</w:t>
      </w:r>
      <w:r>
        <w:rPr>
          <w:rFonts w:ascii="Arial" w:cs="Arial" w:eastAsia="Arial" w:hAnsi="Arial"/>
          <w:sz w:val="18"/>
          <w:szCs w:val="18"/>
          <w:color w:val="313131"/>
        </w:rPr>
        <w:t>.</w:t>
      </w:r>
    </w:p>
    <w:p>
      <w:pPr>
        <w:spacing w:after="0" w:line="8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313131"/>
        </w:rPr>
        <w:t>Section 11.5</w:t>
      </w:r>
      <w:r>
        <w:rPr>
          <w:sz w:val="20"/>
          <w:szCs w:val="20"/>
          <w:color w:val="auto"/>
        </w:rPr>
        <w:tab/>
      </w:r>
      <w:r>
        <w:rPr>
          <w:rFonts w:ascii="Arial" w:cs="Arial" w:eastAsia="Arial" w:hAnsi="Arial"/>
          <w:sz w:val="16"/>
          <w:szCs w:val="16"/>
          <w:u w:val="single" w:color="auto"/>
          <w:color w:val="313131"/>
        </w:rPr>
        <w:t>Restrictions Upon Resale of Stock</w:t>
      </w:r>
    </w:p>
    <w:p>
      <w:pPr>
        <w:spacing w:after="0" w:line="13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313131"/>
        </w:rPr>
        <w:t xml:space="preserve">If the sale of shares of Common Stock that have been issued to a Holder pursuant to the terms of the Plan is not registered under the Securities Act </w:t>
      </w:r>
      <w:r>
        <w:rPr>
          <w:rFonts w:ascii="Arial" w:cs="Arial" w:eastAsia="Arial" w:hAnsi="Arial"/>
          <w:sz w:val="18"/>
          <w:szCs w:val="18"/>
          <w:color w:val="181818"/>
        </w:rPr>
        <w:t>of 1933, as amended ("Securities Act"), pursuant to an effective registration statement</w:t>
      </w:r>
      <w:r>
        <w:rPr>
          <w:rFonts w:ascii="Arial" w:cs="Arial" w:eastAsia="Arial" w:hAnsi="Arial"/>
          <w:sz w:val="18"/>
          <w:szCs w:val="18"/>
          <w:color w:val="313131"/>
        </w:rPr>
        <w:t xml:space="preserve">, </w:t>
      </w:r>
      <w:r>
        <w:rPr>
          <w:rFonts w:ascii="Arial" w:cs="Arial" w:eastAsia="Arial" w:hAnsi="Arial"/>
          <w:sz w:val="18"/>
          <w:szCs w:val="18"/>
          <w:color w:val="181818"/>
        </w:rPr>
        <w:t>such Holder</w:t>
      </w:r>
      <w:r>
        <w:rPr>
          <w:rFonts w:ascii="Arial" w:cs="Arial" w:eastAsia="Arial" w:hAnsi="Arial"/>
          <w:sz w:val="18"/>
          <w:szCs w:val="18"/>
          <w:color w:val="313131"/>
        </w:rPr>
        <w:t xml:space="preserve">, </w:t>
      </w:r>
      <w:r>
        <w:rPr>
          <w:rFonts w:ascii="Arial" w:cs="Arial" w:eastAsia="Arial" w:hAnsi="Arial"/>
          <w:sz w:val="18"/>
          <w:szCs w:val="18"/>
          <w:color w:val="181818"/>
        </w:rPr>
        <w:t>if the Committee shall deem</w:t>
      </w:r>
      <w:r>
        <w:rPr>
          <w:rFonts w:ascii="Arial" w:cs="Arial" w:eastAsia="Arial" w:hAnsi="Arial"/>
          <w:sz w:val="18"/>
          <w:szCs w:val="18"/>
          <w:color w:val="313131"/>
        </w:rPr>
        <w:t xml:space="preserve"> </w:t>
      </w:r>
      <w:r>
        <w:rPr>
          <w:rFonts w:ascii="Arial" w:cs="Arial" w:eastAsia="Arial" w:hAnsi="Arial"/>
          <w:sz w:val="18"/>
          <w:szCs w:val="18"/>
          <w:color w:val="181818"/>
        </w:rPr>
        <w:t>it advisable</w:t>
      </w:r>
      <w:r>
        <w:rPr>
          <w:rFonts w:ascii="Arial" w:cs="Arial" w:eastAsia="Arial" w:hAnsi="Arial"/>
          <w:sz w:val="18"/>
          <w:szCs w:val="18"/>
          <w:color w:val="313131"/>
        </w:rPr>
        <w:t>,</w:t>
      </w:r>
      <w:r>
        <w:rPr>
          <w:rFonts w:ascii="Arial" w:cs="Arial" w:eastAsia="Arial" w:hAnsi="Arial"/>
          <w:sz w:val="18"/>
          <w:szCs w:val="18"/>
          <w:color w:val="181818"/>
        </w:rPr>
        <w:t xml:space="preserve"> may be required to represent and agree in writing (i) that any such shares acquired by such Holder pursuant to the Plan will not be sold except pursuant to an effective registration statement under the Securities Act, or pursuant to an exemption from registration under the Securities Act and, (ii) that such Holder is acquiring such shares for his own account and not with a view to the distribution thereof.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181818"/>
        </w:rPr>
        <w:t>ARTICLE XII</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color w:val="181818"/>
        </w:rPr>
        <w:t>ADMINISTRATION OF THE PLAN</w:t>
      </w:r>
    </w:p>
    <w:p>
      <w:pPr>
        <w:spacing w:after="0" w:line="13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81818"/>
        </w:rPr>
        <w:t>Section 12.1</w:t>
      </w:r>
      <w:r>
        <w:rPr>
          <w:sz w:val="20"/>
          <w:szCs w:val="20"/>
          <w:color w:val="auto"/>
        </w:rPr>
        <w:tab/>
      </w:r>
      <w:r>
        <w:rPr>
          <w:rFonts w:ascii="Arial" w:cs="Arial" w:eastAsia="Arial" w:hAnsi="Arial"/>
          <w:sz w:val="18"/>
          <w:szCs w:val="18"/>
          <w:u w:val="single" w:color="auto"/>
          <w:color w:val="181818"/>
        </w:rPr>
        <w:t>Committee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181818"/>
        </w:rPr>
        <w:t>The Plan shall be administered by or under the direction of the Committee.</w:t>
      </w:r>
    </w:p>
    <w:p>
      <w:pPr>
        <w:spacing w:after="0" w:line="13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81818"/>
        </w:rPr>
        <w:t>Section 12.2</w:t>
      </w:r>
      <w:r>
        <w:rPr>
          <w:sz w:val="20"/>
          <w:szCs w:val="20"/>
          <w:color w:val="auto"/>
        </w:rPr>
        <w:tab/>
      </w:r>
      <w:r>
        <w:rPr>
          <w:rFonts w:ascii="Arial" w:cs="Arial" w:eastAsia="Arial" w:hAnsi="Arial"/>
          <w:sz w:val="18"/>
          <w:szCs w:val="18"/>
          <w:u w:val="single" w:color="auto"/>
          <w:color w:val="181818"/>
        </w:rPr>
        <w:t>Committee Actions</w:t>
      </w:r>
    </w:p>
    <w:p>
      <w:pPr>
        <w:spacing w:after="0" w:line="1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181818"/>
        </w:rPr>
        <w:t>Except for matters required by the terms of the Plan to be decided by the Board or the Chairman, the Committee shall have full power and authority to interpret and construe the Plan and Awards made under the Plan, to prescribe, amend and rescind rules, regulations</w:t>
      </w:r>
      <w:r>
        <w:rPr>
          <w:rFonts w:ascii="Arial" w:cs="Arial" w:eastAsia="Arial" w:hAnsi="Arial"/>
          <w:sz w:val="19"/>
          <w:szCs w:val="19"/>
          <w:color w:val="313131"/>
        </w:rPr>
        <w:t>,</w:t>
      </w:r>
      <w:r>
        <w:rPr>
          <w:rFonts w:ascii="Arial" w:cs="Arial" w:eastAsia="Arial" w:hAnsi="Arial"/>
          <w:sz w:val="19"/>
          <w:szCs w:val="19"/>
          <w:color w:val="181818"/>
        </w:rPr>
        <w:t xml:space="preserve"> policies and practices, to impose such conditions and restrictions on Awards as it deems appropriate and to </w:t>
      </w:r>
      <w:r>
        <w:rPr>
          <w:rFonts w:ascii="Arial" w:cs="Arial" w:eastAsia="Arial" w:hAnsi="Arial"/>
          <w:sz w:val="19"/>
          <w:szCs w:val="19"/>
          <w:color w:val="1C1C1C"/>
        </w:rPr>
        <w:t>make all other determinations necessary or</w:t>
      </w:r>
      <w:r>
        <w:rPr>
          <w:rFonts w:ascii="Arial" w:cs="Arial" w:eastAsia="Arial" w:hAnsi="Arial"/>
          <w:sz w:val="19"/>
          <w:szCs w:val="19"/>
          <w:color w:val="181818"/>
        </w:rPr>
        <w:t xml:space="preserve"> </w:t>
      </w:r>
      <w:r>
        <w:rPr>
          <w:rFonts w:ascii="Arial" w:cs="Arial" w:eastAsia="Arial" w:hAnsi="Arial"/>
          <w:sz w:val="19"/>
          <w:szCs w:val="19"/>
          <w:color w:val="1C1C1C"/>
        </w:rPr>
        <w:t>desirable in connection with the administration of, or the performance of its responsibilities under, the Plan.</w:t>
      </w:r>
    </w:p>
    <w:p>
      <w:pPr>
        <w:spacing w:after="0" w:line="96"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C1C1C"/>
        </w:rPr>
        <w:t>Section 12.3</w:t>
      </w:r>
      <w:r>
        <w:rPr>
          <w:sz w:val="20"/>
          <w:szCs w:val="20"/>
          <w:color w:val="auto"/>
        </w:rPr>
        <w:tab/>
      </w:r>
      <w:r>
        <w:rPr>
          <w:rFonts w:ascii="Arial" w:cs="Arial" w:eastAsia="Arial" w:hAnsi="Arial"/>
          <w:sz w:val="18"/>
          <w:szCs w:val="18"/>
          <w:u w:val="single" w:color="auto"/>
          <w:color w:val="1C1C1C"/>
        </w:rPr>
        <w:t>Designation of Beneficiary</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181818"/>
        </w:rPr>
        <w:t xml:space="preserve">Each Holder may file with the Company a written designation of one or more persons as the Beneficiary who shall be entitled to receive the Award, if any, </w:t>
      </w:r>
      <w:r>
        <w:rPr>
          <w:rFonts w:ascii="Arial" w:cs="Arial" w:eastAsia="Arial" w:hAnsi="Arial"/>
          <w:sz w:val="19"/>
          <w:szCs w:val="19"/>
          <w:color w:val="1C1C1C"/>
        </w:rPr>
        <w:t>payable under the Plan upon his or her death. A Holder may from time to time revoke or change his Beneficiary designation</w:t>
      </w:r>
      <w:r>
        <w:rPr>
          <w:rFonts w:ascii="Arial" w:cs="Arial" w:eastAsia="Arial" w:hAnsi="Arial"/>
          <w:sz w:val="19"/>
          <w:szCs w:val="19"/>
          <w:color w:val="181818"/>
        </w:rPr>
        <w:t xml:space="preserve"> </w:t>
      </w:r>
      <w:r>
        <w:rPr>
          <w:rFonts w:ascii="Arial" w:cs="Arial" w:eastAsia="Arial" w:hAnsi="Arial"/>
          <w:sz w:val="19"/>
          <w:szCs w:val="19"/>
          <w:color w:val="1C1C1C"/>
        </w:rPr>
        <w:t xml:space="preserve">without the consent of any prior Beneficiary by filing a new designation with the Company. The last such designation received by the Company shall be controlling; </w:t>
      </w:r>
      <w:r>
        <w:rPr>
          <w:rFonts w:ascii="Arial" w:cs="Arial" w:eastAsia="Arial" w:hAnsi="Arial"/>
          <w:sz w:val="19"/>
          <w:szCs w:val="19"/>
          <w:i w:val="1"/>
          <w:iCs w:val="1"/>
          <w:color w:val="1C1C1C"/>
        </w:rPr>
        <w:t>provided, however,</w:t>
      </w:r>
      <w:r>
        <w:rPr>
          <w:rFonts w:ascii="Arial" w:cs="Arial" w:eastAsia="Arial" w:hAnsi="Arial"/>
          <w:sz w:val="19"/>
          <w:szCs w:val="19"/>
          <w:color w:val="1C1C1C"/>
        </w:rPr>
        <w:t xml:space="preserve"> that no designation, or change or revocation thereof, shall be effective unless received by the Company prior to the Holder's death, and in no event shall it be effective as of a date prior to such receipt. If no such Beneficiary designation is in effect at the time of a Holder's death, or if no designated Beneficiary survives the Holder or if such designation conflicts with law, the Holder's estate shall be entitled to receive the Award, if any, payable under the Plan upon his death. If</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2" w:right="239" w:bottom="1440" w:gutter="0" w:footer="0" w:header="0"/>
        </w:sectPr>
      </w:pPr>
    </w:p>
    <w:bookmarkStart w:id="69" w:name="page70"/>
    <w:bookmarkEnd w:id="69"/>
    <w:p>
      <w:pPr>
        <w:jc w:val="both"/>
        <w:spacing w:after="0" w:line="250" w:lineRule="auto"/>
        <w:rPr>
          <w:sz w:val="20"/>
          <w:szCs w:val="20"/>
          <w:color w:val="auto"/>
        </w:rPr>
      </w:pPr>
      <w:r>
        <w:rPr>
          <w:rFonts w:ascii="Arial" w:cs="Arial" w:eastAsia="Arial" w:hAnsi="Arial"/>
          <w:sz w:val="20"/>
          <w:szCs w:val="20"/>
          <w:color w:val="1C1C1C"/>
        </w:rPr>
        <w:t>the Committee is in doubt as to the right of any person to receive such Award, the Company may retain such Award, without liability for any interest thereon, until the Committee determines the rights thereto, or the Company may pay such Award into any court of appropriate jurisdiction and such payment shall be a complete discharge of the liability of the Company therefore.</w:t>
      </w:r>
    </w:p>
    <w:p>
      <w:pPr>
        <w:spacing w:after="0" w:line="10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C1C1C"/>
        </w:rPr>
        <w:t>Section 12.4</w:t>
      </w:r>
      <w:r>
        <w:rPr>
          <w:sz w:val="20"/>
          <w:szCs w:val="20"/>
          <w:color w:val="auto"/>
        </w:rPr>
        <w:tab/>
      </w:r>
      <w:r>
        <w:rPr>
          <w:rFonts w:ascii="Arial" w:cs="Arial" w:eastAsia="Arial" w:hAnsi="Arial"/>
          <w:sz w:val="18"/>
          <w:szCs w:val="18"/>
          <w:u w:val="single" w:color="auto"/>
          <w:color w:val="1C1C1C"/>
        </w:rPr>
        <w:t>No Right to an Award or to Continued Employment</w:t>
      </w:r>
    </w:p>
    <w:p>
      <w:pPr>
        <w:spacing w:after="0" w:line="13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1C1C1C"/>
        </w:rPr>
        <w:t>No Grantee or other person shall have any claim or right to be granted an Award under the Plan. Neither the action of the Company in establishing the Plan, nor any provisions hereof, nor any action taken by the Company, any Subsidiary, the Board, the Committee or the Chairman pursuant to such provisions shall be construed as creating in any employee or class of employees any right with respect to continuation of employment by the Company or any of its Subsidiaries</w:t>
      </w:r>
      <w:r>
        <w:rPr>
          <w:rFonts w:ascii="Arial" w:cs="Arial" w:eastAsia="Arial" w:hAnsi="Arial"/>
          <w:sz w:val="20"/>
          <w:szCs w:val="20"/>
          <w:color w:val="424242"/>
        </w:rPr>
        <w:t>,</w:t>
      </w:r>
      <w:r>
        <w:rPr>
          <w:rFonts w:ascii="Arial" w:cs="Arial" w:eastAsia="Arial" w:hAnsi="Arial"/>
          <w:sz w:val="20"/>
          <w:szCs w:val="20"/>
          <w:color w:val="1C1C1C"/>
        </w:rPr>
        <w:t xml:space="preserve"> and they shall not be deemed to interfere in any way with the Company's or any Subsidiary's right to employ, discipline, discharge</w:t>
      </w:r>
      <w:r>
        <w:rPr>
          <w:rFonts w:ascii="Arial" w:cs="Arial" w:eastAsia="Arial" w:hAnsi="Arial"/>
          <w:sz w:val="20"/>
          <w:szCs w:val="20"/>
          <w:color w:val="424242"/>
        </w:rPr>
        <w:t>,</w:t>
      </w:r>
      <w:r>
        <w:rPr>
          <w:rFonts w:ascii="Arial" w:cs="Arial" w:eastAsia="Arial" w:hAnsi="Arial"/>
          <w:sz w:val="20"/>
          <w:szCs w:val="20"/>
          <w:color w:val="1C1C1C"/>
        </w:rPr>
        <w:t xml:space="preserve"> terminate, lay off or retire any Grantee, with or without cause, to discipline any employee, or to otherwise affect the Company's or a Subsidiary's right to make employment decisions with respect to any Grantee.</w:t>
      </w:r>
    </w:p>
    <w:p>
      <w:pPr>
        <w:spacing w:after="0" w:line="11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C1C1C"/>
        </w:rPr>
        <w:t>Section 12.5</w:t>
      </w:r>
      <w:r>
        <w:rPr>
          <w:sz w:val="20"/>
          <w:szCs w:val="20"/>
          <w:color w:val="auto"/>
        </w:rPr>
        <w:tab/>
      </w:r>
      <w:r>
        <w:rPr>
          <w:rFonts w:ascii="Arial" w:cs="Arial" w:eastAsia="Arial" w:hAnsi="Arial"/>
          <w:sz w:val="18"/>
          <w:szCs w:val="18"/>
          <w:u w:val="single" w:color="auto"/>
          <w:color w:val="1C1C1C"/>
        </w:rPr>
        <w:t>Discretion of the Grantor</w:t>
      </w:r>
    </w:p>
    <w:p>
      <w:pPr>
        <w:spacing w:after="0" w:line="1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1C1C1C"/>
        </w:rPr>
        <w:t>Whenever the terms of the Plan provide for or permit a decision to be made or an action to be taken by a Grantor, such decision may be made or such action taken in the sole and absolute discretion of such Grantor and shall be final, conclusive and binding on all persons for all purposes; provided, however, that the Board may review any decision or action of the Grantor and it may reverse or modify such Award, decision or act as it deems appropriate. The Grantor's determinations under the Plan, including, without limitation the determination of any person to receive awards and the amount of such awards, need not be uniform.</w:t>
      </w:r>
    </w:p>
    <w:p>
      <w:pPr>
        <w:spacing w:after="0" w:line="10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C1C1C"/>
        </w:rPr>
        <w:t>Section 12.6</w:t>
      </w:r>
      <w:r>
        <w:rPr>
          <w:sz w:val="20"/>
          <w:szCs w:val="20"/>
          <w:color w:val="auto"/>
        </w:rPr>
        <w:tab/>
      </w:r>
      <w:r>
        <w:rPr>
          <w:rFonts w:ascii="Arial" w:cs="Arial" w:eastAsia="Arial" w:hAnsi="Arial"/>
          <w:sz w:val="18"/>
          <w:szCs w:val="18"/>
          <w:u w:val="single" w:color="auto"/>
          <w:color w:val="1C1C1C"/>
        </w:rPr>
        <w:t>Indemnification and Exculpation</w:t>
      </w:r>
    </w:p>
    <w:p>
      <w:pPr>
        <w:spacing w:after="0" w:line="135"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9"/>
          <w:szCs w:val="19"/>
          <w:color w:val="1C1C1C"/>
        </w:rPr>
        <w:t xml:space="preserve">12.6.1 </w:t>
      </w:r>
      <w:r>
        <w:rPr>
          <w:rFonts w:ascii="Arial" w:cs="Arial" w:eastAsia="Arial" w:hAnsi="Arial"/>
          <w:sz w:val="19"/>
          <w:szCs w:val="19"/>
          <w:i w:val="1"/>
          <w:iCs w:val="1"/>
          <w:color w:val="1C1C1C"/>
        </w:rPr>
        <w:t>Indemnification.</w:t>
      </w:r>
      <w:r>
        <w:rPr>
          <w:rFonts w:ascii="Arial" w:cs="Arial" w:eastAsia="Arial" w:hAnsi="Arial"/>
          <w:sz w:val="19"/>
          <w:szCs w:val="19"/>
          <w:color w:val="1C1C1C"/>
        </w:rPr>
        <w:t xml:space="preserve"> Each person who is or shall have been a member of the Board or the Committee and each director, officer or employee of the Company or any Subsidiary to whom any duty or power related to the administration or interpretation of the Plan may be delegated (each, an "Indemnified Person"), shall be indemnified and held harmless by the </w:t>
      </w:r>
      <w:r>
        <w:rPr>
          <w:rFonts w:ascii="Arial" w:cs="Arial" w:eastAsia="Arial" w:hAnsi="Arial"/>
          <w:sz w:val="19"/>
          <w:szCs w:val="19"/>
          <w:color w:val="181818"/>
        </w:rPr>
        <w:t>Company against and from any and all loss, cost,</w:t>
      </w:r>
      <w:r>
        <w:rPr>
          <w:rFonts w:ascii="Arial" w:cs="Arial" w:eastAsia="Arial" w:hAnsi="Arial"/>
          <w:sz w:val="19"/>
          <w:szCs w:val="19"/>
          <w:color w:val="1C1C1C"/>
        </w:rPr>
        <w:t xml:space="preserve"> </w:t>
      </w:r>
      <w:r>
        <w:rPr>
          <w:rFonts w:ascii="Arial" w:cs="Arial" w:eastAsia="Arial" w:hAnsi="Arial"/>
          <w:sz w:val="19"/>
          <w:szCs w:val="19"/>
          <w:color w:val="181818"/>
        </w:rPr>
        <w:t>liability or expense that may be imposed upon or reasonably incurred by him in connection with or resulting from any claim, action, suit or proceeding to which he may be or become a party or in which he may be or become involved by reason of any action taken or failure to act under the Plan and against and from any and all amounts paid by him in settlement thereof (with the Company's written approval) or paid by him in satisfaction of adjudgment in any such action, suit or proceeding, except a judgment in favor of the Company based upon a finding of his bad faith; subject, however, to the condition that upon the institution of any claim, action, suit or proceeding against him, he shall in writing give the Company an opportunity, at its own expense, to handle and defend the same before he undertakes to handle and defend it on his own behalf. The foregoing right of indemnification shall not be exclusive of, and shall be in addition to, any other right to which such person may be entitled under the Company's charter or bylaws, as a matter of law or otherwise, or any power that the Company may have to indemnify him or hold him harmless.</w:t>
      </w:r>
    </w:p>
    <w:p>
      <w:pPr>
        <w:spacing w:after="0" w:line="104"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9"/>
          <w:szCs w:val="19"/>
          <w:color w:val="181818"/>
        </w:rPr>
        <w:t xml:space="preserve">12.6.2 </w:t>
      </w:r>
      <w:r>
        <w:rPr>
          <w:rFonts w:ascii="Arial" w:cs="Arial" w:eastAsia="Arial" w:hAnsi="Arial"/>
          <w:sz w:val="19"/>
          <w:szCs w:val="19"/>
          <w:i w:val="1"/>
          <w:iCs w:val="1"/>
          <w:color w:val="181818"/>
        </w:rPr>
        <w:t>Exculpation.</w:t>
      </w:r>
      <w:r>
        <w:rPr>
          <w:rFonts w:ascii="Arial" w:cs="Arial" w:eastAsia="Arial" w:hAnsi="Arial"/>
          <w:sz w:val="19"/>
          <w:szCs w:val="19"/>
          <w:color w:val="181818"/>
        </w:rPr>
        <w:t xml:space="preserve"> No Indemnified Person shall be personally liable by reason of any contract or other instrument executed by him or on his behalf in his capacity as an Indemnified Person hereunder, nor for any mistake of judgment made in good faith, unless otherwise provided by law. Each Indemnified Person shall be fully justified in relying or acting upon in good faith any information furnished in connection with the administration of the Plan by any appropriate person or persons other than himself. In no event shall any Indemnified Person be liable for any determination made or other action taken or any omission to act in reliance upon such report or information, for any action (including the furnishing of information) taken or any failure to act, if in good faith.</w:t>
      </w:r>
    </w:p>
    <w:p>
      <w:pPr>
        <w:spacing w:after="0" w:line="98"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81818"/>
        </w:rPr>
        <w:t>Section 12.7</w:t>
      </w:r>
      <w:r>
        <w:rPr>
          <w:sz w:val="20"/>
          <w:szCs w:val="20"/>
          <w:color w:val="auto"/>
        </w:rPr>
        <w:tab/>
      </w:r>
      <w:r>
        <w:rPr>
          <w:rFonts w:ascii="Arial" w:cs="Arial" w:eastAsia="Arial" w:hAnsi="Arial"/>
          <w:sz w:val="18"/>
          <w:szCs w:val="18"/>
          <w:u w:val="single" w:color="auto"/>
          <w:color w:val="181818"/>
        </w:rPr>
        <w:t>Unfunded Plan</w:t>
      </w:r>
    </w:p>
    <w:p>
      <w:pPr>
        <w:spacing w:after="0" w:line="1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181818"/>
        </w:rPr>
        <w:t>The Plan is intended to constitute an unfunded, long-term incentive compensation plan for certain selected employees. No special or separate fund shall be established and no segregation of assets shall be made to assure payment of such amounts. The Company may, but shall not be obligated to, acquire shares of its Common Stock from time to time in anticipation of its obligations under the Plan. All such stock shall constitute general assets of the Company and may be disposed of by the Company at such time and for such purposes as it may deem appropriate. No obligation or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2" w:right="239" w:bottom="1440" w:gutter="0" w:footer="0" w:header="0"/>
        </w:sectPr>
      </w:pPr>
    </w:p>
    <w:bookmarkStart w:id="70" w:name="page71"/>
    <w:bookmarkEnd w:id="70"/>
    <w:p>
      <w:pPr>
        <w:jc w:val="both"/>
        <w:ind w:right="20"/>
        <w:spacing w:after="0" w:line="260" w:lineRule="auto"/>
        <w:rPr>
          <w:sz w:val="20"/>
          <w:szCs w:val="20"/>
          <w:color w:val="auto"/>
        </w:rPr>
      </w:pPr>
      <w:r>
        <w:rPr>
          <w:rFonts w:ascii="Arial" w:cs="Arial" w:eastAsia="Arial" w:hAnsi="Arial"/>
          <w:sz w:val="20"/>
          <w:szCs w:val="20"/>
          <w:color w:val="181818"/>
        </w:rPr>
        <w:t>liability of the Company to any Grantee with respect to any right to receive a distribution or payment under the Plan shall be deemed to be secured by any pledge or other encumbrance on any property of the Company.</w:t>
      </w:r>
    </w:p>
    <w:p>
      <w:pPr>
        <w:spacing w:after="0" w:line="96" w:lineRule="exact"/>
        <w:rPr>
          <w:sz w:val="20"/>
          <w:szCs w:val="20"/>
          <w:color w:val="auto"/>
        </w:rPr>
      </w:pPr>
    </w:p>
    <w:p>
      <w:pPr>
        <w:ind w:left="580"/>
        <w:spacing w:after="0"/>
        <w:tabs>
          <w:tab w:leader="none" w:pos="1720" w:val="left"/>
        </w:tabs>
        <w:rPr>
          <w:sz w:val="20"/>
          <w:szCs w:val="20"/>
          <w:color w:val="auto"/>
        </w:rPr>
      </w:pPr>
      <w:r>
        <w:rPr>
          <w:rFonts w:ascii="Arial" w:cs="Arial" w:eastAsia="Arial" w:hAnsi="Arial"/>
          <w:sz w:val="20"/>
          <w:szCs w:val="20"/>
          <w:color w:val="181818"/>
        </w:rPr>
        <w:t>Section 12.8</w:t>
      </w:r>
      <w:r>
        <w:rPr>
          <w:sz w:val="20"/>
          <w:szCs w:val="20"/>
          <w:color w:val="auto"/>
        </w:rPr>
        <w:tab/>
      </w:r>
      <w:r>
        <w:rPr>
          <w:rFonts w:ascii="Arial" w:cs="Arial" w:eastAsia="Arial" w:hAnsi="Arial"/>
          <w:sz w:val="18"/>
          <w:szCs w:val="18"/>
          <w:u w:val="single" w:color="auto"/>
          <w:color w:val="181818"/>
        </w:rPr>
        <w:t>Inalienability of Rights and Interests</w:t>
      </w:r>
    </w:p>
    <w:p>
      <w:pPr>
        <w:spacing w:after="0" w:line="135"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9"/>
          <w:szCs w:val="19"/>
          <w:color w:val="181818"/>
        </w:rPr>
        <w:t>The rights and interests of a Holder under the Plan are personal to the Holder and to any person or persons who may become entitled to distribution or payments under the Plan by reason of death of the Holder, and the rights and interests of the Holder or any such person (including, without limitation, any Award distributable or payable under the Plan) shall not be subject in any manner to alienation, sale, transfer, assignment, pledge, encumbrance or charge, and any such attempted action shall be void and no such benefit or interest shall be in any manner liable for or subject to debts, contracts, liabilities, engagements or torts of any Holder, provided that transfers pursuant to a qualified domestic relations order or by will or by the laws of descent and distribution shall be allowable. If any Holder shall attempt to alienate, sell, transfer, assign, pledge, encumber or charge any of his rights or interests under the Plan, (including without limitation any Award payable under the Plan) then the Committee may hold or apply such benefit or any part thereof to or for the benefit of such Holder in such manner and in such proportions as the Committee may consider proper. Notwithstanding the foregoing, the Holder, subject to the approval of the Committee or its delegate (and subject to such conditions as the Committee or its delegate may impose), may elect to transfer some or all of an Award for charitable, estate planning or tax planning purposes; provided, however, that the Award, once transferred, shall remain subject to the same terms and conditions of the Award in effect before the transfer and the transferee of the Award (the "Transferee") must comply with all other provisions of the Award.</w:t>
      </w:r>
    </w:p>
    <w:p>
      <w:pPr>
        <w:spacing w:after="0" w:line="1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181818"/>
        </w:rPr>
        <w:t>No transferred Award shall be exercisable or vest following a transfer, as provided for herein, unless the Committee receives written notice from the Holder in a form and manner satisfactory to the Committee, in its sole discretion, to the effect that a transfer of the Award has occurred and the notice identifies the Award transferred, the identity of the Transferee and his relationship to the Holder.</w:t>
      </w:r>
    </w:p>
    <w:p>
      <w:pPr>
        <w:spacing w:after="0" w:line="8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81818"/>
        </w:rPr>
        <w:t>Section 12.9</w:t>
      </w:r>
      <w:r>
        <w:rPr>
          <w:sz w:val="20"/>
          <w:szCs w:val="20"/>
          <w:color w:val="auto"/>
        </w:rPr>
        <w:tab/>
      </w:r>
      <w:r>
        <w:rPr>
          <w:rFonts w:ascii="Arial" w:cs="Arial" w:eastAsia="Arial" w:hAnsi="Arial"/>
          <w:sz w:val="18"/>
          <w:szCs w:val="18"/>
          <w:u w:val="single" w:color="auto"/>
          <w:color w:val="181818"/>
        </w:rPr>
        <w:t>Awards Not Included for Benefit Purposes</w:t>
      </w:r>
    </w:p>
    <w:p>
      <w:pPr>
        <w:spacing w:after="0" w:line="1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181818"/>
        </w:rPr>
        <w:t>Except as specifically provided in any pension, group insurance or other benefit plan applicable to the Grantee, payments received by a Grantee pursuant to the provisions of the Plan shall not be included in the determination of benefits under any such plan applicable to the Grantee which are maintained by the Company or any of its Subsidiaries, except as may be determined by the Committee or required by applicable law.</w:t>
      </w:r>
    </w:p>
    <w:p>
      <w:pPr>
        <w:spacing w:after="0" w:line="11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0"/>
          <w:szCs w:val="20"/>
          <w:color w:val="181818"/>
        </w:rPr>
        <w:t>Section 12.10</w:t>
      </w:r>
      <w:r>
        <w:rPr>
          <w:sz w:val="20"/>
          <w:szCs w:val="20"/>
          <w:color w:val="auto"/>
        </w:rPr>
        <w:tab/>
      </w:r>
      <w:r>
        <w:rPr>
          <w:rFonts w:ascii="Arial" w:cs="Arial" w:eastAsia="Arial" w:hAnsi="Arial"/>
          <w:sz w:val="16"/>
          <w:szCs w:val="16"/>
          <w:u w:val="single" w:color="auto"/>
          <w:color w:val="181818"/>
        </w:rPr>
        <w:t>No Issuance of Fractional Shares</w:t>
      </w:r>
    </w:p>
    <w:p>
      <w:pPr>
        <w:spacing w:after="0" w:line="135"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181818"/>
        </w:rPr>
        <w:t>The Company shall not be required to deliver any fractional share of Common Stock resulting from Awards under the Plan but, as determined by the Committee, may (but shall not be required to) pay a cash amount to the Holder in lieu thereof, except as otherwise provided in the Plan, equal to the Fair Market Value (determined as of an appropriate date determined by the Committee) of such fractional share.</w:t>
      </w:r>
    </w:p>
    <w:p>
      <w:pPr>
        <w:spacing w:after="0" w:line="7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0"/>
          <w:szCs w:val="20"/>
          <w:color w:val="181818"/>
        </w:rPr>
        <w:t>Section 12.11</w:t>
      </w:r>
      <w:r>
        <w:rPr>
          <w:sz w:val="20"/>
          <w:szCs w:val="20"/>
          <w:color w:val="auto"/>
        </w:rPr>
        <w:tab/>
      </w:r>
      <w:r>
        <w:rPr>
          <w:rFonts w:ascii="Arial" w:cs="Arial" w:eastAsia="Arial" w:hAnsi="Arial"/>
          <w:sz w:val="18"/>
          <w:szCs w:val="18"/>
          <w:u w:val="single" w:color="auto"/>
          <w:color w:val="181818"/>
        </w:rPr>
        <w:t>Modification for International Grantees</w:t>
      </w:r>
    </w:p>
    <w:p>
      <w:pPr>
        <w:spacing w:after="0" w:line="13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181818"/>
        </w:rPr>
        <w:t>Notwithstanding any provisions to the contrary, the Committee may incorporate such provisions, or make such modifications or amendments in Award Agreements of Grantees who reside or are employed outside of the United States of America, or who are citizens of a country other than the United States of America, as the Committee deems necessary or appropriate to accomplish the purposes of the Plan with respect to such Grantees in light of differences in applicable law, tax policies or customs, and to ascertain compliance with all applicable laws.</w:t>
      </w:r>
    </w:p>
    <w:p>
      <w:pPr>
        <w:spacing w:after="0" w:line="4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0"/>
          <w:szCs w:val="20"/>
          <w:color w:val="181818"/>
        </w:rPr>
        <w:t>Section 12.12</w:t>
      </w:r>
      <w:r>
        <w:rPr>
          <w:sz w:val="20"/>
          <w:szCs w:val="20"/>
          <w:color w:val="auto"/>
        </w:rPr>
        <w:tab/>
      </w:r>
      <w:r>
        <w:rPr>
          <w:rFonts w:ascii="Arial" w:cs="Arial" w:eastAsia="Arial" w:hAnsi="Arial"/>
          <w:sz w:val="16"/>
          <w:szCs w:val="16"/>
          <w:u w:val="single" w:color="auto"/>
          <w:color w:val="181818"/>
        </w:rPr>
        <w:t>Leaves of Absence</w:t>
      </w:r>
    </w:p>
    <w:p>
      <w:pPr>
        <w:spacing w:after="0" w:line="1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181818"/>
        </w:rPr>
        <w:t>The Committee shall be entitled to make such rules, regulations and determinations as it deems appropriate under the Plan in respect of any leave of absence taken by the recipient of any Award. Without limiting the generality of the foregoing, the Grantor shall be entitled to determine (a) whether or not any such leave of absence shall constitute a termination of employment within the meaning of the Plan and, (b) the impact, if any, of any such leave of absence on awards under the Plan theretofore made to any recipient who takes such leave of absence Notwithstanding the foregoing, with respect to Awards that are "deferred compensation" under Section 409A of the Code, any leave of absence taken by the recipient shall constitute a termination of employment within the meaning of the Plan and for</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2" w:right="239" w:bottom="1440" w:gutter="0" w:footer="0" w:header="0"/>
        </w:sectPr>
      </w:pPr>
    </w:p>
    <w:bookmarkStart w:id="71" w:name="page72"/>
    <w:bookmarkEnd w:id="71"/>
    <w:p>
      <w:pPr>
        <w:jc w:val="both"/>
        <w:ind w:right="20"/>
        <w:spacing w:after="0" w:line="260" w:lineRule="auto"/>
        <w:rPr>
          <w:sz w:val="20"/>
          <w:szCs w:val="20"/>
          <w:color w:val="auto"/>
        </w:rPr>
      </w:pPr>
      <w:r>
        <w:rPr>
          <w:rFonts w:ascii="Arial" w:cs="Arial" w:eastAsia="Arial" w:hAnsi="Arial"/>
          <w:sz w:val="20"/>
          <w:szCs w:val="20"/>
          <w:color w:val="181818"/>
        </w:rPr>
        <w:t>purposes of the Award when the recipient has a "separation from service" as defined in the regulations promulgated under Section 409A of the Code.</w:t>
      </w:r>
    </w:p>
    <w:p>
      <w:pPr>
        <w:spacing w:after="0" w:line="9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0"/>
          <w:szCs w:val="20"/>
          <w:color w:val="181818"/>
        </w:rPr>
        <w:t>Section 12.13</w:t>
      </w:r>
      <w:r>
        <w:rPr>
          <w:sz w:val="20"/>
          <w:szCs w:val="20"/>
          <w:color w:val="auto"/>
        </w:rPr>
        <w:tab/>
      </w:r>
      <w:r>
        <w:rPr>
          <w:rFonts w:ascii="Arial" w:cs="Arial" w:eastAsia="Arial" w:hAnsi="Arial"/>
          <w:sz w:val="18"/>
          <w:szCs w:val="18"/>
          <w:u w:val="single" w:color="auto"/>
          <w:color w:val="181818"/>
        </w:rPr>
        <w:t>Communications</w:t>
      </w:r>
    </w:p>
    <w:p>
      <w:pPr>
        <w:spacing w:after="0" w:line="135" w:lineRule="exact"/>
        <w:rPr>
          <w:sz w:val="20"/>
          <w:szCs w:val="20"/>
          <w:color w:val="auto"/>
        </w:rPr>
      </w:pPr>
    </w:p>
    <w:p>
      <w:pPr>
        <w:jc w:val="both"/>
        <w:ind w:firstLine="972"/>
        <w:spacing w:after="0" w:line="246" w:lineRule="auto"/>
        <w:rPr>
          <w:sz w:val="20"/>
          <w:szCs w:val="20"/>
          <w:color w:val="auto"/>
        </w:rPr>
      </w:pPr>
      <w:r>
        <w:rPr>
          <w:rFonts w:ascii="Arial" w:cs="Arial" w:eastAsia="Arial" w:hAnsi="Arial"/>
          <w:sz w:val="20"/>
          <w:szCs w:val="20"/>
          <w:color w:val="181818"/>
        </w:rPr>
        <w:t xml:space="preserve">12.13.1 </w:t>
      </w:r>
      <w:r>
        <w:rPr>
          <w:rFonts w:ascii="Arial" w:cs="Arial" w:eastAsia="Arial" w:hAnsi="Arial"/>
          <w:sz w:val="20"/>
          <w:szCs w:val="20"/>
          <w:i w:val="1"/>
          <w:iCs w:val="1"/>
          <w:color w:val="181818"/>
        </w:rPr>
        <w:t>Communications by the Grantor.</w:t>
      </w:r>
      <w:r>
        <w:rPr>
          <w:rFonts w:ascii="Arial" w:cs="Arial" w:eastAsia="Arial" w:hAnsi="Arial"/>
          <w:sz w:val="20"/>
          <w:szCs w:val="20"/>
          <w:color w:val="181818"/>
        </w:rPr>
        <w:t xml:space="preserve"> All notices, statements, reports and other communications made, delivered or transmitted to a Holder or other person under the Plan shall be deemed to have been duly given, made or transmitted, when sent electronically to a Company or Subsidiary e-mail address, or when delivered to, or when mailed by first-class mail, postage prepaid and addressed to, such Holder or other person at his address last appearing on the records of the Company.</w:t>
      </w:r>
    </w:p>
    <w:p>
      <w:pPr>
        <w:spacing w:after="0" w:line="110" w:lineRule="exact"/>
        <w:rPr>
          <w:sz w:val="20"/>
          <w:szCs w:val="20"/>
          <w:color w:val="auto"/>
        </w:rPr>
      </w:pPr>
    </w:p>
    <w:p>
      <w:pPr>
        <w:jc w:val="both"/>
        <w:ind w:firstLine="972"/>
        <w:spacing w:after="0" w:line="278" w:lineRule="auto"/>
        <w:rPr>
          <w:sz w:val="20"/>
          <w:szCs w:val="20"/>
          <w:color w:val="auto"/>
        </w:rPr>
      </w:pPr>
      <w:r>
        <w:rPr>
          <w:rFonts w:ascii="Arial" w:cs="Arial" w:eastAsia="Arial" w:hAnsi="Arial"/>
          <w:sz w:val="18"/>
          <w:szCs w:val="18"/>
          <w:color w:val="181818"/>
        </w:rPr>
        <w:t xml:space="preserve">12.13.2 </w:t>
      </w:r>
      <w:r>
        <w:rPr>
          <w:rFonts w:ascii="Arial" w:cs="Arial" w:eastAsia="Arial" w:hAnsi="Arial"/>
          <w:sz w:val="18"/>
          <w:szCs w:val="18"/>
          <w:i w:val="1"/>
          <w:iCs w:val="1"/>
          <w:color w:val="181818"/>
        </w:rPr>
        <w:t>Communications by the Directors, Employees, and Others.</w:t>
      </w:r>
      <w:r>
        <w:rPr>
          <w:rFonts w:ascii="Arial" w:cs="Arial" w:eastAsia="Arial" w:hAnsi="Arial"/>
          <w:sz w:val="18"/>
          <w:szCs w:val="18"/>
          <w:color w:val="181818"/>
        </w:rPr>
        <w:t xml:space="preserve"> All elections, designations, requests, notices, instructions and other communications made, delivered or transmitted by the Company, a Subsidiary, Grantee, Beneficiary or other person to the Committee required or permitted under the Plan shall be transmitted by any means authorized by the Committee or shall be mailed by first-class mail or delivered to the Company's principal office to the attention of the Company's Secretary or such other location as may be specified by the Committee, and shall be deemed to have been given and delivered only upon actual receipt thereof by the Committee at such location.</w:t>
      </w:r>
    </w:p>
    <w:p>
      <w:pPr>
        <w:spacing w:after="0" w:line="8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0"/>
          <w:szCs w:val="20"/>
          <w:color w:val="181818"/>
        </w:rPr>
        <w:t>Section 12.14</w:t>
      </w:r>
      <w:r>
        <w:rPr>
          <w:sz w:val="20"/>
          <w:szCs w:val="20"/>
          <w:color w:val="auto"/>
        </w:rPr>
        <w:tab/>
      </w:r>
      <w:r>
        <w:rPr>
          <w:rFonts w:ascii="Arial" w:cs="Arial" w:eastAsia="Arial" w:hAnsi="Arial"/>
          <w:sz w:val="16"/>
          <w:szCs w:val="16"/>
          <w:u w:val="single" w:color="auto"/>
          <w:color w:val="181818"/>
        </w:rPr>
        <w:t>Parties in Interest</w:t>
      </w:r>
    </w:p>
    <w:p>
      <w:pPr>
        <w:spacing w:after="0" w:line="1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181818"/>
        </w:rPr>
        <w:t>The provisions of the Plan and the terms and conditions of any Award shall, in accordance with their terms, be binding upon, and inure to the benefit of, all successors of each Grantee, including, without limitation, such Grantee's estate and the executors, administrators, or trustees thereof, heirs and legatees, and any receiver, trustee in bankruptcy or representative of creditors of such Grantee. The obligations of the Company under the Plan shall be binding upon the Company and its successors and assigns.</w:t>
      </w:r>
    </w:p>
    <w:p>
      <w:pPr>
        <w:spacing w:after="0" w:line="9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0"/>
          <w:szCs w:val="20"/>
          <w:color w:val="181818"/>
        </w:rPr>
        <w:t>Section 12.15</w:t>
      </w:r>
      <w:r>
        <w:rPr>
          <w:sz w:val="20"/>
          <w:szCs w:val="20"/>
          <w:color w:val="auto"/>
        </w:rPr>
        <w:tab/>
      </w:r>
      <w:r>
        <w:rPr>
          <w:rFonts w:ascii="Arial" w:cs="Arial" w:eastAsia="Arial" w:hAnsi="Arial"/>
          <w:sz w:val="18"/>
          <w:szCs w:val="18"/>
          <w:u w:val="single" w:color="auto"/>
          <w:color w:val="181818"/>
        </w:rPr>
        <w:t>Severability</w:t>
      </w:r>
    </w:p>
    <w:p>
      <w:pPr>
        <w:spacing w:after="0" w:line="1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181818"/>
        </w:rPr>
        <w:t>Whenever possible, each provision in the Plan and every Award at any time granted under the Plan shall be interpreted in such manner as to be effective and valid under applicable law, but if any provision of the Plan or any Award at any time granted under the Plan shall be held to be prohibited by or invalid under applicable law, then (a) such provision shall be deemed amended to accomplish the objectives of the provision as originally written to the fullest extent permitted by law, and (b) all other provisions of the Plan and every other Award at any time granted under the Plan shall remain in full force and effect.</w:t>
      </w:r>
    </w:p>
    <w:p>
      <w:pPr>
        <w:spacing w:after="0" w:line="11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0"/>
          <w:szCs w:val="20"/>
          <w:color w:val="181818"/>
        </w:rPr>
        <w:t>Section 12.16</w:t>
      </w:r>
      <w:r>
        <w:rPr>
          <w:sz w:val="20"/>
          <w:szCs w:val="20"/>
          <w:color w:val="auto"/>
        </w:rPr>
        <w:tab/>
      </w:r>
      <w:r>
        <w:rPr>
          <w:rFonts w:ascii="Arial" w:cs="Arial" w:eastAsia="Arial" w:hAnsi="Arial"/>
          <w:sz w:val="18"/>
          <w:szCs w:val="18"/>
          <w:u w:val="single" w:color="auto"/>
          <w:color w:val="181818"/>
        </w:rPr>
        <w:t>Compliance with Laws</w:t>
      </w:r>
    </w:p>
    <w:p>
      <w:pPr>
        <w:spacing w:after="0" w:line="1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181818"/>
        </w:rPr>
        <w:t>The Plan and Awards made under the Plan shall be administered in compliance with all applicable Federal and state laws, rules and regulations and any applicable regulations and rules of a government or regulatory agency or stock exchange. It is intended that Awards made under the Plan be made in a manner which permits the exemption of the grant of such Awards from the provisions of Rule 16b-3. The Board is authorized to amend the Plan and to make any such other amendments or modifications as it deems necessary or appropriate to better accomplish the purposes of the Plan in light of any amendments made to Rule 16b-3.</w:t>
      </w:r>
    </w:p>
    <w:p>
      <w:pPr>
        <w:spacing w:after="0" w:line="10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0"/>
          <w:szCs w:val="20"/>
          <w:color w:val="181818"/>
        </w:rPr>
        <w:t>Section 12.17</w:t>
      </w:r>
      <w:r>
        <w:rPr>
          <w:sz w:val="20"/>
          <w:szCs w:val="20"/>
          <w:color w:val="auto"/>
        </w:rPr>
        <w:tab/>
      </w:r>
      <w:r>
        <w:rPr>
          <w:rFonts w:ascii="Arial" w:cs="Arial" w:eastAsia="Arial" w:hAnsi="Arial"/>
          <w:sz w:val="18"/>
          <w:szCs w:val="18"/>
          <w:u w:val="single" w:color="auto"/>
          <w:color w:val="181818"/>
        </w:rPr>
        <w:t>No Strict Construction</w:t>
      </w:r>
    </w:p>
    <w:p>
      <w:pPr>
        <w:spacing w:after="0" w:line="1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181818"/>
        </w:rPr>
        <w:t>No rule of strict construction shall be implied against the Company, the Committee, the Chairman or any other person in the interpretation of any of the terms of the Plan, any Award granted under the Plan or any rule or procedure established by the Committee or the Board.</w:t>
      </w:r>
    </w:p>
    <w:p>
      <w:pPr>
        <w:spacing w:after="0" w:line="10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0"/>
          <w:szCs w:val="20"/>
          <w:color w:val="181818"/>
        </w:rPr>
        <w:t>Section 12.18</w:t>
      </w:r>
      <w:r>
        <w:rPr>
          <w:sz w:val="20"/>
          <w:szCs w:val="20"/>
          <w:color w:val="auto"/>
        </w:rPr>
        <w:tab/>
      </w:r>
      <w:r>
        <w:rPr>
          <w:rFonts w:ascii="Arial" w:cs="Arial" w:eastAsia="Arial" w:hAnsi="Arial"/>
          <w:sz w:val="19"/>
          <w:szCs w:val="19"/>
          <w:u w:val="single" w:color="auto"/>
          <w:color w:val="181818"/>
        </w:rPr>
        <w:t>Modification</w:t>
      </w:r>
    </w:p>
    <w:p>
      <w:pPr>
        <w:spacing w:after="0" w:line="1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181818"/>
        </w:rPr>
        <w:t>The document contains all of the provisions of the Plan and, except as set forth in Section 14.1, no provisions may be waived, modified or otherwise altered except in a writing adopted by the Board.</w:t>
      </w:r>
    </w:p>
    <w:p>
      <w:pPr>
        <w:spacing w:after="0" w:line="9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0"/>
          <w:szCs w:val="20"/>
          <w:color w:val="181818"/>
        </w:rPr>
        <w:t>Section 12.19</w:t>
      </w:r>
      <w:r>
        <w:rPr>
          <w:sz w:val="20"/>
          <w:szCs w:val="20"/>
          <w:color w:val="auto"/>
        </w:rPr>
        <w:tab/>
      </w:r>
      <w:r>
        <w:rPr>
          <w:rFonts w:ascii="Arial" w:cs="Arial" w:eastAsia="Arial" w:hAnsi="Arial"/>
          <w:sz w:val="18"/>
          <w:szCs w:val="18"/>
          <w:u w:val="single" w:color="auto"/>
          <w:color w:val="181818"/>
        </w:rPr>
        <w:t>Governing Law</w:t>
      </w:r>
    </w:p>
    <w:p>
      <w:pPr>
        <w:spacing w:after="0" w:line="1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181818"/>
        </w:rPr>
        <w:t>All questions pertaining to validity, construction and administration of the Plan and the rights of all persons hereunder shall be determined with reference to, and the provisions of the Plan shall be governed by and shall be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2" w:right="239" w:bottom="1440" w:gutter="0" w:footer="0" w:header="0"/>
        </w:sectPr>
      </w:pPr>
    </w:p>
    <w:bookmarkStart w:id="72" w:name="page73"/>
    <w:bookmarkEnd w:id="72"/>
    <w:p>
      <w:pPr>
        <w:jc w:val="both"/>
        <w:spacing w:after="0" w:line="244" w:lineRule="auto"/>
        <w:rPr>
          <w:sz w:val="20"/>
          <w:szCs w:val="20"/>
          <w:color w:val="auto"/>
        </w:rPr>
      </w:pPr>
      <w:r>
        <w:rPr>
          <w:rFonts w:ascii="Arial" w:cs="Arial" w:eastAsia="Arial" w:hAnsi="Arial"/>
          <w:sz w:val="20"/>
          <w:szCs w:val="20"/>
          <w:color w:val="181818"/>
        </w:rPr>
        <w:t>construed in conformity with, the internal laws of the Commonwealth of Pennsylvania without regard to any of its conflict of laws principles. Notwithstanding anything in the Plan to the contrary, no person will be granted, become vested in the right to receive or acquire or be permitted to acquire, or will have any right to acquire, Common Stock under an Award if such acquisition would be prohibited by the restrictions on ownership and transfer of Common Stock contained in the Company's charter or would impair the Company's status as a real estate investment trust for United States federal income tax purposes.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81818"/>
        </w:rPr>
        <w:t>ARTICLE XIII</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181818"/>
        </w:rPr>
        <w:t>CHANGE OF CONTROL</w:t>
      </w:r>
    </w:p>
    <w:p>
      <w:pPr>
        <w:spacing w:after="0" w:line="14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81818"/>
        </w:rPr>
        <w:t>Section 13.1</w:t>
      </w:r>
      <w:r>
        <w:rPr>
          <w:sz w:val="20"/>
          <w:szCs w:val="20"/>
          <w:color w:val="auto"/>
        </w:rPr>
        <w:tab/>
      </w:r>
      <w:r>
        <w:rPr>
          <w:rFonts w:ascii="Arial" w:cs="Arial" w:eastAsia="Arial" w:hAnsi="Arial"/>
          <w:sz w:val="16"/>
          <w:szCs w:val="16"/>
          <w:u w:val="single" w:color="auto"/>
          <w:color w:val="181818"/>
        </w:rPr>
        <w:t>Options and SARs</w:t>
      </w:r>
    </w:p>
    <w:p>
      <w:pPr>
        <w:spacing w:after="0" w:line="1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181818"/>
        </w:rPr>
        <w:t>With respect to Options and SARs awarded prior to April 1, 2018, in the event of a Change of Control; ; unless otherwise provided in an Award Agreement (or in the case of Converted Awards, in the EMA), all Options and SARs outstanding on the date of such Change of Control shall become immediately and fully exercisable, provided that in the case of any outstanding Options or SARs subject to a performance-based vesting schedule, unless otherwise provided in an Award Agreement, performance shall be deemed to have been achieved at the target level or, if greater, the actual level of achievement as of the date of the Change of Control, annualized for the entire performance period, if appropriate, and, in the case of SARs, if payable in cash, shall be paid within thirty (30) days after a Change of Control to all Grantees who have been granted such Award (unless a different payment date is required in order to permit compliance with Section 409A of the Code, if applicable). In all other respects not inconsistent with such acceleration, the Options and SARs shall continue to be governed by the terms of their Award Agreements and the Plan.</w:t>
      </w:r>
    </w:p>
    <w:p>
      <w:pPr>
        <w:spacing w:after="0" w:line="10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81818"/>
        </w:rPr>
        <w:t>Section 13.2</w:t>
      </w:r>
      <w:r>
        <w:rPr>
          <w:sz w:val="20"/>
          <w:szCs w:val="20"/>
          <w:color w:val="auto"/>
        </w:rPr>
        <w:tab/>
      </w:r>
      <w:r>
        <w:rPr>
          <w:rFonts w:ascii="Arial" w:cs="Arial" w:eastAsia="Arial" w:hAnsi="Arial"/>
          <w:sz w:val="16"/>
          <w:szCs w:val="16"/>
          <w:u w:val="single" w:color="auto"/>
          <w:color w:val="181818"/>
        </w:rPr>
        <w:t>Restricted Stock Awards and Phantom Stock Unit Awards</w:t>
      </w:r>
    </w:p>
    <w:p>
      <w:pPr>
        <w:spacing w:after="0" w:line="1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181818"/>
        </w:rPr>
        <w:t>With respect to Options and SARs awarded prior to April 1, 2018, in the event of a Change of Control, unless otherwise provided in an Award Agreement (or in the case of Converted Awards, in the EMA), all restrictions with respect to Restricted Stock Awards and Phantom Stock Unit Awards shall immediately lapse, provided that in the case of any outstanding Restricted Stock Awards or Phantom Stock Unit Awards with restrictions subject to the achievement of certain performance-based goals, unless otherwise provided in an Award Agreement, performance shall be deemed to have been achieved at the target level or, if greater, the actual level of achievement as of the date of the Change of Control, annualized for the entire performance period, if appropriate, and, if payable in cash, shall be paid within thirty (30) days after a Change of Control to all Grantees who have been granted such Award (unless a different payment date is required in order to permit compliance with Section 409A of the Code, if applicable).</w:t>
      </w:r>
    </w:p>
    <w:p>
      <w:pPr>
        <w:spacing w:after="0" w:line="10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81818"/>
        </w:rPr>
        <w:t>Section 13.3</w:t>
      </w:r>
      <w:r>
        <w:rPr>
          <w:sz w:val="20"/>
          <w:szCs w:val="20"/>
          <w:color w:val="auto"/>
        </w:rPr>
        <w:tab/>
      </w:r>
      <w:r>
        <w:rPr>
          <w:rFonts w:ascii="Arial" w:cs="Arial" w:eastAsia="Arial" w:hAnsi="Arial"/>
          <w:sz w:val="18"/>
          <w:szCs w:val="18"/>
          <w:u w:val="single" w:color="auto"/>
          <w:color w:val="181818"/>
        </w:rPr>
        <w:t>Impact of Change of Control</w:t>
      </w:r>
    </w:p>
    <w:p>
      <w:pPr>
        <w:spacing w:after="0" w:line="1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181818"/>
        </w:rPr>
        <w:t xml:space="preserve">With respect to Awards awarded on or after April 1, 2018, subject to Section 11.2.2 in the event of </w:t>
      </w:r>
      <w:r>
        <w:rPr>
          <w:rFonts w:ascii="Arial" w:cs="Arial" w:eastAsia="Arial" w:hAnsi="Arial"/>
          <w:sz w:val="19"/>
          <w:szCs w:val="19"/>
          <w:color w:val="000000"/>
        </w:rPr>
        <w:t>a Change of Control, upon a</w:t>
      </w:r>
      <w:r>
        <w:rPr>
          <w:rFonts w:ascii="Arial" w:cs="Arial" w:eastAsia="Arial" w:hAnsi="Arial"/>
          <w:sz w:val="19"/>
          <w:szCs w:val="19"/>
          <w:color w:val="181818"/>
        </w:rPr>
        <w:t xml:space="preserve"> </w:t>
      </w:r>
      <w:r>
        <w:rPr>
          <w:rFonts w:ascii="Arial" w:cs="Arial" w:eastAsia="Arial" w:hAnsi="Arial"/>
          <w:sz w:val="19"/>
          <w:szCs w:val="19"/>
          <w:color w:val="000000"/>
        </w:rPr>
        <w:t>Grantee's termination of employment by the Grantee's employer without Cause, or by the Grantee for Good Reason (as defined below), within one (1) year following the Change of Control (or on the date of the Change of Control), then (a) Options (with an exercise price that is less than the Fair Market Value of the Company’s Common Stock at the time of the Change in Control) and SARs shall vest and become fully exercisable, (b) restrictions on Restricted Stock Awards and Phantom Stock Unit Awards shall lapse and such Awards shall become fully vested, (c) any Awards with vesting or other provisions tied to achievement of performance goals shall be considered to be vested (and, as applicable, shall be earned and paid) at their target levels or, if greater, the actual level of achievement as of the date of the Change of Control, annualized by the entire performance period, if appropriate, (d) any Awards payable in cash shall be paid within thirty (30) days after such termination of employment to all Grantees who have been granted such an Award, and (e) such other additional benefits, changes or adjustments as the Committee deems appropriate and fair shall apply, subject in each case to any terms and conditions contained in the Award Agreement evidencing such Award. For purposes of this Section 13.3, "Good Reason" shall mean the occurrence of any of the following events that the Company fails to cure within ten (10) days after receiving written notice thereof from the Grantee (which notice must be delivered within thirty (30) days of the Grantee becoming aware of the applicable event or circumstance): (i) assignment to the Grantee of any duties inconsistent in any material respect with the Grantee's position (including status, titles, and reporting requirements), authority, duties or responsibilities or inconsistent with the Grantee's legal or fiduciary obligations; (ii) any reduction in the Grantee's compensation or substantial reduction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2" w:right="239" w:bottom="1440" w:gutter="0" w:footer="0" w:header="0"/>
        </w:sectPr>
      </w:pPr>
    </w:p>
    <w:bookmarkStart w:id="73" w:name="page74"/>
    <w:bookmarkEnd w:id="73"/>
    <w:p>
      <w:pPr>
        <w:jc w:val="both"/>
        <w:spacing w:after="0" w:line="250" w:lineRule="auto"/>
        <w:rPr>
          <w:sz w:val="20"/>
          <w:szCs w:val="20"/>
          <w:color w:val="auto"/>
        </w:rPr>
      </w:pPr>
      <w:r>
        <w:rPr>
          <w:rFonts w:ascii="Arial" w:cs="Arial" w:eastAsia="Arial" w:hAnsi="Arial"/>
          <w:sz w:val="20"/>
          <w:szCs w:val="20"/>
          <w:color w:val="auto"/>
        </w:rPr>
        <w:t>in the Grantee's benefits taken as a whole; (iii) any travel requirements materially greater than the Grantee's travel requirements prior to the Change of Control; (iv) any office relocation of greater than fifty (50) miles from the Grantee's then current office; or (v) any breach of any material term of any employment agreement between the Company and the Grantee.</w:t>
      </w:r>
    </w:p>
    <w:p>
      <w:pPr>
        <w:spacing w:after="0" w:line="10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13.4</w:t>
      </w:r>
      <w:r>
        <w:rPr>
          <w:sz w:val="20"/>
          <w:szCs w:val="20"/>
          <w:color w:val="auto"/>
        </w:rPr>
        <w:tab/>
      </w:r>
      <w:r>
        <w:rPr>
          <w:rFonts w:ascii="Arial" w:cs="Arial" w:eastAsia="Arial" w:hAnsi="Arial"/>
          <w:sz w:val="18"/>
          <w:szCs w:val="18"/>
          <w:u w:val="single" w:color="auto"/>
          <w:color w:val="auto"/>
        </w:rPr>
        <w:t>Assumption Upon Change of Control</w:t>
      </w:r>
    </w:p>
    <w:p>
      <w:pPr>
        <w:spacing w:after="0" w:line="1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With respect to Awards awarded on or after April 1, 2018, notwithstanding the foregoing, if in the event of a Change of Control, the successor company does not agree to assume or substitute for an Award, or the Awards will otherwise not remain outstanding after the Change of Control, then, in lieu of such outstanding assumed or substituted Award, the holder shall be entitled to the benefits set forth in the first sentence of Section 13.3 as of the date of the Change of Control, to the same extent as if the holder's employment (or Board service) had been terminated by the Company without Cause as of the date of the Change of Control. For the purposes of this Section 13.4, an Award shall be considered assumed or substituted for if, following the Change of Control, the award confers the right to purchase or receive, for each share subject to the Award immediately prior to the Change of Control, the consideration (whether stock, cash or other securities or property) received in the transaction constituting a Change of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of Control is not solely common stock of the successor company, the Committee may, with the consent of the successor company, provide that the consideration to be received upon the exercise or vesting of any Award, for each share subject thereto, will be solely common stock of the successor company substantially equal in fair market value to the per share consideration received by holders of shares of Common Stock in the transaction constituting a Change of Control. The determination of such substantial equality of value or consideration shall be made by the Committee before the Change of Control in its sole discretion and its determination shall be conclusive and binding. Any assumption or substitution of the Incentive Stock Option will be made in a manner that will not be considered a "modification" under the provisions of Section 424(h)(3) of the Code.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XIV</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 AND TERMINATION</w:t>
      </w:r>
    </w:p>
    <w:p>
      <w:pPr>
        <w:spacing w:after="0" w:line="14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14.1</w:t>
      </w:r>
      <w:r>
        <w:rPr>
          <w:sz w:val="20"/>
          <w:szCs w:val="20"/>
          <w:color w:val="auto"/>
        </w:rPr>
        <w:tab/>
      </w:r>
      <w:r>
        <w:rPr>
          <w:rFonts w:ascii="Arial" w:cs="Arial" w:eastAsia="Arial" w:hAnsi="Arial"/>
          <w:sz w:val="18"/>
          <w:szCs w:val="18"/>
          <w:u w:val="single" w:color="auto"/>
          <w:color w:val="auto"/>
        </w:rPr>
        <w:t>Amendment; No Repricing</w:t>
      </w:r>
    </w:p>
    <w:p>
      <w:pPr>
        <w:spacing w:after="0" w:line="13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The Board with respect to the Plan, and the Grantor with respect to any Award Agreement, reserve the right at any time </w:t>
      </w:r>
      <w:r>
        <w:rPr>
          <w:rFonts w:ascii="Arial" w:cs="Arial" w:eastAsia="Arial" w:hAnsi="Arial"/>
          <w:sz w:val="18"/>
          <w:szCs w:val="18"/>
          <w:color w:val="181818"/>
        </w:rPr>
        <w:t>or times to</w:t>
      </w:r>
      <w:r>
        <w:rPr>
          <w:rFonts w:ascii="Arial" w:cs="Arial" w:eastAsia="Arial" w:hAnsi="Arial"/>
          <w:sz w:val="18"/>
          <w:szCs w:val="18"/>
          <w:color w:val="auto"/>
        </w:rPr>
        <w:t xml:space="preserve"> </w:t>
      </w:r>
      <w:r>
        <w:rPr>
          <w:rFonts w:ascii="Arial" w:cs="Arial" w:eastAsia="Arial" w:hAnsi="Arial"/>
          <w:sz w:val="18"/>
          <w:szCs w:val="18"/>
          <w:color w:val="181818"/>
        </w:rPr>
        <w:t xml:space="preserve">modify, alter or amend, in whole or in part, any or all of the provisions of the Plan or any Award Agreement to any extent and in any manner that it or he or she, as the case may be, may deem advisable, and no consent or approval by the shareholders of the Company, by any Grantee or Beneficiary, or by any other person, committee or entity of any kind shall be required to make any modification, alteration or amendment; </w:t>
      </w:r>
      <w:r>
        <w:rPr>
          <w:rFonts w:ascii="Arial" w:cs="Arial" w:eastAsia="Arial" w:hAnsi="Arial"/>
          <w:sz w:val="18"/>
          <w:szCs w:val="18"/>
          <w:i w:val="1"/>
          <w:iCs w:val="1"/>
          <w:color w:val="181818"/>
        </w:rPr>
        <w:t xml:space="preserve">provided, however, </w:t>
      </w:r>
      <w:r>
        <w:rPr>
          <w:rFonts w:ascii="Arial" w:cs="Arial" w:eastAsia="Arial" w:hAnsi="Arial"/>
          <w:sz w:val="18"/>
          <w:szCs w:val="18"/>
          <w:color w:val="181818"/>
        </w:rPr>
        <w:t>that the Board shall not, without the requisite approval of the shareholders of the Company, make any modification,</w:t>
      </w:r>
      <w:r>
        <w:rPr>
          <w:rFonts w:ascii="Arial" w:cs="Arial" w:eastAsia="Arial" w:hAnsi="Arial"/>
          <w:sz w:val="18"/>
          <w:szCs w:val="18"/>
          <w:i w:val="1"/>
          <w:iCs w:val="1"/>
          <w:color w:val="181818"/>
        </w:rPr>
        <w:t xml:space="preserve"> </w:t>
      </w:r>
      <w:r>
        <w:rPr>
          <w:rFonts w:ascii="Arial" w:cs="Arial" w:eastAsia="Arial" w:hAnsi="Arial"/>
          <w:sz w:val="18"/>
          <w:szCs w:val="18"/>
          <w:color w:val="181818"/>
        </w:rPr>
        <w:t>alteration or amendment that requires shareholders' approval under any applicable law (including the Code) or stock exchange requirements. No modification, alteration or amendment of the Plan or any Award Agreement may, without the consent of the Grantee (or the Grantee's Beneficiaries in case of the Grantee's death) to whom any Award shall theretofore have been granted under the Plan, adversely affect any right of such Grantee under such Award, except in accordance with the provisions of the Plan and/or any Award Agreement applicable to any such Award. Subject to the provisions of this Section 14.1, any modification, alteration or amendment of any provisions of the Plan may be made retroactively. Except as otherwise provided in Section 11.2 hereof, neither the Committee nor the Board shall reduce the SAR Base Amount or Option Price</w:t>
      </w:r>
      <w:r>
        <w:rPr>
          <w:rFonts w:ascii="Arial" w:cs="Arial" w:eastAsia="Arial" w:hAnsi="Arial"/>
          <w:sz w:val="18"/>
          <w:szCs w:val="18"/>
          <w:color w:val="424242"/>
        </w:rPr>
        <w:t>,</w:t>
      </w:r>
      <w:r>
        <w:rPr>
          <w:rFonts w:ascii="Arial" w:cs="Arial" w:eastAsia="Arial" w:hAnsi="Arial"/>
          <w:sz w:val="18"/>
          <w:szCs w:val="18"/>
          <w:color w:val="181818"/>
        </w:rPr>
        <w:t xml:space="preserve"> as applicable, of Stock Options or SARS previously awarded to any Grantee, whether through amendment, cancellation or replacement grant, or any other means, without the requisite prior affirmative approval of the shareholders of the Company.</w:t>
      </w:r>
    </w:p>
    <w:p>
      <w:pPr>
        <w:spacing w:after="0" w:line="9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181818"/>
        </w:rPr>
        <w:t>Section 14.2</w:t>
      </w:r>
      <w:r>
        <w:rPr>
          <w:sz w:val="20"/>
          <w:szCs w:val="20"/>
          <w:color w:val="auto"/>
        </w:rPr>
        <w:tab/>
      </w:r>
      <w:r>
        <w:rPr>
          <w:rFonts w:ascii="Arial" w:cs="Arial" w:eastAsia="Arial" w:hAnsi="Arial"/>
          <w:sz w:val="16"/>
          <w:szCs w:val="16"/>
          <w:u w:val="single" w:color="auto"/>
          <w:color w:val="181818"/>
        </w:rPr>
        <w:t>Suspension or Termination</w:t>
      </w:r>
    </w:p>
    <w:p>
      <w:pPr>
        <w:spacing w:after="0" w:line="1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181818"/>
        </w:rPr>
        <w:t xml:space="preserve">The Board reserves the right at any time to suspend or terminate, in whole or in part, any or all </w:t>
      </w:r>
      <w:r>
        <w:rPr>
          <w:rFonts w:ascii="Arial" w:cs="Arial" w:eastAsia="Arial" w:hAnsi="Arial"/>
          <w:sz w:val="20"/>
          <w:szCs w:val="20"/>
          <w:color w:val="1D1D1D"/>
        </w:rPr>
        <w:t>of the provisions of the Plan for any</w:t>
      </w:r>
      <w:r>
        <w:rPr>
          <w:rFonts w:ascii="Arial" w:cs="Arial" w:eastAsia="Arial" w:hAnsi="Arial"/>
          <w:sz w:val="20"/>
          <w:szCs w:val="20"/>
          <w:color w:val="181818"/>
        </w:rPr>
        <w:t xml:space="preserve"> </w:t>
      </w:r>
      <w:r>
        <w:rPr>
          <w:rFonts w:ascii="Arial" w:cs="Arial" w:eastAsia="Arial" w:hAnsi="Arial"/>
          <w:sz w:val="20"/>
          <w:szCs w:val="20"/>
          <w:color w:val="1D1D1D"/>
        </w:rPr>
        <w:t>reason and without the consent of or approval by the shareholders of the Company, any Holder or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2" w:right="239" w:bottom="1440" w:gutter="0" w:footer="0" w:header="0"/>
        </w:sectPr>
      </w:pPr>
    </w:p>
    <w:bookmarkStart w:id="74" w:name="page75"/>
    <w:bookmarkEnd w:id="74"/>
    <w:p>
      <w:pPr>
        <w:jc w:val="both"/>
        <w:ind w:right="20"/>
        <w:spacing w:after="0" w:line="260" w:lineRule="auto"/>
        <w:rPr>
          <w:sz w:val="20"/>
          <w:szCs w:val="20"/>
          <w:color w:val="auto"/>
        </w:rPr>
      </w:pPr>
      <w:r>
        <w:rPr>
          <w:rFonts w:ascii="Arial" w:cs="Arial" w:eastAsia="Arial" w:hAnsi="Arial"/>
          <w:sz w:val="20"/>
          <w:szCs w:val="20"/>
          <w:color w:val="1D1D1D"/>
        </w:rPr>
        <w:t xml:space="preserve">any other person, committee or entity of any kind; </w:t>
      </w:r>
      <w:r>
        <w:rPr>
          <w:rFonts w:ascii="Arial" w:cs="Arial" w:eastAsia="Arial" w:hAnsi="Arial"/>
          <w:sz w:val="20"/>
          <w:szCs w:val="20"/>
          <w:i w:val="1"/>
          <w:iCs w:val="1"/>
          <w:color w:val="1D1D1D"/>
        </w:rPr>
        <w:t>provided, however,</w:t>
      </w:r>
      <w:r>
        <w:rPr>
          <w:rFonts w:ascii="Arial" w:cs="Arial" w:eastAsia="Arial" w:hAnsi="Arial"/>
          <w:sz w:val="20"/>
          <w:szCs w:val="20"/>
          <w:color w:val="1D1D1D"/>
        </w:rPr>
        <w:t xml:space="preserve"> that no such suspension or termination shall adversely affect any right or obligation with respect to any Award theretofore made except as herein otherwise provided.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D1D1D"/>
        </w:rPr>
        <w:t>ARTICLE XV</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1D1D1D"/>
        </w:rPr>
        <w:t>SECTION 409A</w:t>
      </w:r>
    </w:p>
    <w:p>
      <w:pPr>
        <w:spacing w:after="0" w:line="14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1D1D1D"/>
        </w:rPr>
        <w:t>It is the intention of the Company that no Award shall constitute a “nonqualified deferred compensation plan” subject to Section 409A of the Code, unless and to the extent that the Grantor specifically determines otherwise as provided in the immediately following sentence, and the Plan and the terms and conditions of all Awards shall be interpreted accordingly. The terms and conditions governing any Awards that are subject to Section 409A of the Code, including any rules for elective or mandatory deferral of the delivery of cash or shares pursuant thereto and any rules regarding treatment of such Awards in the event of a Change of Control, shall be set forth in the applicable Award Agreement, and in any event shall comply in all respects with Section 409A of the Code and the terms and conditions of all Awards shall be interpreted accordingly.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D1D1D"/>
        </w:rPr>
        <w:t>ARTICLE XVI</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1D1D1D"/>
        </w:rPr>
        <w:t>EFFECTIVE DATE AND TERM OF THE PLAN</w:t>
      </w: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color w:val="1D1D1D"/>
        </w:rPr>
        <w:t>The Plan became effective on the Effective Date. No Award shall be granted under the Plan after the date specified in Section 4.1.4.</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1D1D1D"/>
        </w:rPr>
        <w:t>The Plan will continue in effect for existing Awards as long as any such Awards are outstanding.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2"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M. Carlino, certify that:</w:t>
      </w:r>
    </w:p>
    <w:p>
      <w:pPr>
        <w:spacing w:after="0" w:line="225" w:lineRule="exact"/>
        <w:rPr>
          <w:sz w:val="20"/>
          <w:szCs w:val="20"/>
          <w:color w:val="auto"/>
        </w:rPr>
      </w:pPr>
    </w:p>
    <w:p>
      <w:pPr>
        <w:ind w:left="680" w:hanging="672"/>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40" w:hanging="684"/>
        <w:spacing w:after="0"/>
        <w:tabs>
          <w:tab w:leader="none" w:pos="1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20" w:firstLine="656"/>
        <w:spacing w:after="0" w:line="264" w:lineRule="auto"/>
        <w:tabs>
          <w:tab w:leader="none" w:pos="1038"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57" w:lineRule="auto"/>
        <w:tabs>
          <w:tab w:leader="none" w:pos="1312" w:val="left"/>
        </w:tabs>
        <w:numPr>
          <w:ilvl w:val="0"/>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20" w:hanging="664"/>
        <w:spacing w:after="0"/>
        <w:tabs>
          <w:tab w:leader="none" w:pos="1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40" w:firstLine="8"/>
        <w:spacing w:after="0" w:line="357" w:lineRule="auto"/>
        <w:tabs>
          <w:tab w:leader="none" w:pos="6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6080" w:type="dxa"/>
            <w:vAlign w:val="bottom"/>
          </w:tcPr>
          <w:p>
            <w:pPr>
              <w:ind w:left="140"/>
              <w:spacing w:after="0"/>
              <w:rPr>
                <w:sz w:val="20"/>
                <w:szCs w:val="20"/>
                <w:color w:val="auto"/>
              </w:rPr>
            </w:pPr>
            <w:r>
              <w:rPr>
                <w:rFonts w:ascii="Arial" w:cs="Arial" w:eastAsia="Arial" w:hAnsi="Arial"/>
                <w:sz w:val="18"/>
                <w:szCs w:val="18"/>
                <w:color w:val="auto"/>
              </w:rPr>
              <w:t>April 30, 2018</w:t>
            </w:r>
          </w:p>
        </w:tc>
        <w:tc>
          <w:tcPr>
            <w:tcW w:w="1740" w:type="dxa"/>
            <w:vAlign w:val="bottom"/>
            <w:gridSpan w:val="2"/>
          </w:tcPr>
          <w:p>
            <w:pPr>
              <w:spacing w:after="0"/>
              <w:rPr>
                <w:sz w:val="20"/>
                <w:szCs w:val="20"/>
                <w:color w:val="auto"/>
              </w:rPr>
            </w:pPr>
            <w:r>
              <w:rPr>
                <w:rFonts w:ascii="Arial" w:cs="Arial" w:eastAsia="Arial" w:hAnsi="Arial"/>
                <w:sz w:val="18"/>
                <w:szCs w:val="18"/>
                <w:color w:val="auto"/>
              </w:rPr>
              <w:t>/s/ Peter M. Carlino</w:t>
            </w:r>
          </w:p>
        </w:tc>
      </w:tr>
      <w:tr>
        <w:trPr>
          <w:trHeight w:val="20"/>
        </w:trPr>
        <w:tc>
          <w:tcPr>
            <w:tcW w:w="5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1"/>
        </w:trPr>
        <w:tc>
          <w:tcPr>
            <w:tcW w:w="5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w w:val="91"/>
              </w:rPr>
              <w:t>Name: Peter M. Carlino</w:t>
            </w:r>
          </w:p>
        </w:tc>
      </w:tr>
      <w:tr>
        <w:trPr>
          <w:trHeight w:val="270"/>
        </w:trPr>
        <w:tc>
          <w:tcPr>
            <w:tcW w:w="540" w:type="dxa"/>
            <w:vAlign w:val="bottom"/>
          </w:tcPr>
          <w:p>
            <w:pPr>
              <w:spacing w:after="0"/>
              <w:rPr>
                <w:sz w:val="23"/>
                <w:szCs w:val="23"/>
                <w:color w:val="auto"/>
              </w:rPr>
            </w:pPr>
          </w:p>
        </w:tc>
        <w:tc>
          <w:tcPr>
            <w:tcW w:w="6080" w:type="dxa"/>
            <w:vAlign w:val="bottom"/>
          </w:tcPr>
          <w:p>
            <w:pPr>
              <w:spacing w:after="0"/>
              <w:rPr>
                <w:sz w:val="23"/>
                <w:szCs w:val="23"/>
                <w:color w:val="auto"/>
              </w:rPr>
            </w:pPr>
          </w:p>
        </w:tc>
        <w:tc>
          <w:tcPr>
            <w:tcW w:w="1740" w:type="dxa"/>
            <w:vAlign w:val="bottom"/>
            <w:gridSpan w:val="2"/>
          </w:tcPr>
          <w:p>
            <w:pPr>
              <w:spacing w:after="0"/>
              <w:rPr>
                <w:sz w:val="20"/>
                <w:szCs w:val="20"/>
                <w:color w:val="auto"/>
              </w:rPr>
            </w:pPr>
            <w:r>
              <w:rPr>
                <w:rFonts w:ascii="Arial" w:cs="Arial" w:eastAsia="Arial" w:hAnsi="Arial"/>
                <w:sz w:val="18"/>
                <w:szCs w:val="18"/>
                <w:i w:val="1"/>
                <w:iCs w:val="1"/>
                <w:color w:val="auto"/>
                <w:w w:val="93"/>
              </w:rPr>
              <w:t>Chief Executive Officer</w:t>
            </w:r>
          </w:p>
        </w:tc>
      </w:tr>
    </w:tbl>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Clifford, certify that:</w:t>
      </w:r>
    </w:p>
    <w:p>
      <w:pPr>
        <w:spacing w:after="0" w:line="225" w:lineRule="exact"/>
        <w:rPr>
          <w:sz w:val="20"/>
          <w:szCs w:val="20"/>
          <w:color w:val="auto"/>
        </w:rPr>
      </w:pPr>
    </w:p>
    <w:p>
      <w:pPr>
        <w:ind w:left="680" w:hanging="672"/>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40" w:hanging="684"/>
        <w:spacing w:after="0"/>
        <w:tabs>
          <w:tab w:leader="none" w:pos="1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20" w:firstLine="656"/>
        <w:spacing w:after="0" w:line="264" w:lineRule="auto"/>
        <w:tabs>
          <w:tab w:leader="none" w:pos="1038"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80" w:firstLine="656"/>
        <w:spacing w:after="0" w:line="357" w:lineRule="auto"/>
        <w:tabs>
          <w:tab w:leader="none" w:pos="1325" w:val="left"/>
        </w:tabs>
        <w:numPr>
          <w:ilvl w:val="0"/>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60" w:hanging="704"/>
        <w:spacing w:after="0"/>
        <w:tabs>
          <w:tab w:leader="none" w:pos="13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40" w:firstLine="8"/>
        <w:spacing w:after="0" w:line="357" w:lineRule="auto"/>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6080" w:type="dxa"/>
            <w:vAlign w:val="bottom"/>
          </w:tcPr>
          <w:p>
            <w:pPr>
              <w:ind w:left="140"/>
              <w:spacing w:after="0"/>
              <w:rPr>
                <w:sz w:val="20"/>
                <w:szCs w:val="20"/>
                <w:color w:val="auto"/>
              </w:rPr>
            </w:pPr>
            <w:r>
              <w:rPr>
                <w:rFonts w:ascii="Arial" w:cs="Arial" w:eastAsia="Arial" w:hAnsi="Arial"/>
                <w:sz w:val="18"/>
                <w:szCs w:val="18"/>
                <w:color w:val="auto"/>
              </w:rPr>
              <w:t>April 30, 2018</w:t>
            </w:r>
          </w:p>
        </w:tc>
        <w:tc>
          <w:tcPr>
            <w:tcW w:w="1900" w:type="dxa"/>
            <w:vAlign w:val="bottom"/>
            <w:gridSpan w:val="2"/>
          </w:tcPr>
          <w:p>
            <w:pPr>
              <w:spacing w:after="0"/>
              <w:rPr>
                <w:sz w:val="20"/>
                <w:szCs w:val="20"/>
                <w:color w:val="auto"/>
              </w:rPr>
            </w:pPr>
            <w:r>
              <w:rPr>
                <w:rFonts w:ascii="Arial" w:cs="Arial" w:eastAsia="Arial" w:hAnsi="Arial"/>
                <w:sz w:val="18"/>
                <w:szCs w:val="18"/>
                <w:color w:val="auto"/>
              </w:rPr>
              <w:t>/s/ William J. Clifford</w:t>
            </w:r>
          </w:p>
        </w:tc>
      </w:tr>
      <w:tr>
        <w:trPr>
          <w:trHeight w:val="20"/>
        </w:trPr>
        <w:tc>
          <w:tcPr>
            <w:tcW w:w="5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1"/>
        </w:trPr>
        <w:tc>
          <w:tcPr>
            <w:tcW w:w="5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w w:val="95"/>
              </w:rPr>
              <w:t>Name: William J. Clifford</w:t>
            </w:r>
          </w:p>
        </w:tc>
      </w:tr>
      <w:tr>
        <w:trPr>
          <w:trHeight w:val="270"/>
        </w:trPr>
        <w:tc>
          <w:tcPr>
            <w:tcW w:w="540" w:type="dxa"/>
            <w:vAlign w:val="bottom"/>
          </w:tcPr>
          <w:p>
            <w:pPr>
              <w:spacing w:after="0"/>
              <w:rPr>
                <w:sz w:val="23"/>
                <w:szCs w:val="23"/>
                <w:color w:val="auto"/>
              </w:rPr>
            </w:pPr>
          </w:p>
        </w:tc>
        <w:tc>
          <w:tcPr>
            <w:tcW w:w="6080" w:type="dxa"/>
            <w:vAlign w:val="bottom"/>
          </w:tcPr>
          <w:p>
            <w:pPr>
              <w:spacing w:after="0"/>
              <w:rPr>
                <w:sz w:val="23"/>
                <w:szCs w:val="23"/>
                <w:color w:val="auto"/>
              </w:rPr>
            </w:pPr>
          </w:p>
        </w:tc>
        <w:tc>
          <w:tcPr>
            <w:tcW w:w="190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connection with the quarterly report of Gaming and Leisure Properties, Inc. (the “Company”) on Form 10-Q for the quarter ended March 31, 2018, as filed with the Securities and Exchange Commission on the date hereof (the “Report”), I, Peter M. Carlino, Chief Executive Officer of the Company, certify, pursuant to Section 906 of the Sarbanes-Oxley Act of 2002, 18 U.S.C. Section 1350, that, to my knowledge:</w:t>
      </w:r>
    </w:p>
    <w:p>
      <w:pPr>
        <w:spacing w:after="0" w:line="181" w:lineRule="exact"/>
        <w:rPr>
          <w:sz w:val="20"/>
          <w:szCs w:val="20"/>
          <w:color w:val="auto"/>
        </w:rPr>
      </w:pPr>
    </w:p>
    <w:p>
      <w:pPr>
        <w:ind w:left="1340" w:hanging="684"/>
        <w:spacing w:after="0"/>
        <w:tabs>
          <w:tab w:leader="none" w:pos="1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 April 30, 2018</w:t>
      </w:r>
    </w:p>
    <w:p>
      <w:pPr>
        <w:sectPr>
          <w:pgSz w:w="11900" w:h="16838" w:orient="portrait"/>
          <w:cols w:equalWidth="0" w:num="1">
            <w:col w:w="11420"/>
          </w:cols>
          <w:pgMar w:left="240" w:top="58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connection with the quarterly report of Gaming and Leisure Properties, Inc. (the “Company”) on Form 10-Q for the quarter ended March 31, 2018, as filed with the Securities and Exchange Commission on the date hereof (the “Report”), I, William J. Clifford, Chief Financial Officer of the Company, certify, pursuant to Section 906 of the Sarbanes-Oxley Act of 2002, 18 U.S.C. Section 1350, that, to my knowledge:</w:t>
      </w:r>
    </w:p>
    <w:p>
      <w:pPr>
        <w:spacing w:after="0" w:line="181" w:lineRule="exact"/>
        <w:rPr>
          <w:sz w:val="20"/>
          <w:szCs w:val="20"/>
          <w:color w:val="auto"/>
        </w:rPr>
      </w:pPr>
    </w:p>
    <w:p>
      <w:pPr>
        <w:ind w:left="1340" w:hanging="684"/>
        <w:spacing w:after="0"/>
        <w:tabs>
          <w:tab w:leader="none" w:pos="1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William J. Clifford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William J. Clifford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 April 30,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5"/>
    </w:lvl>
  </w:abstractNum>
  <w:abstractNum w:abstractNumId="7">
    <w:nsid w:val="436C6125"/>
    <w:multiLevelType w:val="hybridMultilevel"/>
    <w:lvl w:ilvl="0">
      <w:lvlJc w:val="left"/>
      <w:lvlText w:val="%1."/>
      <w:numFmt w:val="decimal"/>
      <w:start w:val="7"/>
    </w:lvl>
  </w:abstractNum>
  <w:abstractNum w:abstractNumId="8">
    <w:nsid w:val="628C895D"/>
    <w:multiLevelType w:val="hybridMultilevel"/>
    <w:lvl w:ilvl="0">
      <w:lvlJc w:val="left"/>
      <w:lvlText w:val="%1."/>
      <w:numFmt w:val="decimal"/>
      <w:start w:val="10"/>
    </w:lvl>
  </w:abstractNum>
  <w:abstractNum w:abstractNumId="9">
    <w:nsid w:val="333AB105"/>
    <w:multiLevelType w:val="hybridMultilevel"/>
    <w:lvl w:ilvl="0">
      <w:lvlJc w:val="left"/>
      <w:lvlText w:val="(%1)"/>
      <w:numFmt w:val="decimal"/>
      <w:start w:val="2"/>
    </w:lvl>
  </w:abstractNum>
  <w:abstractNum w:abstractNumId="10">
    <w:nsid w:val="721DA317"/>
    <w:multiLevelType w:val="hybridMultilevel"/>
    <w:lvl w:ilvl="0">
      <w:lvlJc w:val="left"/>
      <w:lvlText w:val="%1."/>
      <w:numFmt w:val="decimal"/>
      <w:start w:val="12"/>
    </w:lvl>
  </w:abstractNum>
  <w:abstractNum w:abstractNumId="11">
    <w:nsid w:val="2443A858"/>
    <w:multiLevelType w:val="hybridMultilevel"/>
    <w:lvl w:ilvl="0">
      <w:lvlJc w:val="left"/>
      <w:lvlText w:val="%1"/>
      <w:numFmt w:val="decimal"/>
      <w:start w:val="1"/>
    </w:lvl>
    <w:lvl w:ilvl="1">
      <w:lvlJc w:val="left"/>
      <w:lvlText w:val="(%2)"/>
      <w:numFmt w:val="decimal"/>
      <w:start w:val="1"/>
    </w:lvl>
  </w:abstractNum>
  <w:abstractNum w:abstractNumId="12">
    <w:nsid w:val="2D1D5AE9"/>
    <w:multiLevelType w:val="hybridMultilevel"/>
    <w:lvl w:ilvl="0">
      <w:lvlJc w:val="left"/>
      <w:lvlText w:val="%1."/>
      <w:numFmt w:val="decimal"/>
      <w:start w:val="14"/>
    </w:lvl>
    <w:lvl w:ilvl="1">
      <w:lvlJc w:val="left"/>
      <w:lvlText w:val="%2"/>
      <w:numFmt w:val="decimal"/>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lowerLetter"/>
      <w:start w:val="1"/>
    </w:lvl>
    <w:lvl w:ilvl="1">
      <w:lvlJc w:val="left"/>
      <w:lvlText w:val="(%2)"/>
      <w:numFmt w:val="lowerRoman"/>
      <w:start w:val="1"/>
    </w:lvl>
  </w:abstractNum>
  <w:abstractNum w:abstractNumId="20">
    <w:nsid w:val="54E49EB4"/>
    <w:multiLevelType w:val="hybridMultilevel"/>
    <w:lvl w:ilvl="0">
      <w:lvlJc w:val="left"/>
      <w:lvlText w:val="(%1)"/>
      <w:numFmt w:val="lowerRoman"/>
      <w:start w:val="4"/>
    </w:lvl>
  </w:abstractNum>
  <w:abstractNum w:abstractNumId="21">
    <w:nsid w:val="71F32454"/>
    <w:multiLevelType w:val="hybridMultilevel"/>
    <w:lvl w:ilvl="0">
      <w:lvlJc w:val="left"/>
      <w:lvlText w:val="(%1)"/>
      <w:numFmt w:val="lowerRoman"/>
      <w:start w:val="1"/>
    </w:lvl>
  </w:abstractNum>
  <w:abstractNum w:abstractNumId="22">
    <w:nsid w:val="2CA88611"/>
    <w:multiLevelType w:val="hybridMultilevel"/>
    <w:lvl w:ilvl="0">
      <w:lvlJc w:val="left"/>
      <w:lvlText w:val="(%1)"/>
      <w:numFmt w:val="lowerRoman"/>
      <w:start w:val="2"/>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2"/>
    </w:lvl>
  </w:abstractNum>
  <w:abstractNum w:abstractNumId="26">
    <w:nsid w:val="8138641"/>
    <w:multiLevelType w:val="hybridMultilevel"/>
    <w:lvl w:ilvl="0">
      <w:lvlJc w:val="left"/>
      <w:lvlText w:val="%1."/>
      <w:numFmt w:val="decimal"/>
      <w:start w:val="5"/>
    </w:lvl>
    <w:lvl w:ilvl="1">
      <w:lvlJc w:val="left"/>
      <w:lvlText w:val="(%2)"/>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lowerLetter"/>
      <w:start w:val="2"/>
    </w:lvl>
  </w:abstractNum>
  <w:abstractNum w:abstractNumId="30">
    <w:nsid w:val="6CEAF087"/>
    <w:multiLevelType w:val="hybridMultilevel"/>
    <w:lvl w:ilvl="0">
      <w:lvlJc w:val="left"/>
      <w:lvlText w:val="%1."/>
      <w:numFmt w:val="decimal"/>
      <w:start w:val="5"/>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9" Type="http://schemas.openxmlformats.org/officeDocument/2006/relationships/image" Target="media/image9.png"/><Relationship Id="rId16" Type="http://schemas.openxmlformats.org/officeDocument/2006/relationships/hyperlink" Target="http://www.sec.gov/Archives/edgar/data/1575965/000119312518117881/d545112dex21.htm" TargetMode="External"/><Relationship Id="rId17" Type="http://schemas.openxmlformats.org/officeDocument/2006/relationships/hyperlink" Target="http://www.sec.gov/Archives/edgar/data/1575965/000119312518117881/d545112dex22.htm" TargetMode="External"/><Relationship Id="rId18" Type="http://schemas.openxmlformats.org/officeDocument/2006/relationships/hyperlink" Target="http://www.sec.gov/Archives/edgar/data/1575965/000157596518000008/exhibit101letteragreemen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2019-12-28T22:45:53Z</dcterms:created>
  <dcterms:modified xsi:type="dcterms:W3CDTF">2019-12-28T22:45:53Z</dcterms:modified>
</cp:coreProperties>
</file>