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204470</wp:posOffset>
            </wp:positionV>
            <wp:extent cx="71774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175895</wp:posOffset>
            </wp:positionV>
            <wp:extent cx="7177405"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18"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 the quarterly period ended September 30, 2021</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5"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2"/>
          <w:szCs w:val="12"/>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64" w:lineRule="exact"/>
        <w:rPr>
          <w:sz w:val="24"/>
          <w:szCs w:val="24"/>
          <w:color w:val="auto"/>
        </w:rPr>
      </w:pPr>
    </w:p>
    <w:p>
      <w:pPr>
        <w:ind w:left="4520"/>
        <w:spacing w:after="0"/>
        <w:tabs>
          <w:tab w:leader="none" w:pos="6360" w:val="left"/>
        </w:tabs>
        <w:rPr>
          <w:sz w:val="20"/>
          <w:szCs w:val="20"/>
          <w:color w:val="auto"/>
        </w:rPr>
      </w:pPr>
      <w:r>
        <w:rPr>
          <w:rFonts w:ascii="Arial" w:cs="Arial" w:eastAsia="Arial" w:hAnsi="Arial"/>
          <w:sz w:val="12"/>
          <w:szCs w:val="12"/>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19" w:lineRule="exact"/>
        <w:rPr>
          <w:sz w:val="24"/>
          <w:szCs w:val="24"/>
          <w:color w:val="auto"/>
        </w:rPr>
      </w:pPr>
    </w:p>
    <w:p>
      <w:pPr>
        <w:ind w:left="4660"/>
        <w:spacing w:after="0"/>
        <w:rPr>
          <w:sz w:val="20"/>
          <w:szCs w:val="20"/>
          <w:color w:val="auto"/>
        </w:rPr>
      </w:pPr>
      <w:r>
        <w:rPr>
          <w:rFonts w:ascii="Arial" w:cs="Arial" w:eastAsia="Arial" w:hAnsi="Arial"/>
          <w:sz w:val="12"/>
          <w:szCs w:val="12"/>
          <w:b w:val="1"/>
          <w:bCs w:val="1"/>
          <w:color w:val="auto"/>
        </w:rPr>
        <w:t>Commission File Number: 001-36124</w:t>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60" w:type="dxa"/>
            <w:vAlign w:val="bottom"/>
            <w:gridSpan w:val="3"/>
          </w:tcPr>
          <w:p>
            <w:pPr>
              <w:jc w:val="center"/>
              <w:ind w:right="340"/>
              <w:spacing w:after="0"/>
              <w:rPr>
                <w:sz w:val="20"/>
                <w:szCs w:val="20"/>
                <w:color w:val="auto"/>
              </w:rPr>
            </w:pPr>
            <w:r>
              <w:rPr>
                <w:rFonts w:ascii="Arial" w:cs="Arial" w:eastAsia="Arial" w:hAnsi="Arial"/>
                <w:sz w:val="20"/>
                <w:szCs w:val="20"/>
                <w:b w:val="1"/>
                <w:bCs w:val="1"/>
                <w:color w:val="auto"/>
                <w:w w:val="93"/>
              </w:rPr>
              <w:t>Gaming and Leisure Properties, Inc.</w:t>
            </w:r>
          </w:p>
        </w:tc>
        <w:tc>
          <w:tcPr>
            <w:tcW w:w="3020" w:type="dxa"/>
            <w:vAlign w:val="bottom"/>
          </w:tcPr>
          <w:p>
            <w:pPr>
              <w:spacing w:after="0"/>
              <w:rPr>
                <w:sz w:val="21"/>
                <w:szCs w:val="21"/>
                <w:color w:val="auto"/>
              </w:rPr>
            </w:pPr>
          </w:p>
        </w:tc>
      </w:tr>
      <w:tr>
        <w:trPr>
          <w:trHeight w:val="153"/>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60" w:type="dxa"/>
            <w:vAlign w:val="bottom"/>
            <w:gridSpan w:val="3"/>
          </w:tcPr>
          <w:p>
            <w:pPr>
              <w:ind w:left="400"/>
              <w:spacing w:after="0"/>
              <w:rPr>
                <w:sz w:val="20"/>
                <w:szCs w:val="20"/>
                <w:color w:val="auto"/>
              </w:rPr>
            </w:pPr>
            <w:r>
              <w:rPr>
                <w:rFonts w:ascii="Arial" w:cs="Arial" w:eastAsia="Arial" w:hAnsi="Arial"/>
                <w:sz w:val="12"/>
                <w:szCs w:val="12"/>
                <w:color w:val="auto"/>
              </w:rPr>
              <w:t>(Exact name of registrant as specified in its charter)</w:t>
            </w:r>
          </w:p>
        </w:tc>
        <w:tc>
          <w:tcPr>
            <w:tcW w:w="3020" w:type="dxa"/>
            <w:vAlign w:val="bottom"/>
          </w:tcPr>
          <w:p>
            <w:pPr>
              <w:spacing w:after="0"/>
              <w:rPr>
                <w:sz w:val="13"/>
                <w:szCs w:val="13"/>
                <w:color w:val="auto"/>
              </w:rPr>
            </w:pPr>
          </w:p>
        </w:tc>
      </w:tr>
      <w:tr>
        <w:trPr>
          <w:trHeight w:val="172"/>
        </w:trPr>
        <w:tc>
          <w:tcPr>
            <w:tcW w:w="3680" w:type="dxa"/>
            <w:vAlign w:val="bottom"/>
            <w:gridSpan w:val="2"/>
          </w:tcPr>
          <w:p>
            <w:pPr>
              <w:jc w:val="center"/>
              <w:ind w:left="2024"/>
              <w:spacing w:after="0"/>
              <w:rPr>
                <w:sz w:val="20"/>
                <w:szCs w:val="20"/>
                <w:color w:val="auto"/>
              </w:rPr>
            </w:pPr>
            <w:r>
              <w:rPr>
                <w:rFonts w:ascii="Arial" w:cs="Arial" w:eastAsia="Arial" w:hAnsi="Arial"/>
                <w:sz w:val="12"/>
                <w:szCs w:val="12"/>
                <w:b w:val="1"/>
                <w:bCs w:val="1"/>
                <w:color w:val="auto"/>
                <w:w w:val="88"/>
              </w:rPr>
              <w:t>Pennsylvania</w:t>
            </w: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20" w:type="dxa"/>
            <w:vAlign w:val="bottom"/>
          </w:tcPr>
          <w:p>
            <w:pPr>
              <w:jc w:val="center"/>
              <w:ind w:right="1425"/>
              <w:spacing w:after="0"/>
              <w:rPr>
                <w:sz w:val="20"/>
                <w:szCs w:val="20"/>
                <w:color w:val="auto"/>
              </w:rPr>
            </w:pPr>
            <w:r>
              <w:rPr>
                <w:rFonts w:ascii="Arial" w:cs="Arial" w:eastAsia="Arial" w:hAnsi="Arial"/>
                <w:sz w:val="12"/>
                <w:szCs w:val="12"/>
                <w:b w:val="1"/>
                <w:bCs w:val="1"/>
                <w:color w:val="auto"/>
                <w:w w:val="90"/>
              </w:rPr>
              <w:t>46-2116489</w:t>
            </w:r>
          </w:p>
        </w:tc>
      </w:tr>
      <w:tr>
        <w:trPr>
          <w:trHeight w:val="154"/>
        </w:trPr>
        <w:tc>
          <w:tcPr>
            <w:tcW w:w="3680" w:type="dxa"/>
            <w:vAlign w:val="bottom"/>
            <w:gridSpan w:val="2"/>
          </w:tcPr>
          <w:p>
            <w:pPr>
              <w:jc w:val="center"/>
              <w:ind w:left="2024"/>
              <w:spacing w:after="0"/>
              <w:rPr>
                <w:sz w:val="20"/>
                <w:szCs w:val="20"/>
                <w:color w:val="auto"/>
              </w:rPr>
            </w:pPr>
            <w:r>
              <w:rPr>
                <w:rFonts w:ascii="Arial" w:cs="Arial" w:eastAsia="Arial" w:hAnsi="Arial"/>
                <w:sz w:val="12"/>
                <w:szCs w:val="12"/>
                <w:color w:val="auto"/>
                <w:w w:val="93"/>
              </w:rPr>
              <w:t>(State or other jurisdiction of</w:t>
            </w:r>
          </w:p>
        </w:tc>
        <w:tc>
          <w:tcPr>
            <w:tcW w:w="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20" w:type="dxa"/>
            <w:vAlign w:val="bottom"/>
          </w:tcPr>
          <w:p>
            <w:pPr>
              <w:jc w:val="center"/>
              <w:ind w:right="1425"/>
              <w:spacing w:after="0"/>
              <w:rPr>
                <w:sz w:val="20"/>
                <w:szCs w:val="20"/>
                <w:color w:val="auto"/>
              </w:rPr>
            </w:pPr>
            <w:r>
              <w:rPr>
                <w:rFonts w:ascii="Arial" w:cs="Arial" w:eastAsia="Arial" w:hAnsi="Arial"/>
                <w:sz w:val="12"/>
                <w:szCs w:val="12"/>
                <w:color w:val="auto"/>
                <w:w w:val="93"/>
              </w:rPr>
              <w:t>(I.R.S. Employer</w:t>
            </w:r>
          </w:p>
        </w:tc>
      </w:tr>
      <w:tr>
        <w:trPr>
          <w:trHeight w:val="154"/>
        </w:trPr>
        <w:tc>
          <w:tcPr>
            <w:tcW w:w="3680" w:type="dxa"/>
            <w:vAlign w:val="bottom"/>
            <w:gridSpan w:val="2"/>
          </w:tcPr>
          <w:p>
            <w:pPr>
              <w:jc w:val="center"/>
              <w:ind w:left="2004"/>
              <w:spacing w:after="0"/>
              <w:rPr>
                <w:sz w:val="20"/>
                <w:szCs w:val="20"/>
                <w:color w:val="auto"/>
              </w:rPr>
            </w:pPr>
            <w:r>
              <w:rPr>
                <w:rFonts w:ascii="Arial" w:cs="Arial" w:eastAsia="Arial" w:hAnsi="Arial"/>
                <w:sz w:val="12"/>
                <w:szCs w:val="12"/>
                <w:color w:val="auto"/>
                <w:w w:val="93"/>
              </w:rPr>
              <w:t>incorporation or organization)</w:t>
            </w:r>
          </w:p>
        </w:tc>
        <w:tc>
          <w:tcPr>
            <w:tcW w:w="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20" w:type="dxa"/>
            <w:vAlign w:val="bottom"/>
          </w:tcPr>
          <w:p>
            <w:pPr>
              <w:jc w:val="center"/>
              <w:ind w:right="1425"/>
              <w:spacing w:after="0"/>
              <w:rPr>
                <w:sz w:val="20"/>
                <w:szCs w:val="20"/>
                <w:color w:val="auto"/>
              </w:rPr>
            </w:pPr>
            <w:r>
              <w:rPr>
                <w:rFonts w:ascii="Arial" w:cs="Arial" w:eastAsia="Arial" w:hAnsi="Arial"/>
                <w:sz w:val="12"/>
                <w:szCs w:val="12"/>
                <w:color w:val="auto"/>
                <w:w w:val="96"/>
              </w:rPr>
              <w:t>Identification No.)</w:t>
            </w:r>
          </w:p>
        </w:tc>
      </w:tr>
      <w:tr>
        <w:trPr>
          <w:trHeight w:val="194"/>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60" w:type="dxa"/>
            <w:vAlign w:val="bottom"/>
            <w:gridSpan w:val="3"/>
          </w:tcPr>
          <w:p>
            <w:pPr>
              <w:ind w:left="940"/>
              <w:spacing w:after="0"/>
              <w:rPr>
                <w:sz w:val="20"/>
                <w:szCs w:val="20"/>
                <w:color w:val="auto"/>
              </w:rPr>
            </w:pPr>
            <w:r>
              <w:rPr>
                <w:rFonts w:ascii="Arial" w:cs="Arial" w:eastAsia="Arial" w:hAnsi="Arial"/>
                <w:sz w:val="11"/>
                <w:szCs w:val="11"/>
                <w:b w:val="1"/>
                <w:bCs w:val="1"/>
                <w:color w:val="auto"/>
              </w:rPr>
              <w:t>845 Berkshire Blvd., Suite 200</w:t>
            </w:r>
          </w:p>
        </w:tc>
        <w:tc>
          <w:tcPr>
            <w:tcW w:w="3020" w:type="dxa"/>
            <w:vAlign w:val="bottom"/>
          </w:tcPr>
          <w:p>
            <w:pPr>
              <w:spacing w:after="0"/>
              <w:rPr>
                <w:sz w:val="16"/>
                <w:szCs w:val="16"/>
                <w:color w:val="auto"/>
              </w:rPr>
            </w:pPr>
          </w:p>
        </w:tc>
      </w:tr>
      <w:tr>
        <w:trPr>
          <w:trHeight w:val="138"/>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6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3"/>
              </w:rPr>
              <w:t>Wyomissing, PA 19610</w:t>
            </w:r>
          </w:p>
        </w:tc>
        <w:tc>
          <w:tcPr>
            <w:tcW w:w="3020" w:type="dxa"/>
            <w:vAlign w:val="bottom"/>
          </w:tcPr>
          <w:p>
            <w:pPr>
              <w:spacing w:after="0"/>
              <w:rPr>
                <w:sz w:val="11"/>
                <w:szCs w:val="11"/>
                <w:color w:val="auto"/>
              </w:rPr>
            </w:pPr>
          </w:p>
        </w:tc>
      </w:tr>
      <w:tr>
        <w:trPr>
          <w:trHeight w:val="146"/>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60" w:type="dxa"/>
            <w:vAlign w:val="bottom"/>
            <w:gridSpan w:val="3"/>
          </w:tcPr>
          <w:p>
            <w:pPr>
              <w:jc w:val="center"/>
              <w:ind w:right="340"/>
              <w:spacing w:after="0"/>
              <w:rPr>
                <w:sz w:val="20"/>
                <w:szCs w:val="20"/>
                <w:color w:val="auto"/>
              </w:rPr>
            </w:pPr>
            <w:r>
              <w:rPr>
                <w:rFonts w:ascii="Arial" w:cs="Arial" w:eastAsia="Arial" w:hAnsi="Arial"/>
                <w:sz w:val="11"/>
                <w:szCs w:val="11"/>
                <w:color w:val="auto"/>
                <w:w w:val="96"/>
              </w:rPr>
              <w:t>(Address of principal executive offices) (Zip Code)</w:t>
            </w:r>
          </w:p>
        </w:tc>
        <w:tc>
          <w:tcPr>
            <w:tcW w:w="3020" w:type="dxa"/>
            <w:vAlign w:val="bottom"/>
          </w:tcPr>
          <w:p>
            <w:pPr>
              <w:spacing w:after="0"/>
              <w:rPr>
                <w:sz w:val="12"/>
                <w:szCs w:val="12"/>
                <w:color w:val="auto"/>
              </w:rPr>
            </w:pPr>
          </w:p>
        </w:tc>
      </w:tr>
      <w:tr>
        <w:trPr>
          <w:trHeight w:val="261"/>
        </w:trPr>
        <w:tc>
          <w:tcPr>
            <w:tcW w:w="3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60" w:type="dxa"/>
            <w:vAlign w:val="bottom"/>
            <w:gridSpan w:val="2"/>
          </w:tcPr>
          <w:p>
            <w:pPr>
              <w:jc w:val="center"/>
              <w:ind w:left="1503"/>
              <w:spacing w:after="0"/>
              <w:rPr>
                <w:sz w:val="20"/>
                <w:szCs w:val="20"/>
                <w:color w:val="auto"/>
              </w:rPr>
            </w:pPr>
            <w:r>
              <w:rPr>
                <w:rFonts w:ascii="Arial" w:cs="Arial" w:eastAsia="Arial" w:hAnsi="Arial"/>
                <w:sz w:val="11"/>
                <w:szCs w:val="11"/>
                <w:b w:val="1"/>
                <w:bCs w:val="1"/>
                <w:color w:val="auto"/>
                <w:w w:val="93"/>
              </w:rPr>
              <w:t>610-401-2900</w:t>
            </w: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134"/>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60" w:type="dxa"/>
            <w:vAlign w:val="bottom"/>
            <w:gridSpan w:val="3"/>
          </w:tcPr>
          <w:p>
            <w:pPr>
              <w:jc w:val="center"/>
              <w:ind w:right="320"/>
              <w:spacing w:after="0"/>
              <w:rPr>
                <w:sz w:val="20"/>
                <w:szCs w:val="20"/>
                <w:color w:val="auto"/>
              </w:rPr>
            </w:pPr>
            <w:r>
              <w:rPr>
                <w:rFonts w:ascii="Arial" w:cs="Arial" w:eastAsia="Arial" w:hAnsi="Arial"/>
                <w:sz w:val="11"/>
                <w:szCs w:val="11"/>
                <w:color w:val="auto"/>
                <w:w w:val="93"/>
              </w:rPr>
              <w:t>(Registrant’s telephone number, including area code)</w:t>
            </w:r>
          </w:p>
        </w:tc>
        <w:tc>
          <w:tcPr>
            <w:tcW w:w="3020" w:type="dxa"/>
            <w:vAlign w:val="bottom"/>
          </w:tcPr>
          <w:p>
            <w:pPr>
              <w:spacing w:after="0"/>
              <w:rPr>
                <w:sz w:val="11"/>
                <w:szCs w:val="11"/>
                <w:color w:val="auto"/>
              </w:rPr>
            </w:pPr>
          </w:p>
        </w:tc>
      </w:tr>
      <w:tr>
        <w:trPr>
          <w:trHeight w:val="138"/>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6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3"/>
              </w:rPr>
              <w:t>Not Applicable</w:t>
            </w:r>
          </w:p>
        </w:tc>
        <w:tc>
          <w:tcPr>
            <w:tcW w:w="3020" w:type="dxa"/>
            <w:vAlign w:val="bottom"/>
          </w:tcPr>
          <w:p>
            <w:pPr>
              <w:spacing w:after="0"/>
              <w:rPr>
                <w:sz w:val="11"/>
                <w:szCs w:val="11"/>
                <w:color w:val="auto"/>
              </w:rPr>
            </w:pPr>
          </w:p>
        </w:tc>
      </w:tr>
      <w:tr>
        <w:trPr>
          <w:trHeight w:val="146"/>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gridSpan w:val="4"/>
          </w:tcPr>
          <w:p>
            <w:pPr>
              <w:jc w:val="center"/>
              <w:ind w:right="20"/>
              <w:spacing w:after="0"/>
              <w:rPr>
                <w:sz w:val="20"/>
                <w:szCs w:val="20"/>
                <w:color w:val="auto"/>
              </w:rPr>
            </w:pPr>
            <w:r>
              <w:rPr>
                <w:rFonts w:ascii="Arial" w:cs="Arial" w:eastAsia="Arial" w:hAnsi="Arial"/>
                <w:sz w:val="11"/>
                <w:szCs w:val="11"/>
                <w:color w:val="auto"/>
                <w:w w:val="93"/>
              </w:rPr>
              <w:t>(Former name, former address, and former fiscal year, if changed since last report)</w:t>
            </w:r>
          </w:p>
        </w:tc>
        <w:tc>
          <w:tcPr>
            <w:tcW w:w="3020" w:type="dxa"/>
            <w:vAlign w:val="bottom"/>
          </w:tcPr>
          <w:p>
            <w:pPr>
              <w:spacing w:after="0"/>
              <w:rPr>
                <w:sz w:val="12"/>
                <w:szCs w:val="12"/>
                <w:color w:val="auto"/>
              </w:rPr>
            </w:pPr>
          </w:p>
        </w:tc>
      </w:tr>
      <w:tr>
        <w:trPr>
          <w:trHeight w:val="208"/>
        </w:trPr>
        <w:tc>
          <w:tcPr>
            <w:tcW w:w="3680" w:type="dxa"/>
            <w:vAlign w:val="bottom"/>
            <w:gridSpan w:val="2"/>
          </w:tcPr>
          <w:p>
            <w:pPr>
              <w:ind w:left="200"/>
              <w:spacing w:after="0"/>
              <w:rPr>
                <w:sz w:val="20"/>
                <w:szCs w:val="20"/>
                <w:color w:val="auto"/>
              </w:rPr>
            </w:pPr>
            <w:r>
              <w:rPr>
                <w:rFonts w:ascii="Arial" w:cs="Arial" w:eastAsia="Arial" w:hAnsi="Arial"/>
                <w:sz w:val="11"/>
                <w:szCs w:val="11"/>
                <w:color w:val="auto"/>
              </w:rPr>
              <w:t>Securities registered pursuant to Section 12(b) of the Act:</w:t>
            </w: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14"/>
        </w:trPr>
        <w:tc>
          <w:tcPr>
            <w:tcW w:w="3580" w:type="dxa"/>
            <w:vAlign w:val="bottom"/>
            <w:tcBorders>
              <w:top w:val="single" w:sz="8" w:color="auto"/>
              <w:left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0"/>
                <w:szCs w:val="10"/>
                <w:b w:val="1"/>
                <w:bCs w:val="1"/>
                <w:color w:val="auto"/>
              </w:rPr>
              <w:t>Title of each class</w:t>
            </w:r>
          </w:p>
        </w:tc>
        <w:tc>
          <w:tcPr>
            <w:tcW w:w="1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060" w:type="dxa"/>
            <w:vAlign w:val="bottom"/>
            <w:tcBorders>
              <w:top w:val="single" w:sz="8" w:color="auto"/>
              <w:bottom w:val="single" w:sz="8" w:color="auto"/>
              <w:right w:val="single" w:sz="8" w:color="auto"/>
            </w:tcBorders>
          </w:tcPr>
          <w:p>
            <w:pPr>
              <w:jc w:val="center"/>
              <w:ind w:left="119"/>
              <w:spacing w:after="0"/>
              <w:rPr>
                <w:sz w:val="20"/>
                <w:szCs w:val="20"/>
                <w:color w:val="auto"/>
              </w:rPr>
            </w:pPr>
            <w:r>
              <w:rPr>
                <w:rFonts w:ascii="Arial" w:cs="Arial" w:eastAsia="Arial" w:hAnsi="Arial"/>
                <w:sz w:val="10"/>
                <w:szCs w:val="10"/>
                <w:b w:val="1"/>
                <w:bCs w:val="1"/>
                <w:color w:val="auto"/>
                <w:w w:val="86"/>
              </w:rPr>
              <w:t>Trading Symbol(s)</w:t>
            </w:r>
          </w:p>
        </w:tc>
        <w:tc>
          <w:tcPr>
            <w:tcW w:w="400" w:type="dxa"/>
            <w:vAlign w:val="bottom"/>
            <w:tcBorders>
              <w:right w:val="single" w:sz="8" w:color="auto"/>
            </w:tcBorders>
          </w:tcPr>
          <w:p>
            <w:pPr>
              <w:spacing w:after="0"/>
              <w:rPr>
                <w:sz w:val="9"/>
                <w:szCs w:val="9"/>
                <w:color w:val="auto"/>
              </w:rPr>
            </w:pPr>
          </w:p>
        </w:tc>
        <w:tc>
          <w:tcPr>
            <w:tcW w:w="1200" w:type="dxa"/>
            <w:vAlign w:val="bottom"/>
            <w:tcBorders>
              <w:top w:val="single" w:sz="8" w:color="auto"/>
              <w:bottom w:val="single" w:sz="8" w:color="auto"/>
            </w:tcBorders>
          </w:tcPr>
          <w:p>
            <w:pPr>
              <w:spacing w:after="0"/>
              <w:rPr>
                <w:sz w:val="9"/>
                <w:szCs w:val="9"/>
                <w:color w:val="auto"/>
              </w:rPr>
            </w:pPr>
          </w:p>
        </w:tc>
        <w:tc>
          <w:tcPr>
            <w:tcW w:w="3020" w:type="dxa"/>
            <w:vAlign w:val="bottom"/>
            <w:tcBorders>
              <w:top w:val="single" w:sz="8" w:color="auto"/>
              <w:bottom w:val="single" w:sz="8" w:color="auto"/>
              <w:right w:val="single" w:sz="8" w:color="auto"/>
            </w:tcBorders>
          </w:tcPr>
          <w:p>
            <w:pPr>
              <w:jc w:val="center"/>
              <w:ind w:right="965"/>
              <w:spacing w:after="0"/>
              <w:rPr>
                <w:sz w:val="20"/>
                <w:szCs w:val="20"/>
                <w:color w:val="auto"/>
              </w:rPr>
            </w:pPr>
            <w:r>
              <w:rPr>
                <w:rFonts w:ascii="Arial" w:cs="Arial" w:eastAsia="Arial" w:hAnsi="Arial"/>
                <w:sz w:val="10"/>
                <w:szCs w:val="10"/>
                <w:b w:val="1"/>
                <w:bCs w:val="1"/>
                <w:color w:val="auto"/>
                <w:w w:val="85"/>
              </w:rPr>
              <w:t>Name of each exchange on which registered</w:t>
            </w:r>
          </w:p>
        </w:tc>
      </w:tr>
      <w:tr>
        <w:trPr>
          <w:trHeight w:val="115"/>
        </w:trPr>
        <w:tc>
          <w:tcPr>
            <w:tcW w:w="358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0"/>
                <w:szCs w:val="10"/>
                <w:color w:val="auto"/>
              </w:rPr>
              <w:t>Common Stock, par value $.01 per share</w:t>
            </w:r>
          </w:p>
        </w:tc>
        <w:tc>
          <w:tcPr>
            <w:tcW w:w="1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jc w:val="center"/>
              <w:ind w:left="119"/>
              <w:spacing w:after="0"/>
              <w:rPr>
                <w:sz w:val="20"/>
                <w:szCs w:val="20"/>
                <w:color w:val="auto"/>
              </w:rPr>
            </w:pPr>
            <w:r>
              <w:rPr>
                <w:rFonts w:ascii="Arial" w:cs="Arial" w:eastAsia="Arial" w:hAnsi="Arial"/>
                <w:sz w:val="10"/>
                <w:szCs w:val="10"/>
                <w:color w:val="auto"/>
                <w:w w:val="87"/>
              </w:rPr>
              <w:t>GLPI</w:t>
            </w:r>
          </w:p>
        </w:tc>
        <w:tc>
          <w:tcPr>
            <w:tcW w:w="400" w:type="dxa"/>
            <w:vAlign w:val="bottom"/>
            <w:tcBorders>
              <w:right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020" w:type="dxa"/>
            <w:vAlign w:val="bottom"/>
            <w:tcBorders>
              <w:bottom w:val="single" w:sz="8" w:color="auto"/>
              <w:right w:val="single" w:sz="8" w:color="auto"/>
            </w:tcBorders>
          </w:tcPr>
          <w:p>
            <w:pPr>
              <w:jc w:val="center"/>
              <w:ind w:right="965"/>
              <w:spacing w:after="0"/>
              <w:rPr>
                <w:sz w:val="20"/>
                <w:szCs w:val="20"/>
                <w:color w:val="auto"/>
              </w:rPr>
            </w:pPr>
            <w:r>
              <w:rPr>
                <w:rFonts w:ascii="Arial" w:cs="Arial" w:eastAsia="Arial" w:hAnsi="Arial"/>
                <w:sz w:val="10"/>
                <w:szCs w:val="10"/>
                <w:color w:val="auto"/>
                <w:w w:val="81"/>
              </w:rPr>
              <w:t>Nasdaq</w:t>
            </w:r>
          </w:p>
        </w:tc>
      </w:tr>
    </w:tbl>
    <w:p>
      <w:pPr>
        <w:spacing w:after="0" w:line="114" w:lineRule="exact"/>
        <w:rPr>
          <w:sz w:val="24"/>
          <w:szCs w:val="24"/>
          <w:color w:val="auto"/>
        </w:rPr>
      </w:pPr>
    </w:p>
    <w:p>
      <w:pPr>
        <w:ind w:right="380" w:firstLine="217"/>
        <w:spacing w:after="0" w:line="153"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49" w:lineRule="exact"/>
        <w:rPr>
          <w:sz w:val="24"/>
          <w:szCs w:val="24"/>
          <w:color w:val="auto"/>
        </w:rPr>
      </w:pPr>
    </w:p>
    <w:p>
      <w:pPr>
        <w:ind w:right="160" w:firstLine="246"/>
        <w:spacing w:after="0" w:line="153"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49" w:lineRule="exact"/>
        <w:rPr>
          <w:sz w:val="24"/>
          <w:szCs w:val="24"/>
          <w:color w:val="auto"/>
        </w:rPr>
      </w:pPr>
    </w:p>
    <w:p>
      <w:pPr>
        <w:ind w:right="120" w:firstLine="246"/>
        <w:spacing w:after="0" w:line="275"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120" w:type="dxa"/>
        <w:tblCellMar>
          <w:top w:w="0" w:type="dxa"/>
          <w:left w:w="0" w:type="dxa"/>
          <w:bottom w:w="0" w:type="dxa"/>
          <w:right w:w="0" w:type="dxa"/>
        </w:tblCellMar>
      </w:tblPr>
      <w:tr>
        <w:trPr>
          <w:trHeight w:val="152"/>
        </w:trPr>
        <w:tc>
          <w:tcPr>
            <w:tcW w:w="1760" w:type="dxa"/>
            <w:vAlign w:val="bottom"/>
          </w:tcPr>
          <w:p>
            <w:pPr>
              <w:jc w:val="center"/>
              <w:ind w:right="620"/>
              <w:spacing w:after="0"/>
              <w:rPr>
                <w:sz w:val="20"/>
                <w:szCs w:val="20"/>
                <w:color w:val="auto"/>
              </w:rPr>
            </w:pPr>
            <w:r>
              <w:rPr>
                <w:rFonts w:ascii="Arial" w:cs="Arial" w:eastAsia="Arial" w:hAnsi="Arial"/>
                <w:sz w:val="12"/>
                <w:szCs w:val="12"/>
                <w:color w:val="auto"/>
                <w:w w:val="90"/>
              </w:rPr>
              <w:t>Large accelerated filer</w:t>
            </w:r>
          </w:p>
        </w:tc>
        <w:tc>
          <w:tcPr>
            <w:tcW w:w="1600" w:type="dxa"/>
            <w:vAlign w:val="bottom"/>
          </w:tcPr>
          <w:p>
            <w:pPr>
              <w:ind w:left="660"/>
              <w:spacing w:after="0" w:line="121" w:lineRule="exact"/>
              <w:rPr>
                <w:sz w:val="20"/>
                <w:szCs w:val="20"/>
                <w:color w:val="auto"/>
              </w:rPr>
            </w:pPr>
            <w:r>
              <w:rPr>
                <w:rFonts w:ascii="MS PGothic" w:cs="MS PGothic" w:eastAsia="MS PGothic" w:hAnsi="MS PGothic"/>
                <w:sz w:val="12"/>
                <w:szCs w:val="12"/>
                <w:color w:val="auto"/>
              </w:rPr>
              <w:t>☒</w:t>
            </w:r>
          </w:p>
        </w:tc>
        <w:tc>
          <w:tcPr>
            <w:tcW w:w="3000" w:type="dxa"/>
            <w:vAlign w:val="bottom"/>
          </w:tcPr>
          <w:p>
            <w:pPr>
              <w:jc w:val="center"/>
              <w:ind w:right="20"/>
              <w:spacing w:after="0"/>
              <w:rPr>
                <w:sz w:val="20"/>
                <w:szCs w:val="20"/>
                <w:color w:val="auto"/>
              </w:rPr>
            </w:pPr>
            <w:r>
              <w:rPr>
                <w:rFonts w:ascii="Arial" w:cs="Arial" w:eastAsia="Arial" w:hAnsi="Arial"/>
                <w:sz w:val="12"/>
                <w:szCs w:val="12"/>
                <w:color w:val="auto"/>
                <w:w w:val="92"/>
              </w:rPr>
              <w:t>Accelerated filer</w:t>
            </w:r>
          </w:p>
        </w:tc>
        <w:tc>
          <w:tcPr>
            <w:tcW w:w="960" w:type="dxa"/>
            <w:vAlign w:val="bottom"/>
          </w:tcPr>
          <w:p>
            <w:pPr>
              <w:ind w:left="8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4"/>
        </w:trPr>
        <w:tc>
          <w:tcPr>
            <w:tcW w:w="1760" w:type="dxa"/>
            <w:vAlign w:val="bottom"/>
          </w:tcPr>
          <w:p>
            <w:pPr>
              <w:jc w:val="center"/>
              <w:ind w:right="600"/>
              <w:spacing w:after="0"/>
              <w:rPr>
                <w:sz w:val="20"/>
                <w:szCs w:val="20"/>
                <w:color w:val="auto"/>
              </w:rPr>
            </w:pPr>
            <w:r>
              <w:rPr>
                <w:rFonts w:ascii="Arial" w:cs="Arial" w:eastAsia="Arial" w:hAnsi="Arial"/>
                <w:sz w:val="12"/>
                <w:szCs w:val="12"/>
                <w:color w:val="auto"/>
                <w:w w:val="92"/>
              </w:rPr>
              <w:t>Non-accelerated filer</w:t>
            </w:r>
          </w:p>
        </w:tc>
        <w:tc>
          <w:tcPr>
            <w:tcW w:w="1600" w:type="dxa"/>
            <w:vAlign w:val="bottom"/>
          </w:tcPr>
          <w:p>
            <w:pPr>
              <w:ind w:left="660"/>
              <w:spacing w:after="0" w:line="121" w:lineRule="exact"/>
              <w:rPr>
                <w:sz w:val="20"/>
                <w:szCs w:val="20"/>
                <w:color w:val="auto"/>
              </w:rPr>
            </w:pPr>
            <w:r>
              <w:rPr>
                <w:rFonts w:ascii="MS PGothic" w:cs="MS PGothic" w:eastAsia="MS PGothic" w:hAnsi="MS PGothic"/>
                <w:sz w:val="12"/>
                <w:szCs w:val="12"/>
                <w:color w:val="auto"/>
              </w:rPr>
              <w:t>☐</w:t>
            </w:r>
          </w:p>
        </w:tc>
        <w:tc>
          <w:tcPr>
            <w:tcW w:w="3000" w:type="dxa"/>
            <w:vAlign w:val="bottom"/>
          </w:tcPr>
          <w:p>
            <w:pPr>
              <w:jc w:val="center"/>
              <w:spacing w:after="0"/>
              <w:rPr>
                <w:sz w:val="20"/>
                <w:szCs w:val="20"/>
                <w:color w:val="auto"/>
              </w:rPr>
            </w:pPr>
            <w:r>
              <w:rPr>
                <w:rFonts w:ascii="Arial" w:cs="Arial" w:eastAsia="Arial" w:hAnsi="Arial"/>
                <w:sz w:val="12"/>
                <w:szCs w:val="12"/>
                <w:color w:val="auto"/>
                <w:w w:val="92"/>
              </w:rPr>
              <w:t>Smaller reporting company</w:t>
            </w:r>
          </w:p>
        </w:tc>
        <w:tc>
          <w:tcPr>
            <w:tcW w:w="960" w:type="dxa"/>
            <w:vAlign w:val="bottom"/>
          </w:tcPr>
          <w:p>
            <w:pPr>
              <w:ind w:left="8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8"/>
        </w:trPr>
        <w:tc>
          <w:tcPr>
            <w:tcW w:w="1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2"/>
                <w:szCs w:val="12"/>
                <w:color w:val="auto"/>
                <w:w w:val="91"/>
              </w:rPr>
              <w:t>Emerging growth company</w:t>
            </w:r>
          </w:p>
        </w:tc>
        <w:tc>
          <w:tcPr>
            <w:tcW w:w="960" w:type="dxa"/>
            <w:vAlign w:val="bottom"/>
          </w:tcPr>
          <w:p>
            <w:pPr>
              <w:ind w:left="8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11" w:lineRule="exact"/>
        <w:rPr>
          <w:sz w:val="24"/>
          <w:szCs w:val="24"/>
          <w:color w:val="auto"/>
        </w:rPr>
      </w:pPr>
    </w:p>
    <w:p>
      <w:pPr>
        <w:ind w:right="240" w:firstLine="217"/>
        <w:spacing w:after="0" w:line="153"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30" w:lineRule="exact"/>
        <w:rPr>
          <w:sz w:val="24"/>
          <w:szCs w:val="24"/>
          <w:color w:val="auto"/>
        </w:rPr>
      </w:pPr>
    </w:p>
    <w:p>
      <w:pPr>
        <w:ind w:left="200"/>
        <w:spacing w:after="0" w:line="138"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9" w:lineRule="exact"/>
        <w:rPr>
          <w:sz w:val="24"/>
          <w:szCs w:val="24"/>
          <w:color w:val="auto"/>
        </w:rPr>
      </w:pPr>
    </w:p>
    <w:p>
      <w:pPr>
        <w:ind w:left="200"/>
        <w:spacing w:after="0"/>
        <w:rPr>
          <w:sz w:val="20"/>
          <w:szCs w:val="20"/>
          <w:color w:val="auto"/>
        </w:rPr>
      </w:pPr>
      <w:r>
        <w:rPr>
          <w:rFonts w:ascii="Arial" w:cs="Arial" w:eastAsia="Arial" w:hAnsi="Arial"/>
          <w:sz w:val="12"/>
          <w:szCs w:val="12"/>
          <w:color w:val="auto"/>
        </w:rPr>
        <w:t>Indicate the number of shares outstanding of each of the issuer’s classes of common stock, as of the latest practicable date.</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28"/>
        </w:trPr>
        <w:tc>
          <w:tcPr>
            <w:tcW w:w="55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Title</w:t>
            </w:r>
          </w:p>
        </w:tc>
        <w:tc>
          <w:tcPr>
            <w:tcW w:w="57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7"/>
              </w:rPr>
              <w:t>October 25, 2021</w:t>
            </w:r>
          </w:p>
        </w:tc>
      </w:tr>
      <w:tr>
        <w:trPr>
          <w:trHeight w:val="115"/>
        </w:trPr>
        <w:tc>
          <w:tcPr>
            <w:tcW w:w="5140" w:type="dxa"/>
            <w:vAlign w:val="bottom"/>
            <w:tcBorders>
              <w:top w:val="single" w:sz="8" w:color="auto"/>
            </w:tcBorders>
          </w:tcPr>
          <w:p>
            <w:pPr>
              <w:jc w:val="center"/>
              <w:ind w:left="152"/>
              <w:spacing w:after="0"/>
              <w:rPr>
                <w:sz w:val="20"/>
                <w:szCs w:val="20"/>
                <w:color w:val="auto"/>
              </w:rPr>
            </w:pPr>
            <w:r>
              <w:rPr>
                <w:rFonts w:ascii="Arial" w:cs="Arial" w:eastAsia="Arial" w:hAnsi="Arial"/>
                <w:sz w:val="10"/>
                <w:szCs w:val="10"/>
                <w:color w:val="auto"/>
                <w:w w:val="86"/>
              </w:rPr>
              <w:t>Common Stock, par value $.01 per share</w:t>
            </w:r>
          </w:p>
        </w:tc>
        <w:tc>
          <w:tcPr>
            <w:tcW w:w="380" w:type="dxa"/>
            <w:vAlign w:val="bottom"/>
          </w:tcPr>
          <w:p>
            <w:pPr>
              <w:spacing w:after="0"/>
              <w:rPr>
                <w:sz w:val="10"/>
                <w:szCs w:val="10"/>
                <w:color w:val="auto"/>
              </w:rPr>
            </w:pPr>
          </w:p>
        </w:tc>
        <w:tc>
          <w:tcPr>
            <w:tcW w:w="5180" w:type="dxa"/>
            <w:vAlign w:val="bottom"/>
            <w:tcBorders>
              <w:top w:val="single" w:sz="8" w:color="auto"/>
            </w:tcBorders>
          </w:tcPr>
          <w:p>
            <w:pPr>
              <w:jc w:val="right"/>
              <w:ind w:right="2192"/>
              <w:spacing w:after="0"/>
              <w:rPr>
                <w:sz w:val="20"/>
                <w:szCs w:val="20"/>
                <w:color w:val="auto"/>
              </w:rPr>
            </w:pPr>
            <w:r>
              <w:rPr>
                <w:rFonts w:ascii="Arial" w:cs="Arial" w:eastAsia="Arial" w:hAnsi="Arial"/>
                <w:sz w:val="10"/>
                <w:szCs w:val="10"/>
                <w:color w:val="auto"/>
              </w:rPr>
              <w:t>238,351,108</w:t>
            </w:r>
          </w:p>
        </w:tc>
        <w:tc>
          <w:tcPr>
            <w:tcW w:w="600" w:type="dxa"/>
            <w:vAlign w:val="bottom"/>
          </w:tcPr>
          <w:p>
            <w:pPr>
              <w:spacing w:after="0"/>
              <w:rPr>
                <w:sz w:val="10"/>
                <w:szCs w:val="10"/>
                <w:color w:val="auto"/>
              </w:rPr>
            </w:pPr>
          </w:p>
        </w:tc>
      </w:tr>
      <w:tr>
        <w:trPr>
          <w:trHeight w:val="520"/>
        </w:trPr>
        <w:tc>
          <w:tcPr>
            <w:tcW w:w="5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7" w:right="299" w:bottom="1440" w:gutter="0" w:footer="0" w:header="0"/>
        </w:sectPr>
      </w:pPr>
    </w:p>
    <w:bookmarkStart w:id="1" w:name="page2"/>
    <w:bookmarkEnd w:id="1"/>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5" w:lineRule="exact"/>
        <w:rPr>
          <w:sz w:val="20"/>
          <w:szCs w:val="20"/>
          <w:color w:val="auto"/>
        </w:rPr>
      </w:pPr>
    </w:p>
    <w:p>
      <w:pPr>
        <w:jc w:val="both"/>
        <w:ind w:right="360" w:firstLine="434"/>
        <w:spacing w:after="0" w:line="265" w:lineRule="auto"/>
        <w:rPr>
          <w:sz w:val="20"/>
          <w:szCs w:val="20"/>
          <w:color w:val="auto"/>
        </w:rPr>
      </w:pPr>
      <w:r>
        <w:rPr>
          <w:rFonts w:ascii="Arial" w:cs="Arial" w:eastAsia="Arial" w:hAnsi="Arial"/>
          <w:sz w:val="12"/>
          <w:szCs w:val="12"/>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22" w:lineRule="exact"/>
        <w:rPr>
          <w:sz w:val="20"/>
          <w:szCs w:val="20"/>
          <w:color w:val="auto"/>
        </w:rPr>
      </w:pPr>
    </w:p>
    <w:p>
      <w:pPr>
        <w:ind w:right="40" w:firstLine="434"/>
        <w:spacing w:after="0" w:line="258" w:lineRule="auto"/>
        <w:rPr>
          <w:sz w:val="20"/>
          <w:szCs w:val="20"/>
          <w:color w:val="auto"/>
        </w:rPr>
      </w:pPr>
      <w:r>
        <w:rPr>
          <w:rFonts w:ascii="Arial" w:cs="Arial" w:eastAsia="Arial" w:hAnsi="Arial"/>
          <w:sz w:val="12"/>
          <w:szCs w:val="12"/>
          <w:color w:val="auto"/>
        </w:rPr>
        <w:t>Forward-looking statements in this document include, but are not limited to, statements regarding the extent and duration of the economic disruptions related to the novel coronavirus COVID-19 (including variants thereof, "COVID-19") global pandemic on our tenants' operations and our taxable real estate investment trust ("REIT") subsidiaries' ("TRS") operations.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72" w:lineRule="exact"/>
        <w:rPr>
          <w:sz w:val="20"/>
          <w:szCs w:val="20"/>
          <w:color w:val="auto"/>
        </w:rPr>
      </w:pPr>
    </w:p>
    <w:p>
      <w:pPr>
        <w:ind w:left="420" w:hanging="211"/>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1"/>
          <w:szCs w:val="11"/>
          <w:color w:val="auto"/>
        </w:rPr>
        <w:t>The novel coronavirus COVID-19 ("COVID-19") had, and may continue to have, a significant impact on our tenants' financial conditions and operations. As a result of the outbreak, our casino operations and those of our</w:t>
      </w:r>
    </w:p>
    <w:p>
      <w:pPr>
        <w:spacing w:after="0" w:line="22" w:lineRule="exact"/>
        <w:rPr>
          <w:rFonts w:ascii="Arial" w:cs="Arial" w:eastAsia="Arial" w:hAnsi="Arial"/>
          <w:sz w:val="13"/>
          <w:szCs w:val="13"/>
          <w:color w:val="auto"/>
        </w:rPr>
      </w:pPr>
    </w:p>
    <w:p>
      <w:pPr>
        <w:ind w:left="420" w:right="140"/>
        <w:spacing w:after="0" w:line="265" w:lineRule="auto"/>
        <w:rPr>
          <w:rFonts w:ascii="Arial" w:cs="Arial" w:eastAsia="Arial" w:hAnsi="Arial"/>
          <w:sz w:val="13"/>
          <w:szCs w:val="13"/>
          <w:color w:val="auto"/>
        </w:rPr>
      </w:pPr>
      <w:r>
        <w:rPr>
          <w:rFonts w:ascii="Arial" w:cs="Arial" w:eastAsia="Arial" w:hAnsi="Arial"/>
          <w:sz w:val="12"/>
          <w:szCs w:val="12"/>
          <w:color w:val="auto"/>
        </w:rPr>
        <w:t>tenants were forced to close temporarily at the onset of the pandemic, as federal, state and local officials undertook various steps to mitigate the spread of infections from COVID-19. Although our tenants' operations have recommenced operations to strong results and our tenants have improved their liquidity profiles, there can be no assurance whether these encouraging results will continue in future periods, particularly with the potential for continued increased transmission from new strains of COVID-19;</w:t>
      </w:r>
    </w:p>
    <w:p>
      <w:pPr>
        <w:spacing w:after="0" w:line="159" w:lineRule="exact"/>
        <w:rPr>
          <w:rFonts w:ascii="Arial" w:cs="Arial" w:eastAsia="Arial" w:hAnsi="Arial"/>
          <w:sz w:val="13"/>
          <w:szCs w:val="13"/>
          <w:color w:val="auto"/>
        </w:rPr>
      </w:pPr>
    </w:p>
    <w:p>
      <w:pPr>
        <w:ind w:left="420" w:hanging="211"/>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2"/>
          <w:szCs w:val="12"/>
          <w:color w:val="auto"/>
        </w:rPr>
        <w:t>the impact that unemployment levels and uncertainty with respect to the future state of the economy could have on discretionary consumer spending, including on casino operations;</w:t>
      </w:r>
    </w:p>
    <w:p>
      <w:pPr>
        <w:spacing w:after="0" w:line="154" w:lineRule="exact"/>
        <w:rPr>
          <w:rFonts w:ascii="Arial" w:cs="Arial" w:eastAsia="Arial" w:hAnsi="Arial"/>
          <w:sz w:val="14"/>
          <w:szCs w:val="14"/>
          <w:color w:val="auto"/>
        </w:rPr>
      </w:pPr>
    </w:p>
    <w:p>
      <w:pPr>
        <w:ind w:left="420" w:hanging="211"/>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fluctuating interest rates, inflation, and the potential phasing out of the London Interbank Offered Rate ("LIBOR");</w:t>
      </w:r>
    </w:p>
    <w:p>
      <w:pPr>
        <w:spacing w:after="0" w:line="15" w:lineRule="exact"/>
        <w:rPr>
          <w:rFonts w:ascii="Arial" w:cs="Arial" w:eastAsia="Arial" w:hAnsi="Arial"/>
          <w:sz w:val="12"/>
          <w:szCs w:val="12"/>
          <w:color w:val="auto"/>
        </w:rPr>
      </w:pPr>
    </w:p>
    <w:p>
      <w:pPr>
        <w:ind w:left="420" w:right="380" w:hanging="211"/>
        <w:spacing w:after="0" w:line="263"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current and uncertain future impact of the COVID-19 outbreak, including its effect on the ability or desire of people to gather in large groups (including in casinos), which is expected to impact our financial results, operations, outlooks, plans, goals, growth, cash flows, liquidity, and stock price;</w:t>
      </w:r>
    </w:p>
    <w:p>
      <w:pPr>
        <w:spacing w:after="0" w:line="140" w:lineRule="exact"/>
        <w:rPr>
          <w:rFonts w:ascii="Arial" w:cs="Arial" w:eastAsia="Arial" w:hAnsi="Arial"/>
          <w:sz w:val="12"/>
          <w:szCs w:val="12"/>
          <w:color w:val="auto"/>
        </w:rPr>
      </w:pPr>
    </w:p>
    <w:p>
      <w:pPr>
        <w:ind w:left="420" w:hanging="211"/>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unforeseen consequences related to United States government stimulus packages;</w:t>
      </w:r>
    </w:p>
    <w:p>
      <w:pPr>
        <w:spacing w:after="0" w:line="169" w:lineRule="exact"/>
        <w:rPr>
          <w:rFonts w:ascii="Arial" w:cs="Arial" w:eastAsia="Arial" w:hAnsi="Arial"/>
          <w:sz w:val="12"/>
          <w:szCs w:val="12"/>
          <w:color w:val="auto"/>
        </w:rPr>
      </w:pPr>
    </w:p>
    <w:p>
      <w:pPr>
        <w:ind w:left="420" w:hanging="211"/>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availability of and the ability to identify suitable and attractive acquisition and development opportunities and the ability to acquire and lease the respective properties on favorable terms;</w:t>
      </w:r>
    </w:p>
    <w:p>
      <w:pPr>
        <w:spacing w:after="0" w:line="169" w:lineRule="exact"/>
        <w:rPr>
          <w:rFonts w:ascii="Arial" w:cs="Arial" w:eastAsia="Arial" w:hAnsi="Arial"/>
          <w:sz w:val="12"/>
          <w:szCs w:val="12"/>
          <w:color w:val="auto"/>
        </w:rPr>
      </w:pPr>
    </w:p>
    <w:p>
      <w:pPr>
        <w:ind w:left="420" w:hanging="211"/>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degree and nature of our competition;</w:t>
      </w:r>
    </w:p>
    <w:p>
      <w:pPr>
        <w:spacing w:after="0" w:line="169" w:lineRule="exact"/>
        <w:rPr>
          <w:rFonts w:ascii="Arial" w:cs="Arial" w:eastAsia="Arial" w:hAnsi="Arial"/>
          <w:sz w:val="12"/>
          <w:szCs w:val="12"/>
          <w:color w:val="auto"/>
        </w:rPr>
      </w:pPr>
    </w:p>
    <w:p>
      <w:pPr>
        <w:ind w:left="420" w:hanging="211"/>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to receive, or delays in obtaining, the regulatory approvals required to own and/or operate our properties, or other delays or impediments to completing our planned acquisitions or projects;</w:t>
      </w:r>
    </w:p>
    <w:p>
      <w:pPr>
        <w:spacing w:after="0" w:line="169" w:lineRule="exact"/>
        <w:rPr>
          <w:rFonts w:ascii="Arial" w:cs="Arial" w:eastAsia="Arial" w:hAnsi="Arial"/>
          <w:sz w:val="12"/>
          <w:szCs w:val="12"/>
          <w:color w:val="auto"/>
        </w:rPr>
      </w:pPr>
    </w:p>
    <w:p>
      <w:pPr>
        <w:ind w:left="420" w:hanging="211"/>
        <w:spacing w:after="0" w:line="325" w:lineRule="auto"/>
        <w:tabs>
          <w:tab w:leader="none" w:pos="417" w:val="left"/>
        </w:tabs>
        <w:numPr>
          <w:ilvl w:val="0"/>
          <w:numId w:val="3"/>
        </w:numPr>
        <w:rPr>
          <w:rFonts w:ascii="Arial" w:cs="Arial" w:eastAsia="Arial" w:hAnsi="Arial"/>
          <w:sz w:val="11"/>
          <w:szCs w:val="11"/>
          <w:color w:val="auto"/>
        </w:rPr>
      </w:pPr>
      <w:r>
        <w:rPr>
          <w:rFonts w:ascii="Arial" w:cs="Arial" w:eastAsia="Arial" w:hAnsi="Arial"/>
          <w:sz w:val="11"/>
          <w:szCs w:val="11"/>
          <w:color w:val="auto"/>
        </w:rPr>
        <w:t>our ability to maintain our status as a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09" w:lineRule="exact"/>
        <w:rPr>
          <w:rFonts w:ascii="Arial" w:cs="Arial" w:eastAsia="Arial" w:hAnsi="Arial"/>
          <w:sz w:val="11"/>
          <w:szCs w:val="11"/>
          <w:color w:val="auto"/>
        </w:rPr>
      </w:pPr>
    </w:p>
    <w:p>
      <w:pPr>
        <w:ind w:left="420" w:hanging="211"/>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satisfaction of certain asset, income, organizational, distribution, shareholder ownership and other requirements on a continuing basis in order for the Company to maintain its REIT status;</w:t>
      </w:r>
    </w:p>
    <w:p>
      <w:pPr>
        <w:spacing w:after="0" w:line="169" w:lineRule="exact"/>
        <w:rPr>
          <w:rFonts w:ascii="Arial" w:cs="Arial" w:eastAsia="Arial" w:hAnsi="Arial"/>
          <w:sz w:val="12"/>
          <w:szCs w:val="12"/>
          <w:color w:val="auto"/>
        </w:rPr>
      </w:pPr>
    </w:p>
    <w:p>
      <w:pPr>
        <w:ind w:left="420" w:right="140" w:hanging="211"/>
        <w:spacing w:after="0" w:line="278"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132" w:lineRule="exact"/>
        <w:rPr>
          <w:rFonts w:ascii="Arial" w:cs="Arial" w:eastAsia="Arial" w:hAnsi="Arial"/>
          <w:sz w:val="12"/>
          <w:szCs w:val="12"/>
          <w:color w:val="auto"/>
        </w:rPr>
      </w:pPr>
    </w:p>
    <w:p>
      <w:pPr>
        <w:ind w:left="420" w:right="200" w:hanging="211"/>
        <w:spacing w:after="0" w:line="278"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 w:name="page3"/>
    <w:bookmarkEnd w:id="2"/>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420" w:hanging="211"/>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80" w:lineRule="exact"/>
        <w:rPr>
          <w:rFonts w:ascii="Arial" w:cs="Arial" w:eastAsia="Arial" w:hAnsi="Arial"/>
          <w:sz w:val="11"/>
          <w:szCs w:val="11"/>
          <w:color w:val="auto"/>
        </w:rPr>
      </w:pPr>
    </w:p>
    <w:p>
      <w:pPr>
        <w:ind w:left="420" w:hanging="211"/>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ability to generate sufficient cash flows to service our outstanding indebtedness;</w:t>
      </w:r>
    </w:p>
    <w:p>
      <w:pPr>
        <w:spacing w:after="0" w:line="169" w:lineRule="exact"/>
        <w:rPr>
          <w:rFonts w:ascii="Arial" w:cs="Arial" w:eastAsia="Arial" w:hAnsi="Arial"/>
          <w:sz w:val="12"/>
          <w:szCs w:val="12"/>
          <w:color w:val="auto"/>
        </w:rPr>
      </w:pPr>
    </w:p>
    <w:p>
      <w:pPr>
        <w:ind w:left="420" w:hanging="211"/>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access to debt and equity capital markets, including for acquisitions or refinancings due to maturities;</w:t>
      </w:r>
    </w:p>
    <w:p>
      <w:pPr>
        <w:spacing w:after="0" w:line="169" w:lineRule="exact"/>
        <w:rPr>
          <w:rFonts w:ascii="Arial" w:cs="Arial" w:eastAsia="Arial" w:hAnsi="Arial"/>
          <w:sz w:val="12"/>
          <w:szCs w:val="12"/>
          <w:color w:val="auto"/>
        </w:rPr>
      </w:pPr>
    </w:p>
    <w:p>
      <w:pPr>
        <w:ind w:left="420" w:hanging="211"/>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adverse changes in our credit rating;</w:t>
      </w:r>
    </w:p>
    <w:p>
      <w:pPr>
        <w:spacing w:after="0" w:line="169" w:lineRule="exact"/>
        <w:rPr>
          <w:rFonts w:ascii="Arial" w:cs="Arial" w:eastAsia="Arial" w:hAnsi="Arial"/>
          <w:sz w:val="12"/>
          <w:szCs w:val="12"/>
          <w:color w:val="auto"/>
        </w:rPr>
      </w:pPr>
    </w:p>
    <w:p>
      <w:pPr>
        <w:ind w:left="420" w:hanging="211"/>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impact of global or regional economic conditions;</w:t>
      </w:r>
    </w:p>
    <w:p>
      <w:pPr>
        <w:spacing w:after="0" w:line="169" w:lineRule="exact"/>
        <w:rPr>
          <w:rFonts w:ascii="Arial" w:cs="Arial" w:eastAsia="Arial" w:hAnsi="Arial"/>
          <w:sz w:val="12"/>
          <w:szCs w:val="12"/>
          <w:color w:val="auto"/>
        </w:rPr>
      </w:pPr>
    </w:p>
    <w:p>
      <w:pPr>
        <w:ind w:left="420" w:hanging="211"/>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availability of qualified personnel and our ability to retain our key management personnel;</w:t>
      </w:r>
    </w:p>
    <w:p>
      <w:pPr>
        <w:spacing w:after="0" w:line="169" w:lineRule="exact"/>
        <w:rPr>
          <w:rFonts w:ascii="Arial" w:cs="Arial" w:eastAsia="Arial" w:hAnsi="Arial"/>
          <w:sz w:val="12"/>
          <w:szCs w:val="12"/>
          <w:color w:val="auto"/>
        </w:rPr>
      </w:pPr>
    </w:p>
    <w:p>
      <w:pPr>
        <w:ind w:left="420" w:right="160" w:hanging="211"/>
        <w:spacing w:after="0" w:line="278"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GLPI's obligation to indemnify Penn National Gaming, Inc. (NASDAQ: PENN) ("Penn") and its subsidiaries in certain circumstances if the spin-off transaction described in Note 1 to the condensed consolidated financial statements fails to be tax-free;</w:t>
      </w:r>
    </w:p>
    <w:p>
      <w:pPr>
        <w:spacing w:after="0" w:line="132" w:lineRule="exact"/>
        <w:rPr>
          <w:rFonts w:ascii="Arial" w:cs="Arial" w:eastAsia="Arial" w:hAnsi="Arial"/>
          <w:sz w:val="12"/>
          <w:szCs w:val="12"/>
          <w:color w:val="auto"/>
        </w:rPr>
      </w:pPr>
    </w:p>
    <w:p>
      <w:pPr>
        <w:ind w:left="420" w:hanging="211"/>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the United States tax law and other state, federal or local laws, whether or not specific to real estate, REITs or the gaming, lodging or hospitality industries;</w:t>
      </w:r>
    </w:p>
    <w:p>
      <w:pPr>
        <w:spacing w:after="0" w:line="169" w:lineRule="exact"/>
        <w:rPr>
          <w:rFonts w:ascii="Arial" w:cs="Arial" w:eastAsia="Arial" w:hAnsi="Arial"/>
          <w:sz w:val="12"/>
          <w:szCs w:val="12"/>
          <w:color w:val="auto"/>
        </w:rPr>
      </w:pPr>
    </w:p>
    <w:p>
      <w:pPr>
        <w:ind w:left="420" w:hanging="211"/>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accounting standards;</w:t>
      </w:r>
    </w:p>
    <w:p>
      <w:pPr>
        <w:spacing w:after="0" w:line="169" w:lineRule="exact"/>
        <w:rPr>
          <w:rFonts w:ascii="Arial" w:cs="Arial" w:eastAsia="Arial" w:hAnsi="Arial"/>
          <w:sz w:val="12"/>
          <w:szCs w:val="12"/>
          <w:color w:val="auto"/>
        </w:rPr>
      </w:pPr>
    </w:p>
    <w:p>
      <w:pPr>
        <w:ind w:left="420" w:hanging="211"/>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impact of weather or climate events or conditions, natural disasters, acts of terrorism and other international hostilities, war or political instability;</w:t>
      </w:r>
    </w:p>
    <w:p>
      <w:pPr>
        <w:spacing w:after="0" w:line="169" w:lineRule="exact"/>
        <w:rPr>
          <w:rFonts w:ascii="Arial" w:cs="Arial" w:eastAsia="Arial" w:hAnsi="Arial"/>
          <w:sz w:val="12"/>
          <w:szCs w:val="12"/>
          <w:color w:val="auto"/>
        </w:rPr>
      </w:pPr>
    </w:p>
    <w:p>
      <w:pPr>
        <w:ind w:left="420" w:hanging="211"/>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risks inherent in the real estate business, including potential liability relating to environmental matters and illiquidity of real estate investments; and</w:t>
      </w:r>
    </w:p>
    <w:p>
      <w:pPr>
        <w:spacing w:after="0" w:line="169" w:lineRule="exact"/>
        <w:rPr>
          <w:rFonts w:ascii="Arial" w:cs="Arial" w:eastAsia="Arial" w:hAnsi="Arial"/>
          <w:sz w:val="12"/>
          <w:szCs w:val="12"/>
          <w:color w:val="auto"/>
        </w:rPr>
      </w:pPr>
    </w:p>
    <w:p>
      <w:pPr>
        <w:ind w:left="420" w:hanging="211"/>
        <w:spacing w:after="0" w:line="278"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additional factors as discussed in the Company’s Annual Report on Form 10-K for the year ended December 31, 2020 (our "Annual Report"), in this Quarterly Report on Form 10-Q and Current Reports on Form 8-K as filed with the United States Securities and Exchange Commission.</w:t>
      </w:r>
    </w:p>
    <w:p>
      <w:pPr>
        <w:spacing w:after="0" w:line="114" w:lineRule="exact"/>
        <w:rPr>
          <w:sz w:val="20"/>
          <w:szCs w:val="20"/>
          <w:color w:val="auto"/>
        </w:rPr>
      </w:pPr>
    </w:p>
    <w:p>
      <w:pPr>
        <w:ind w:firstLine="434"/>
        <w:spacing w:after="0" w:line="325" w:lineRule="auto"/>
        <w:rPr>
          <w:sz w:val="20"/>
          <w:szCs w:val="20"/>
          <w:color w:val="auto"/>
        </w:rPr>
      </w:pPr>
      <w:r>
        <w:rPr>
          <w:rFonts w:ascii="Arial" w:cs="Arial" w:eastAsia="Arial" w:hAnsi="Arial"/>
          <w:sz w:val="11"/>
          <w:szCs w:val="11"/>
          <w:color w:val="auto"/>
        </w:rPr>
        <w:t>Certain of these factors and other factors, risks and uncertainties are discussed in the "Risk Factors" section in the Company’s Annual Report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91" w:lineRule="exact"/>
        <w:rPr>
          <w:sz w:val="20"/>
          <w:szCs w:val="20"/>
          <w:color w:val="auto"/>
        </w:rPr>
      </w:pPr>
    </w:p>
    <w:p>
      <w:pPr>
        <w:jc w:val="both"/>
        <w:ind w:right="160" w:firstLine="434"/>
        <w:spacing w:after="0" w:line="300" w:lineRule="auto"/>
        <w:rPr>
          <w:sz w:val="20"/>
          <w:szCs w:val="20"/>
          <w:color w:val="auto"/>
        </w:rPr>
      </w:pPr>
      <w:r>
        <w:rPr>
          <w:rFonts w:ascii="Arial" w:cs="Arial" w:eastAsia="Arial" w:hAnsi="Arial"/>
          <w:sz w:val="11"/>
          <w:szCs w:val="11"/>
          <w:color w:val="auto"/>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00"/>
          </w:cols>
          <w:pgMar w:left="300" w:top="134" w:right="399" w:bottom="1440" w:gutter="0" w:footer="0" w:header="0"/>
        </w:sectPr>
      </w:pPr>
    </w:p>
    <w:bookmarkStart w:id="3" w:name="page4"/>
    <w:bookmarkEnd w:id="3"/>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60" w:type="dxa"/>
            <w:vAlign w:val="bottom"/>
            <w:gridSpan w:val="10"/>
          </w:tcPr>
          <w:p>
            <w:pPr>
              <w:jc w:val="center"/>
              <w:ind w:right="1800"/>
              <w:spacing w:after="0"/>
              <w:rPr>
                <w:sz w:val="20"/>
                <w:szCs w:val="20"/>
                <w:color w:val="auto"/>
              </w:rPr>
            </w:pPr>
            <w:r>
              <w:rPr>
                <w:rFonts w:ascii="Arial" w:cs="Arial" w:eastAsia="Arial" w:hAnsi="Arial"/>
                <w:sz w:val="12"/>
                <w:szCs w:val="12"/>
                <w:b w:val="1"/>
                <w:bCs w:val="1"/>
                <w:color w:val="auto"/>
              </w:rPr>
              <w:t>GAMING AND LEISURE PROPERTIES, INC. AND SUBSIDIARIES</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89"/>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40" w:type="dxa"/>
            <w:vAlign w:val="bottom"/>
            <w:gridSpan w:val="8"/>
          </w:tcPr>
          <w:p>
            <w:pPr>
              <w:jc w:val="center"/>
              <w:ind w:right="2940"/>
              <w:spacing w:after="0"/>
              <w:rPr>
                <w:sz w:val="20"/>
                <w:szCs w:val="20"/>
                <w:color w:val="auto"/>
              </w:rPr>
            </w:pPr>
            <w:r>
              <w:rPr>
                <w:rFonts w:ascii="Arial" w:cs="Arial" w:eastAsia="Arial" w:hAnsi="Arial"/>
                <w:sz w:val="12"/>
                <w:szCs w:val="12"/>
                <w:b w:val="1"/>
                <w:bCs w:val="1"/>
                <w:color w:val="auto"/>
                <w:w w:val="98"/>
              </w:rPr>
              <w:t>TABLE OF CONTENTS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90"/>
        </w:trPr>
        <w:tc>
          <w:tcPr>
            <w:tcW w:w="400" w:type="dxa"/>
            <w:vAlign w:val="bottom"/>
          </w:tcPr>
          <w:p>
            <w:pPr>
              <w:spacing w:after="0"/>
              <w:rPr>
                <w:rFonts w:ascii="Arial" w:cs="Arial" w:eastAsia="Arial" w:hAnsi="Arial"/>
                <w:sz w:val="12"/>
                <w:szCs w:val="12"/>
                <w:color w:val="0000FF"/>
                <w:w w:val="85"/>
              </w:rPr>
            </w:pPr>
            <w:hyperlink w:anchor="page4">
              <w:r>
                <w:rPr>
                  <w:rFonts w:ascii="Arial" w:cs="Arial" w:eastAsia="Arial" w:hAnsi="Arial"/>
                  <w:sz w:val="12"/>
                  <w:szCs w:val="12"/>
                  <w:color w:val="0000FF"/>
                  <w:w w:val="85"/>
                </w:rPr>
                <w:t>PART I.</w:t>
              </w:r>
            </w:hyperlink>
          </w:p>
        </w:tc>
        <w:tc>
          <w:tcPr>
            <w:tcW w:w="1380" w:type="dxa"/>
            <w:vAlign w:val="bottom"/>
            <w:gridSpan w:val="4"/>
          </w:tcPr>
          <w:p>
            <w:pPr>
              <w:spacing w:after="0"/>
              <w:rPr>
                <w:sz w:val="24"/>
                <w:szCs w:val="24"/>
                <w:color w:val="auto"/>
              </w:rPr>
            </w:pPr>
          </w:p>
        </w:tc>
        <w:tc>
          <w:tcPr>
            <w:tcW w:w="1520" w:type="dxa"/>
            <w:vAlign w:val="bottom"/>
            <w:gridSpan w:val="5"/>
          </w:tcPr>
          <w:p>
            <w:pPr>
              <w:spacing w:after="0"/>
              <w:rPr>
                <w:rFonts w:ascii="Arial" w:cs="Arial" w:eastAsia="Arial" w:hAnsi="Arial"/>
                <w:sz w:val="12"/>
                <w:szCs w:val="12"/>
                <w:color w:val="0000FF"/>
                <w:w w:val="99"/>
              </w:rPr>
            </w:pPr>
            <w:hyperlink w:anchor="page4">
              <w:r>
                <w:rPr>
                  <w:rFonts w:ascii="Arial" w:cs="Arial" w:eastAsia="Arial" w:hAnsi="Arial"/>
                  <w:sz w:val="12"/>
                  <w:szCs w:val="12"/>
                  <w:color w:val="0000FF"/>
                  <w:w w:val="99"/>
                </w:rPr>
                <w:t>FINANCIAL INFORMATION</w:t>
              </w:r>
            </w:hyperlink>
          </w:p>
        </w:tc>
        <w:tc>
          <w:tcPr>
            <w:tcW w:w="6280" w:type="dxa"/>
            <w:vAlign w:val="bottom"/>
            <w:gridSpan w:val="12"/>
          </w:tcPr>
          <w:p>
            <w:pPr>
              <w:spacing w:after="0"/>
              <w:rPr>
                <w:sz w:val="24"/>
                <w:szCs w:val="24"/>
                <w:color w:val="auto"/>
              </w:rPr>
            </w:pPr>
          </w:p>
        </w:tc>
        <w:tc>
          <w:tcPr>
            <w:tcW w:w="1360" w:type="dxa"/>
            <w:vAlign w:val="bottom"/>
            <w:gridSpan w:val="3"/>
          </w:tcPr>
          <w:p>
            <w:pPr>
              <w:jc w:val="center"/>
              <w:ind w:left="1200"/>
              <w:spacing w:after="0"/>
              <w:rPr>
                <w:rFonts w:ascii="Arial" w:cs="Arial" w:eastAsia="Arial" w:hAnsi="Arial"/>
                <w:sz w:val="12"/>
                <w:szCs w:val="12"/>
                <w:color w:val="0000FF"/>
                <w:w w:val="89"/>
              </w:rPr>
            </w:pPr>
            <w:hyperlink w:anchor="page4">
              <w:r>
                <w:rPr>
                  <w:rFonts w:ascii="Arial" w:cs="Arial" w:eastAsia="Arial" w:hAnsi="Arial"/>
                  <w:sz w:val="12"/>
                  <w:szCs w:val="12"/>
                  <w:color w:val="0000FF"/>
                  <w:w w:val="89"/>
                </w:rPr>
                <w:t>4</w:t>
              </w:r>
            </w:hyperlink>
          </w:p>
        </w:tc>
        <w:tc>
          <w:tcPr>
            <w:tcW w:w="360" w:type="dxa"/>
            <w:vAlign w:val="bottom"/>
          </w:tcPr>
          <w:p>
            <w:pPr>
              <w:spacing w:after="0"/>
              <w:rPr>
                <w:sz w:val="24"/>
                <w:szCs w:val="24"/>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7"/>
        </w:trPr>
        <w:tc>
          <w:tcPr>
            <w:tcW w:w="400" w:type="dxa"/>
            <w:vAlign w:val="bottom"/>
          </w:tcPr>
          <w:p>
            <w:pPr>
              <w:spacing w:after="0"/>
              <w:rPr>
                <w:rFonts w:ascii="Arial" w:cs="Arial" w:eastAsia="Arial" w:hAnsi="Arial"/>
                <w:sz w:val="12"/>
                <w:szCs w:val="12"/>
                <w:color w:val="0000FF"/>
                <w:w w:val="85"/>
              </w:rPr>
            </w:pPr>
            <w:hyperlink w:anchor="page5">
              <w:r>
                <w:rPr>
                  <w:rFonts w:ascii="Arial" w:cs="Arial" w:eastAsia="Arial" w:hAnsi="Arial"/>
                  <w:sz w:val="12"/>
                  <w:szCs w:val="12"/>
                  <w:color w:val="0000FF"/>
                  <w:w w:val="85"/>
                </w:rPr>
                <w:t>ITEM 1.</w:t>
              </w:r>
            </w:hyperlink>
          </w:p>
        </w:tc>
        <w:tc>
          <w:tcPr>
            <w:tcW w:w="1380" w:type="dxa"/>
            <w:vAlign w:val="bottom"/>
            <w:gridSpan w:val="4"/>
          </w:tcPr>
          <w:p>
            <w:pPr>
              <w:spacing w:after="0"/>
              <w:rPr>
                <w:sz w:val="24"/>
                <w:szCs w:val="24"/>
                <w:color w:val="auto"/>
              </w:rPr>
            </w:pPr>
          </w:p>
        </w:tc>
        <w:tc>
          <w:tcPr>
            <w:tcW w:w="7800" w:type="dxa"/>
            <w:vAlign w:val="bottom"/>
            <w:gridSpan w:val="17"/>
          </w:tcPr>
          <w:p>
            <w:pPr>
              <w:spacing w:after="0"/>
              <w:rPr>
                <w:rFonts w:ascii="Arial" w:cs="Arial" w:eastAsia="Arial" w:hAnsi="Arial"/>
                <w:sz w:val="12"/>
                <w:szCs w:val="12"/>
                <w:color w:val="0000FF"/>
              </w:rPr>
            </w:pPr>
            <w:hyperlink w:anchor="page5">
              <w:r>
                <w:rPr>
                  <w:rFonts w:ascii="Arial" w:cs="Arial" w:eastAsia="Arial" w:hAnsi="Arial"/>
                  <w:sz w:val="12"/>
                  <w:szCs w:val="12"/>
                  <w:color w:val="0000FF"/>
                </w:rPr>
                <w:t>FINANCIAL STATEMENTS</w:t>
              </w:r>
            </w:hyperlink>
          </w:p>
        </w:tc>
        <w:tc>
          <w:tcPr>
            <w:tcW w:w="1360" w:type="dxa"/>
            <w:vAlign w:val="bottom"/>
            <w:gridSpan w:val="3"/>
          </w:tcPr>
          <w:p>
            <w:pPr>
              <w:jc w:val="center"/>
              <w:ind w:left="1200"/>
              <w:spacing w:after="0"/>
              <w:rPr>
                <w:rFonts w:ascii="Arial" w:cs="Arial" w:eastAsia="Arial" w:hAnsi="Arial"/>
                <w:sz w:val="12"/>
                <w:szCs w:val="12"/>
                <w:color w:val="0000FF"/>
                <w:w w:val="89"/>
              </w:rPr>
            </w:pPr>
            <w:hyperlink w:anchor="page5">
              <w:r>
                <w:rPr>
                  <w:rFonts w:ascii="Arial" w:cs="Arial" w:eastAsia="Arial" w:hAnsi="Arial"/>
                  <w:sz w:val="12"/>
                  <w:szCs w:val="12"/>
                  <w:color w:val="0000FF"/>
                  <w:w w:val="89"/>
                </w:rPr>
                <w:t>4</w:t>
              </w:r>
            </w:hyperlink>
          </w:p>
        </w:tc>
        <w:tc>
          <w:tcPr>
            <w:tcW w:w="360" w:type="dxa"/>
            <w:vAlign w:val="bottom"/>
          </w:tcPr>
          <w:p>
            <w:pPr>
              <w:spacing w:after="0"/>
              <w:rPr>
                <w:sz w:val="24"/>
                <w:szCs w:val="24"/>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4"/>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20" w:type="dxa"/>
            <w:vAlign w:val="bottom"/>
            <w:gridSpan w:val="12"/>
          </w:tcPr>
          <w:p>
            <w:pPr>
              <w:spacing w:after="0" w:line="134" w:lineRule="exact"/>
              <w:rPr>
                <w:rFonts w:ascii="Arial" w:cs="Arial" w:eastAsia="Arial" w:hAnsi="Arial"/>
                <w:sz w:val="12"/>
                <w:szCs w:val="12"/>
                <w:color w:val="0000FF"/>
                <w:w w:val="88"/>
              </w:rPr>
            </w:pPr>
            <w:hyperlink w:anchor="page5">
              <w:r>
                <w:rPr>
                  <w:rFonts w:ascii="Arial" w:cs="Arial" w:eastAsia="Arial" w:hAnsi="Arial"/>
                  <w:sz w:val="12"/>
                  <w:szCs w:val="12"/>
                  <w:color w:val="0000FF"/>
                  <w:w w:val="88"/>
                </w:rPr>
                <w:t>Condensed Consolidated Balance Sheets - September 30, 2021 and December 31, 2020</w:t>
              </w:r>
            </w:hyperlink>
          </w:p>
        </w:tc>
        <w:tc>
          <w:tcPr>
            <w:tcW w:w="3580" w:type="dxa"/>
            <w:vAlign w:val="bottom"/>
            <w:gridSpan w:val="5"/>
          </w:tcPr>
          <w:p>
            <w:pPr>
              <w:spacing w:after="0"/>
              <w:rPr>
                <w:sz w:val="11"/>
                <w:szCs w:val="11"/>
                <w:color w:val="auto"/>
              </w:rPr>
            </w:pPr>
          </w:p>
        </w:tc>
        <w:tc>
          <w:tcPr>
            <w:tcW w:w="1360" w:type="dxa"/>
            <w:vAlign w:val="bottom"/>
            <w:gridSpan w:val="3"/>
          </w:tcPr>
          <w:p>
            <w:pPr>
              <w:jc w:val="center"/>
              <w:ind w:left="1200"/>
              <w:spacing w:after="0" w:line="134" w:lineRule="exact"/>
              <w:rPr>
                <w:rFonts w:ascii="Arial" w:cs="Arial" w:eastAsia="Arial" w:hAnsi="Arial"/>
                <w:sz w:val="12"/>
                <w:szCs w:val="12"/>
                <w:color w:val="0000FF"/>
                <w:w w:val="89"/>
              </w:rPr>
            </w:pPr>
            <w:hyperlink w:anchor="page5">
              <w:r>
                <w:rPr>
                  <w:rFonts w:ascii="Arial" w:cs="Arial" w:eastAsia="Arial" w:hAnsi="Arial"/>
                  <w:sz w:val="12"/>
                  <w:szCs w:val="12"/>
                  <w:color w:val="0000FF"/>
                  <w:w w:val="89"/>
                </w:rPr>
                <w:t>4</w:t>
              </w:r>
            </w:hyperlink>
          </w:p>
        </w:tc>
        <w:tc>
          <w:tcPr>
            <w:tcW w:w="360" w:type="dxa"/>
            <w:vAlign w:val="bottom"/>
          </w:tcPr>
          <w:p>
            <w:pPr>
              <w:spacing w:after="0"/>
              <w:rPr>
                <w:sz w:val="11"/>
                <w:szCs w:val="1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4"/>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0" w:type="dxa"/>
            <w:vAlign w:val="bottom"/>
            <w:gridSpan w:val="17"/>
          </w:tcPr>
          <w:p>
            <w:pPr>
              <w:spacing w:after="0" w:line="134" w:lineRule="exact"/>
              <w:rPr>
                <w:rFonts w:ascii="Arial" w:cs="Arial" w:eastAsia="Arial" w:hAnsi="Arial"/>
                <w:sz w:val="12"/>
                <w:szCs w:val="12"/>
                <w:color w:val="0000FF"/>
              </w:rPr>
            </w:pPr>
            <w:hyperlink w:anchor="page5">
              <w:r>
                <w:rPr>
                  <w:rFonts w:ascii="Arial" w:cs="Arial" w:eastAsia="Arial" w:hAnsi="Arial"/>
                  <w:sz w:val="12"/>
                  <w:szCs w:val="12"/>
                  <w:color w:val="0000FF"/>
                </w:rPr>
                <w:t xml:space="preserve">Condensed Consolidated Statements of Income - Three and </w:t>
              </w:r>
            </w:hyperlink>
            <w:r>
              <w:rPr>
                <w:rFonts w:ascii="Arial" w:cs="Arial" w:eastAsia="Arial" w:hAnsi="Arial"/>
                <w:sz w:val="12"/>
                <w:szCs w:val="12"/>
                <w:color w:val="0000FF"/>
              </w:rPr>
              <w:t xml:space="preserve">Nine </w:t>
            </w:r>
            <w:hyperlink w:anchor="page5">
              <w:r>
                <w:rPr>
                  <w:rFonts w:ascii="Arial" w:cs="Arial" w:eastAsia="Arial" w:hAnsi="Arial"/>
                  <w:sz w:val="12"/>
                  <w:szCs w:val="12"/>
                  <w:color w:val="0000FF"/>
                </w:rPr>
                <w:t>Months Ended September 30, 2021 and 2020</w:t>
              </w:r>
            </w:hyperlink>
          </w:p>
        </w:tc>
        <w:tc>
          <w:tcPr>
            <w:tcW w:w="1360" w:type="dxa"/>
            <w:vAlign w:val="bottom"/>
            <w:gridSpan w:val="3"/>
          </w:tcPr>
          <w:p>
            <w:pPr>
              <w:jc w:val="center"/>
              <w:ind w:left="1200"/>
              <w:spacing w:after="0" w:line="134" w:lineRule="exact"/>
              <w:rPr>
                <w:rFonts w:ascii="Arial" w:cs="Arial" w:eastAsia="Arial" w:hAnsi="Arial"/>
                <w:sz w:val="12"/>
                <w:szCs w:val="12"/>
                <w:color w:val="0000FF"/>
                <w:w w:val="89"/>
              </w:rPr>
            </w:pPr>
            <w:hyperlink w:anchor="page5">
              <w:r>
                <w:rPr>
                  <w:rFonts w:ascii="Arial" w:cs="Arial" w:eastAsia="Arial" w:hAnsi="Arial"/>
                  <w:sz w:val="12"/>
                  <w:szCs w:val="12"/>
                  <w:color w:val="0000FF"/>
                  <w:w w:val="89"/>
                </w:rPr>
                <w:t>5</w:t>
              </w:r>
            </w:hyperlink>
          </w:p>
        </w:tc>
        <w:tc>
          <w:tcPr>
            <w:tcW w:w="360" w:type="dxa"/>
            <w:vAlign w:val="bottom"/>
          </w:tcPr>
          <w:p>
            <w:pPr>
              <w:spacing w:after="0"/>
              <w:rPr>
                <w:sz w:val="11"/>
                <w:szCs w:val="1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4"/>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560" w:type="dxa"/>
            <w:vAlign w:val="bottom"/>
            <w:gridSpan w:val="16"/>
          </w:tcPr>
          <w:p>
            <w:pPr>
              <w:spacing w:after="0" w:line="134" w:lineRule="exact"/>
              <w:rPr>
                <w:rFonts w:ascii="Arial" w:cs="Arial" w:eastAsia="Arial" w:hAnsi="Arial"/>
                <w:sz w:val="12"/>
                <w:szCs w:val="12"/>
                <w:color w:val="0000FF"/>
                <w:w w:val="89"/>
              </w:rPr>
            </w:pPr>
            <w:hyperlink w:anchor="page30">
              <w:r>
                <w:rPr>
                  <w:rFonts w:ascii="Arial" w:cs="Arial" w:eastAsia="Arial" w:hAnsi="Arial"/>
                  <w:sz w:val="12"/>
                  <w:szCs w:val="12"/>
                  <w:color w:val="0000FF"/>
                  <w:w w:val="89"/>
                </w:rPr>
                <w:t>Condensed Consolidated Statements of Changes in Shareholders' Equity - Three and Nine Months Ended September 30, 2021 and 2020</w:t>
              </w:r>
            </w:hyperlink>
          </w:p>
        </w:tc>
        <w:tc>
          <w:tcPr>
            <w:tcW w:w="1240" w:type="dxa"/>
            <w:vAlign w:val="bottom"/>
          </w:tcPr>
          <w:p>
            <w:pPr>
              <w:spacing w:after="0"/>
              <w:rPr>
                <w:sz w:val="11"/>
                <w:szCs w:val="11"/>
                <w:color w:val="auto"/>
              </w:rPr>
            </w:pPr>
          </w:p>
        </w:tc>
        <w:tc>
          <w:tcPr>
            <w:tcW w:w="1360" w:type="dxa"/>
            <w:vAlign w:val="bottom"/>
            <w:gridSpan w:val="3"/>
          </w:tcPr>
          <w:p>
            <w:pPr>
              <w:jc w:val="center"/>
              <w:ind w:left="1200"/>
              <w:spacing w:after="0" w:line="134" w:lineRule="exact"/>
              <w:rPr>
                <w:rFonts w:ascii="Arial" w:cs="Arial" w:eastAsia="Arial" w:hAnsi="Arial"/>
                <w:sz w:val="12"/>
                <w:szCs w:val="12"/>
                <w:color w:val="0000FF"/>
                <w:w w:val="89"/>
              </w:rPr>
            </w:pPr>
            <w:hyperlink w:anchor="page6">
              <w:r>
                <w:rPr>
                  <w:rFonts w:ascii="Arial" w:cs="Arial" w:eastAsia="Arial" w:hAnsi="Arial"/>
                  <w:sz w:val="12"/>
                  <w:szCs w:val="12"/>
                  <w:color w:val="0000FF"/>
                  <w:w w:val="89"/>
                </w:rPr>
                <w:t>6</w:t>
              </w:r>
            </w:hyperlink>
          </w:p>
        </w:tc>
        <w:tc>
          <w:tcPr>
            <w:tcW w:w="360" w:type="dxa"/>
            <w:vAlign w:val="bottom"/>
          </w:tcPr>
          <w:p>
            <w:pPr>
              <w:spacing w:after="0"/>
              <w:rPr>
                <w:sz w:val="11"/>
                <w:szCs w:val="1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4"/>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40" w:type="dxa"/>
            <w:vAlign w:val="bottom"/>
            <w:gridSpan w:val="13"/>
          </w:tcPr>
          <w:p>
            <w:pPr>
              <w:spacing w:after="0" w:line="134" w:lineRule="exact"/>
              <w:rPr>
                <w:rFonts w:ascii="Arial" w:cs="Arial" w:eastAsia="Arial" w:hAnsi="Arial"/>
                <w:sz w:val="12"/>
                <w:szCs w:val="12"/>
                <w:color w:val="0000FF"/>
                <w:w w:val="89"/>
              </w:rPr>
            </w:pPr>
            <w:hyperlink w:anchor="page7">
              <w:r>
                <w:rPr>
                  <w:rFonts w:ascii="Arial" w:cs="Arial" w:eastAsia="Arial" w:hAnsi="Arial"/>
                  <w:sz w:val="12"/>
                  <w:szCs w:val="12"/>
                  <w:color w:val="0000FF"/>
                  <w:w w:val="89"/>
                </w:rPr>
                <w:t>Condensed Consolidated Statements of Cash Flows - Nine Months Ended September 30, 2021 and 2020</w:t>
              </w:r>
            </w:hyperlink>
          </w:p>
        </w:tc>
        <w:tc>
          <w:tcPr>
            <w:tcW w:w="1520" w:type="dxa"/>
            <w:vAlign w:val="bottom"/>
            <w:gridSpan w:val="3"/>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gridSpan w:val="3"/>
          </w:tcPr>
          <w:p>
            <w:pPr>
              <w:jc w:val="center"/>
              <w:ind w:left="1200"/>
              <w:spacing w:after="0" w:line="134" w:lineRule="exact"/>
              <w:rPr>
                <w:rFonts w:ascii="Arial" w:cs="Arial" w:eastAsia="Arial" w:hAnsi="Arial"/>
                <w:sz w:val="12"/>
                <w:szCs w:val="12"/>
                <w:color w:val="0000FF"/>
                <w:w w:val="89"/>
              </w:rPr>
            </w:pPr>
            <w:hyperlink w:anchor="page7">
              <w:r>
                <w:rPr>
                  <w:rFonts w:ascii="Arial" w:cs="Arial" w:eastAsia="Arial" w:hAnsi="Arial"/>
                  <w:sz w:val="12"/>
                  <w:szCs w:val="12"/>
                  <w:color w:val="0000FF"/>
                  <w:w w:val="89"/>
                </w:rPr>
                <w:t>7</w:t>
              </w:r>
            </w:hyperlink>
          </w:p>
        </w:tc>
        <w:tc>
          <w:tcPr>
            <w:tcW w:w="360" w:type="dxa"/>
            <w:vAlign w:val="bottom"/>
          </w:tcPr>
          <w:p>
            <w:pPr>
              <w:spacing w:after="0"/>
              <w:rPr>
                <w:sz w:val="11"/>
                <w:szCs w:val="1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4"/>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60" w:type="dxa"/>
            <w:vAlign w:val="bottom"/>
            <w:gridSpan w:val="9"/>
          </w:tcPr>
          <w:p>
            <w:pPr>
              <w:spacing w:after="0" w:line="134" w:lineRule="exact"/>
              <w:rPr>
                <w:rFonts w:ascii="Arial" w:cs="Arial" w:eastAsia="Arial" w:hAnsi="Arial"/>
                <w:sz w:val="12"/>
                <w:szCs w:val="12"/>
                <w:color w:val="0000FF"/>
                <w:w w:val="89"/>
              </w:rPr>
            </w:pPr>
            <w:hyperlink w:anchor="page8">
              <w:r>
                <w:rPr>
                  <w:rFonts w:ascii="Arial" w:cs="Arial" w:eastAsia="Arial" w:hAnsi="Arial"/>
                  <w:sz w:val="12"/>
                  <w:szCs w:val="12"/>
                  <w:color w:val="0000FF"/>
                  <w:w w:val="89"/>
                </w:rPr>
                <w:t>Notes to the Condensed Consolidated Financial Statements</w:t>
              </w:r>
            </w:hyperlink>
          </w:p>
        </w:tc>
        <w:tc>
          <w:tcPr>
            <w:tcW w:w="2180" w:type="dxa"/>
            <w:vAlign w:val="bottom"/>
            <w:gridSpan w:val="4"/>
          </w:tcPr>
          <w:p>
            <w:pPr>
              <w:spacing w:after="0"/>
              <w:rPr>
                <w:sz w:val="11"/>
                <w:szCs w:val="11"/>
                <w:color w:val="auto"/>
              </w:rPr>
            </w:pPr>
          </w:p>
        </w:tc>
        <w:tc>
          <w:tcPr>
            <w:tcW w:w="2760" w:type="dxa"/>
            <w:vAlign w:val="bottom"/>
            <w:gridSpan w:val="4"/>
          </w:tcPr>
          <w:p>
            <w:pPr>
              <w:spacing w:after="0"/>
              <w:rPr>
                <w:sz w:val="11"/>
                <w:szCs w:val="11"/>
                <w:color w:val="auto"/>
              </w:rPr>
            </w:pPr>
          </w:p>
        </w:tc>
        <w:tc>
          <w:tcPr>
            <w:tcW w:w="1360" w:type="dxa"/>
            <w:vAlign w:val="bottom"/>
            <w:gridSpan w:val="3"/>
          </w:tcPr>
          <w:p>
            <w:pPr>
              <w:jc w:val="center"/>
              <w:ind w:left="1200"/>
              <w:spacing w:after="0" w:line="134" w:lineRule="exact"/>
              <w:rPr>
                <w:rFonts w:ascii="Arial" w:cs="Arial" w:eastAsia="Arial" w:hAnsi="Arial"/>
                <w:sz w:val="12"/>
                <w:szCs w:val="12"/>
                <w:color w:val="0000FF"/>
                <w:w w:val="89"/>
              </w:rPr>
            </w:pPr>
            <w:hyperlink w:anchor="page8">
              <w:r>
                <w:rPr>
                  <w:rFonts w:ascii="Arial" w:cs="Arial" w:eastAsia="Arial" w:hAnsi="Arial"/>
                  <w:sz w:val="12"/>
                  <w:szCs w:val="12"/>
                  <w:color w:val="0000FF"/>
                  <w:w w:val="89"/>
                </w:rPr>
                <w:t>8</w:t>
              </w:r>
            </w:hyperlink>
          </w:p>
        </w:tc>
        <w:tc>
          <w:tcPr>
            <w:tcW w:w="360" w:type="dxa"/>
            <w:vAlign w:val="bottom"/>
          </w:tcPr>
          <w:p>
            <w:pPr>
              <w:spacing w:after="0"/>
              <w:rPr>
                <w:sz w:val="11"/>
                <w:szCs w:val="1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7"/>
        </w:trPr>
        <w:tc>
          <w:tcPr>
            <w:tcW w:w="400" w:type="dxa"/>
            <w:vAlign w:val="bottom"/>
          </w:tcPr>
          <w:p>
            <w:pPr>
              <w:spacing w:after="0"/>
              <w:rPr>
                <w:rFonts w:ascii="Arial" w:cs="Arial" w:eastAsia="Arial" w:hAnsi="Arial"/>
                <w:sz w:val="12"/>
                <w:szCs w:val="12"/>
                <w:color w:val="0000FF"/>
                <w:w w:val="85"/>
              </w:rPr>
            </w:pPr>
            <w:hyperlink w:anchor="page30">
              <w:r>
                <w:rPr>
                  <w:rFonts w:ascii="Arial" w:cs="Arial" w:eastAsia="Arial" w:hAnsi="Arial"/>
                  <w:sz w:val="12"/>
                  <w:szCs w:val="12"/>
                  <w:color w:val="0000FF"/>
                  <w:w w:val="85"/>
                </w:rPr>
                <w:t>ITEM 2.</w:t>
              </w:r>
            </w:hyperlink>
          </w:p>
        </w:tc>
        <w:tc>
          <w:tcPr>
            <w:tcW w:w="1380" w:type="dxa"/>
            <w:vAlign w:val="bottom"/>
            <w:gridSpan w:val="4"/>
          </w:tcPr>
          <w:p>
            <w:pPr>
              <w:spacing w:after="0"/>
              <w:rPr>
                <w:sz w:val="24"/>
                <w:szCs w:val="24"/>
                <w:color w:val="auto"/>
              </w:rPr>
            </w:pPr>
          </w:p>
        </w:tc>
        <w:tc>
          <w:tcPr>
            <w:tcW w:w="5980" w:type="dxa"/>
            <w:vAlign w:val="bottom"/>
            <w:gridSpan w:val="15"/>
          </w:tcPr>
          <w:p>
            <w:pPr>
              <w:spacing w:after="0"/>
              <w:rPr>
                <w:rFonts w:ascii="Arial" w:cs="Arial" w:eastAsia="Arial" w:hAnsi="Arial"/>
                <w:sz w:val="12"/>
                <w:szCs w:val="12"/>
                <w:color w:val="0000FF"/>
                <w:w w:val="97"/>
              </w:rPr>
            </w:pPr>
            <w:hyperlink w:anchor="page30">
              <w:r>
                <w:rPr>
                  <w:rFonts w:ascii="Arial" w:cs="Arial" w:eastAsia="Arial" w:hAnsi="Arial"/>
                  <w:sz w:val="12"/>
                  <w:szCs w:val="12"/>
                  <w:color w:val="0000FF"/>
                  <w:w w:val="97"/>
                </w:rPr>
                <w:t>MANAGEMENT’S DISCUSSION AND ANALYSIS OF FINANCIAL CONDITION AND RESULTS OF OPERATIONS</w:t>
              </w:r>
            </w:hyperlink>
          </w:p>
        </w:tc>
        <w:tc>
          <w:tcPr>
            <w:tcW w:w="182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30">
              <w:r>
                <w:rPr>
                  <w:rFonts w:ascii="Arial" w:cs="Arial" w:eastAsia="Arial" w:hAnsi="Arial"/>
                  <w:sz w:val="12"/>
                  <w:szCs w:val="12"/>
                  <w:color w:val="0000FF"/>
                  <w:w w:val="89"/>
                </w:rPr>
                <w:t>30</w:t>
              </w:r>
            </w:hyperlink>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7"/>
        </w:trPr>
        <w:tc>
          <w:tcPr>
            <w:tcW w:w="400" w:type="dxa"/>
            <w:vAlign w:val="bottom"/>
            <w:tcBorders>
              <w:bottom w:val="single" w:sz="8" w:color="0000FF"/>
            </w:tcBorders>
          </w:tcPr>
          <w:p>
            <w:pPr>
              <w:spacing w:after="0"/>
              <w:rPr>
                <w:rFonts w:ascii="Arial" w:cs="Arial" w:eastAsia="Arial" w:hAnsi="Arial"/>
                <w:sz w:val="12"/>
                <w:szCs w:val="12"/>
                <w:color w:val="0000FF"/>
                <w:w w:val="85"/>
              </w:rPr>
            </w:pPr>
            <w:hyperlink w:anchor="page50">
              <w:r>
                <w:rPr>
                  <w:rFonts w:ascii="Arial" w:cs="Arial" w:eastAsia="Arial" w:hAnsi="Arial"/>
                  <w:sz w:val="12"/>
                  <w:szCs w:val="12"/>
                  <w:color w:val="0000FF"/>
                  <w:w w:val="85"/>
                </w:rPr>
                <w:t>ITEM 3.</w:t>
              </w:r>
            </w:hyperlink>
          </w:p>
        </w:tc>
        <w:tc>
          <w:tcPr>
            <w:tcW w:w="40" w:type="dxa"/>
            <w:vAlign w:val="bottom"/>
            <w:tcBorders>
              <w:bottom w:val="single" w:sz="8" w:color="0000FF"/>
            </w:tcBorders>
          </w:tcPr>
          <w:p>
            <w:pPr>
              <w:spacing w:after="0"/>
              <w:rPr>
                <w:sz w:val="24"/>
                <w:szCs w:val="24"/>
                <w:color w:val="auto"/>
              </w:rPr>
            </w:pPr>
          </w:p>
        </w:tc>
        <w:tc>
          <w:tcPr>
            <w:tcW w:w="1340" w:type="dxa"/>
            <w:vAlign w:val="bottom"/>
            <w:gridSpan w:val="3"/>
          </w:tcPr>
          <w:p>
            <w:pPr>
              <w:spacing w:after="0"/>
              <w:rPr>
                <w:sz w:val="24"/>
                <w:szCs w:val="24"/>
                <w:color w:val="auto"/>
              </w:rPr>
            </w:pPr>
          </w:p>
        </w:tc>
        <w:tc>
          <w:tcPr>
            <w:tcW w:w="4120" w:type="dxa"/>
            <w:vAlign w:val="bottom"/>
            <w:tcBorders>
              <w:bottom w:val="single" w:sz="8" w:color="0000FF"/>
            </w:tcBorders>
            <w:gridSpan w:val="11"/>
          </w:tcPr>
          <w:p>
            <w:pPr>
              <w:spacing w:after="0"/>
              <w:rPr>
                <w:rFonts w:ascii="Arial" w:cs="Arial" w:eastAsia="Arial" w:hAnsi="Arial"/>
                <w:sz w:val="12"/>
                <w:szCs w:val="12"/>
                <w:color w:val="0000FF"/>
                <w:w w:val="98"/>
              </w:rPr>
            </w:pPr>
            <w:hyperlink w:anchor="page50">
              <w:r>
                <w:rPr>
                  <w:rFonts w:ascii="Arial" w:cs="Arial" w:eastAsia="Arial" w:hAnsi="Arial"/>
                  <w:sz w:val="12"/>
                  <w:szCs w:val="12"/>
                  <w:color w:val="0000FF"/>
                  <w:w w:val="98"/>
                </w:rPr>
                <w:t>QUANTITATIVE AND QUALITATIVE DISCLOSURES ABOUT MARKET RISK</w:t>
              </w:r>
            </w:hyperlink>
          </w:p>
        </w:tc>
        <w:tc>
          <w:tcPr>
            <w:tcW w:w="1860" w:type="dxa"/>
            <w:vAlign w:val="bottom"/>
            <w:gridSpan w:val="4"/>
          </w:tcPr>
          <w:p>
            <w:pPr>
              <w:spacing w:after="0"/>
              <w:rPr>
                <w:sz w:val="24"/>
                <w:szCs w:val="24"/>
                <w:color w:val="auto"/>
              </w:rPr>
            </w:pPr>
          </w:p>
        </w:tc>
        <w:tc>
          <w:tcPr>
            <w:tcW w:w="182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50">
              <w:r>
                <w:rPr>
                  <w:rFonts w:ascii="Arial" w:cs="Arial" w:eastAsia="Arial" w:hAnsi="Arial"/>
                  <w:sz w:val="12"/>
                  <w:szCs w:val="12"/>
                  <w:color w:val="0000FF"/>
                  <w:w w:val="89"/>
                </w:rPr>
                <w:t>49</w:t>
              </w:r>
            </w:hyperlink>
          </w:p>
        </w:tc>
      </w:tr>
      <w:tr>
        <w:trPr>
          <w:trHeight w:val="287"/>
        </w:trPr>
        <w:tc>
          <w:tcPr>
            <w:tcW w:w="400" w:type="dxa"/>
            <w:vAlign w:val="bottom"/>
          </w:tcPr>
          <w:p>
            <w:pPr>
              <w:spacing w:after="0"/>
              <w:rPr>
                <w:rFonts w:ascii="Arial" w:cs="Arial" w:eastAsia="Arial" w:hAnsi="Arial"/>
                <w:sz w:val="12"/>
                <w:szCs w:val="12"/>
                <w:color w:val="0000FF"/>
                <w:w w:val="85"/>
              </w:rPr>
            </w:pPr>
            <w:hyperlink w:anchor="page50">
              <w:r>
                <w:rPr>
                  <w:rFonts w:ascii="Arial" w:cs="Arial" w:eastAsia="Arial" w:hAnsi="Arial"/>
                  <w:sz w:val="12"/>
                  <w:szCs w:val="12"/>
                  <w:color w:val="0000FF"/>
                  <w:w w:val="85"/>
                </w:rPr>
                <w:t>ITEM 4.</w:t>
              </w:r>
            </w:hyperlink>
          </w:p>
        </w:tc>
        <w:tc>
          <w:tcPr>
            <w:tcW w:w="1380" w:type="dxa"/>
            <w:vAlign w:val="bottom"/>
            <w:gridSpan w:val="4"/>
          </w:tcPr>
          <w:p>
            <w:pPr>
              <w:spacing w:after="0"/>
              <w:rPr>
                <w:sz w:val="24"/>
                <w:szCs w:val="24"/>
                <w:color w:val="auto"/>
              </w:rPr>
            </w:pPr>
          </w:p>
        </w:tc>
        <w:tc>
          <w:tcPr>
            <w:tcW w:w="7800" w:type="dxa"/>
            <w:vAlign w:val="bottom"/>
            <w:gridSpan w:val="17"/>
          </w:tcPr>
          <w:p>
            <w:pPr>
              <w:spacing w:after="0"/>
              <w:rPr>
                <w:rFonts w:ascii="Arial" w:cs="Arial" w:eastAsia="Arial" w:hAnsi="Arial"/>
                <w:sz w:val="12"/>
                <w:szCs w:val="12"/>
                <w:color w:val="0000FF"/>
              </w:rPr>
            </w:pPr>
            <w:hyperlink w:anchor="page50">
              <w:r>
                <w:rPr>
                  <w:rFonts w:ascii="Arial" w:cs="Arial" w:eastAsia="Arial" w:hAnsi="Arial"/>
                  <w:sz w:val="12"/>
                  <w:szCs w:val="12"/>
                  <w:color w:val="0000FF"/>
                </w:rPr>
                <w:t>CONTROLS AND PROCEDURES</w:t>
              </w:r>
            </w:hyperlink>
          </w:p>
        </w:tc>
        <w:tc>
          <w:tcPr>
            <w:tcW w:w="1720" w:type="dxa"/>
            <w:vAlign w:val="bottom"/>
            <w:gridSpan w:val="4"/>
          </w:tcPr>
          <w:p>
            <w:pPr>
              <w:jc w:val="center"/>
              <w:ind w:left="820"/>
              <w:spacing w:after="0"/>
              <w:rPr>
                <w:rFonts w:ascii="Arial" w:cs="Arial" w:eastAsia="Arial" w:hAnsi="Arial"/>
                <w:sz w:val="12"/>
                <w:szCs w:val="12"/>
                <w:color w:val="0000FF"/>
                <w:w w:val="89"/>
              </w:rPr>
            </w:pPr>
            <w:hyperlink w:anchor="page50">
              <w:r>
                <w:rPr>
                  <w:rFonts w:ascii="Arial" w:cs="Arial" w:eastAsia="Arial" w:hAnsi="Arial"/>
                  <w:sz w:val="12"/>
                  <w:szCs w:val="12"/>
                  <w:color w:val="0000FF"/>
                  <w:w w:val="89"/>
                </w:rPr>
                <w:t>50</w:t>
              </w:r>
            </w:hyperlink>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7"/>
        </w:trPr>
        <w:tc>
          <w:tcPr>
            <w:tcW w:w="440" w:type="dxa"/>
            <w:vAlign w:val="bottom"/>
            <w:gridSpan w:val="2"/>
          </w:tcPr>
          <w:p>
            <w:pPr>
              <w:spacing w:after="0"/>
              <w:rPr>
                <w:rFonts w:ascii="Arial" w:cs="Arial" w:eastAsia="Arial" w:hAnsi="Arial"/>
                <w:sz w:val="12"/>
                <w:szCs w:val="12"/>
                <w:color w:val="0000FF"/>
                <w:w w:val="92"/>
              </w:rPr>
            </w:pPr>
            <w:hyperlink w:anchor="page51">
              <w:r>
                <w:rPr>
                  <w:rFonts w:ascii="Arial" w:cs="Arial" w:eastAsia="Arial" w:hAnsi="Arial"/>
                  <w:sz w:val="12"/>
                  <w:szCs w:val="12"/>
                  <w:color w:val="0000FF"/>
                  <w:w w:val="92"/>
                </w:rPr>
                <w:t>PART II.</w:t>
              </w:r>
            </w:hyperlink>
          </w:p>
        </w:tc>
        <w:tc>
          <w:tcPr>
            <w:tcW w:w="1340" w:type="dxa"/>
            <w:vAlign w:val="bottom"/>
            <w:gridSpan w:val="3"/>
          </w:tcPr>
          <w:p>
            <w:pPr>
              <w:spacing w:after="0"/>
              <w:rPr>
                <w:sz w:val="24"/>
                <w:szCs w:val="24"/>
                <w:color w:val="auto"/>
              </w:rPr>
            </w:pPr>
          </w:p>
        </w:tc>
        <w:tc>
          <w:tcPr>
            <w:tcW w:w="1260" w:type="dxa"/>
            <w:vAlign w:val="bottom"/>
            <w:gridSpan w:val="3"/>
          </w:tcPr>
          <w:p>
            <w:pPr>
              <w:spacing w:after="0"/>
              <w:rPr>
                <w:rFonts w:ascii="Arial" w:cs="Arial" w:eastAsia="Arial" w:hAnsi="Arial"/>
                <w:sz w:val="12"/>
                <w:szCs w:val="12"/>
                <w:color w:val="0000FF"/>
                <w:w w:val="94"/>
              </w:rPr>
            </w:pPr>
            <w:hyperlink w:anchor="page51">
              <w:r>
                <w:rPr>
                  <w:rFonts w:ascii="Arial" w:cs="Arial" w:eastAsia="Arial" w:hAnsi="Arial"/>
                  <w:sz w:val="12"/>
                  <w:szCs w:val="12"/>
                  <w:color w:val="0000FF"/>
                  <w:w w:val="94"/>
                </w:rPr>
                <w:t>OTHER INFORMATION</w:t>
              </w:r>
            </w:hyperlink>
          </w:p>
        </w:tc>
        <w:tc>
          <w:tcPr>
            <w:tcW w:w="6540" w:type="dxa"/>
            <w:vAlign w:val="bottom"/>
            <w:gridSpan w:val="14"/>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51">
              <w:r>
                <w:rPr>
                  <w:rFonts w:ascii="Arial" w:cs="Arial" w:eastAsia="Arial" w:hAnsi="Arial"/>
                  <w:sz w:val="12"/>
                  <w:szCs w:val="12"/>
                  <w:color w:val="0000FF"/>
                  <w:w w:val="89"/>
                </w:rPr>
                <w:t>51</w:t>
              </w:r>
            </w:hyperlink>
          </w:p>
        </w:tc>
      </w:tr>
      <w:tr>
        <w:trPr>
          <w:trHeight w:val="20"/>
        </w:trPr>
        <w:tc>
          <w:tcPr>
            <w:tcW w:w="4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7"/>
        </w:trPr>
        <w:tc>
          <w:tcPr>
            <w:tcW w:w="400" w:type="dxa"/>
            <w:vAlign w:val="bottom"/>
          </w:tcPr>
          <w:p>
            <w:pPr>
              <w:spacing w:after="0"/>
              <w:rPr>
                <w:rFonts w:ascii="Arial" w:cs="Arial" w:eastAsia="Arial" w:hAnsi="Arial"/>
                <w:sz w:val="12"/>
                <w:szCs w:val="12"/>
                <w:color w:val="0000FF"/>
                <w:w w:val="85"/>
              </w:rPr>
            </w:pPr>
            <w:hyperlink w:anchor="page52">
              <w:r>
                <w:rPr>
                  <w:rFonts w:ascii="Arial" w:cs="Arial" w:eastAsia="Arial" w:hAnsi="Arial"/>
                  <w:sz w:val="12"/>
                  <w:szCs w:val="12"/>
                  <w:color w:val="0000FF"/>
                  <w:w w:val="85"/>
                </w:rPr>
                <w:t>ITEM 1.</w:t>
              </w:r>
            </w:hyperlink>
          </w:p>
        </w:tc>
        <w:tc>
          <w:tcPr>
            <w:tcW w:w="40" w:type="dxa"/>
            <w:vAlign w:val="bottom"/>
          </w:tcPr>
          <w:p>
            <w:pPr>
              <w:spacing w:after="0"/>
              <w:rPr>
                <w:sz w:val="24"/>
                <w:szCs w:val="24"/>
                <w:color w:val="auto"/>
              </w:rPr>
            </w:pPr>
          </w:p>
        </w:tc>
        <w:tc>
          <w:tcPr>
            <w:tcW w:w="1340" w:type="dxa"/>
            <w:vAlign w:val="bottom"/>
            <w:gridSpan w:val="3"/>
          </w:tcPr>
          <w:p>
            <w:pPr>
              <w:spacing w:after="0"/>
              <w:rPr>
                <w:sz w:val="24"/>
                <w:szCs w:val="24"/>
                <w:color w:val="auto"/>
              </w:rPr>
            </w:pPr>
          </w:p>
        </w:tc>
        <w:tc>
          <w:tcPr>
            <w:tcW w:w="1260" w:type="dxa"/>
            <w:vAlign w:val="bottom"/>
            <w:gridSpan w:val="3"/>
          </w:tcPr>
          <w:p>
            <w:pPr>
              <w:spacing w:after="0"/>
              <w:rPr>
                <w:rFonts w:ascii="Arial" w:cs="Arial" w:eastAsia="Arial" w:hAnsi="Arial"/>
                <w:sz w:val="12"/>
                <w:szCs w:val="12"/>
                <w:color w:val="0000FF"/>
                <w:w w:val="93"/>
              </w:rPr>
            </w:pPr>
            <w:hyperlink w:anchor="page52">
              <w:r>
                <w:rPr>
                  <w:rFonts w:ascii="Arial" w:cs="Arial" w:eastAsia="Arial" w:hAnsi="Arial"/>
                  <w:sz w:val="12"/>
                  <w:szCs w:val="12"/>
                  <w:color w:val="0000FF"/>
                  <w:w w:val="93"/>
                </w:rPr>
                <w:t>LEGAL PROCEEDINGS</w:t>
              </w:r>
            </w:hyperlink>
          </w:p>
        </w:tc>
        <w:tc>
          <w:tcPr>
            <w:tcW w:w="6540" w:type="dxa"/>
            <w:vAlign w:val="bottom"/>
            <w:gridSpan w:val="14"/>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52">
              <w:r>
                <w:rPr>
                  <w:rFonts w:ascii="Arial" w:cs="Arial" w:eastAsia="Arial" w:hAnsi="Arial"/>
                  <w:sz w:val="12"/>
                  <w:szCs w:val="12"/>
                  <w:color w:val="0000FF"/>
                  <w:w w:val="89"/>
                </w:rPr>
                <w:t>51</w:t>
              </w:r>
            </w:hyperlink>
          </w:p>
        </w:tc>
      </w:tr>
      <w:tr>
        <w:trPr>
          <w:trHeight w:val="20"/>
        </w:trPr>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7"/>
        </w:trPr>
        <w:tc>
          <w:tcPr>
            <w:tcW w:w="1780" w:type="dxa"/>
            <w:vAlign w:val="bottom"/>
            <w:gridSpan w:val="5"/>
          </w:tcPr>
          <w:p>
            <w:pPr>
              <w:spacing w:after="0"/>
              <w:rPr>
                <w:rFonts w:ascii="Arial" w:cs="Arial" w:eastAsia="Arial" w:hAnsi="Arial"/>
                <w:sz w:val="12"/>
                <w:szCs w:val="12"/>
                <w:color w:val="0000FF"/>
              </w:rPr>
            </w:pPr>
            <w:hyperlink w:anchor="page52">
              <w:r>
                <w:rPr>
                  <w:rFonts w:ascii="Arial" w:cs="Arial" w:eastAsia="Arial" w:hAnsi="Arial"/>
                  <w:sz w:val="12"/>
                  <w:szCs w:val="12"/>
                  <w:color w:val="0000FF"/>
                </w:rPr>
                <w:t>ITEM 1A.</w:t>
              </w:r>
            </w:hyperlink>
          </w:p>
        </w:tc>
        <w:tc>
          <w:tcPr>
            <w:tcW w:w="7800" w:type="dxa"/>
            <w:vAlign w:val="bottom"/>
            <w:gridSpan w:val="17"/>
          </w:tcPr>
          <w:p>
            <w:pPr>
              <w:spacing w:after="0"/>
              <w:rPr>
                <w:rFonts w:ascii="Arial" w:cs="Arial" w:eastAsia="Arial" w:hAnsi="Arial"/>
                <w:sz w:val="12"/>
                <w:szCs w:val="12"/>
                <w:color w:val="0000FF"/>
              </w:rPr>
            </w:pPr>
            <w:hyperlink w:anchor="page52">
              <w:r>
                <w:rPr>
                  <w:rFonts w:ascii="Arial" w:cs="Arial" w:eastAsia="Arial" w:hAnsi="Arial"/>
                  <w:sz w:val="12"/>
                  <w:szCs w:val="12"/>
                  <w:color w:val="0000FF"/>
                </w:rPr>
                <w:t>RISK FACTORS</w:t>
              </w:r>
            </w:hyperlink>
          </w:p>
        </w:tc>
        <w:tc>
          <w:tcPr>
            <w:tcW w:w="1720" w:type="dxa"/>
            <w:vAlign w:val="bottom"/>
            <w:gridSpan w:val="4"/>
          </w:tcPr>
          <w:p>
            <w:pPr>
              <w:jc w:val="center"/>
              <w:ind w:left="820"/>
              <w:spacing w:after="0"/>
              <w:rPr>
                <w:rFonts w:ascii="Arial" w:cs="Arial" w:eastAsia="Arial" w:hAnsi="Arial"/>
                <w:sz w:val="12"/>
                <w:szCs w:val="12"/>
                <w:color w:val="0000FF"/>
                <w:w w:val="89"/>
              </w:rPr>
            </w:pPr>
            <w:hyperlink w:anchor="page52">
              <w:r>
                <w:rPr>
                  <w:rFonts w:ascii="Arial" w:cs="Arial" w:eastAsia="Arial" w:hAnsi="Arial"/>
                  <w:sz w:val="12"/>
                  <w:szCs w:val="12"/>
                  <w:color w:val="0000FF"/>
                  <w:w w:val="89"/>
                </w:rPr>
                <w:t>51</w:t>
              </w:r>
            </w:hyperlink>
          </w:p>
        </w:tc>
      </w:tr>
      <w:tr>
        <w:trPr>
          <w:trHeight w:val="20"/>
        </w:trPr>
        <w:tc>
          <w:tcPr>
            <w:tcW w:w="5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7"/>
        </w:trPr>
        <w:tc>
          <w:tcPr>
            <w:tcW w:w="500" w:type="dxa"/>
            <w:vAlign w:val="bottom"/>
            <w:tcBorders>
              <w:bottom w:val="single" w:sz="8" w:color="0000FF"/>
            </w:tcBorders>
            <w:gridSpan w:val="3"/>
          </w:tcPr>
          <w:p>
            <w:pPr>
              <w:spacing w:after="0"/>
              <w:rPr>
                <w:rFonts w:ascii="Arial" w:cs="Arial" w:eastAsia="Arial" w:hAnsi="Arial"/>
                <w:sz w:val="12"/>
                <w:szCs w:val="12"/>
                <w:color w:val="0000FF"/>
              </w:rPr>
            </w:pPr>
            <w:hyperlink w:anchor="page52">
              <w:r>
                <w:rPr>
                  <w:rFonts w:ascii="Arial" w:cs="Arial" w:eastAsia="Arial" w:hAnsi="Arial"/>
                  <w:sz w:val="12"/>
                  <w:szCs w:val="12"/>
                  <w:color w:val="0000FF"/>
                </w:rPr>
                <w:t>ITEM 2.</w:t>
              </w:r>
            </w:hyperlink>
          </w:p>
        </w:tc>
        <w:tc>
          <w:tcPr>
            <w:tcW w:w="180" w:type="dxa"/>
            <w:vAlign w:val="bottom"/>
            <w:tcBorders>
              <w:bottom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4080" w:type="dxa"/>
            <w:vAlign w:val="bottom"/>
            <w:tcBorders>
              <w:bottom w:val="single" w:sz="8" w:color="0000FF"/>
            </w:tcBorders>
            <w:gridSpan w:val="10"/>
          </w:tcPr>
          <w:p>
            <w:pPr>
              <w:spacing w:after="0"/>
              <w:rPr>
                <w:rFonts w:ascii="Arial" w:cs="Arial" w:eastAsia="Arial" w:hAnsi="Arial"/>
                <w:sz w:val="12"/>
                <w:szCs w:val="12"/>
                <w:color w:val="0000FF"/>
                <w:w w:val="94"/>
              </w:rPr>
            </w:pPr>
            <w:hyperlink w:anchor="page52">
              <w:r>
                <w:rPr>
                  <w:rFonts w:ascii="Arial" w:cs="Arial" w:eastAsia="Arial" w:hAnsi="Arial"/>
                  <w:sz w:val="12"/>
                  <w:szCs w:val="12"/>
                  <w:color w:val="0000FF"/>
                  <w:w w:val="94"/>
                </w:rPr>
                <w:t>UNREGISTERED SALES OF EQUITY SECURITIES AND USE OF PROCEEDS</w:t>
              </w:r>
            </w:hyperlink>
          </w:p>
        </w:tc>
        <w:tc>
          <w:tcPr>
            <w:tcW w:w="3720" w:type="dxa"/>
            <w:vAlign w:val="bottom"/>
            <w:gridSpan w:val="7"/>
          </w:tcPr>
          <w:p>
            <w:pPr>
              <w:spacing w:after="0"/>
              <w:rPr>
                <w:sz w:val="24"/>
                <w:szCs w:val="24"/>
                <w:color w:val="auto"/>
              </w:rPr>
            </w:pPr>
          </w:p>
        </w:tc>
        <w:tc>
          <w:tcPr>
            <w:tcW w:w="1720" w:type="dxa"/>
            <w:vAlign w:val="bottom"/>
            <w:gridSpan w:val="4"/>
          </w:tcPr>
          <w:p>
            <w:pPr>
              <w:jc w:val="center"/>
              <w:ind w:left="820"/>
              <w:spacing w:after="0"/>
              <w:rPr>
                <w:rFonts w:ascii="Arial" w:cs="Arial" w:eastAsia="Arial" w:hAnsi="Arial"/>
                <w:sz w:val="12"/>
                <w:szCs w:val="12"/>
                <w:color w:val="0000FF"/>
                <w:w w:val="89"/>
              </w:rPr>
            </w:pPr>
            <w:hyperlink w:anchor="page52">
              <w:r>
                <w:rPr>
                  <w:rFonts w:ascii="Arial" w:cs="Arial" w:eastAsia="Arial" w:hAnsi="Arial"/>
                  <w:sz w:val="12"/>
                  <w:szCs w:val="12"/>
                  <w:color w:val="0000FF"/>
                  <w:w w:val="89"/>
                </w:rPr>
                <w:t>51</w:t>
              </w:r>
            </w:hyperlink>
          </w:p>
        </w:tc>
      </w:tr>
      <w:tr>
        <w:trPr>
          <w:trHeight w:val="287"/>
        </w:trPr>
        <w:tc>
          <w:tcPr>
            <w:tcW w:w="400" w:type="dxa"/>
            <w:vAlign w:val="bottom"/>
          </w:tcPr>
          <w:p>
            <w:pPr>
              <w:spacing w:after="0"/>
              <w:rPr>
                <w:rFonts w:ascii="Arial" w:cs="Arial" w:eastAsia="Arial" w:hAnsi="Arial"/>
                <w:sz w:val="12"/>
                <w:szCs w:val="12"/>
                <w:color w:val="0000FF"/>
                <w:w w:val="85"/>
              </w:rPr>
            </w:pPr>
            <w:hyperlink w:anchor="page52">
              <w:r>
                <w:rPr>
                  <w:rFonts w:ascii="Arial" w:cs="Arial" w:eastAsia="Arial" w:hAnsi="Arial"/>
                  <w:sz w:val="12"/>
                  <w:szCs w:val="12"/>
                  <w:color w:val="0000FF"/>
                  <w:w w:val="85"/>
                </w:rPr>
                <w:t>ITEM 3.</w:t>
              </w:r>
            </w:hyperlink>
          </w:p>
        </w:tc>
        <w:tc>
          <w:tcPr>
            <w:tcW w:w="1380" w:type="dxa"/>
            <w:vAlign w:val="bottom"/>
            <w:gridSpan w:val="4"/>
          </w:tcPr>
          <w:p>
            <w:pPr>
              <w:spacing w:after="0"/>
              <w:rPr>
                <w:sz w:val="24"/>
                <w:szCs w:val="24"/>
                <w:color w:val="auto"/>
              </w:rPr>
            </w:pPr>
          </w:p>
        </w:tc>
        <w:tc>
          <w:tcPr>
            <w:tcW w:w="2140" w:type="dxa"/>
            <w:vAlign w:val="bottom"/>
            <w:gridSpan w:val="8"/>
          </w:tcPr>
          <w:p>
            <w:pPr>
              <w:spacing w:after="0"/>
              <w:rPr>
                <w:rFonts w:ascii="Arial" w:cs="Arial" w:eastAsia="Arial" w:hAnsi="Arial"/>
                <w:sz w:val="12"/>
                <w:szCs w:val="12"/>
                <w:color w:val="0000FF"/>
                <w:w w:val="94"/>
              </w:rPr>
            </w:pPr>
            <w:hyperlink w:anchor="page52">
              <w:r>
                <w:rPr>
                  <w:rFonts w:ascii="Arial" w:cs="Arial" w:eastAsia="Arial" w:hAnsi="Arial"/>
                  <w:sz w:val="12"/>
                  <w:szCs w:val="12"/>
                  <w:color w:val="0000FF"/>
                  <w:w w:val="94"/>
                </w:rPr>
                <w:t>DEFAULTS UPON SENIOR SECURITIES</w:t>
              </w:r>
            </w:hyperlink>
          </w:p>
        </w:tc>
        <w:tc>
          <w:tcPr>
            <w:tcW w:w="5660" w:type="dxa"/>
            <w:vAlign w:val="bottom"/>
            <w:gridSpan w:val="9"/>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52">
              <w:r>
                <w:rPr>
                  <w:rFonts w:ascii="Arial" w:cs="Arial" w:eastAsia="Arial" w:hAnsi="Arial"/>
                  <w:sz w:val="12"/>
                  <w:szCs w:val="12"/>
                  <w:color w:val="0000FF"/>
                  <w:w w:val="89"/>
                </w:rPr>
                <w:t>51</w:t>
              </w:r>
            </w:hyperlink>
          </w:p>
        </w:tc>
      </w:tr>
      <w:tr>
        <w:trPr>
          <w:trHeight w:val="20"/>
        </w:trPr>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6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7"/>
        </w:trPr>
        <w:tc>
          <w:tcPr>
            <w:tcW w:w="400" w:type="dxa"/>
            <w:vAlign w:val="bottom"/>
          </w:tcPr>
          <w:p>
            <w:pPr>
              <w:spacing w:after="0"/>
              <w:rPr>
                <w:rFonts w:ascii="Arial" w:cs="Arial" w:eastAsia="Arial" w:hAnsi="Arial"/>
                <w:sz w:val="12"/>
                <w:szCs w:val="12"/>
                <w:color w:val="0000FF"/>
                <w:w w:val="85"/>
              </w:rPr>
            </w:pPr>
            <w:hyperlink w:anchor="page52">
              <w:r>
                <w:rPr>
                  <w:rFonts w:ascii="Arial" w:cs="Arial" w:eastAsia="Arial" w:hAnsi="Arial"/>
                  <w:sz w:val="12"/>
                  <w:szCs w:val="12"/>
                  <w:color w:val="0000FF"/>
                  <w:w w:val="85"/>
                </w:rPr>
                <w:t>ITEM 4.</w:t>
              </w:r>
            </w:hyperlink>
          </w:p>
        </w:tc>
        <w:tc>
          <w:tcPr>
            <w:tcW w:w="1380" w:type="dxa"/>
            <w:vAlign w:val="bottom"/>
            <w:gridSpan w:val="4"/>
          </w:tcPr>
          <w:p>
            <w:pPr>
              <w:spacing w:after="0"/>
              <w:rPr>
                <w:sz w:val="24"/>
                <w:szCs w:val="24"/>
                <w:color w:val="auto"/>
              </w:rPr>
            </w:pPr>
          </w:p>
        </w:tc>
        <w:tc>
          <w:tcPr>
            <w:tcW w:w="1640" w:type="dxa"/>
            <w:vAlign w:val="bottom"/>
            <w:gridSpan w:val="6"/>
          </w:tcPr>
          <w:p>
            <w:pPr>
              <w:spacing w:after="0"/>
              <w:rPr>
                <w:rFonts w:ascii="Arial" w:cs="Arial" w:eastAsia="Arial" w:hAnsi="Arial"/>
                <w:sz w:val="12"/>
                <w:szCs w:val="12"/>
                <w:color w:val="0000FF"/>
                <w:w w:val="95"/>
              </w:rPr>
            </w:pPr>
            <w:hyperlink w:anchor="page52">
              <w:r>
                <w:rPr>
                  <w:rFonts w:ascii="Arial" w:cs="Arial" w:eastAsia="Arial" w:hAnsi="Arial"/>
                  <w:sz w:val="12"/>
                  <w:szCs w:val="12"/>
                  <w:color w:val="0000FF"/>
                  <w:w w:val="95"/>
                </w:rPr>
                <w:t>MINE SAFETY DISCLOSURES</w:t>
              </w:r>
            </w:hyperlink>
          </w:p>
        </w:tc>
        <w:tc>
          <w:tcPr>
            <w:tcW w:w="500" w:type="dxa"/>
            <w:vAlign w:val="bottom"/>
            <w:gridSpan w:val="2"/>
          </w:tcPr>
          <w:p>
            <w:pPr>
              <w:spacing w:after="0"/>
              <w:rPr>
                <w:sz w:val="24"/>
                <w:szCs w:val="24"/>
                <w:color w:val="auto"/>
              </w:rPr>
            </w:pPr>
          </w:p>
        </w:tc>
        <w:tc>
          <w:tcPr>
            <w:tcW w:w="5660" w:type="dxa"/>
            <w:vAlign w:val="bottom"/>
            <w:gridSpan w:val="9"/>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52">
              <w:r>
                <w:rPr>
                  <w:rFonts w:ascii="Arial" w:cs="Arial" w:eastAsia="Arial" w:hAnsi="Arial"/>
                  <w:sz w:val="12"/>
                  <w:szCs w:val="12"/>
                  <w:color w:val="0000FF"/>
                  <w:w w:val="89"/>
                </w:rPr>
                <w:t>51</w:t>
              </w:r>
            </w:hyperlink>
          </w:p>
        </w:tc>
      </w:tr>
      <w:tr>
        <w:trPr>
          <w:trHeight w:val="20"/>
        </w:trPr>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6160" w:type="dxa"/>
            <w:vAlign w:val="bottom"/>
            <w:gridSpan w:val="11"/>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7"/>
        </w:trPr>
        <w:tc>
          <w:tcPr>
            <w:tcW w:w="400" w:type="dxa"/>
            <w:vAlign w:val="bottom"/>
          </w:tcPr>
          <w:p>
            <w:pPr>
              <w:spacing w:after="0"/>
              <w:rPr>
                <w:rFonts w:ascii="Arial" w:cs="Arial" w:eastAsia="Arial" w:hAnsi="Arial"/>
                <w:sz w:val="12"/>
                <w:szCs w:val="12"/>
                <w:color w:val="0000FF"/>
                <w:w w:val="85"/>
              </w:rPr>
            </w:pPr>
            <w:hyperlink w:anchor="page52">
              <w:r>
                <w:rPr>
                  <w:rFonts w:ascii="Arial" w:cs="Arial" w:eastAsia="Arial" w:hAnsi="Arial"/>
                  <w:sz w:val="12"/>
                  <w:szCs w:val="12"/>
                  <w:color w:val="0000FF"/>
                  <w:w w:val="85"/>
                </w:rPr>
                <w:t>ITEM 5.</w:t>
              </w:r>
            </w:hyperlink>
          </w:p>
        </w:tc>
        <w:tc>
          <w:tcPr>
            <w:tcW w:w="1380" w:type="dxa"/>
            <w:vAlign w:val="bottom"/>
            <w:gridSpan w:val="4"/>
          </w:tcPr>
          <w:p>
            <w:pPr>
              <w:spacing w:after="0"/>
              <w:rPr>
                <w:sz w:val="24"/>
                <w:szCs w:val="24"/>
                <w:color w:val="auto"/>
              </w:rPr>
            </w:pPr>
          </w:p>
        </w:tc>
        <w:tc>
          <w:tcPr>
            <w:tcW w:w="1260" w:type="dxa"/>
            <w:vAlign w:val="bottom"/>
            <w:gridSpan w:val="3"/>
          </w:tcPr>
          <w:p>
            <w:pPr>
              <w:spacing w:after="0"/>
              <w:rPr>
                <w:rFonts w:ascii="Arial" w:cs="Arial" w:eastAsia="Arial" w:hAnsi="Arial"/>
                <w:sz w:val="12"/>
                <w:szCs w:val="12"/>
                <w:color w:val="0000FF"/>
                <w:w w:val="94"/>
              </w:rPr>
            </w:pPr>
            <w:hyperlink w:anchor="page52">
              <w:r>
                <w:rPr>
                  <w:rFonts w:ascii="Arial" w:cs="Arial" w:eastAsia="Arial" w:hAnsi="Arial"/>
                  <w:sz w:val="12"/>
                  <w:szCs w:val="12"/>
                  <w:color w:val="0000FF"/>
                  <w:w w:val="94"/>
                </w:rPr>
                <w:t>OTHER INFORMATION</w:t>
              </w:r>
            </w:hyperlink>
          </w:p>
        </w:tc>
        <w:tc>
          <w:tcPr>
            <w:tcW w:w="380" w:type="dxa"/>
            <w:vAlign w:val="bottom"/>
            <w:gridSpan w:val="3"/>
          </w:tcPr>
          <w:p>
            <w:pPr>
              <w:spacing w:after="0"/>
              <w:rPr>
                <w:sz w:val="24"/>
                <w:szCs w:val="24"/>
                <w:color w:val="auto"/>
              </w:rPr>
            </w:pPr>
          </w:p>
        </w:tc>
        <w:tc>
          <w:tcPr>
            <w:tcW w:w="6160" w:type="dxa"/>
            <w:vAlign w:val="bottom"/>
            <w:gridSpan w:val="11"/>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52">
              <w:r>
                <w:rPr>
                  <w:rFonts w:ascii="Arial" w:cs="Arial" w:eastAsia="Arial" w:hAnsi="Arial"/>
                  <w:sz w:val="12"/>
                  <w:szCs w:val="12"/>
                  <w:color w:val="0000FF"/>
                  <w:w w:val="89"/>
                </w:rPr>
                <w:t>51</w:t>
              </w:r>
            </w:hyperlink>
          </w:p>
        </w:tc>
      </w:tr>
      <w:tr>
        <w:trPr>
          <w:trHeight w:val="20"/>
        </w:trPr>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540" w:type="dxa"/>
            <w:vAlign w:val="bottom"/>
            <w:tcBorders>
              <w:left w:val="single" w:sz="8" w:color="0000FF"/>
            </w:tcBorders>
            <w:gridSpan w:val="1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7"/>
        </w:trPr>
        <w:tc>
          <w:tcPr>
            <w:tcW w:w="400" w:type="dxa"/>
            <w:vAlign w:val="bottom"/>
          </w:tcPr>
          <w:p>
            <w:pPr>
              <w:spacing w:after="0"/>
              <w:rPr>
                <w:rFonts w:ascii="Arial" w:cs="Arial" w:eastAsia="Arial" w:hAnsi="Arial"/>
                <w:sz w:val="12"/>
                <w:szCs w:val="12"/>
                <w:color w:val="0000FF"/>
                <w:w w:val="85"/>
              </w:rPr>
            </w:pPr>
            <w:hyperlink w:anchor="page52">
              <w:r>
                <w:rPr>
                  <w:rFonts w:ascii="Arial" w:cs="Arial" w:eastAsia="Arial" w:hAnsi="Arial"/>
                  <w:sz w:val="12"/>
                  <w:szCs w:val="12"/>
                  <w:color w:val="0000FF"/>
                  <w:w w:val="85"/>
                </w:rPr>
                <w:t>ITEM 6.</w:t>
              </w:r>
            </w:hyperlink>
          </w:p>
        </w:tc>
        <w:tc>
          <w:tcPr>
            <w:tcW w:w="1380" w:type="dxa"/>
            <w:vAlign w:val="bottom"/>
            <w:gridSpan w:val="4"/>
          </w:tcPr>
          <w:p>
            <w:pPr>
              <w:spacing w:after="0"/>
              <w:rPr>
                <w:sz w:val="24"/>
                <w:szCs w:val="24"/>
                <w:color w:val="auto"/>
              </w:rPr>
            </w:pPr>
          </w:p>
        </w:tc>
        <w:tc>
          <w:tcPr>
            <w:tcW w:w="560" w:type="dxa"/>
            <w:vAlign w:val="bottom"/>
          </w:tcPr>
          <w:p>
            <w:pPr>
              <w:spacing w:after="0"/>
              <w:rPr>
                <w:rFonts w:ascii="Arial" w:cs="Arial" w:eastAsia="Arial" w:hAnsi="Arial"/>
                <w:sz w:val="12"/>
                <w:szCs w:val="12"/>
                <w:color w:val="0000FF"/>
                <w:w w:val="98"/>
              </w:rPr>
            </w:pPr>
            <w:hyperlink w:anchor="page52">
              <w:r>
                <w:rPr>
                  <w:rFonts w:ascii="Arial" w:cs="Arial" w:eastAsia="Arial" w:hAnsi="Arial"/>
                  <w:sz w:val="12"/>
                  <w:szCs w:val="12"/>
                  <w:color w:val="0000FF"/>
                  <w:w w:val="98"/>
                </w:rPr>
                <w:t>EXHIBITS</w:t>
              </w:r>
            </w:hyperlink>
          </w:p>
        </w:tc>
        <w:tc>
          <w:tcPr>
            <w:tcW w:w="700" w:type="dxa"/>
            <w:vAlign w:val="bottom"/>
            <w:gridSpan w:val="2"/>
          </w:tcPr>
          <w:p>
            <w:pPr>
              <w:spacing w:after="0"/>
              <w:rPr>
                <w:sz w:val="24"/>
                <w:szCs w:val="24"/>
                <w:color w:val="auto"/>
              </w:rPr>
            </w:pPr>
          </w:p>
        </w:tc>
        <w:tc>
          <w:tcPr>
            <w:tcW w:w="6540" w:type="dxa"/>
            <w:vAlign w:val="bottom"/>
            <w:gridSpan w:val="14"/>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gridSpan w:val="3"/>
          </w:tcPr>
          <w:p>
            <w:pPr>
              <w:jc w:val="center"/>
              <w:ind w:right="360"/>
              <w:spacing w:after="0"/>
              <w:rPr>
                <w:rFonts w:ascii="Arial" w:cs="Arial" w:eastAsia="Arial" w:hAnsi="Arial"/>
                <w:sz w:val="12"/>
                <w:szCs w:val="12"/>
                <w:color w:val="0000FF"/>
                <w:w w:val="89"/>
              </w:rPr>
            </w:pPr>
            <w:hyperlink w:anchor="page52">
              <w:r>
                <w:rPr>
                  <w:rFonts w:ascii="Arial" w:cs="Arial" w:eastAsia="Arial" w:hAnsi="Arial"/>
                  <w:sz w:val="12"/>
                  <w:szCs w:val="12"/>
                  <w:color w:val="0000FF"/>
                  <w:w w:val="89"/>
                </w:rPr>
                <w:t>52</w:t>
              </w:r>
            </w:hyperlink>
          </w:p>
        </w:tc>
      </w:tr>
      <w:tr>
        <w:trPr>
          <w:trHeight w:val="20"/>
        </w:trPr>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7"/>
        </w:trPr>
        <w:tc>
          <w:tcPr>
            <w:tcW w:w="1780" w:type="dxa"/>
            <w:vAlign w:val="bottom"/>
            <w:gridSpan w:val="5"/>
          </w:tcPr>
          <w:p>
            <w:pPr>
              <w:spacing w:after="0"/>
              <w:rPr>
                <w:rFonts w:ascii="Arial" w:cs="Arial" w:eastAsia="Arial" w:hAnsi="Arial"/>
                <w:sz w:val="12"/>
                <w:szCs w:val="12"/>
                <w:color w:val="0000FF"/>
              </w:rPr>
            </w:pPr>
            <w:hyperlink w:anchor="page53">
              <w:r>
                <w:rPr>
                  <w:rFonts w:ascii="Arial" w:cs="Arial" w:eastAsia="Arial" w:hAnsi="Arial"/>
                  <w:sz w:val="12"/>
                  <w:szCs w:val="12"/>
                  <w:color w:val="0000FF"/>
                </w:rPr>
                <w:t>SIGNATURE</w:t>
              </w:r>
            </w:hyperlink>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20" w:type="dxa"/>
            <w:vAlign w:val="bottom"/>
            <w:gridSpan w:val="4"/>
          </w:tcPr>
          <w:p>
            <w:pPr>
              <w:jc w:val="center"/>
              <w:ind w:left="820"/>
              <w:spacing w:after="0"/>
              <w:rPr>
                <w:rFonts w:ascii="Arial" w:cs="Arial" w:eastAsia="Arial" w:hAnsi="Arial"/>
                <w:sz w:val="12"/>
                <w:szCs w:val="12"/>
                <w:color w:val="0000FF"/>
                <w:w w:val="89"/>
              </w:rPr>
            </w:pPr>
            <w:hyperlink w:anchor="page53">
              <w:r>
                <w:rPr>
                  <w:rFonts w:ascii="Arial" w:cs="Arial" w:eastAsia="Arial" w:hAnsi="Arial"/>
                  <w:sz w:val="12"/>
                  <w:szCs w:val="12"/>
                  <w:color w:val="0000FF"/>
                  <w:w w:val="89"/>
                </w:rPr>
                <w:t>53</w:t>
              </w:r>
            </w:hyperlink>
          </w:p>
        </w:tc>
      </w:tr>
      <w:tr>
        <w:trPr>
          <w:trHeight w:val="748"/>
        </w:trPr>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4080" w:type="dxa"/>
            <w:vAlign w:val="bottom"/>
            <w:gridSpan w:val="10"/>
          </w:tcPr>
          <w:p>
            <w:pPr>
              <w:jc w:val="center"/>
              <w:ind w:left="3600"/>
              <w:spacing w:after="0"/>
              <w:rPr>
                <w:sz w:val="20"/>
                <w:szCs w:val="20"/>
                <w:color w:val="auto"/>
              </w:rPr>
            </w:pPr>
            <w:r>
              <w:rPr>
                <w:rFonts w:ascii="Arial" w:cs="Arial" w:eastAsia="Arial" w:hAnsi="Arial"/>
                <w:sz w:val="12"/>
                <w:szCs w:val="12"/>
                <w:color w:val="auto"/>
                <w:w w:val="89"/>
              </w:rPr>
              <w:t>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r>
      <w:tr>
        <w:trPr>
          <w:trHeight w:val="73"/>
        </w:trPr>
        <w:tc>
          <w:tcPr>
            <w:tcW w:w="4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4" w:name="page5"/>
    <w:bookmarkEnd w:id="4"/>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Gaming and Leisure Properties,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7"/>
              </w:rPr>
              <w:t>September 30,</w:t>
            </w:r>
          </w:p>
        </w:tc>
        <w:tc>
          <w:tcPr>
            <w:tcW w:w="200" w:type="dxa"/>
            <w:vAlign w:val="bottom"/>
          </w:tcPr>
          <w:p>
            <w:pPr>
              <w:spacing w:after="0"/>
              <w:rPr>
                <w:sz w:val="10"/>
                <w:szCs w:val="10"/>
                <w:color w:val="auto"/>
              </w:rPr>
            </w:pPr>
          </w:p>
        </w:tc>
        <w:tc>
          <w:tcPr>
            <w:tcW w:w="1240" w:type="dxa"/>
            <w:vAlign w:val="bottom"/>
            <w:vMerge w:val="restart"/>
          </w:tcPr>
          <w:p>
            <w:pPr>
              <w:jc w:val="right"/>
              <w:ind w:right="260"/>
              <w:spacing w:after="0"/>
              <w:rPr>
                <w:sz w:val="20"/>
                <w:szCs w:val="20"/>
                <w:color w:val="auto"/>
              </w:rPr>
            </w:pPr>
            <w:r>
              <w:rPr>
                <w:rFonts w:ascii="Arial" w:cs="Arial" w:eastAsia="Arial" w:hAnsi="Arial"/>
                <w:sz w:val="10"/>
                <w:szCs w:val="10"/>
                <w:b w:val="1"/>
                <w:bCs w:val="1"/>
                <w:color w:val="auto"/>
                <w:w w:val="99"/>
              </w:rPr>
              <w:t>December 31, 2020</w:t>
            </w:r>
          </w:p>
        </w:tc>
        <w:tc>
          <w:tcPr>
            <w:tcW w:w="0" w:type="dxa"/>
            <w:vAlign w:val="bottom"/>
          </w:tcPr>
          <w:p>
            <w:pPr>
              <w:spacing w:after="0"/>
              <w:rPr>
                <w:sz w:val="1"/>
                <w:szCs w:val="1"/>
                <w:color w:val="auto"/>
              </w:rPr>
            </w:pPr>
          </w:p>
        </w:tc>
      </w:tr>
      <w:tr>
        <w:trPr>
          <w:trHeight w:val="125"/>
        </w:trPr>
        <w:tc>
          <w:tcPr>
            <w:tcW w:w="83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0"/>
                <w:szCs w:val="10"/>
                <w:b w:val="1"/>
                <w:bCs w:val="1"/>
                <w:color w:val="auto"/>
                <w:w w:val="89"/>
              </w:rPr>
              <w:t>2021</w:t>
            </w: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center"/>
              <w:ind w:right="181"/>
              <w:spacing w:after="0"/>
              <w:rPr>
                <w:sz w:val="20"/>
                <w:szCs w:val="20"/>
                <w:color w:val="auto"/>
              </w:rPr>
            </w:pPr>
            <w:r>
              <w:rPr>
                <w:rFonts w:ascii="Arial" w:cs="Arial" w:eastAsia="Arial" w:hAnsi="Arial"/>
                <w:sz w:val="10"/>
                <w:szCs w:val="10"/>
                <w:b w:val="1"/>
                <w:bCs w:val="1"/>
                <w:color w:val="auto"/>
                <w:w w:val="88"/>
              </w:rPr>
              <w:t>(unaudited)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Real estate investments, net</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7,797,734</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7,287,158</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Property and equipment, used in operations, net</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40,085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80,618</w:t>
            </w: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Assets held for sale</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118,118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61,448</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Real estate of Tropicana Las Vegas, net</w:t>
            </w:r>
          </w:p>
        </w:tc>
        <w:tc>
          <w:tcPr>
            <w:tcW w:w="2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304,831</w:t>
            </w: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Right-of-use assets and land rights, net</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860,538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769,197</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and cash equivalents</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423,224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486,451</w:t>
            </w: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Prepaid expenses</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809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2,098</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tax assets, net</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7,774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5,690</w:t>
            </w:r>
          </w:p>
        </w:tc>
        <w:tc>
          <w:tcPr>
            <w:tcW w:w="0" w:type="dxa"/>
            <w:vAlign w:val="bottom"/>
          </w:tcPr>
          <w:p>
            <w:pPr>
              <w:spacing w:after="0"/>
              <w:rPr>
                <w:sz w:val="1"/>
                <w:szCs w:val="1"/>
                <w:color w:val="auto"/>
              </w:rPr>
            </w:pPr>
          </w:p>
        </w:tc>
      </w:tr>
      <w:tr>
        <w:trPr>
          <w:trHeight w:val="154"/>
        </w:trPr>
        <w:tc>
          <w:tcPr>
            <w:tcW w:w="83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 assets</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36,491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36,877</w:t>
            </w:r>
          </w:p>
        </w:tc>
        <w:tc>
          <w:tcPr>
            <w:tcW w:w="0" w:type="dxa"/>
            <w:vAlign w:val="bottom"/>
          </w:tcPr>
          <w:p>
            <w:pPr>
              <w:spacing w:after="0"/>
              <w:rPr>
                <w:sz w:val="1"/>
                <w:szCs w:val="1"/>
                <w:color w:val="auto"/>
              </w:rPr>
            </w:pPr>
          </w:p>
        </w:tc>
      </w:tr>
      <w:tr>
        <w:trPr>
          <w:trHeight w:val="15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9,284,773</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9,034,368</w:t>
            </w:r>
          </w:p>
        </w:tc>
        <w:tc>
          <w:tcPr>
            <w:tcW w:w="0" w:type="dxa"/>
            <w:vAlign w:val="bottom"/>
          </w:tcPr>
          <w:p>
            <w:pPr>
              <w:spacing w:after="0"/>
              <w:rPr>
                <w:sz w:val="1"/>
                <w:szCs w:val="1"/>
                <w:color w:val="auto"/>
              </w:rPr>
            </w:pPr>
          </w:p>
        </w:tc>
      </w:tr>
      <w:tr>
        <w:trPr>
          <w:trHeight w:val="127"/>
        </w:trPr>
        <w:tc>
          <w:tcPr>
            <w:tcW w:w="8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Accounts payable</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152</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375</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expenses</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w:t>
            </w: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Accrued interest</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81,440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72,285</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salaries and wages</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5,115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5,849</w:t>
            </w: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Gaming, property, and other taxes</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271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146</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taxes</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Lease liabilities</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186,481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152,203</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Long-term debt, net of unamortized debt issuance costs, bond premiums and original issuance discounts</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5,761,997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5,754,689</w:t>
            </w:r>
          </w:p>
        </w:tc>
        <w:tc>
          <w:tcPr>
            <w:tcW w:w="0" w:type="dxa"/>
            <w:vAlign w:val="bottom"/>
          </w:tcPr>
          <w:p>
            <w:pPr>
              <w:spacing w:after="0"/>
              <w:rPr>
                <w:sz w:val="1"/>
                <w:szCs w:val="1"/>
                <w:color w:val="auto"/>
              </w:rPr>
            </w:pPr>
          </w:p>
        </w:tc>
      </w:tr>
      <w:tr>
        <w:trPr>
          <w:trHeight w:val="154"/>
        </w:trPr>
        <w:tc>
          <w:tcPr>
            <w:tcW w:w="8320" w:type="dxa"/>
            <w:vAlign w:val="bottom"/>
          </w:tcPr>
          <w:p>
            <w:pPr>
              <w:ind w:left="100"/>
              <w:spacing w:after="0"/>
              <w:rPr>
                <w:sz w:val="20"/>
                <w:szCs w:val="20"/>
                <w:color w:val="auto"/>
              </w:rPr>
            </w:pPr>
            <w:r>
              <w:rPr>
                <w:rFonts w:ascii="Arial" w:cs="Arial" w:eastAsia="Arial" w:hAnsi="Arial"/>
                <w:sz w:val="12"/>
                <w:szCs w:val="12"/>
                <w:color w:val="auto"/>
              </w:rPr>
              <w:t>Deferred rental revenue</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330,517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333,061</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tax liabilities</w:t>
            </w:r>
          </w:p>
        </w:tc>
        <w:tc>
          <w:tcPr>
            <w:tcW w:w="2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w:t>
            </w:r>
          </w:p>
        </w:tc>
        <w:tc>
          <w:tcPr>
            <w:tcW w:w="0" w:type="dxa"/>
            <w:vAlign w:val="bottom"/>
          </w:tcPr>
          <w:p>
            <w:pPr>
              <w:spacing w:after="0"/>
              <w:rPr>
                <w:sz w:val="1"/>
                <w:szCs w:val="1"/>
                <w:color w:val="auto"/>
              </w:rPr>
            </w:pPr>
          </w:p>
        </w:tc>
      </w:tr>
      <w:tr>
        <w:trPr>
          <w:trHeight w:val="154"/>
        </w:trPr>
        <w:tc>
          <w:tcPr>
            <w:tcW w:w="83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 liabilities</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37,146</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39,985</w:t>
            </w:r>
          </w:p>
        </w:tc>
        <w:tc>
          <w:tcPr>
            <w:tcW w:w="0" w:type="dxa"/>
            <w:vAlign w:val="bottom"/>
          </w:tcPr>
          <w:p>
            <w:pPr>
              <w:spacing w:after="0"/>
              <w:rPr>
                <w:sz w:val="1"/>
                <w:szCs w:val="1"/>
                <w:color w:val="auto"/>
              </w:rPr>
            </w:pPr>
          </w:p>
        </w:tc>
      </w:tr>
      <w:tr>
        <w:trPr>
          <w:trHeight w:val="143"/>
        </w:trPr>
        <w:tc>
          <w:tcPr>
            <w:tcW w:w="8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liabilities</w:t>
            </w:r>
          </w:p>
        </w:tc>
        <w:tc>
          <w:tcPr>
            <w:tcW w:w="2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6,407,034</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6,359,350</w:t>
            </w:r>
          </w:p>
        </w:tc>
        <w:tc>
          <w:tcPr>
            <w:tcW w:w="0" w:type="dxa"/>
            <w:vAlign w:val="bottom"/>
          </w:tcPr>
          <w:p>
            <w:pPr>
              <w:spacing w:after="0"/>
              <w:rPr>
                <w:sz w:val="1"/>
                <w:szCs w:val="1"/>
                <w:color w:val="auto"/>
              </w:rPr>
            </w:pPr>
          </w:p>
        </w:tc>
      </w:tr>
      <w:tr>
        <w:trPr>
          <w:trHeight w:val="125"/>
        </w:trPr>
        <w:tc>
          <w:tcPr>
            <w:tcW w:w="8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Commitments and Contingencies (Note 10)</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8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Shareholders’ equity</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8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Preferred stock ($.01 par value, 50,000,000 shares authorized, no shares issued or outstanding at September 30, 2021 and December 31, 2020)</w:t>
            </w:r>
          </w:p>
        </w:tc>
        <w:tc>
          <w:tcPr>
            <w:tcW w:w="2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320" w:type="dxa"/>
            <w:vAlign w:val="bottom"/>
          </w:tcPr>
          <w:p>
            <w:pPr>
              <w:ind w:left="260"/>
              <w:spacing w:after="0" w:line="118" w:lineRule="exact"/>
              <w:rPr>
                <w:sz w:val="20"/>
                <w:szCs w:val="20"/>
                <w:color w:val="auto"/>
              </w:rPr>
            </w:pPr>
            <w:r>
              <w:rPr>
                <w:rFonts w:ascii="Arial" w:cs="Arial" w:eastAsia="Arial" w:hAnsi="Arial"/>
                <w:sz w:val="12"/>
                <w:szCs w:val="12"/>
                <w:color w:val="auto"/>
                <w:w w:val="89"/>
              </w:rPr>
              <w:t>Common stock ($.01 par value, 500,000,000 shares authorized, 237,976,150 and 232,452,220 shares issued and outstanding at September 30, 2021 and December 31,</w:t>
            </w:r>
          </w:p>
        </w:tc>
        <w:tc>
          <w:tcPr>
            <w:tcW w:w="24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2"/>
                <w:szCs w:val="12"/>
                <w:color w:val="auto"/>
              </w:rPr>
              <w:t>2,380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2"/>
                <w:szCs w:val="12"/>
                <w:color w:val="auto"/>
              </w:rPr>
              <w:t>2,325</w:t>
            </w:r>
          </w:p>
        </w:tc>
        <w:tc>
          <w:tcPr>
            <w:tcW w:w="0" w:type="dxa"/>
            <w:vAlign w:val="bottom"/>
          </w:tcPr>
          <w:p>
            <w:pPr>
              <w:spacing w:after="0"/>
              <w:rPr>
                <w:sz w:val="1"/>
                <w:szCs w:val="1"/>
                <w:color w:val="auto"/>
              </w:rPr>
            </w:pPr>
          </w:p>
        </w:tc>
      </w:tr>
      <w:tr>
        <w:trPr>
          <w:trHeight w:val="153"/>
        </w:trPr>
        <w:tc>
          <w:tcPr>
            <w:tcW w:w="8320" w:type="dxa"/>
            <w:vAlign w:val="bottom"/>
          </w:tcPr>
          <w:p>
            <w:pPr>
              <w:ind w:left="260"/>
              <w:spacing w:after="0"/>
              <w:rPr>
                <w:sz w:val="20"/>
                <w:szCs w:val="20"/>
                <w:color w:val="auto"/>
              </w:rPr>
            </w:pPr>
            <w:r>
              <w:rPr>
                <w:rFonts w:ascii="Arial" w:cs="Arial" w:eastAsia="Arial" w:hAnsi="Arial"/>
                <w:sz w:val="12"/>
                <w:szCs w:val="12"/>
                <w:color w:val="auto"/>
              </w:rPr>
              <w:t>2020, respectively)</w:t>
            </w:r>
          </w:p>
        </w:tc>
        <w:tc>
          <w:tcPr>
            <w:tcW w:w="2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Additional paid-in capital</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4,541,158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4,284,789</w:t>
            </w:r>
          </w:p>
        </w:tc>
        <w:tc>
          <w:tcPr>
            <w:tcW w:w="0" w:type="dxa"/>
            <w:vAlign w:val="bottom"/>
          </w:tcPr>
          <w:p>
            <w:pPr>
              <w:spacing w:after="0"/>
              <w:rPr>
                <w:sz w:val="1"/>
                <w:szCs w:val="1"/>
                <w:color w:val="auto"/>
              </w:rPr>
            </w:pPr>
          </w:p>
        </w:tc>
      </w:tr>
      <w:tr>
        <w:trPr>
          <w:trHeight w:val="154"/>
        </w:trPr>
        <w:tc>
          <w:tcPr>
            <w:tcW w:w="83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Accumulated deficit</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(1,665,799)</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(1,612,096)</w:t>
            </w:r>
          </w:p>
        </w:tc>
        <w:tc>
          <w:tcPr>
            <w:tcW w:w="0" w:type="dxa"/>
            <w:vAlign w:val="bottom"/>
          </w:tcPr>
          <w:p>
            <w:pPr>
              <w:spacing w:after="0"/>
              <w:rPr>
                <w:sz w:val="1"/>
                <w:szCs w:val="1"/>
                <w:color w:val="auto"/>
              </w:rPr>
            </w:pPr>
          </w:p>
        </w:tc>
      </w:tr>
      <w:tr>
        <w:trPr>
          <w:trHeight w:val="143"/>
        </w:trPr>
        <w:tc>
          <w:tcPr>
            <w:tcW w:w="8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shareholders’ equity</w:t>
            </w:r>
          </w:p>
        </w:tc>
        <w:tc>
          <w:tcPr>
            <w:tcW w:w="2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2,877,739</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2,675,018</w:t>
            </w:r>
          </w:p>
        </w:tc>
        <w:tc>
          <w:tcPr>
            <w:tcW w:w="0" w:type="dxa"/>
            <w:vAlign w:val="bottom"/>
          </w:tcPr>
          <w:p>
            <w:pPr>
              <w:spacing w:after="0"/>
              <w:rPr>
                <w:sz w:val="1"/>
                <w:szCs w:val="1"/>
                <w:color w:val="auto"/>
              </w:rPr>
            </w:pPr>
          </w:p>
        </w:tc>
      </w:tr>
      <w:tr>
        <w:trPr>
          <w:trHeight w:val="143"/>
        </w:trPr>
        <w:tc>
          <w:tcPr>
            <w:tcW w:w="8320" w:type="dxa"/>
            <w:vAlign w:val="bottom"/>
          </w:tcPr>
          <w:p>
            <w:pPr>
              <w:ind w:left="20"/>
              <w:spacing w:after="0"/>
              <w:rPr>
                <w:sz w:val="20"/>
                <w:szCs w:val="20"/>
                <w:color w:val="auto"/>
              </w:rPr>
            </w:pPr>
            <w:r>
              <w:rPr>
                <w:rFonts w:ascii="Arial" w:cs="Arial" w:eastAsia="Arial" w:hAnsi="Arial"/>
                <w:sz w:val="12"/>
                <w:szCs w:val="12"/>
                <w:b w:val="1"/>
                <w:bCs w:val="1"/>
                <w:color w:val="auto"/>
              </w:rPr>
              <w:t>Total liabilities and shareholders’ equity</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9,284,773</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9,034,368</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5" w:name="page6"/>
    <w:bookmarkEnd w:id="5"/>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Gaming and Leisure Properties,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per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5340" w:type="dxa"/>
            <w:vAlign w:val="bottom"/>
          </w:tcPr>
          <w:p>
            <w:pPr>
              <w:spacing w:after="0"/>
              <w:rPr>
                <w:sz w:val="11"/>
                <w:szCs w:val="11"/>
                <w:color w:val="auto"/>
              </w:rPr>
            </w:pPr>
          </w:p>
        </w:tc>
        <w:tc>
          <w:tcPr>
            <w:tcW w:w="238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0"/>
                <w:szCs w:val="10"/>
                <w:b w:val="1"/>
                <w:bCs w:val="1"/>
                <w:color w:val="auto"/>
              </w:rPr>
              <w:t>Three Months Ended September 30,</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0"/>
                <w:szCs w:val="10"/>
                <w:b w:val="1"/>
                <w:bCs w:val="1"/>
                <w:color w:val="auto"/>
              </w:rPr>
              <w:t>Nine Months Ended September 30,</w:t>
            </w:r>
          </w:p>
        </w:tc>
      </w:tr>
      <w:tr>
        <w:trPr>
          <w:trHeight w:val="118"/>
        </w:trPr>
        <w:tc>
          <w:tcPr>
            <w:tcW w:w="534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rPr>
              <w:t>2020</w:t>
            </w:r>
          </w:p>
        </w:tc>
      </w:tr>
      <w:tr>
        <w:trPr>
          <w:trHeight w:val="135"/>
        </w:trPr>
        <w:tc>
          <w:tcPr>
            <w:tcW w:w="53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Revenues</w:t>
            </w: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54"/>
        </w:trPr>
        <w:tc>
          <w:tcPr>
            <w:tcW w:w="5340" w:type="dxa"/>
            <w:vAlign w:val="bottom"/>
          </w:tcPr>
          <w:p>
            <w:pPr>
              <w:ind w:left="80"/>
              <w:spacing w:after="0"/>
              <w:rPr>
                <w:sz w:val="20"/>
                <w:szCs w:val="20"/>
                <w:color w:val="auto"/>
              </w:rPr>
            </w:pPr>
            <w:r>
              <w:rPr>
                <w:rFonts w:ascii="Arial" w:cs="Arial" w:eastAsia="Arial" w:hAnsi="Arial"/>
                <w:sz w:val="12"/>
                <w:szCs w:val="12"/>
                <w:color w:val="auto"/>
              </w:rPr>
              <w:t>Rental income</w:t>
            </w:r>
          </w:p>
        </w:tc>
        <w:tc>
          <w:tcPr>
            <w:tcW w:w="860" w:type="dxa"/>
            <w:vAlign w:val="bottom"/>
          </w:tcPr>
          <w:p>
            <w:pPr>
              <w:jc w:val="right"/>
              <w:ind w:right="724"/>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283,253</w:t>
            </w:r>
          </w:p>
        </w:tc>
        <w:tc>
          <w:tcPr>
            <w:tcW w:w="100" w:type="dxa"/>
            <w:vAlign w:val="bottom"/>
          </w:tcPr>
          <w:p>
            <w:pPr>
              <w:spacing w:after="0"/>
              <w:rPr>
                <w:sz w:val="13"/>
                <w:szCs w:val="13"/>
                <w:color w:val="auto"/>
              </w:rPr>
            </w:pPr>
          </w:p>
        </w:tc>
        <w:tc>
          <w:tcPr>
            <w:tcW w:w="900" w:type="dxa"/>
            <w:vAlign w:val="bottom"/>
          </w:tcPr>
          <w:p>
            <w:pPr>
              <w:jc w:val="right"/>
              <w:ind w:right="76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267,555</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821,197</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762,711</w:t>
            </w:r>
          </w:p>
        </w:tc>
      </w:tr>
      <w:tr>
        <w:trPr>
          <w:trHeight w:val="154"/>
        </w:trPr>
        <w:tc>
          <w:tcPr>
            <w:tcW w:w="5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income from real estate loans</w:t>
            </w:r>
          </w:p>
        </w:tc>
        <w:tc>
          <w:tcPr>
            <w:tcW w:w="8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19,130</w:t>
            </w:r>
          </w:p>
        </w:tc>
      </w:tr>
      <w:tr>
        <w:trPr>
          <w:trHeight w:val="143"/>
        </w:trPr>
        <w:tc>
          <w:tcPr>
            <w:tcW w:w="5340" w:type="dxa"/>
            <w:vAlign w:val="bottom"/>
          </w:tcPr>
          <w:p>
            <w:pPr>
              <w:spacing w:after="0"/>
              <w:rPr>
                <w:sz w:val="20"/>
                <w:szCs w:val="20"/>
                <w:color w:val="auto"/>
              </w:rPr>
            </w:pPr>
            <w:r>
              <w:rPr>
                <w:rFonts w:ascii="Arial" w:cs="Arial" w:eastAsia="Arial" w:hAnsi="Arial"/>
                <w:sz w:val="12"/>
                <w:szCs w:val="12"/>
                <w:color w:val="auto"/>
              </w:rPr>
              <w:t>Total income from real estate</w:t>
            </w:r>
          </w:p>
        </w:tc>
        <w:tc>
          <w:tcPr>
            <w:tcW w:w="8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283,253</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273,129</w:t>
            </w: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821,197</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781,841</w:t>
            </w:r>
          </w:p>
        </w:tc>
      </w:tr>
      <w:tr>
        <w:trPr>
          <w:trHeight w:val="154"/>
        </w:trPr>
        <w:tc>
          <w:tcPr>
            <w:tcW w:w="5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Gaming, food, beverage and other</w:t>
            </w:r>
          </w:p>
        </w:tc>
        <w:tc>
          <w:tcPr>
            <w:tcW w:w="8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15,459</w:t>
            </w:r>
          </w:p>
        </w:tc>
        <w:tc>
          <w:tcPr>
            <w:tcW w:w="1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34,425</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96,819</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71,163</w:t>
            </w:r>
          </w:p>
        </w:tc>
      </w:tr>
      <w:tr>
        <w:trPr>
          <w:trHeight w:val="143"/>
        </w:trPr>
        <w:tc>
          <w:tcPr>
            <w:tcW w:w="5340" w:type="dxa"/>
            <w:vAlign w:val="bottom"/>
          </w:tcPr>
          <w:p>
            <w:pPr>
              <w:spacing w:after="0"/>
              <w:rPr>
                <w:sz w:val="20"/>
                <w:szCs w:val="20"/>
                <w:color w:val="auto"/>
              </w:rPr>
            </w:pPr>
            <w:r>
              <w:rPr>
                <w:rFonts w:ascii="Arial" w:cs="Arial" w:eastAsia="Arial" w:hAnsi="Arial"/>
                <w:sz w:val="12"/>
                <w:szCs w:val="12"/>
                <w:color w:val="auto"/>
              </w:rPr>
              <w:t>Total revenues</w:t>
            </w:r>
          </w:p>
        </w:tc>
        <w:tc>
          <w:tcPr>
            <w:tcW w:w="8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298,712</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307,554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918,016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853,004</w:t>
            </w:r>
          </w:p>
        </w:tc>
      </w:tr>
      <w:tr>
        <w:trPr>
          <w:trHeight w:val="145"/>
        </w:trPr>
        <w:tc>
          <w:tcPr>
            <w:tcW w:w="5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54"/>
        </w:trPr>
        <w:tc>
          <w:tcPr>
            <w:tcW w:w="534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4"/>
        </w:trPr>
        <w:tc>
          <w:tcPr>
            <w:tcW w:w="5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Gaming, food, beverage and other</w:t>
            </w: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5,766</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18,175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48,074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39,536</w:t>
            </w:r>
          </w:p>
        </w:tc>
      </w:tr>
      <w:tr>
        <w:trPr>
          <w:trHeight w:val="154"/>
        </w:trPr>
        <w:tc>
          <w:tcPr>
            <w:tcW w:w="5340" w:type="dxa"/>
            <w:vAlign w:val="bottom"/>
          </w:tcPr>
          <w:p>
            <w:pPr>
              <w:ind w:left="80"/>
              <w:spacing w:after="0"/>
              <w:rPr>
                <w:sz w:val="20"/>
                <w:szCs w:val="20"/>
                <w:color w:val="auto"/>
              </w:rPr>
            </w:pPr>
            <w:r>
              <w:rPr>
                <w:rFonts w:ascii="Arial" w:cs="Arial" w:eastAsia="Arial" w:hAnsi="Arial"/>
                <w:sz w:val="12"/>
                <w:szCs w:val="12"/>
                <w:color w:val="auto"/>
              </w:rPr>
              <w:t>Land rights and ground lease expense</w:t>
            </w:r>
          </w:p>
        </w:tc>
        <w:tc>
          <w:tcPr>
            <w:tcW w:w="8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9,414</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8,084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24,338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21,943</w:t>
            </w:r>
          </w:p>
        </w:tc>
      </w:tr>
      <w:tr>
        <w:trPr>
          <w:trHeight w:val="154"/>
        </w:trPr>
        <w:tc>
          <w:tcPr>
            <w:tcW w:w="5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General and administrative</w:t>
            </w: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13,066</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22,510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45,969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51,728</w:t>
            </w:r>
          </w:p>
        </w:tc>
      </w:tr>
      <w:tr>
        <w:trPr>
          <w:trHeight w:val="154"/>
        </w:trPr>
        <w:tc>
          <w:tcPr>
            <w:tcW w:w="5340" w:type="dxa"/>
            <w:vAlign w:val="bottom"/>
          </w:tcPr>
          <w:p>
            <w:pPr>
              <w:ind w:left="80"/>
              <w:spacing w:after="0"/>
              <w:rPr>
                <w:sz w:val="20"/>
                <w:szCs w:val="20"/>
                <w:color w:val="auto"/>
              </w:rPr>
            </w:pPr>
            <w:r>
              <w:rPr>
                <w:rFonts w:ascii="Arial" w:cs="Arial" w:eastAsia="Arial" w:hAnsi="Arial"/>
                <w:sz w:val="12"/>
                <w:szCs w:val="12"/>
                <w:color w:val="auto"/>
              </w:rPr>
              <w:t>(Gains) losses from dispositions</w:t>
            </w:r>
          </w:p>
        </w:tc>
        <w:tc>
          <w:tcPr>
            <w:tcW w:w="8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(14,815)</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(14,722)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54"/>
        </w:trPr>
        <w:tc>
          <w:tcPr>
            <w:tcW w:w="5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Depreciation</w:t>
            </w:r>
          </w:p>
        </w:tc>
        <w:tc>
          <w:tcPr>
            <w:tcW w:w="8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60,182</w:t>
            </w:r>
          </w:p>
        </w:tc>
        <w:tc>
          <w:tcPr>
            <w:tcW w:w="1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58,080</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177,033</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172,033</w:t>
            </w:r>
          </w:p>
        </w:tc>
      </w:tr>
      <w:tr>
        <w:trPr>
          <w:trHeight w:val="143"/>
        </w:trPr>
        <w:tc>
          <w:tcPr>
            <w:tcW w:w="53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operating expenses</w:t>
            </w: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73,613</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106,853</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280,692</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285,237</w:t>
            </w:r>
          </w:p>
        </w:tc>
      </w:tr>
      <w:tr>
        <w:trPr>
          <w:trHeight w:val="143"/>
        </w:trPr>
        <w:tc>
          <w:tcPr>
            <w:tcW w:w="5340" w:type="dxa"/>
            <w:vAlign w:val="bottom"/>
            <w:shd w:val="clear" w:color="auto" w:fill="CCEEFF"/>
          </w:tcPr>
          <w:p>
            <w:pPr>
              <w:spacing w:after="0"/>
              <w:rPr>
                <w:sz w:val="20"/>
                <w:szCs w:val="20"/>
                <w:color w:val="auto"/>
              </w:rPr>
            </w:pPr>
            <w:r>
              <w:rPr>
                <w:rFonts w:ascii="Arial" w:cs="Arial" w:eastAsia="Arial" w:hAnsi="Arial"/>
                <w:sz w:val="12"/>
                <w:szCs w:val="12"/>
                <w:color w:val="auto"/>
              </w:rPr>
              <w:t>Income from operations</w:t>
            </w:r>
          </w:p>
        </w:tc>
        <w:tc>
          <w:tcPr>
            <w:tcW w:w="8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225,099</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200,701</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637,324</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567,767</w:t>
            </w:r>
          </w:p>
        </w:tc>
      </w:tr>
      <w:tr>
        <w:trPr>
          <w:trHeight w:val="125"/>
        </w:trPr>
        <w:tc>
          <w:tcPr>
            <w:tcW w:w="5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54"/>
        </w:trPr>
        <w:tc>
          <w:tcPr>
            <w:tcW w:w="5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income (expenses)</w:t>
            </w: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4"/>
        </w:trPr>
        <w:tc>
          <w:tcPr>
            <w:tcW w:w="534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8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(70,432)</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(70,179)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(211,258)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(211,657)</w:t>
            </w:r>
          </w:p>
        </w:tc>
      </w:tr>
      <w:tr>
        <w:trPr>
          <w:trHeight w:val="154"/>
        </w:trPr>
        <w:tc>
          <w:tcPr>
            <w:tcW w:w="5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income</w:t>
            </w: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w:t>
            </w:r>
          </w:p>
        </w:tc>
      </w:tr>
      <w:tr>
        <w:trPr>
          <w:trHeight w:val="154"/>
        </w:trPr>
        <w:tc>
          <w:tcPr>
            <w:tcW w:w="5340" w:type="dxa"/>
            <w:vAlign w:val="bottom"/>
          </w:tcPr>
          <w:p>
            <w:pPr>
              <w:ind w:left="60"/>
              <w:spacing w:after="0"/>
              <w:rPr>
                <w:sz w:val="20"/>
                <w:szCs w:val="20"/>
                <w:color w:val="auto"/>
              </w:rPr>
            </w:pPr>
            <w:r>
              <w:rPr>
                <w:rFonts w:ascii="Arial" w:cs="Arial" w:eastAsia="Arial" w:hAnsi="Arial"/>
                <w:sz w:val="12"/>
                <w:szCs w:val="12"/>
                <w:color w:val="auto"/>
              </w:rPr>
              <w:t>Losses on debt extinguishment</w:t>
            </w:r>
          </w:p>
        </w:tc>
        <w:tc>
          <w:tcPr>
            <w:tcW w:w="8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(779)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(18,113)</w:t>
            </w:r>
          </w:p>
        </w:tc>
      </w:tr>
      <w:tr>
        <w:trPr>
          <w:trHeight w:val="143"/>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other expenses</w:t>
            </w: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(70,426)</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(70,936)</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(211,074)</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(229,279)</w:t>
            </w:r>
          </w:p>
        </w:tc>
      </w:tr>
      <w:tr>
        <w:trPr>
          <w:trHeight w:val="152"/>
        </w:trPr>
        <w:tc>
          <w:tcPr>
            <w:tcW w:w="5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4"/>
        </w:trPr>
        <w:tc>
          <w:tcPr>
            <w:tcW w:w="5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Income before income taxes</w:t>
            </w: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154,673</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129,765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426,250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338,488</w:t>
            </w:r>
          </w:p>
        </w:tc>
      </w:tr>
      <w:tr>
        <w:trPr>
          <w:trHeight w:val="154"/>
        </w:trPr>
        <w:tc>
          <w:tcPr>
            <w:tcW w:w="53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provision</w:t>
            </w: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5,614</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11,791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2,118</w:t>
            </w:r>
          </w:p>
        </w:tc>
      </w:tr>
      <w:tr>
        <w:trPr>
          <w:trHeight w:val="159"/>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income</w:t>
            </w:r>
          </w:p>
        </w:tc>
        <w:tc>
          <w:tcPr>
            <w:tcW w:w="86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149,059</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127,126</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414,459</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336,370</w:t>
            </w:r>
          </w:p>
        </w:tc>
      </w:tr>
      <w:tr>
        <w:trPr>
          <w:trHeight w:val="154"/>
        </w:trPr>
        <w:tc>
          <w:tcPr>
            <w:tcW w:w="5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4"/>
        </w:trPr>
        <w:tc>
          <w:tcPr>
            <w:tcW w:w="5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 per common share:</w:t>
            </w: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4"/>
        </w:trPr>
        <w:tc>
          <w:tcPr>
            <w:tcW w:w="5340" w:type="dxa"/>
            <w:vAlign w:val="bottom"/>
          </w:tcPr>
          <w:p>
            <w:pPr>
              <w:spacing w:after="0"/>
              <w:rPr>
                <w:sz w:val="20"/>
                <w:szCs w:val="20"/>
                <w:color w:val="auto"/>
              </w:rPr>
            </w:pPr>
            <w:r>
              <w:rPr>
                <w:rFonts w:ascii="Arial" w:cs="Arial" w:eastAsia="Arial" w:hAnsi="Arial"/>
                <w:sz w:val="12"/>
                <w:szCs w:val="12"/>
                <w:color w:val="auto"/>
              </w:rPr>
              <w:t>Basic earnings per common share</w:t>
            </w:r>
          </w:p>
        </w:tc>
        <w:tc>
          <w:tcPr>
            <w:tcW w:w="860" w:type="dxa"/>
            <w:vAlign w:val="bottom"/>
          </w:tcPr>
          <w:p>
            <w:pPr>
              <w:jc w:val="right"/>
              <w:ind w:right="724"/>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0.63</w:t>
            </w:r>
          </w:p>
        </w:tc>
        <w:tc>
          <w:tcPr>
            <w:tcW w:w="100" w:type="dxa"/>
            <w:vAlign w:val="bottom"/>
          </w:tcPr>
          <w:p>
            <w:pPr>
              <w:spacing w:after="0"/>
              <w:rPr>
                <w:sz w:val="13"/>
                <w:szCs w:val="13"/>
                <w:color w:val="auto"/>
              </w:rPr>
            </w:pPr>
          </w:p>
        </w:tc>
        <w:tc>
          <w:tcPr>
            <w:tcW w:w="900" w:type="dxa"/>
            <w:vAlign w:val="bottom"/>
          </w:tcPr>
          <w:p>
            <w:pPr>
              <w:jc w:val="right"/>
              <w:ind w:right="76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0.58</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1.77</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1.55</w:t>
            </w:r>
          </w:p>
        </w:tc>
      </w:tr>
      <w:tr>
        <w:trPr>
          <w:trHeight w:val="154"/>
        </w:trPr>
        <w:tc>
          <w:tcPr>
            <w:tcW w:w="5340" w:type="dxa"/>
            <w:vAlign w:val="bottom"/>
            <w:shd w:val="clear" w:color="auto" w:fill="CCEEFF"/>
          </w:tcPr>
          <w:p>
            <w:pPr>
              <w:spacing w:after="0"/>
              <w:rPr>
                <w:sz w:val="20"/>
                <w:szCs w:val="20"/>
                <w:color w:val="auto"/>
              </w:rPr>
            </w:pPr>
            <w:r>
              <w:rPr>
                <w:rFonts w:ascii="Arial" w:cs="Arial" w:eastAsia="Arial" w:hAnsi="Arial"/>
                <w:sz w:val="12"/>
                <w:szCs w:val="12"/>
                <w:color w:val="auto"/>
              </w:rPr>
              <w:t>Diluted earnings per common share</w:t>
            </w:r>
          </w:p>
        </w:tc>
        <w:tc>
          <w:tcPr>
            <w:tcW w:w="860" w:type="dxa"/>
            <w:vAlign w:val="bottom"/>
            <w:shd w:val="clear" w:color="auto" w:fill="CCEEFF"/>
          </w:tcPr>
          <w:p>
            <w:pPr>
              <w:jc w:val="right"/>
              <w:ind w:right="724"/>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0.63</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62"/>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6" w:name="page7"/>
    <w:bookmarkEnd w:id="6"/>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Gaming and Leisure Properties,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Changes in Shareholders’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060" w:type="dxa"/>
            <w:vAlign w:val="bottom"/>
          </w:tcPr>
          <w:p>
            <w:pPr>
              <w:spacing w:after="0"/>
              <w:rPr>
                <w:sz w:val="10"/>
                <w:szCs w:val="10"/>
                <w:color w:val="auto"/>
              </w:rPr>
            </w:pPr>
          </w:p>
        </w:tc>
        <w:tc>
          <w:tcPr>
            <w:tcW w:w="184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Common Stock</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Additional</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82"/>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36"/>
        </w:trPr>
        <w:tc>
          <w:tcPr>
            <w:tcW w:w="406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restart"/>
          </w:tcPr>
          <w:p>
            <w:pPr>
              <w:jc w:val="center"/>
              <w:ind w:right="360"/>
              <w:spacing w:after="0" w:line="91" w:lineRule="exact"/>
              <w:rPr>
                <w:sz w:val="20"/>
                <w:szCs w:val="20"/>
                <w:color w:val="auto"/>
              </w:rPr>
            </w:pPr>
            <w:r>
              <w:rPr>
                <w:rFonts w:ascii="Arial" w:cs="Arial" w:eastAsia="Arial" w:hAnsi="Arial"/>
                <w:sz w:val="10"/>
                <w:szCs w:val="10"/>
                <w:b w:val="1"/>
                <w:bCs w:val="1"/>
                <w:color w:val="auto"/>
                <w:w w:val="95"/>
              </w:rPr>
              <w:t>Paid-In</w:t>
            </w:r>
          </w:p>
        </w:tc>
        <w:tc>
          <w:tcPr>
            <w:tcW w:w="240" w:type="dxa"/>
            <w:vAlign w:val="bottom"/>
          </w:tcPr>
          <w:p>
            <w:pPr>
              <w:spacing w:after="0"/>
              <w:rPr>
                <w:sz w:val="3"/>
                <w:szCs w:val="3"/>
                <w:color w:val="auto"/>
              </w:rPr>
            </w:pPr>
          </w:p>
        </w:tc>
        <w:tc>
          <w:tcPr>
            <w:tcW w:w="1240" w:type="dxa"/>
            <w:vAlign w:val="bottom"/>
            <w:gridSpan w:val="2"/>
            <w:vMerge w:val="restart"/>
          </w:tcPr>
          <w:p>
            <w:pPr>
              <w:jc w:val="center"/>
              <w:ind w:right="340"/>
              <w:spacing w:after="0" w:line="91" w:lineRule="exact"/>
              <w:rPr>
                <w:sz w:val="20"/>
                <w:szCs w:val="20"/>
                <w:color w:val="auto"/>
              </w:rPr>
            </w:pPr>
            <w:r>
              <w:rPr>
                <w:rFonts w:ascii="Arial" w:cs="Arial" w:eastAsia="Arial" w:hAnsi="Arial"/>
                <w:sz w:val="10"/>
                <w:szCs w:val="10"/>
                <w:b w:val="1"/>
                <w:bCs w:val="1"/>
                <w:color w:val="auto"/>
                <w:w w:val="85"/>
              </w:rPr>
              <w:t>Accumulated</w:t>
            </w:r>
          </w:p>
        </w:tc>
        <w:tc>
          <w:tcPr>
            <w:tcW w:w="220" w:type="dxa"/>
            <w:vAlign w:val="bottom"/>
          </w:tcPr>
          <w:p>
            <w:pPr>
              <w:spacing w:after="0"/>
              <w:rPr>
                <w:sz w:val="3"/>
                <w:szCs w:val="3"/>
                <w:color w:val="auto"/>
              </w:rPr>
            </w:pPr>
          </w:p>
        </w:tc>
        <w:tc>
          <w:tcPr>
            <w:tcW w:w="1140" w:type="dxa"/>
            <w:vAlign w:val="bottom"/>
            <w:vMerge w:val="restart"/>
          </w:tcPr>
          <w:p>
            <w:pPr>
              <w:jc w:val="center"/>
              <w:ind w:right="182"/>
              <w:spacing w:after="0" w:line="91" w:lineRule="exact"/>
              <w:rPr>
                <w:sz w:val="20"/>
                <w:szCs w:val="20"/>
                <w:color w:val="auto"/>
              </w:rPr>
            </w:pPr>
            <w:r>
              <w:rPr>
                <w:rFonts w:ascii="Arial" w:cs="Arial" w:eastAsia="Arial" w:hAnsi="Arial"/>
                <w:sz w:val="10"/>
                <w:szCs w:val="10"/>
                <w:b w:val="1"/>
                <w:bCs w:val="1"/>
                <w:color w:val="auto"/>
                <w:w w:val="86"/>
              </w:rPr>
              <w:t>Shareholders’</w:t>
            </w:r>
          </w:p>
        </w:tc>
        <w:tc>
          <w:tcPr>
            <w:tcW w:w="0" w:type="dxa"/>
            <w:vAlign w:val="bottom"/>
          </w:tcPr>
          <w:p>
            <w:pPr>
              <w:spacing w:after="0"/>
              <w:rPr>
                <w:sz w:val="1"/>
                <w:szCs w:val="1"/>
                <w:color w:val="auto"/>
              </w:rPr>
            </w:pPr>
          </w:p>
        </w:tc>
      </w:tr>
      <w:tr>
        <w:trPr>
          <w:trHeight w:val="34"/>
        </w:trPr>
        <w:tc>
          <w:tcPr>
            <w:tcW w:w="4060" w:type="dxa"/>
            <w:vAlign w:val="bottom"/>
          </w:tcPr>
          <w:p>
            <w:pPr>
              <w:spacing w:after="0"/>
              <w:rPr>
                <w:sz w:val="2"/>
                <w:szCs w:val="2"/>
                <w:color w:val="auto"/>
              </w:rPr>
            </w:pPr>
          </w:p>
        </w:tc>
        <w:tc>
          <w:tcPr>
            <w:tcW w:w="1440" w:type="dxa"/>
            <w:vAlign w:val="bottom"/>
            <w:gridSpan w:val="2"/>
            <w:vMerge w:val="restart"/>
          </w:tcPr>
          <w:p>
            <w:pPr>
              <w:ind w:left="540"/>
              <w:spacing w:after="0"/>
              <w:rPr>
                <w:sz w:val="20"/>
                <w:szCs w:val="20"/>
                <w:color w:val="auto"/>
              </w:rPr>
            </w:pPr>
            <w:r>
              <w:rPr>
                <w:rFonts w:ascii="Arial" w:cs="Arial" w:eastAsia="Arial" w:hAnsi="Arial"/>
                <w:sz w:val="10"/>
                <w:szCs w:val="10"/>
                <w:b w:val="1"/>
                <w:bCs w:val="1"/>
                <w:color w:val="auto"/>
              </w:rPr>
              <w:t>Shares</w:t>
            </w:r>
          </w:p>
        </w:tc>
        <w:tc>
          <w:tcPr>
            <w:tcW w:w="400" w:type="dxa"/>
            <w:vAlign w:val="bottom"/>
          </w:tcPr>
          <w:p>
            <w:pPr>
              <w:spacing w:after="0"/>
              <w:rPr>
                <w:sz w:val="2"/>
                <w:szCs w:val="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Amount</w:t>
            </w:r>
          </w:p>
        </w:tc>
        <w:tc>
          <w:tcPr>
            <w:tcW w:w="2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406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Capital</w:t>
            </w:r>
          </w:p>
        </w:tc>
        <w:tc>
          <w:tcPr>
            <w:tcW w:w="240" w:type="dxa"/>
            <w:vAlign w:val="bottom"/>
          </w:tcPr>
          <w:p>
            <w:pPr>
              <w:spacing w:after="0"/>
              <w:rPr>
                <w:sz w:val="10"/>
                <w:szCs w:val="1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1"/>
              </w:rPr>
              <w:t>Deficit</w:t>
            </w:r>
          </w:p>
        </w:tc>
        <w:tc>
          <w:tcPr>
            <w:tcW w:w="220" w:type="dxa"/>
            <w:vAlign w:val="bottom"/>
          </w:tcPr>
          <w:p>
            <w:pPr>
              <w:spacing w:after="0"/>
              <w:rPr>
                <w:sz w:val="10"/>
                <w:szCs w:val="10"/>
                <w:color w:val="auto"/>
              </w:rPr>
            </w:pPr>
          </w:p>
        </w:tc>
        <w:tc>
          <w:tcPr>
            <w:tcW w:w="1140" w:type="dxa"/>
            <w:vAlign w:val="bottom"/>
          </w:tcPr>
          <w:p>
            <w:pPr>
              <w:jc w:val="center"/>
              <w:ind w:right="182"/>
              <w:spacing w:after="0"/>
              <w:rPr>
                <w:sz w:val="20"/>
                <w:szCs w:val="20"/>
                <w:color w:val="auto"/>
              </w:rPr>
            </w:pPr>
            <w:r>
              <w:rPr>
                <w:rFonts w:ascii="Arial" w:cs="Arial" w:eastAsia="Arial" w:hAnsi="Arial"/>
                <w:sz w:val="10"/>
                <w:szCs w:val="10"/>
                <w:b w:val="1"/>
                <w:bCs w:val="1"/>
                <w:color w:val="auto"/>
                <w:w w:val="84"/>
              </w:rPr>
              <w:t>Equity</w:t>
            </w:r>
          </w:p>
        </w:tc>
        <w:tc>
          <w:tcPr>
            <w:tcW w:w="0" w:type="dxa"/>
            <w:vAlign w:val="bottom"/>
          </w:tcPr>
          <w:p>
            <w:pPr>
              <w:spacing w:after="0"/>
              <w:rPr>
                <w:sz w:val="1"/>
                <w:szCs w:val="1"/>
                <w:color w:val="auto"/>
              </w:rPr>
            </w:pPr>
          </w:p>
        </w:tc>
      </w:tr>
      <w:tr>
        <w:trPr>
          <w:trHeight w:val="144"/>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December 31, 2020</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232,452,220</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2,325</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4,284,789</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(1,612,096)</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2,675,018</w:t>
            </w:r>
          </w:p>
        </w:tc>
        <w:tc>
          <w:tcPr>
            <w:tcW w:w="0" w:type="dxa"/>
            <w:vAlign w:val="bottom"/>
          </w:tcPr>
          <w:p>
            <w:pPr>
              <w:spacing w:after="0"/>
              <w:rPr>
                <w:sz w:val="1"/>
                <w:szCs w:val="1"/>
                <w:color w:val="auto"/>
              </w:rPr>
            </w:pPr>
          </w:p>
        </w:tc>
      </w:tr>
      <w:tr>
        <w:trPr>
          <w:trHeight w:val="118"/>
        </w:trPr>
        <w:tc>
          <w:tcPr>
            <w:tcW w:w="4060" w:type="dxa"/>
            <w:vAlign w:val="bottom"/>
          </w:tcPr>
          <w:p>
            <w:pPr>
              <w:ind w:left="120"/>
              <w:spacing w:after="0" w:line="118" w:lineRule="exact"/>
              <w:rPr>
                <w:sz w:val="20"/>
                <w:szCs w:val="20"/>
                <w:color w:val="auto"/>
              </w:rPr>
            </w:pPr>
            <w:r>
              <w:rPr>
                <w:rFonts w:ascii="Arial" w:cs="Arial" w:eastAsia="Arial" w:hAnsi="Arial"/>
                <w:sz w:val="12"/>
                <w:szCs w:val="12"/>
                <w:color w:val="auto"/>
              </w:rPr>
              <w:t>Issuance of common stock, net of</w:t>
            </w:r>
          </w:p>
        </w:tc>
        <w:tc>
          <w:tcPr>
            <w:tcW w:w="14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0"/>
                <w:szCs w:val="10"/>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(95)</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53"/>
        </w:trPr>
        <w:tc>
          <w:tcPr>
            <w:tcW w:w="4060" w:type="dxa"/>
            <w:vAlign w:val="bottom"/>
          </w:tcPr>
          <w:p>
            <w:pPr>
              <w:ind w:left="240"/>
              <w:spacing w:after="0"/>
              <w:rPr>
                <w:sz w:val="20"/>
                <w:szCs w:val="20"/>
                <w:color w:val="auto"/>
              </w:rPr>
            </w:pPr>
            <w:r>
              <w:rPr>
                <w:rFonts w:ascii="Arial" w:cs="Arial" w:eastAsia="Arial" w:hAnsi="Arial"/>
                <w:sz w:val="12"/>
                <w:szCs w:val="12"/>
                <w:color w:val="auto"/>
              </w:rPr>
              <w:t>ATM Program offering costs</w:t>
            </w:r>
          </w:p>
        </w:tc>
        <w:tc>
          <w:tcPr>
            <w:tcW w:w="144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Restricted stock activity</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329,433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(3,968)</w:t>
            </w:r>
          </w:p>
        </w:tc>
        <w:tc>
          <w:tcPr>
            <w:tcW w:w="0" w:type="dxa"/>
            <w:vAlign w:val="bottom"/>
          </w:tcPr>
          <w:p>
            <w:pPr>
              <w:spacing w:after="0"/>
              <w:rPr>
                <w:sz w:val="1"/>
                <w:szCs w:val="1"/>
                <w:color w:val="auto"/>
              </w:rPr>
            </w:pPr>
          </w:p>
        </w:tc>
      </w:tr>
      <w:tr>
        <w:trPr>
          <w:trHeight w:val="154"/>
        </w:trPr>
        <w:tc>
          <w:tcPr>
            <w:tcW w:w="4060" w:type="dxa"/>
            <w:vAlign w:val="bottom"/>
          </w:tcPr>
          <w:p>
            <w:pPr>
              <w:ind w:left="120"/>
              <w:spacing w:after="0"/>
              <w:rPr>
                <w:sz w:val="20"/>
                <w:szCs w:val="20"/>
                <w:color w:val="auto"/>
              </w:rPr>
            </w:pPr>
            <w:r>
              <w:rPr>
                <w:rFonts w:ascii="Arial" w:cs="Arial" w:eastAsia="Arial" w:hAnsi="Arial"/>
                <w:sz w:val="12"/>
                <w:szCs w:val="12"/>
                <w:color w:val="auto"/>
              </w:rPr>
              <w:t>Dividends paid ($0.65 per common share)</w:t>
            </w:r>
          </w:p>
        </w:tc>
        <w:tc>
          <w:tcPr>
            <w:tcW w:w="1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(151,496)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(151,496)</w:t>
            </w:r>
          </w:p>
        </w:tc>
        <w:tc>
          <w:tcPr>
            <w:tcW w:w="0" w:type="dxa"/>
            <w:vAlign w:val="bottom"/>
          </w:tcPr>
          <w:p>
            <w:pPr>
              <w:spacing w:after="0"/>
              <w:rPr>
                <w:sz w:val="1"/>
                <w:szCs w:val="1"/>
                <w:color w:val="auto"/>
              </w:rPr>
            </w:pPr>
          </w:p>
        </w:tc>
      </w:tr>
      <w:tr>
        <w:trPr>
          <w:trHeight w:val="154"/>
        </w:trPr>
        <w:tc>
          <w:tcPr>
            <w:tcW w:w="4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127,184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127,184</w:t>
            </w:r>
          </w:p>
        </w:tc>
        <w:tc>
          <w:tcPr>
            <w:tcW w:w="0" w:type="dxa"/>
            <w:vAlign w:val="bottom"/>
          </w:tcPr>
          <w:p>
            <w:pPr>
              <w:spacing w:after="0"/>
              <w:rPr>
                <w:sz w:val="1"/>
                <w:szCs w:val="1"/>
                <w:color w:val="auto"/>
              </w:rPr>
            </w:pPr>
          </w:p>
        </w:tc>
      </w:tr>
      <w:tr>
        <w:trPr>
          <w:trHeight w:val="143"/>
        </w:trPr>
        <w:tc>
          <w:tcPr>
            <w:tcW w:w="4060" w:type="dxa"/>
            <w:vAlign w:val="bottom"/>
          </w:tcPr>
          <w:p>
            <w:pPr>
              <w:ind w:left="20"/>
              <w:spacing w:after="0"/>
              <w:rPr>
                <w:sz w:val="20"/>
                <w:szCs w:val="20"/>
                <w:color w:val="auto"/>
              </w:rPr>
            </w:pPr>
            <w:r>
              <w:rPr>
                <w:rFonts w:ascii="Arial" w:cs="Arial" w:eastAsia="Arial" w:hAnsi="Arial"/>
                <w:sz w:val="12"/>
                <w:szCs w:val="12"/>
                <w:color w:val="auto"/>
              </w:rPr>
              <w:t>Balance, March 31, 2021</w:t>
            </w:r>
          </w:p>
        </w:tc>
        <w:tc>
          <w:tcPr>
            <w:tcW w:w="13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232,781,653</w:t>
            </w:r>
          </w:p>
        </w:tc>
        <w:tc>
          <w:tcPr>
            <w:tcW w:w="80" w:type="dxa"/>
            <w:vAlign w:val="bottom"/>
          </w:tcPr>
          <w:p>
            <w:pPr>
              <w:spacing w:after="0"/>
              <w:rPr>
                <w:sz w:val="12"/>
                <w:szCs w:val="12"/>
                <w:color w:val="auto"/>
              </w:rPr>
            </w:pPr>
          </w:p>
        </w:tc>
        <w:tc>
          <w:tcPr>
            <w:tcW w:w="400" w:type="dxa"/>
            <w:vAlign w:val="bottom"/>
            <w:tcBorders>
              <w:top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2,328</w:t>
            </w:r>
          </w:p>
        </w:tc>
        <w:tc>
          <w:tcPr>
            <w:tcW w:w="100" w:type="dxa"/>
            <w:vAlign w:val="bottom"/>
          </w:tcPr>
          <w:p>
            <w:pPr>
              <w:spacing w:after="0"/>
              <w:rPr>
                <w:sz w:val="12"/>
                <w:szCs w:val="12"/>
                <w:color w:val="auto"/>
              </w:rPr>
            </w:pPr>
          </w:p>
        </w:tc>
        <w:tc>
          <w:tcPr>
            <w:tcW w:w="260" w:type="dxa"/>
            <w:vAlign w:val="bottom"/>
            <w:tcBorders>
              <w:top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4,280,723</w:t>
            </w:r>
          </w:p>
        </w:tc>
        <w:tc>
          <w:tcPr>
            <w:tcW w:w="100" w:type="dxa"/>
            <w:vAlign w:val="bottom"/>
          </w:tcPr>
          <w:p>
            <w:pPr>
              <w:spacing w:after="0"/>
              <w:rPr>
                <w:sz w:val="12"/>
                <w:szCs w:val="12"/>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(1,636,408)</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2,646,643</w:t>
            </w:r>
          </w:p>
        </w:tc>
        <w:tc>
          <w:tcPr>
            <w:tcW w:w="0" w:type="dxa"/>
            <w:vAlign w:val="bottom"/>
          </w:tcPr>
          <w:p>
            <w:pPr>
              <w:spacing w:after="0"/>
              <w:rPr>
                <w:sz w:val="1"/>
                <w:szCs w:val="1"/>
                <w:color w:val="auto"/>
              </w:rPr>
            </w:pPr>
          </w:p>
        </w:tc>
      </w:tr>
      <w:tr>
        <w:trPr>
          <w:trHeight w:val="118"/>
        </w:trPr>
        <w:tc>
          <w:tcPr>
            <w:tcW w:w="4060" w:type="dxa"/>
            <w:vAlign w:val="bottom"/>
            <w:shd w:val="clear" w:color="auto" w:fill="CCEEFF"/>
          </w:tcPr>
          <w:p>
            <w:pPr>
              <w:ind w:left="120"/>
              <w:spacing w:after="0" w:line="118" w:lineRule="exact"/>
              <w:rPr>
                <w:sz w:val="20"/>
                <w:szCs w:val="20"/>
                <w:color w:val="auto"/>
              </w:rPr>
            </w:pPr>
            <w:r>
              <w:rPr>
                <w:rFonts w:ascii="Arial" w:cs="Arial" w:eastAsia="Arial" w:hAnsi="Arial"/>
                <w:sz w:val="12"/>
                <w:szCs w:val="12"/>
                <w:color w:val="auto"/>
              </w:rPr>
              <w:t>Issuance of common stock, net of</w:t>
            </w:r>
          </w:p>
        </w:tc>
        <w:tc>
          <w:tcPr>
            <w:tcW w:w="13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1,498,420</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70,308</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70,323</w:t>
            </w:r>
          </w:p>
        </w:tc>
        <w:tc>
          <w:tcPr>
            <w:tcW w:w="0" w:type="dxa"/>
            <w:vAlign w:val="bottom"/>
          </w:tcPr>
          <w:p>
            <w:pPr>
              <w:spacing w:after="0"/>
              <w:rPr>
                <w:sz w:val="1"/>
                <w:szCs w:val="1"/>
                <w:color w:val="auto"/>
              </w:rPr>
            </w:pPr>
          </w:p>
        </w:tc>
      </w:tr>
      <w:tr>
        <w:trPr>
          <w:trHeight w:val="154"/>
        </w:trPr>
        <w:tc>
          <w:tcPr>
            <w:tcW w:w="4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ATM Program offering costs</w:t>
            </w:r>
          </w:p>
        </w:tc>
        <w:tc>
          <w:tcPr>
            <w:tcW w:w="13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60" w:type="dxa"/>
            <w:vAlign w:val="bottom"/>
          </w:tcPr>
          <w:p>
            <w:pPr>
              <w:ind w:left="120"/>
              <w:spacing w:after="0"/>
              <w:rPr>
                <w:sz w:val="20"/>
                <w:szCs w:val="20"/>
                <w:color w:val="auto"/>
              </w:rPr>
            </w:pPr>
            <w:r>
              <w:rPr>
                <w:rFonts w:ascii="Arial" w:cs="Arial" w:eastAsia="Arial" w:hAnsi="Arial"/>
                <w:sz w:val="12"/>
                <w:szCs w:val="12"/>
                <w:color w:val="auto"/>
              </w:rPr>
              <w:t>Restricted stock activity</w:t>
            </w:r>
          </w:p>
        </w:tc>
        <w:tc>
          <w:tcPr>
            <w:tcW w:w="1360" w:type="dxa"/>
            <w:vAlign w:val="bottom"/>
          </w:tcPr>
          <w:p>
            <w:pPr>
              <w:jc w:val="right"/>
              <w:ind w:right="1"/>
              <w:spacing w:after="0"/>
              <w:rPr>
                <w:sz w:val="20"/>
                <w:szCs w:val="20"/>
                <w:color w:val="auto"/>
              </w:rPr>
            </w:pPr>
            <w:r>
              <w:rPr>
                <w:rFonts w:ascii="Arial" w:cs="Arial" w:eastAsia="Arial" w:hAnsi="Arial"/>
                <w:sz w:val="12"/>
                <w:szCs w:val="12"/>
                <w:color w:val="auto"/>
              </w:rPr>
              <w:t>8,736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3,612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3,612</w:t>
            </w:r>
          </w:p>
        </w:tc>
        <w:tc>
          <w:tcPr>
            <w:tcW w:w="0" w:type="dxa"/>
            <w:vAlign w:val="bottom"/>
          </w:tcPr>
          <w:p>
            <w:pPr>
              <w:spacing w:after="0"/>
              <w:rPr>
                <w:sz w:val="1"/>
                <w:szCs w:val="1"/>
                <w:color w:val="auto"/>
              </w:rPr>
            </w:pPr>
          </w:p>
        </w:tc>
      </w:tr>
      <w:tr>
        <w:trPr>
          <w:trHeight w:val="154"/>
        </w:trPr>
        <w:tc>
          <w:tcPr>
            <w:tcW w:w="4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Dividends paid ($0.67 per common share)</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(157,063)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(157,063)</w:t>
            </w:r>
          </w:p>
        </w:tc>
        <w:tc>
          <w:tcPr>
            <w:tcW w:w="0" w:type="dxa"/>
            <w:vAlign w:val="bottom"/>
          </w:tcPr>
          <w:p>
            <w:pPr>
              <w:spacing w:after="0"/>
              <w:rPr>
                <w:sz w:val="1"/>
                <w:szCs w:val="1"/>
                <w:color w:val="auto"/>
              </w:rPr>
            </w:pPr>
          </w:p>
        </w:tc>
      </w:tr>
      <w:tr>
        <w:trPr>
          <w:trHeight w:val="154"/>
        </w:trPr>
        <w:tc>
          <w:tcPr>
            <w:tcW w:w="406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138,216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138,216</w:t>
            </w:r>
          </w:p>
        </w:tc>
        <w:tc>
          <w:tcPr>
            <w:tcW w:w="0" w:type="dxa"/>
            <w:vAlign w:val="bottom"/>
          </w:tcPr>
          <w:p>
            <w:pPr>
              <w:spacing w:after="0"/>
              <w:rPr>
                <w:sz w:val="1"/>
                <w:szCs w:val="1"/>
                <w:color w:val="auto"/>
              </w:rPr>
            </w:pPr>
          </w:p>
        </w:tc>
      </w:tr>
      <w:tr>
        <w:trPr>
          <w:trHeight w:val="14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June 30, 2021</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234,288,809</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2,343</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4,354,643</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(1,655,255)</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2,701,731</w:t>
            </w:r>
          </w:p>
        </w:tc>
        <w:tc>
          <w:tcPr>
            <w:tcW w:w="0" w:type="dxa"/>
            <w:vAlign w:val="bottom"/>
          </w:tcPr>
          <w:p>
            <w:pPr>
              <w:spacing w:after="0"/>
              <w:rPr>
                <w:sz w:val="1"/>
                <w:szCs w:val="1"/>
                <w:color w:val="auto"/>
              </w:rPr>
            </w:pPr>
          </w:p>
        </w:tc>
      </w:tr>
      <w:tr>
        <w:trPr>
          <w:trHeight w:val="118"/>
        </w:trPr>
        <w:tc>
          <w:tcPr>
            <w:tcW w:w="4060" w:type="dxa"/>
            <w:vAlign w:val="bottom"/>
          </w:tcPr>
          <w:p>
            <w:pPr>
              <w:ind w:left="120"/>
              <w:spacing w:after="0" w:line="118" w:lineRule="exact"/>
              <w:rPr>
                <w:sz w:val="20"/>
                <w:szCs w:val="20"/>
                <w:color w:val="auto"/>
              </w:rPr>
            </w:pPr>
            <w:r>
              <w:rPr>
                <w:rFonts w:ascii="Arial" w:cs="Arial" w:eastAsia="Arial" w:hAnsi="Arial"/>
                <w:sz w:val="12"/>
                <w:szCs w:val="12"/>
                <w:color w:val="auto"/>
              </w:rPr>
              <w:t>Issuance of common stock, net of</w:t>
            </w:r>
          </w:p>
        </w:tc>
        <w:tc>
          <w:tcPr>
            <w:tcW w:w="1360" w:type="dxa"/>
            <w:vAlign w:val="bottom"/>
            <w:vMerge w:val="restart"/>
          </w:tcPr>
          <w:p>
            <w:pPr>
              <w:jc w:val="right"/>
              <w:ind w:right="1"/>
              <w:spacing w:after="0"/>
              <w:rPr>
                <w:sz w:val="20"/>
                <w:szCs w:val="20"/>
                <w:color w:val="auto"/>
              </w:rPr>
            </w:pPr>
            <w:r>
              <w:rPr>
                <w:rFonts w:ascii="Arial" w:cs="Arial" w:eastAsia="Arial" w:hAnsi="Arial"/>
                <w:sz w:val="12"/>
                <w:szCs w:val="12"/>
                <w:color w:val="auto"/>
              </w:rPr>
              <w:t>3,675,067</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182,811</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140" w:type="dxa"/>
            <w:vAlign w:val="bottom"/>
            <w:vMerge w:val="restart"/>
          </w:tcPr>
          <w:p>
            <w:pPr>
              <w:jc w:val="right"/>
              <w:ind w:right="2"/>
              <w:spacing w:after="0"/>
              <w:rPr>
                <w:sz w:val="20"/>
                <w:szCs w:val="20"/>
                <w:color w:val="auto"/>
              </w:rPr>
            </w:pPr>
            <w:r>
              <w:rPr>
                <w:rFonts w:ascii="Arial" w:cs="Arial" w:eastAsia="Arial" w:hAnsi="Arial"/>
                <w:sz w:val="12"/>
                <w:szCs w:val="12"/>
                <w:color w:val="auto"/>
              </w:rPr>
              <w:t>182,848</w:t>
            </w:r>
          </w:p>
        </w:tc>
        <w:tc>
          <w:tcPr>
            <w:tcW w:w="0" w:type="dxa"/>
            <w:vAlign w:val="bottom"/>
          </w:tcPr>
          <w:p>
            <w:pPr>
              <w:spacing w:after="0"/>
              <w:rPr>
                <w:sz w:val="1"/>
                <w:szCs w:val="1"/>
                <w:color w:val="auto"/>
              </w:rPr>
            </w:pPr>
          </w:p>
        </w:tc>
      </w:tr>
      <w:tr>
        <w:trPr>
          <w:trHeight w:val="153"/>
        </w:trPr>
        <w:tc>
          <w:tcPr>
            <w:tcW w:w="4060" w:type="dxa"/>
            <w:vAlign w:val="bottom"/>
          </w:tcPr>
          <w:p>
            <w:pPr>
              <w:ind w:left="240"/>
              <w:spacing w:after="0"/>
              <w:rPr>
                <w:sz w:val="20"/>
                <w:szCs w:val="20"/>
                <w:color w:val="auto"/>
              </w:rPr>
            </w:pPr>
            <w:r>
              <w:rPr>
                <w:rFonts w:ascii="Arial" w:cs="Arial" w:eastAsia="Arial" w:hAnsi="Arial"/>
                <w:sz w:val="12"/>
                <w:szCs w:val="12"/>
                <w:color w:val="auto"/>
              </w:rPr>
              <w:t>ATM Program offering costs</w:t>
            </w:r>
          </w:p>
        </w:tc>
        <w:tc>
          <w:tcPr>
            <w:tcW w:w="1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Restricted stock activity</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12,274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3,704</w:t>
            </w:r>
          </w:p>
        </w:tc>
        <w:tc>
          <w:tcPr>
            <w:tcW w:w="0" w:type="dxa"/>
            <w:vAlign w:val="bottom"/>
          </w:tcPr>
          <w:p>
            <w:pPr>
              <w:spacing w:after="0"/>
              <w:rPr>
                <w:sz w:val="1"/>
                <w:szCs w:val="1"/>
                <w:color w:val="auto"/>
              </w:rPr>
            </w:pPr>
          </w:p>
        </w:tc>
      </w:tr>
      <w:tr>
        <w:trPr>
          <w:trHeight w:val="154"/>
        </w:trPr>
        <w:tc>
          <w:tcPr>
            <w:tcW w:w="4060" w:type="dxa"/>
            <w:vAlign w:val="bottom"/>
          </w:tcPr>
          <w:p>
            <w:pPr>
              <w:ind w:left="120"/>
              <w:spacing w:after="0"/>
              <w:rPr>
                <w:sz w:val="20"/>
                <w:szCs w:val="20"/>
                <w:color w:val="auto"/>
              </w:rPr>
            </w:pPr>
            <w:r>
              <w:rPr>
                <w:rFonts w:ascii="Arial" w:cs="Arial" w:eastAsia="Arial" w:hAnsi="Arial"/>
                <w:sz w:val="12"/>
                <w:szCs w:val="12"/>
                <w:color w:val="auto"/>
              </w:rPr>
              <w:t>Dividends paid ($0.67 per common share)</w:t>
            </w:r>
          </w:p>
        </w:tc>
        <w:tc>
          <w:tcPr>
            <w:tcW w:w="1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(159,603)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(159,603)</w:t>
            </w:r>
          </w:p>
        </w:tc>
        <w:tc>
          <w:tcPr>
            <w:tcW w:w="0" w:type="dxa"/>
            <w:vAlign w:val="bottom"/>
          </w:tcPr>
          <w:p>
            <w:pPr>
              <w:spacing w:after="0"/>
              <w:rPr>
                <w:sz w:val="1"/>
                <w:szCs w:val="1"/>
                <w:color w:val="auto"/>
              </w:rPr>
            </w:pPr>
          </w:p>
        </w:tc>
      </w:tr>
      <w:tr>
        <w:trPr>
          <w:trHeight w:val="154"/>
        </w:trPr>
        <w:tc>
          <w:tcPr>
            <w:tcW w:w="4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149,059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149,059</w:t>
            </w:r>
          </w:p>
        </w:tc>
        <w:tc>
          <w:tcPr>
            <w:tcW w:w="0" w:type="dxa"/>
            <w:vAlign w:val="bottom"/>
          </w:tcPr>
          <w:p>
            <w:pPr>
              <w:spacing w:after="0"/>
              <w:rPr>
                <w:sz w:val="1"/>
                <w:szCs w:val="1"/>
                <w:color w:val="auto"/>
              </w:rPr>
            </w:pPr>
          </w:p>
        </w:tc>
      </w:tr>
      <w:tr>
        <w:trPr>
          <w:trHeight w:val="143"/>
        </w:trPr>
        <w:tc>
          <w:tcPr>
            <w:tcW w:w="4060" w:type="dxa"/>
            <w:vAlign w:val="bottom"/>
          </w:tcPr>
          <w:p>
            <w:pPr>
              <w:ind w:left="20"/>
              <w:spacing w:after="0"/>
              <w:rPr>
                <w:sz w:val="20"/>
                <w:szCs w:val="20"/>
                <w:color w:val="auto"/>
              </w:rPr>
            </w:pPr>
            <w:r>
              <w:rPr>
                <w:rFonts w:ascii="Arial" w:cs="Arial" w:eastAsia="Arial" w:hAnsi="Arial"/>
                <w:sz w:val="12"/>
                <w:szCs w:val="12"/>
                <w:color w:val="auto"/>
              </w:rPr>
              <w:t>Balance, September 30, 2021</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237,976,150</w:t>
            </w: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2,380</w:t>
            </w: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4,541,158</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(1,665,799)</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2,877,739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60" w:type="dxa"/>
            <w:vAlign w:val="bottom"/>
          </w:tcPr>
          <w:p>
            <w:pPr>
              <w:spacing w:after="0"/>
              <w:rPr>
                <w:sz w:val="18"/>
                <w:szCs w:val="18"/>
                <w:color w:val="auto"/>
              </w:rPr>
            </w:pPr>
          </w:p>
        </w:tc>
        <w:tc>
          <w:tcPr>
            <w:tcW w:w="184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Common Stock</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Additional</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82"/>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36"/>
        </w:trPr>
        <w:tc>
          <w:tcPr>
            <w:tcW w:w="406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restart"/>
          </w:tcPr>
          <w:p>
            <w:pPr>
              <w:jc w:val="center"/>
              <w:ind w:right="360"/>
              <w:spacing w:after="0" w:line="91" w:lineRule="exact"/>
              <w:rPr>
                <w:sz w:val="20"/>
                <w:szCs w:val="20"/>
                <w:color w:val="auto"/>
              </w:rPr>
            </w:pPr>
            <w:r>
              <w:rPr>
                <w:rFonts w:ascii="Arial" w:cs="Arial" w:eastAsia="Arial" w:hAnsi="Arial"/>
                <w:sz w:val="10"/>
                <w:szCs w:val="10"/>
                <w:b w:val="1"/>
                <w:bCs w:val="1"/>
                <w:color w:val="auto"/>
                <w:w w:val="95"/>
              </w:rPr>
              <w:t>Paid-In</w:t>
            </w:r>
          </w:p>
        </w:tc>
        <w:tc>
          <w:tcPr>
            <w:tcW w:w="240" w:type="dxa"/>
            <w:vAlign w:val="bottom"/>
          </w:tcPr>
          <w:p>
            <w:pPr>
              <w:spacing w:after="0"/>
              <w:rPr>
                <w:sz w:val="3"/>
                <w:szCs w:val="3"/>
                <w:color w:val="auto"/>
              </w:rPr>
            </w:pPr>
          </w:p>
        </w:tc>
        <w:tc>
          <w:tcPr>
            <w:tcW w:w="1240" w:type="dxa"/>
            <w:vAlign w:val="bottom"/>
            <w:gridSpan w:val="2"/>
            <w:vMerge w:val="restart"/>
          </w:tcPr>
          <w:p>
            <w:pPr>
              <w:jc w:val="center"/>
              <w:ind w:right="340"/>
              <w:spacing w:after="0" w:line="91" w:lineRule="exact"/>
              <w:rPr>
                <w:sz w:val="20"/>
                <w:szCs w:val="20"/>
                <w:color w:val="auto"/>
              </w:rPr>
            </w:pPr>
            <w:r>
              <w:rPr>
                <w:rFonts w:ascii="Arial" w:cs="Arial" w:eastAsia="Arial" w:hAnsi="Arial"/>
                <w:sz w:val="10"/>
                <w:szCs w:val="10"/>
                <w:b w:val="1"/>
                <w:bCs w:val="1"/>
                <w:color w:val="auto"/>
                <w:w w:val="85"/>
              </w:rPr>
              <w:t>Accumulated</w:t>
            </w:r>
          </w:p>
        </w:tc>
        <w:tc>
          <w:tcPr>
            <w:tcW w:w="220" w:type="dxa"/>
            <w:vAlign w:val="bottom"/>
          </w:tcPr>
          <w:p>
            <w:pPr>
              <w:spacing w:after="0"/>
              <w:rPr>
                <w:sz w:val="3"/>
                <w:szCs w:val="3"/>
                <w:color w:val="auto"/>
              </w:rPr>
            </w:pPr>
          </w:p>
        </w:tc>
        <w:tc>
          <w:tcPr>
            <w:tcW w:w="1140" w:type="dxa"/>
            <w:vAlign w:val="bottom"/>
            <w:vMerge w:val="restart"/>
          </w:tcPr>
          <w:p>
            <w:pPr>
              <w:jc w:val="center"/>
              <w:ind w:right="182"/>
              <w:spacing w:after="0" w:line="91" w:lineRule="exact"/>
              <w:rPr>
                <w:sz w:val="20"/>
                <w:szCs w:val="20"/>
                <w:color w:val="auto"/>
              </w:rPr>
            </w:pPr>
            <w:r>
              <w:rPr>
                <w:rFonts w:ascii="Arial" w:cs="Arial" w:eastAsia="Arial" w:hAnsi="Arial"/>
                <w:sz w:val="10"/>
                <w:szCs w:val="10"/>
                <w:b w:val="1"/>
                <w:bCs w:val="1"/>
                <w:color w:val="auto"/>
                <w:w w:val="86"/>
              </w:rPr>
              <w:t>Shareholders’</w:t>
            </w:r>
          </w:p>
        </w:tc>
        <w:tc>
          <w:tcPr>
            <w:tcW w:w="0" w:type="dxa"/>
            <w:vAlign w:val="bottom"/>
          </w:tcPr>
          <w:p>
            <w:pPr>
              <w:spacing w:after="0"/>
              <w:rPr>
                <w:sz w:val="1"/>
                <w:szCs w:val="1"/>
                <w:color w:val="auto"/>
              </w:rPr>
            </w:pPr>
          </w:p>
        </w:tc>
      </w:tr>
      <w:tr>
        <w:trPr>
          <w:trHeight w:val="34"/>
        </w:trPr>
        <w:tc>
          <w:tcPr>
            <w:tcW w:w="4060" w:type="dxa"/>
            <w:vAlign w:val="bottom"/>
          </w:tcPr>
          <w:p>
            <w:pPr>
              <w:spacing w:after="0"/>
              <w:rPr>
                <w:sz w:val="2"/>
                <w:szCs w:val="2"/>
                <w:color w:val="auto"/>
              </w:rPr>
            </w:pPr>
          </w:p>
        </w:tc>
        <w:tc>
          <w:tcPr>
            <w:tcW w:w="1440" w:type="dxa"/>
            <w:vAlign w:val="bottom"/>
            <w:gridSpan w:val="2"/>
            <w:vMerge w:val="restart"/>
          </w:tcPr>
          <w:p>
            <w:pPr>
              <w:ind w:left="540"/>
              <w:spacing w:after="0"/>
              <w:rPr>
                <w:sz w:val="20"/>
                <w:szCs w:val="20"/>
                <w:color w:val="auto"/>
              </w:rPr>
            </w:pPr>
            <w:r>
              <w:rPr>
                <w:rFonts w:ascii="Arial" w:cs="Arial" w:eastAsia="Arial" w:hAnsi="Arial"/>
                <w:sz w:val="10"/>
                <w:szCs w:val="10"/>
                <w:b w:val="1"/>
                <w:bCs w:val="1"/>
                <w:color w:val="auto"/>
              </w:rPr>
              <w:t>Shares</w:t>
            </w:r>
          </w:p>
        </w:tc>
        <w:tc>
          <w:tcPr>
            <w:tcW w:w="400" w:type="dxa"/>
            <w:vAlign w:val="bottom"/>
          </w:tcPr>
          <w:p>
            <w:pPr>
              <w:spacing w:after="0"/>
              <w:rPr>
                <w:sz w:val="2"/>
                <w:szCs w:val="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Amount</w:t>
            </w:r>
          </w:p>
        </w:tc>
        <w:tc>
          <w:tcPr>
            <w:tcW w:w="2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406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Capital</w:t>
            </w:r>
          </w:p>
        </w:tc>
        <w:tc>
          <w:tcPr>
            <w:tcW w:w="240" w:type="dxa"/>
            <w:vAlign w:val="bottom"/>
          </w:tcPr>
          <w:p>
            <w:pPr>
              <w:spacing w:after="0"/>
              <w:rPr>
                <w:sz w:val="10"/>
                <w:szCs w:val="1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1"/>
              </w:rPr>
              <w:t>Deficit</w:t>
            </w:r>
          </w:p>
        </w:tc>
        <w:tc>
          <w:tcPr>
            <w:tcW w:w="220" w:type="dxa"/>
            <w:vAlign w:val="bottom"/>
          </w:tcPr>
          <w:p>
            <w:pPr>
              <w:spacing w:after="0"/>
              <w:rPr>
                <w:sz w:val="10"/>
                <w:szCs w:val="10"/>
                <w:color w:val="auto"/>
              </w:rPr>
            </w:pPr>
          </w:p>
        </w:tc>
        <w:tc>
          <w:tcPr>
            <w:tcW w:w="1140" w:type="dxa"/>
            <w:vAlign w:val="bottom"/>
          </w:tcPr>
          <w:p>
            <w:pPr>
              <w:jc w:val="center"/>
              <w:ind w:right="182"/>
              <w:spacing w:after="0"/>
              <w:rPr>
                <w:sz w:val="20"/>
                <w:szCs w:val="20"/>
                <w:color w:val="auto"/>
              </w:rPr>
            </w:pPr>
            <w:r>
              <w:rPr>
                <w:rFonts w:ascii="Arial" w:cs="Arial" w:eastAsia="Arial" w:hAnsi="Arial"/>
                <w:sz w:val="10"/>
                <w:szCs w:val="10"/>
                <w:b w:val="1"/>
                <w:bCs w:val="1"/>
                <w:color w:val="auto"/>
                <w:w w:val="84"/>
              </w:rPr>
              <w:t>Equity</w:t>
            </w:r>
          </w:p>
        </w:tc>
        <w:tc>
          <w:tcPr>
            <w:tcW w:w="0" w:type="dxa"/>
            <w:vAlign w:val="bottom"/>
          </w:tcPr>
          <w:p>
            <w:pPr>
              <w:spacing w:after="0"/>
              <w:rPr>
                <w:sz w:val="1"/>
                <w:szCs w:val="1"/>
                <w:color w:val="auto"/>
              </w:rPr>
            </w:pPr>
          </w:p>
        </w:tc>
      </w:tr>
      <w:tr>
        <w:trPr>
          <w:trHeight w:val="144"/>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December 31, 2019</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214,694,165</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2,147</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3,959,383</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(1,887,285)</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2,074,245</w:t>
            </w:r>
          </w:p>
        </w:tc>
        <w:tc>
          <w:tcPr>
            <w:tcW w:w="0" w:type="dxa"/>
            <w:vAlign w:val="bottom"/>
          </w:tcPr>
          <w:p>
            <w:pPr>
              <w:spacing w:after="0"/>
              <w:rPr>
                <w:sz w:val="1"/>
                <w:szCs w:val="1"/>
                <w:color w:val="auto"/>
              </w:rPr>
            </w:pPr>
          </w:p>
        </w:tc>
      </w:tr>
      <w:tr>
        <w:trPr>
          <w:trHeight w:val="118"/>
        </w:trPr>
        <w:tc>
          <w:tcPr>
            <w:tcW w:w="4060" w:type="dxa"/>
            <w:vAlign w:val="bottom"/>
          </w:tcPr>
          <w:p>
            <w:pPr>
              <w:ind w:left="120"/>
              <w:spacing w:after="0" w:line="118" w:lineRule="exact"/>
              <w:rPr>
                <w:sz w:val="20"/>
                <w:szCs w:val="20"/>
                <w:color w:val="auto"/>
              </w:rPr>
            </w:pPr>
            <w:r>
              <w:rPr>
                <w:rFonts w:ascii="Arial" w:cs="Arial" w:eastAsia="Arial" w:hAnsi="Arial"/>
                <w:sz w:val="12"/>
                <w:szCs w:val="12"/>
                <w:color w:val="auto"/>
              </w:rPr>
              <w:t>Issuance of common stock, net of</w:t>
            </w:r>
          </w:p>
        </w:tc>
        <w:tc>
          <w:tcPr>
            <w:tcW w:w="1360" w:type="dxa"/>
            <w:vAlign w:val="bottom"/>
            <w:vMerge w:val="restart"/>
          </w:tcPr>
          <w:p>
            <w:pPr>
              <w:jc w:val="right"/>
              <w:ind w:right="1"/>
              <w:spacing w:after="0"/>
              <w:rPr>
                <w:sz w:val="20"/>
                <w:szCs w:val="20"/>
                <w:color w:val="auto"/>
              </w:rPr>
            </w:pPr>
            <w:r>
              <w:rPr>
                <w:rFonts w:ascii="Arial" w:cs="Arial" w:eastAsia="Arial" w:hAnsi="Arial"/>
                <w:sz w:val="12"/>
                <w:szCs w:val="12"/>
                <w:color w:val="auto"/>
              </w:rPr>
              <w:t>7,971</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310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140" w:type="dxa"/>
            <w:vAlign w:val="bottom"/>
            <w:vMerge w:val="restart"/>
          </w:tcPr>
          <w:p>
            <w:pPr>
              <w:jc w:val="right"/>
              <w:ind w:right="2"/>
              <w:spacing w:after="0"/>
              <w:rPr>
                <w:sz w:val="20"/>
                <w:szCs w:val="20"/>
                <w:color w:val="auto"/>
              </w:rPr>
            </w:pPr>
            <w:r>
              <w:rPr>
                <w:rFonts w:ascii="Arial" w:cs="Arial" w:eastAsia="Arial" w:hAnsi="Arial"/>
                <w:sz w:val="12"/>
                <w:szCs w:val="12"/>
                <w:color w:val="auto"/>
              </w:rPr>
              <w:t>310</w:t>
            </w:r>
          </w:p>
        </w:tc>
        <w:tc>
          <w:tcPr>
            <w:tcW w:w="0" w:type="dxa"/>
            <w:vAlign w:val="bottom"/>
          </w:tcPr>
          <w:p>
            <w:pPr>
              <w:spacing w:after="0"/>
              <w:rPr>
                <w:sz w:val="1"/>
                <w:szCs w:val="1"/>
                <w:color w:val="auto"/>
              </w:rPr>
            </w:pPr>
          </w:p>
        </w:tc>
      </w:tr>
      <w:tr>
        <w:trPr>
          <w:trHeight w:val="153"/>
        </w:trPr>
        <w:tc>
          <w:tcPr>
            <w:tcW w:w="4060" w:type="dxa"/>
            <w:vAlign w:val="bottom"/>
          </w:tcPr>
          <w:p>
            <w:pPr>
              <w:ind w:left="240"/>
              <w:spacing w:after="0"/>
              <w:rPr>
                <w:sz w:val="20"/>
                <w:szCs w:val="20"/>
                <w:color w:val="auto"/>
              </w:rPr>
            </w:pPr>
            <w:r>
              <w:rPr>
                <w:rFonts w:ascii="Arial" w:cs="Arial" w:eastAsia="Arial" w:hAnsi="Arial"/>
                <w:sz w:val="12"/>
                <w:szCs w:val="12"/>
                <w:color w:val="auto"/>
              </w:rPr>
              <w:t>ATM Program offering costs</w:t>
            </w:r>
          </w:p>
        </w:tc>
        <w:tc>
          <w:tcPr>
            <w:tcW w:w="1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Restricted stock activity</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405,093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(8,352)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(8,348)</w:t>
            </w:r>
          </w:p>
        </w:tc>
        <w:tc>
          <w:tcPr>
            <w:tcW w:w="0" w:type="dxa"/>
            <w:vAlign w:val="bottom"/>
          </w:tcPr>
          <w:p>
            <w:pPr>
              <w:spacing w:after="0"/>
              <w:rPr>
                <w:sz w:val="1"/>
                <w:szCs w:val="1"/>
                <w:color w:val="auto"/>
              </w:rPr>
            </w:pPr>
          </w:p>
        </w:tc>
      </w:tr>
      <w:tr>
        <w:trPr>
          <w:trHeight w:val="154"/>
        </w:trPr>
        <w:tc>
          <w:tcPr>
            <w:tcW w:w="4060" w:type="dxa"/>
            <w:vAlign w:val="bottom"/>
          </w:tcPr>
          <w:p>
            <w:pPr>
              <w:ind w:left="120"/>
              <w:spacing w:after="0"/>
              <w:rPr>
                <w:sz w:val="20"/>
                <w:szCs w:val="20"/>
                <w:color w:val="auto"/>
              </w:rPr>
            </w:pPr>
            <w:r>
              <w:rPr>
                <w:rFonts w:ascii="Arial" w:cs="Arial" w:eastAsia="Arial" w:hAnsi="Arial"/>
                <w:sz w:val="12"/>
                <w:szCs w:val="12"/>
                <w:color w:val="auto"/>
              </w:rPr>
              <w:t>Dividends paid ($0.70 per common share)</w:t>
            </w:r>
          </w:p>
        </w:tc>
        <w:tc>
          <w:tcPr>
            <w:tcW w:w="1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(150,796)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(150,796)</w:t>
            </w:r>
          </w:p>
        </w:tc>
        <w:tc>
          <w:tcPr>
            <w:tcW w:w="0" w:type="dxa"/>
            <w:vAlign w:val="bottom"/>
          </w:tcPr>
          <w:p>
            <w:pPr>
              <w:spacing w:after="0"/>
              <w:rPr>
                <w:sz w:val="1"/>
                <w:szCs w:val="1"/>
                <w:color w:val="auto"/>
              </w:rPr>
            </w:pPr>
          </w:p>
        </w:tc>
      </w:tr>
      <w:tr>
        <w:trPr>
          <w:trHeight w:val="154"/>
        </w:trPr>
        <w:tc>
          <w:tcPr>
            <w:tcW w:w="4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96,894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96,894</w:t>
            </w:r>
          </w:p>
        </w:tc>
        <w:tc>
          <w:tcPr>
            <w:tcW w:w="0" w:type="dxa"/>
            <w:vAlign w:val="bottom"/>
          </w:tcPr>
          <w:p>
            <w:pPr>
              <w:spacing w:after="0"/>
              <w:rPr>
                <w:sz w:val="1"/>
                <w:szCs w:val="1"/>
                <w:color w:val="auto"/>
              </w:rPr>
            </w:pPr>
          </w:p>
        </w:tc>
      </w:tr>
      <w:tr>
        <w:trPr>
          <w:trHeight w:val="143"/>
        </w:trPr>
        <w:tc>
          <w:tcPr>
            <w:tcW w:w="4060" w:type="dxa"/>
            <w:vAlign w:val="bottom"/>
          </w:tcPr>
          <w:p>
            <w:pPr>
              <w:ind w:left="20"/>
              <w:spacing w:after="0"/>
              <w:rPr>
                <w:sz w:val="20"/>
                <w:szCs w:val="20"/>
                <w:color w:val="auto"/>
              </w:rPr>
            </w:pPr>
            <w:r>
              <w:rPr>
                <w:rFonts w:ascii="Arial" w:cs="Arial" w:eastAsia="Arial" w:hAnsi="Arial"/>
                <w:sz w:val="12"/>
                <w:szCs w:val="12"/>
                <w:color w:val="auto"/>
              </w:rPr>
              <w:t>Balance, March 31, 2020</w:t>
            </w:r>
          </w:p>
        </w:tc>
        <w:tc>
          <w:tcPr>
            <w:tcW w:w="13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215,107,229</w:t>
            </w:r>
          </w:p>
        </w:tc>
        <w:tc>
          <w:tcPr>
            <w:tcW w:w="80" w:type="dxa"/>
            <w:vAlign w:val="bottom"/>
          </w:tcPr>
          <w:p>
            <w:pPr>
              <w:spacing w:after="0"/>
              <w:rPr>
                <w:sz w:val="12"/>
                <w:szCs w:val="12"/>
                <w:color w:val="auto"/>
              </w:rPr>
            </w:pPr>
          </w:p>
        </w:tc>
        <w:tc>
          <w:tcPr>
            <w:tcW w:w="400" w:type="dxa"/>
            <w:vAlign w:val="bottom"/>
            <w:tcBorders>
              <w:top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2,151</w:t>
            </w:r>
          </w:p>
        </w:tc>
        <w:tc>
          <w:tcPr>
            <w:tcW w:w="100" w:type="dxa"/>
            <w:vAlign w:val="bottom"/>
          </w:tcPr>
          <w:p>
            <w:pPr>
              <w:spacing w:after="0"/>
              <w:rPr>
                <w:sz w:val="12"/>
                <w:szCs w:val="12"/>
                <w:color w:val="auto"/>
              </w:rPr>
            </w:pPr>
          </w:p>
        </w:tc>
        <w:tc>
          <w:tcPr>
            <w:tcW w:w="260" w:type="dxa"/>
            <w:vAlign w:val="bottom"/>
            <w:tcBorders>
              <w:top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3,951,341</w:t>
            </w:r>
          </w:p>
        </w:tc>
        <w:tc>
          <w:tcPr>
            <w:tcW w:w="100" w:type="dxa"/>
            <w:vAlign w:val="bottom"/>
          </w:tcPr>
          <w:p>
            <w:pPr>
              <w:spacing w:after="0"/>
              <w:rPr>
                <w:sz w:val="12"/>
                <w:szCs w:val="12"/>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(1,941,187)</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2,012,305</w:t>
            </w:r>
          </w:p>
        </w:tc>
        <w:tc>
          <w:tcPr>
            <w:tcW w:w="0" w:type="dxa"/>
            <w:vAlign w:val="bottom"/>
          </w:tcPr>
          <w:p>
            <w:pPr>
              <w:spacing w:after="0"/>
              <w:rPr>
                <w:sz w:val="1"/>
                <w:szCs w:val="1"/>
                <w:color w:val="auto"/>
              </w:rPr>
            </w:pPr>
          </w:p>
        </w:tc>
      </w:tr>
      <w:tr>
        <w:trPr>
          <w:trHeight w:val="154"/>
        </w:trPr>
        <w:tc>
          <w:tcPr>
            <w:tcW w:w="4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ATM Program offering costs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54"/>
        </w:trPr>
        <w:tc>
          <w:tcPr>
            <w:tcW w:w="4060" w:type="dxa"/>
            <w:vAlign w:val="bottom"/>
          </w:tcPr>
          <w:p>
            <w:pPr>
              <w:ind w:left="120"/>
              <w:spacing w:after="0"/>
              <w:rPr>
                <w:sz w:val="20"/>
                <w:szCs w:val="20"/>
                <w:color w:val="auto"/>
              </w:rPr>
            </w:pPr>
            <w:r>
              <w:rPr>
                <w:rFonts w:ascii="Arial" w:cs="Arial" w:eastAsia="Arial" w:hAnsi="Arial"/>
                <w:sz w:val="12"/>
                <w:szCs w:val="12"/>
                <w:color w:val="auto"/>
              </w:rPr>
              <w:t>Restricted stock activity</w:t>
            </w:r>
          </w:p>
        </w:tc>
        <w:tc>
          <w:tcPr>
            <w:tcW w:w="1360" w:type="dxa"/>
            <w:vAlign w:val="bottom"/>
          </w:tcPr>
          <w:p>
            <w:pPr>
              <w:jc w:val="right"/>
              <w:ind w:right="1"/>
              <w:spacing w:after="0"/>
              <w:rPr>
                <w:sz w:val="20"/>
                <w:szCs w:val="20"/>
                <w:color w:val="auto"/>
              </w:rPr>
            </w:pPr>
            <w:r>
              <w:rPr>
                <w:rFonts w:ascii="Arial" w:cs="Arial" w:eastAsia="Arial" w:hAnsi="Arial"/>
                <w:sz w:val="12"/>
                <w:szCs w:val="12"/>
                <w:color w:val="auto"/>
              </w:rPr>
              <w:t>12,056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4,062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4,062</w:t>
            </w:r>
          </w:p>
        </w:tc>
        <w:tc>
          <w:tcPr>
            <w:tcW w:w="0" w:type="dxa"/>
            <w:vAlign w:val="bottom"/>
          </w:tcPr>
          <w:p>
            <w:pPr>
              <w:spacing w:after="0"/>
              <w:rPr>
                <w:sz w:val="1"/>
                <w:szCs w:val="1"/>
                <w:color w:val="auto"/>
              </w:rPr>
            </w:pPr>
          </w:p>
        </w:tc>
      </w:tr>
      <w:tr>
        <w:trPr>
          <w:trHeight w:val="154"/>
        </w:trPr>
        <w:tc>
          <w:tcPr>
            <w:tcW w:w="4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Dividends paid ($0.60 per common share)</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2,701,952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(25,869)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(25,869)</w:t>
            </w:r>
          </w:p>
        </w:tc>
        <w:tc>
          <w:tcPr>
            <w:tcW w:w="0" w:type="dxa"/>
            <w:vAlign w:val="bottom"/>
          </w:tcPr>
          <w:p>
            <w:pPr>
              <w:spacing w:after="0"/>
              <w:rPr>
                <w:sz w:val="1"/>
                <w:szCs w:val="1"/>
                <w:color w:val="auto"/>
              </w:rPr>
            </w:pPr>
          </w:p>
        </w:tc>
      </w:tr>
      <w:tr>
        <w:trPr>
          <w:trHeight w:val="154"/>
        </w:trPr>
        <w:tc>
          <w:tcPr>
            <w:tcW w:w="406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112,350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112,350</w:t>
            </w:r>
          </w:p>
        </w:tc>
        <w:tc>
          <w:tcPr>
            <w:tcW w:w="0" w:type="dxa"/>
            <w:vAlign w:val="bottom"/>
          </w:tcPr>
          <w:p>
            <w:pPr>
              <w:spacing w:after="0"/>
              <w:rPr>
                <w:sz w:val="1"/>
                <w:szCs w:val="1"/>
                <w:color w:val="auto"/>
              </w:rPr>
            </w:pPr>
          </w:p>
        </w:tc>
      </w:tr>
      <w:tr>
        <w:trPr>
          <w:trHeight w:val="14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June 30, 2020</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217,821,237</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2,178</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3,955,293</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(1,854,706)</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2,102,765</w:t>
            </w:r>
          </w:p>
        </w:tc>
        <w:tc>
          <w:tcPr>
            <w:tcW w:w="0" w:type="dxa"/>
            <w:vAlign w:val="bottom"/>
          </w:tcPr>
          <w:p>
            <w:pPr>
              <w:spacing w:after="0"/>
              <w:rPr>
                <w:sz w:val="1"/>
                <w:szCs w:val="1"/>
                <w:color w:val="auto"/>
              </w:rPr>
            </w:pPr>
          </w:p>
        </w:tc>
      </w:tr>
      <w:tr>
        <w:trPr>
          <w:trHeight w:val="154"/>
        </w:trPr>
        <w:tc>
          <w:tcPr>
            <w:tcW w:w="4060" w:type="dxa"/>
            <w:vAlign w:val="bottom"/>
          </w:tcPr>
          <w:p>
            <w:pPr>
              <w:ind w:left="120"/>
              <w:spacing w:after="0"/>
              <w:rPr>
                <w:sz w:val="20"/>
                <w:szCs w:val="20"/>
                <w:color w:val="auto"/>
              </w:rPr>
            </w:pPr>
            <w:r>
              <w:rPr>
                <w:rFonts w:ascii="Arial" w:cs="Arial" w:eastAsia="Arial" w:hAnsi="Arial"/>
                <w:sz w:val="12"/>
                <w:szCs w:val="12"/>
                <w:color w:val="auto"/>
              </w:rPr>
              <w:t>ATM Program offering costs</w:t>
            </w:r>
          </w:p>
        </w:tc>
        <w:tc>
          <w:tcPr>
            <w:tcW w:w="1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54"/>
        </w:trPr>
        <w:tc>
          <w:tcPr>
            <w:tcW w:w="4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Restricted stock activity</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102,441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5,646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5,647</w:t>
            </w:r>
          </w:p>
        </w:tc>
        <w:tc>
          <w:tcPr>
            <w:tcW w:w="0" w:type="dxa"/>
            <w:vAlign w:val="bottom"/>
          </w:tcPr>
          <w:p>
            <w:pPr>
              <w:spacing w:after="0"/>
              <w:rPr>
                <w:sz w:val="1"/>
                <w:szCs w:val="1"/>
                <w:color w:val="auto"/>
              </w:rPr>
            </w:pPr>
          </w:p>
        </w:tc>
      </w:tr>
      <w:tr>
        <w:trPr>
          <w:trHeight w:val="154"/>
        </w:trPr>
        <w:tc>
          <w:tcPr>
            <w:tcW w:w="4060" w:type="dxa"/>
            <w:vAlign w:val="bottom"/>
          </w:tcPr>
          <w:p>
            <w:pPr>
              <w:ind w:left="120"/>
              <w:spacing w:after="0"/>
              <w:rPr>
                <w:sz w:val="20"/>
                <w:szCs w:val="20"/>
                <w:color w:val="auto"/>
              </w:rPr>
            </w:pPr>
            <w:r>
              <w:rPr>
                <w:rFonts w:ascii="Arial" w:cs="Arial" w:eastAsia="Arial" w:hAnsi="Arial"/>
                <w:sz w:val="12"/>
                <w:szCs w:val="12"/>
                <w:color w:val="auto"/>
              </w:rPr>
              <w:t>Dividends paid ($0.60 per common share)</w:t>
            </w:r>
          </w:p>
        </w:tc>
        <w:tc>
          <w:tcPr>
            <w:tcW w:w="1360" w:type="dxa"/>
            <w:vAlign w:val="bottom"/>
          </w:tcPr>
          <w:p>
            <w:pPr>
              <w:jc w:val="right"/>
              <w:ind w:right="1"/>
              <w:spacing w:after="0"/>
              <w:rPr>
                <w:sz w:val="20"/>
                <w:szCs w:val="20"/>
                <w:color w:val="auto"/>
              </w:rPr>
            </w:pPr>
            <w:r>
              <w:rPr>
                <w:rFonts w:ascii="Arial" w:cs="Arial" w:eastAsia="Arial" w:hAnsi="Arial"/>
                <w:sz w:val="12"/>
                <w:szCs w:val="12"/>
                <w:color w:val="auto"/>
              </w:rPr>
              <w:t>2,773,450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(26,212)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(26,212)</w:t>
            </w:r>
          </w:p>
        </w:tc>
        <w:tc>
          <w:tcPr>
            <w:tcW w:w="0" w:type="dxa"/>
            <w:vAlign w:val="bottom"/>
          </w:tcPr>
          <w:p>
            <w:pPr>
              <w:spacing w:after="0"/>
              <w:rPr>
                <w:sz w:val="1"/>
                <w:szCs w:val="1"/>
                <w:color w:val="auto"/>
              </w:rPr>
            </w:pPr>
          </w:p>
        </w:tc>
      </w:tr>
      <w:tr>
        <w:trPr>
          <w:trHeight w:val="154"/>
        </w:trPr>
        <w:tc>
          <w:tcPr>
            <w:tcW w:w="4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127,126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127,126</w:t>
            </w:r>
          </w:p>
        </w:tc>
        <w:tc>
          <w:tcPr>
            <w:tcW w:w="0" w:type="dxa"/>
            <w:vAlign w:val="bottom"/>
          </w:tcPr>
          <w:p>
            <w:pPr>
              <w:spacing w:after="0"/>
              <w:rPr>
                <w:sz w:val="1"/>
                <w:szCs w:val="1"/>
                <w:color w:val="auto"/>
              </w:rPr>
            </w:pPr>
          </w:p>
        </w:tc>
      </w:tr>
      <w:tr>
        <w:trPr>
          <w:trHeight w:val="143"/>
        </w:trPr>
        <w:tc>
          <w:tcPr>
            <w:tcW w:w="4060" w:type="dxa"/>
            <w:vAlign w:val="bottom"/>
          </w:tcPr>
          <w:p>
            <w:pPr>
              <w:ind w:left="120"/>
              <w:spacing w:after="0"/>
              <w:rPr>
                <w:sz w:val="20"/>
                <w:szCs w:val="20"/>
                <w:color w:val="auto"/>
              </w:rPr>
            </w:pPr>
            <w:r>
              <w:rPr>
                <w:rFonts w:ascii="Arial" w:cs="Arial" w:eastAsia="Arial" w:hAnsi="Arial"/>
                <w:sz w:val="12"/>
                <w:szCs w:val="12"/>
                <w:color w:val="auto"/>
              </w:rPr>
              <w:t>Balance, September 30, 2020</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220,697,128</w:t>
            </w: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2,207</w:t>
            </w: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3,960,861</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(1,753,792)</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2,209,276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7" w:name="page8"/>
    <w:bookmarkEnd w:id="7"/>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Gaming and Leisure Properties, Inc. and Subsidiaries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320" w:type="dxa"/>
            <w:vAlign w:val="bottom"/>
            <w:gridSpan w:val="2"/>
          </w:tcPr>
          <w:p>
            <w:pPr>
              <w:ind w:left="20"/>
              <w:spacing w:after="0"/>
              <w:rPr>
                <w:sz w:val="20"/>
                <w:szCs w:val="20"/>
                <w:color w:val="auto"/>
              </w:rPr>
            </w:pPr>
            <w:r>
              <w:rPr>
                <w:rFonts w:ascii="Arial" w:cs="Arial" w:eastAsia="Arial" w:hAnsi="Arial"/>
                <w:sz w:val="10"/>
                <w:szCs w:val="10"/>
                <w:b w:val="1"/>
                <w:bCs w:val="1"/>
                <w:color w:val="auto"/>
              </w:rPr>
              <w:t>Nine months ended September 30,</w:t>
            </w:r>
          </w:p>
        </w:tc>
        <w:tc>
          <w:tcPr>
            <w:tcW w:w="340" w:type="dxa"/>
            <w:vAlign w:val="bottom"/>
          </w:tcPr>
          <w:p>
            <w:pPr>
              <w:spacing w:after="0"/>
              <w:rPr>
                <w:sz w:val="11"/>
                <w:szCs w:val="11"/>
                <w:color w:val="auto"/>
              </w:rPr>
            </w:pPr>
          </w:p>
        </w:tc>
        <w:tc>
          <w:tcPr>
            <w:tcW w:w="1100" w:type="dxa"/>
            <w:vAlign w:val="bottom"/>
          </w:tcPr>
          <w:p>
            <w:pPr>
              <w:jc w:val="right"/>
              <w:ind w:right="560"/>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jc w:val="right"/>
              <w:ind w:right="560"/>
              <w:spacing w:after="0"/>
              <w:rPr>
                <w:sz w:val="20"/>
                <w:szCs w:val="20"/>
                <w:color w:val="auto"/>
              </w:rPr>
            </w:pPr>
            <w:r>
              <w:rPr>
                <w:rFonts w:ascii="Arial" w:cs="Arial" w:eastAsia="Arial" w:hAnsi="Arial"/>
                <w:sz w:val="10"/>
                <w:szCs w:val="10"/>
                <w:b w:val="1"/>
                <w:bCs w:val="1"/>
                <w:color w:val="auto"/>
              </w:rPr>
              <w:t>2020</w:t>
            </w:r>
          </w:p>
        </w:tc>
      </w:tr>
      <w:tr>
        <w:trPr>
          <w:trHeight w:val="93"/>
        </w:trPr>
        <w:tc>
          <w:tcPr>
            <w:tcW w:w="82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r>
      <w:tr>
        <w:trPr>
          <w:trHeight w:val="154"/>
        </w:trPr>
        <w:tc>
          <w:tcPr>
            <w:tcW w:w="8320" w:type="dxa"/>
            <w:vAlign w:val="bottom"/>
            <w:gridSpan w:val="2"/>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4"/>
        </w:trPr>
        <w:tc>
          <w:tcPr>
            <w:tcW w:w="83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Net income</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414,459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336,370</w:t>
            </w:r>
          </w:p>
        </w:tc>
      </w:tr>
      <w:tr>
        <w:trPr>
          <w:trHeight w:val="154"/>
        </w:trPr>
        <w:tc>
          <w:tcPr>
            <w:tcW w:w="8320" w:type="dxa"/>
            <w:vAlign w:val="bottom"/>
            <w:gridSpan w:val="2"/>
          </w:tcPr>
          <w:p>
            <w:pPr>
              <w:ind w:left="10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4"/>
        </w:trPr>
        <w:tc>
          <w:tcPr>
            <w:tcW w:w="8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Depreciation and amortization</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186,204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181,094</w:t>
            </w:r>
          </w:p>
        </w:tc>
      </w:tr>
      <w:tr>
        <w:trPr>
          <w:trHeight w:val="154"/>
        </w:trPr>
        <w:tc>
          <w:tcPr>
            <w:tcW w:w="8320" w:type="dxa"/>
            <w:vAlign w:val="bottom"/>
            <w:gridSpan w:val="2"/>
          </w:tcPr>
          <w:p>
            <w:pPr>
              <w:ind w:left="240"/>
              <w:spacing w:after="0"/>
              <w:rPr>
                <w:sz w:val="20"/>
                <w:szCs w:val="20"/>
                <w:color w:val="auto"/>
              </w:rPr>
            </w:pPr>
            <w:r>
              <w:rPr>
                <w:rFonts w:ascii="Arial" w:cs="Arial" w:eastAsia="Arial" w:hAnsi="Arial"/>
                <w:sz w:val="12"/>
                <w:szCs w:val="12"/>
                <w:color w:val="auto"/>
              </w:rPr>
              <w:t>Amortization of debt issuance costs, bond premiums and original issuance discounts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7,409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8,032</w:t>
            </w:r>
          </w:p>
        </w:tc>
      </w:tr>
      <w:tr>
        <w:trPr>
          <w:trHeight w:val="154"/>
        </w:trPr>
        <w:tc>
          <w:tcPr>
            <w:tcW w:w="83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(Gains) losses on dispositions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(14,722)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54"/>
        </w:trPr>
        <w:tc>
          <w:tcPr>
            <w:tcW w:w="8320" w:type="dxa"/>
            <w:vAlign w:val="bottom"/>
            <w:gridSpan w:val="2"/>
          </w:tcPr>
          <w:p>
            <w:pPr>
              <w:ind w:left="240"/>
              <w:spacing w:after="0"/>
              <w:rPr>
                <w:sz w:val="20"/>
                <w:szCs w:val="20"/>
                <w:color w:val="auto"/>
              </w:rPr>
            </w:pPr>
            <w:r>
              <w:rPr>
                <w:rFonts w:ascii="Arial" w:cs="Arial" w:eastAsia="Arial" w:hAnsi="Arial"/>
                <w:sz w:val="12"/>
                <w:szCs w:val="12"/>
                <w:color w:val="auto"/>
              </w:rPr>
              <w:t>Deferred income taxes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(2,405)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154"/>
        </w:trPr>
        <w:tc>
          <w:tcPr>
            <w:tcW w:w="8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Stock-based compensation</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13,186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16,652</w:t>
            </w:r>
          </w:p>
        </w:tc>
      </w:tr>
      <w:tr>
        <w:trPr>
          <w:trHeight w:val="154"/>
        </w:trPr>
        <w:tc>
          <w:tcPr>
            <w:tcW w:w="8320" w:type="dxa"/>
            <w:vAlign w:val="bottom"/>
            <w:gridSpan w:val="2"/>
          </w:tcPr>
          <w:p>
            <w:pPr>
              <w:ind w:left="240"/>
              <w:spacing w:after="0"/>
              <w:rPr>
                <w:sz w:val="20"/>
                <w:szCs w:val="20"/>
                <w:color w:val="auto"/>
              </w:rPr>
            </w:pPr>
            <w:r>
              <w:rPr>
                <w:rFonts w:ascii="Arial" w:cs="Arial" w:eastAsia="Arial" w:hAnsi="Arial"/>
                <w:sz w:val="12"/>
                <w:szCs w:val="12"/>
                <w:color w:val="auto"/>
              </w:rPr>
              <w:t>Straight-line rent adjustments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(2,544)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5,394</w:t>
            </w:r>
          </w:p>
        </w:tc>
      </w:tr>
      <w:tr>
        <w:trPr>
          <w:trHeight w:val="154"/>
        </w:trPr>
        <w:tc>
          <w:tcPr>
            <w:tcW w:w="8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Deferred revenue recognized</w:t>
            </w:r>
          </w:p>
        </w:tc>
        <w:tc>
          <w:tcPr>
            <w:tcW w:w="3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(272,529)</w:t>
            </w:r>
          </w:p>
        </w:tc>
      </w:tr>
      <w:tr>
        <w:trPr>
          <w:trHeight w:val="154"/>
        </w:trPr>
        <w:tc>
          <w:tcPr>
            <w:tcW w:w="8320" w:type="dxa"/>
            <w:vAlign w:val="bottom"/>
            <w:gridSpan w:val="2"/>
          </w:tcPr>
          <w:p>
            <w:pPr>
              <w:ind w:left="240"/>
              <w:spacing w:after="0"/>
              <w:rPr>
                <w:sz w:val="20"/>
                <w:szCs w:val="20"/>
                <w:color w:val="auto"/>
              </w:rPr>
            </w:pPr>
            <w:r>
              <w:rPr>
                <w:rFonts w:ascii="Arial" w:cs="Arial" w:eastAsia="Arial" w:hAnsi="Arial"/>
                <w:sz w:val="12"/>
                <w:szCs w:val="12"/>
                <w:color w:val="auto"/>
              </w:rPr>
              <w:t>Losses on debt extinguishment</w:t>
            </w:r>
          </w:p>
        </w:tc>
        <w:tc>
          <w:tcPr>
            <w:tcW w:w="3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18,113</w:t>
            </w:r>
          </w:p>
        </w:tc>
      </w:tr>
      <w:tr>
        <w:trPr>
          <w:trHeight w:val="154"/>
        </w:trPr>
        <w:tc>
          <w:tcPr>
            <w:tcW w:w="8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(Increase), decrease</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4"/>
        </w:trPr>
        <w:tc>
          <w:tcPr>
            <w:tcW w:w="8320" w:type="dxa"/>
            <w:vAlign w:val="bottom"/>
            <w:gridSpan w:val="2"/>
          </w:tcPr>
          <w:p>
            <w:pPr>
              <w:ind w:left="360"/>
              <w:spacing w:after="0"/>
              <w:rPr>
                <w:sz w:val="20"/>
                <w:szCs w:val="20"/>
                <w:color w:val="auto"/>
              </w:rPr>
            </w:pPr>
            <w:r>
              <w:rPr>
                <w:rFonts w:ascii="Arial" w:cs="Arial" w:eastAsia="Arial" w:hAnsi="Arial"/>
                <w:sz w:val="12"/>
                <w:szCs w:val="12"/>
                <w:color w:val="auto"/>
              </w:rPr>
              <w:t>Prepaid expenses and other assets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7,016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1,363</w:t>
            </w:r>
          </w:p>
        </w:tc>
      </w:tr>
      <w:tr>
        <w:trPr>
          <w:trHeight w:val="154"/>
        </w:trPr>
        <w:tc>
          <w:tcPr>
            <w:tcW w:w="8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Increase, (decrease)</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4"/>
        </w:trPr>
        <w:tc>
          <w:tcPr>
            <w:tcW w:w="8320" w:type="dxa"/>
            <w:vAlign w:val="bottom"/>
            <w:gridSpan w:val="2"/>
          </w:tcPr>
          <w:p>
            <w:pPr>
              <w:ind w:left="360"/>
              <w:spacing w:after="0"/>
              <w:rPr>
                <w:sz w:val="20"/>
                <w:szCs w:val="20"/>
                <w:color w:val="auto"/>
              </w:rPr>
            </w:pPr>
            <w:r>
              <w:rPr>
                <w:rFonts w:ascii="Arial" w:cs="Arial" w:eastAsia="Arial" w:hAnsi="Arial"/>
                <w:sz w:val="12"/>
                <w:szCs w:val="12"/>
                <w:color w:val="auto"/>
              </w:rPr>
              <w:t>Accounts payable and accrued expenses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(1,237)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154"/>
        </w:trPr>
        <w:tc>
          <w:tcPr>
            <w:tcW w:w="83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Accrued interest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9,155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22,470</w:t>
            </w:r>
          </w:p>
        </w:tc>
      </w:tr>
      <w:tr>
        <w:trPr>
          <w:trHeight w:val="154"/>
        </w:trPr>
        <w:tc>
          <w:tcPr>
            <w:tcW w:w="8320" w:type="dxa"/>
            <w:vAlign w:val="bottom"/>
            <w:gridSpan w:val="2"/>
          </w:tcPr>
          <w:p>
            <w:pPr>
              <w:ind w:left="360"/>
              <w:spacing w:after="0"/>
              <w:rPr>
                <w:sz w:val="20"/>
                <w:szCs w:val="20"/>
                <w:color w:val="auto"/>
              </w:rPr>
            </w:pPr>
            <w:r>
              <w:rPr>
                <w:rFonts w:ascii="Arial" w:cs="Arial" w:eastAsia="Arial" w:hAnsi="Arial"/>
                <w:sz w:val="12"/>
                <w:szCs w:val="12"/>
                <w:color w:val="auto"/>
              </w:rPr>
              <w:t>Accrued salaries and wages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(1,082)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(9,404)</w:t>
            </w:r>
          </w:p>
        </w:tc>
      </w:tr>
      <w:tr>
        <w:trPr>
          <w:trHeight w:val="154"/>
        </w:trPr>
        <w:tc>
          <w:tcPr>
            <w:tcW w:w="83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Gaming, property and other taxes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w:t>
            </w:r>
          </w:p>
        </w:tc>
      </w:tr>
      <w:tr>
        <w:trPr>
          <w:trHeight w:val="154"/>
        </w:trPr>
        <w:tc>
          <w:tcPr>
            <w:tcW w:w="8320" w:type="dxa"/>
            <w:vAlign w:val="bottom"/>
            <w:gridSpan w:val="2"/>
          </w:tcPr>
          <w:p>
            <w:pPr>
              <w:ind w:left="360"/>
              <w:spacing w:after="0"/>
              <w:rPr>
                <w:sz w:val="20"/>
                <w:szCs w:val="20"/>
                <w:color w:val="auto"/>
              </w:rPr>
            </w:pPr>
            <w:r>
              <w:rPr>
                <w:rFonts w:ascii="Arial" w:cs="Arial" w:eastAsia="Arial" w:hAnsi="Arial"/>
                <w:sz w:val="12"/>
                <w:szCs w:val="12"/>
                <w:color w:val="auto"/>
              </w:rPr>
              <w:t>Income taxes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847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154"/>
        </w:trPr>
        <w:tc>
          <w:tcPr>
            <w:tcW w:w="83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Other liabilities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(905)</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3,292</w:t>
            </w:r>
          </w:p>
        </w:tc>
      </w:tr>
      <w:tr>
        <w:trPr>
          <w:trHeight w:val="143"/>
        </w:trPr>
        <w:tc>
          <w:tcPr>
            <w:tcW w:w="83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615,984</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310,531</w:t>
            </w:r>
          </w:p>
        </w:tc>
      </w:tr>
      <w:tr>
        <w:trPr>
          <w:trHeight w:val="134"/>
        </w:trPr>
        <w:tc>
          <w:tcPr>
            <w:tcW w:w="832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2"/>
                <w:szCs w:val="12"/>
                <w:b w:val="1"/>
                <w:bCs w:val="1"/>
                <w:color w:val="auto"/>
              </w:rPr>
              <w:t>Investing activities</w:t>
            </w: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54"/>
        </w:trPr>
        <w:tc>
          <w:tcPr>
            <w:tcW w:w="8320" w:type="dxa"/>
            <w:vAlign w:val="bottom"/>
            <w:gridSpan w:val="2"/>
          </w:tcPr>
          <w:p>
            <w:pPr>
              <w:ind w:left="100"/>
              <w:spacing w:after="0"/>
              <w:rPr>
                <w:sz w:val="20"/>
                <w:szCs w:val="20"/>
                <w:color w:val="auto"/>
              </w:rPr>
            </w:pPr>
            <w:r>
              <w:rPr>
                <w:rFonts w:ascii="Arial" w:cs="Arial" w:eastAsia="Arial" w:hAnsi="Arial"/>
                <w:sz w:val="12"/>
                <w:szCs w:val="12"/>
                <w:color w:val="auto"/>
              </w:rPr>
              <w:t>Capital project expenditures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(1,610)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83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Capital maintenance expenditures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(1,629)</w:t>
            </w:r>
          </w:p>
        </w:tc>
      </w:tr>
      <w:tr>
        <w:trPr>
          <w:trHeight w:val="154"/>
        </w:trPr>
        <w:tc>
          <w:tcPr>
            <w:tcW w:w="8320" w:type="dxa"/>
            <w:vAlign w:val="bottom"/>
            <w:gridSpan w:val="2"/>
          </w:tcPr>
          <w:p>
            <w:pPr>
              <w:ind w:left="100"/>
              <w:spacing w:after="0"/>
              <w:rPr>
                <w:sz w:val="20"/>
                <w:szCs w:val="20"/>
                <w:color w:val="auto"/>
              </w:rPr>
            </w:pPr>
            <w:r>
              <w:rPr>
                <w:rFonts w:ascii="Arial" w:cs="Arial" w:eastAsia="Arial" w:hAnsi="Arial"/>
                <w:sz w:val="12"/>
                <w:szCs w:val="12"/>
                <w:color w:val="auto"/>
              </w:rPr>
              <w:t>Proceeds from sale of property and equipment, net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2,096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54"/>
        </w:trPr>
        <w:tc>
          <w:tcPr>
            <w:tcW w:w="83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Proceeds from sale of operations, net of transaction costs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30,807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8320" w:type="dxa"/>
            <w:vAlign w:val="bottom"/>
            <w:tcBorders>
              <w:bottom w:val="single" w:sz="8" w:color="CCEEFF"/>
            </w:tcBorders>
            <w:gridSpan w:val="2"/>
          </w:tcPr>
          <w:p>
            <w:pPr>
              <w:ind w:left="100"/>
              <w:spacing w:after="0"/>
              <w:rPr>
                <w:sz w:val="20"/>
                <w:szCs w:val="20"/>
                <w:color w:val="auto"/>
              </w:rPr>
            </w:pPr>
            <w:r>
              <w:rPr>
                <w:rFonts w:ascii="Arial" w:cs="Arial" w:eastAsia="Arial" w:hAnsi="Arial"/>
                <w:sz w:val="12"/>
                <w:szCs w:val="12"/>
                <w:color w:val="auto"/>
              </w:rPr>
              <w:t>Acquisition of real estate assets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(487,475)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cash used in investing activities</w:t>
            </w: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(457,837)</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(1,614)</w:t>
            </w:r>
          </w:p>
        </w:tc>
      </w:tr>
      <w:tr>
        <w:trPr>
          <w:trHeight w:val="134"/>
        </w:trPr>
        <w:tc>
          <w:tcPr>
            <w:tcW w:w="83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Financing activities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54"/>
        </w:trPr>
        <w:tc>
          <w:tcPr>
            <w:tcW w:w="83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Dividends paid</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(468,162)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(202,877)</w:t>
            </w:r>
          </w:p>
        </w:tc>
      </w:tr>
      <w:tr>
        <w:trPr>
          <w:trHeight w:val="154"/>
        </w:trPr>
        <w:tc>
          <w:tcPr>
            <w:tcW w:w="8320" w:type="dxa"/>
            <w:vAlign w:val="bottom"/>
            <w:gridSpan w:val="2"/>
          </w:tcPr>
          <w:p>
            <w:pPr>
              <w:ind w:left="100"/>
              <w:spacing w:after="0"/>
              <w:rPr>
                <w:sz w:val="20"/>
                <w:szCs w:val="20"/>
                <w:color w:val="auto"/>
              </w:rPr>
            </w:pPr>
            <w:r>
              <w:rPr>
                <w:rFonts w:ascii="Arial" w:cs="Arial" w:eastAsia="Arial" w:hAnsi="Arial"/>
                <w:sz w:val="12"/>
                <w:szCs w:val="12"/>
                <w:color w:val="auto"/>
              </w:rPr>
              <w:t>Taxes paid related to shares withheld for tax purposes on restricted stock award vestings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(9,837)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(15,291)</w:t>
            </w:r>
          </w:p>
        </w:tc>
      </w:tr>
      <w:tr>
        <w:trPr>
          <w:trHeight w:val="154"/>
        </w:trPr>
        <w:tc>
          <w:tcPr>
            <w:tcW w:w="83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Proceeds from issuance of common stock, net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253,076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w:t>
            </w:r>
          </w:p>
        </w:tc>
      </w:tr>
      <w:tr>
        <w:trPr>
          <w:trHeight w:val="154"/>
        </w:trPr>
        <w:tc>
          <w:tcPr>
            <w:tcW w:w="8320" w:type="dxa"/>
            <w:vAlign w:val="bottom"/>
            <w:gridSpan w:val="2"/>
          </w:tcPr>
          <w:p>
            <w:pPr>
              <w:ind w:left="100"/>
              <w:spacing w:after="0"/>
              <w:rPr>
                <w:sz w:val="20"/>
                <w:szCs w:val="20"/>
                <w:color w:val="auto"/>
              </w:rPr>
            </w:pPr>
            <w:r>
              <w:rPr>
                <w:rFonts w:ascii="Arial" w:cs="Arial" w:eastAsia="Arial" w:hAnsi="Arial"/>
                <w:sz w:val="12"/>
                <w:szCs w:val="12"/>
                <w:color w:val="auto"/>
              </w:rPr>
              <w:t>Proceeds from issuance of long-term debt</w:t>
            </w:r>
          </w:p>
        </w:tc>
        <w:tc>
          <w:tcPr>
            <w:tcW w:w="3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2,064,742</w:t>
            </w:r>
          </w:p>
        </w:tc>
      </w:tr>
      <w:tr>
        <w:trPr>
          <w:trHeight w:val="154"/>
        </w:trPr>
        <w:tc>
          <w:tcPr>
            <w:tcW w:w="83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Repayments of long-term debt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(2,060,850)</w:t>
            </w:r>
          </w:p>
        </w:tc>
      </w:tr>
      <w:tr>
        <w:trPr>
          <w:trHeight w:val="154"/>
        </w:trPr>
        <w:tc>
          <w:tcPr>
            <w:tcW w:w="8320" w:type="dxa"/>
            <w:vAlign w:val="bottom"/>
            <w:gridSpan w:val="2"/>
          </w:tcPr>
          <w:p>
            <w:pPr>
              <w:ind w:left="100"/>
              <w:spacing w:after="0"/>
              <w:rPr>
                <w:sz w:val="20"/>
                <w:szCs w:val="20"/>
                <w:color w:val="auto"/>
              </w:rPr>
            </w:pPr>
            <w:r>
              <w:rPr>
                <w:rFonts w:ascii="Arial" w:cs="Arial" w:eastAsia="Arial" w:hAnsi="Arial"/>
                <w:sz w:val="12"/>
                <w:szCs w:val="12"/>
                <w:color w:val="auto"/>
              </w:rPr>
              <w:t>Premium and related costs paid on retirement of certain senior unsecured notes</w:t>
            </w:r>
          </w:p>
        </w:tc>
        <w:tc>
          <w:tcPr>
            <w:tcW w:w="3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(15,747)</w:t>
            </w:r>
          </w:p>
        </w:tc>
      </w:tr>
      <w:tr>
        <w:trPr>
          <w:trHeight w:val="143"/>
        </w:trPr>
        <w:tc>
          <w:tcPr>
            <w:tcW w:w="8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cash used in financing activities</w:t>
            </w: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(225,024)</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(229,846)</w:t>
            </w:r>
          </w:p>
        </w:tc>
      </w:tr>
      <w:tr>
        <w:trPr>
          <w:trHeight w:val="143"/>
        </w:trPr>
        <w:tc>
          <w:tcPr>
            <w:tcW w:w="8320" w:type="dxa"/>
            <w:vAlign w:val="bottom"/>
            <w:gridSpan w:val="2"/>
          </w:tcPr>
          <w:p>
            <w:pPr>
              <w:ind w:left="20"/>
              <w:spacing w:after="0"/>
              <w:rPr>
                <w:sz w:val="20"/>
                <w:szCs w:val="20"/>
                <w:color w:val="auto"/>
              </w:rPr>
            </w:pPr>
            <w:r>
              <w:rPr>
                <w:rFonts w:ascii="Arial" w:cs="Arial" w:eastAsia="Arial" w:hAnsi="Arial"/>
                <w:sz w:val="12"/>
                <w:szCs w:val="12"/>
                <w:b w:val="1"/>
                <w:bCs w:val="1"/>
                <w:color w:val="auto"/>
              </w:rPr>
              <w:t>Net (decrease) increase in cash and cash equivalents, including cash classified within assets held for sale</w:t>
            </w: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(66,877)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79,071</w:t>
            </w:r>
          </w:p>
        </w:tc>
      </w:tr>
      <w:tr>
        <w:trPr>
          <w:trHeight w:val="154"/>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Less net change in cash classified within assets held for sale</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(3,650)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8320" w:type="dxa"/>
            <w:vAlign w:val="bottom"/>
            <w:gridSpan w:val="2"/>
          </w:tcPr>
          <w:p>
            <w:pPr>
              <w:ind w:left="20"/>
              <w:spacing w:after="0"/>
              <w:rPr>
                <w:sz w:val="20"/>
                <w:szCs w:val="20"/>
                <w:color w:val="auto"/>
              </w:rPr>
            </w:pPr>
            <w:r>
              <w:rPr>
                <w:rFonts w:ascii="Arial" w:cs="Arial" w:eastAsia="Arial" w:hAnsi="Arial"/>
                <w:sz w:val="12"/>
                <w:szCs w:val="12"/>
                <w:color w:val="auto"/>
              </w:rPr>
              <w:t>Net (decrease) increase in cash and cash equivalents</w:t>
            </w: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(63,227)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79,071</w:t>
            </w:r>
          </w:p>
        </w:tc>
      </w:tr>
      <w:tr>
        <w:trPr>
          <w:trHeight w:val="154"/>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Cash and cash equivalents at beginning of period</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486,451</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26,823</w:t>
            </w:r>
          </w:p>
        </w:tc>
      </w:tr>
      <w:tr>
        <w:trPr>
          <w:trHeight w:val="143"/>
        </w:trPr>
        <w:tc>
          <w:tcPr>
            <w:tcW w:w="8320" w:type="dxa"/>
            <w:vAlign w:val="bottom"/>
            <w:gridSpan w:val="2"/>
          </w:tcPr>
          <w:p>
            <w:pPr>
              <w:ind w:left="20"/>
              <w:spacing w:after="0"/>
              <w:rPr>
                <w:sz w:val="20"/>
                <w:szCs w:val="20"/>
                <w:color w:val="auto"/>
              </w:rPr>
            </w:pPr>
            <w:r>
              <w:rPr>
                <w:rFonts w:ascii="Arial" w:cs="Arial" w:eastAsia="Arial" w:hAnsi="Arial"/>
                <w:sz w:val="12"/>
                <w:szCs w:val="12"/>
                <w:color w:val="auto"/>
              </w:rPr>
              <w:t>Cash and cash equivalents at end of period</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423,224</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105,894</w:t>
            </w:r>
          </w:p>
        </w:tc>
      </w:tr>
      <w:tr>
        <w:trPr>
          <w:trHeight w:val="20"/>
        </w:trPr>
        <w:tc>
          <w:tcPr>
            <w:tcW w:w="8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the condensed consolidated financial statements and Note 16 for supplemental cash flow information and noncash investing and financing activities.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8" w:name="page9"/>
    <w:bookmarkEnd w:id="8"/>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Gaming and Leisure Properties,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Condensed Consolidated Financial Statements</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139" w:lineRule="exact"/>
        <w:rPr>
          <w:sz w:val="20"/>
          <w:szCs w:val="20"/>
          <w:color w:val="auto"/>
        </w:rPr>
      </w:pPr>
    </w:p>
    <w:p>
      <w:pPr>
        <w:ind w:left="248" w:hanging="248"/>
        <w:spacing w:after="0"/>
        <w:tabs>
          <w:tab w:leader="none" w:pos="248"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Business and Operations</w:t>
      </w:r>
    </w:p>
    <w:p>
      <w:pPr>
        <w:spacing w:after="0" w:line="155" w:lineRule="exact"/>
        <w:rPr>
          <w:sz w:val="20"/>
          <w:szCs w:val="20"/>
          <w:color w:val="auto"/>
        </w:rPr>
      </w:pPr>
    </w:p>
    <w:p>
      <w:pPr>
        <w:ind w:left="428"/>
        <w:spacing w:after="0"/>
        <w:rPr>
          <w:sz w:val="20"/>
          <w:szCs w:val="20"/>
          <w:color w:val="auto"/>
        </w:rPr>
      </w:pPr>
      <w:r>
        <w:rPr>
          <w:rFonts w:ascii="Arial" w:cs="Arial" w:eastAsia="Arial" w:hAnsi="Arial"/>
          <w:sz w:val="11"/>
          <w:szCs w:val="11"/>
          <w:color w:val="auto"/>
        </w:rPr>
        <w:t>Gaming and Leisure Properties, Inc. ("GLPI") is a self-administered and self-managed Pennsylvania real estate investment trust ("REIT"). GLPI (together with its subsidiaries, the "Company") was incorporated on</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February 13, 2013, as a wholly-owned subsidiary of Penn National Gaming, Inc. (NASDAQ: PENN) ("Penn"). On November 1, 2013, Penn contributed to GLPI, through a series of internal corporate restructurings, substantially all of</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assets and liabilities associated with Penn’s real property interests and real estate development business, as well as the assets and liabilities of Hollywood Casino Baton Rouge and Hollywood Casino Perryville until the July 1, 2021</w:t>
      </w:r>
    </w:p>
    <w:p>
      <w:pPr>
        <w:spacing w:after="0" w:line="30" w:lineRule="exact"/>
        <w:rPr>
          <w:sz w:val="20"/>
          <w:szCs w:val="20"/>
          <w:color w:val="auto"/>
        </w:rPr>
      </w:pPr>
    </w:p>
    <w:p>
      <w:pPr>
        <w:ind w:left="8"/>
        <w:spacing w:after="0"/>
        <w:rPr>
          <w:sz w:val="20"/>
          <w:szCs w:val="20"/>
          <w:color w:val="auto"/>
        </w:rPr>
      </w:pPr>
      <w:r>
        <w:rPr>
          <w:rFonts w:ascii="Arial" w:cs="Arial" w:eastAsia="Arial" w:hAnsi="Arial"/>
          <w:sz w:val="11"/>
          <w:szCs w:val="11"/>
          <w:color w:val="auto"/>
        </w:rPr>
        <w:t>sale of the operations to Penn (which are referred to as the "TRS Properties") and then spun-off GLPI to holders of Penn's common and preferred stock in a tax-free distribution (the "Spin-Off"). The assets and liabilities of GLPI were</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recorded at their respective historical carrying values at the time of the Spin-Off in accordance with the provisions of Financial Accounting Standards Board ("FASB") Accounting Standards Codification ("ASC") 505-60 - </w:t>
      </w:r>
      <w:r>
        <w:rPr>
          <w:rFonts w:ascii="Arial" w:cs="Arial" w:eastAsia="Arial" w:hAnsi="Arial"/>
          <w:sz w:val="11"/>
          <w:szCs w:val="11"/>
          <w:i w:val="1"/>
          <w:iCs w:val="1"/>
          <w:color w:val="auto"/>
        </w:rPr>
        <w:t>Spinoffs and</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Reverse Spinoffs ("</w:t>
      </w:r>
      <w:r>
        <w:rPr>
          <w:rFonts w:ascii="Arial" w:cs="Arial" w:eastAsia="Arial" w:hAnsi="Arial"/>
          <w:sz w:val="12"/>
          <w:szCs w:val="12"/>
          <w:color w:val="auto"/>
        </w:rPr>
        <w:t>ASC 505"</w:t>
      </w:r>
      <w:r>
        <w:rPr>
          <w:rFonts w:ascii="Arial" w:cs="Arial" w:eastAsia="Arial" w:hAnsi="Arial"/>
          <w:sz w:val="12"/>
          <w:szCs w:val="12"/>
          <w:i w:val="1"/>
          <w:iCs w:val="1"/>
          <w:color w:val="auto"/>
        </w:rPr>
        <w:t>).</w:t>
      </w:r>
    </w:p>
    <w:p>
      <w:pPr>
        <w:spacing w:after="0" w:line="161" w:lineRule="exact"/>
        <w:rPr>
          <w:sz w:val="20"/>
          <w:szCs w:val="20"/>
          <w:color w:val="auto"/>
        </w:rPr>
      </w:pPr>
    </w:p>
    <w:p>
      <w:pPr>
        <w:ind w:left="8" w:right="80" w:firstLine="434"/>
        <w:spacing w:after="0" w:line="264" w:lineRule="auto"/>
        <w:rPr>
          <w:sz w:val="20"/>
          <w:szCs w:val="20"/>
          <w:color w:val="auto"/>
        </w:rPr>
      </w:pPr>
      <w:r>
        <w:rPr>
          <w:rFonts w:ascii="Arial" w:cs="Arial" w:eastAsia="Arial" w:hAnsi="Arial"/>
          <w:sz w:val="11"/>
          <w:szCs w:val="11"/>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addition, during 2020, the Company and Tropicana LV, LLC, a wholly owned subsidiary of the Company which holds the real estate of Tropicana Las Vegas Casino Hotel Resort ("Tropicana Las Vegas"), elected to treat Tropicana LV, LLC as a TRS, which together with the TRS Properties and GLP Holdings, Inc. is the Company's TRS segment (the "TRS Segment").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On July 1, 2021, the Company sold the operations of Hollywood Casino Perryville to Penn and is leasing the real estate to Penn pursuant to a standalone lease. See Note 6 for additional discussion.</w:t>
      </w:r>
    </w:p>
    <w:p>
      <w:pPr>
        <w:spacing w:after="0" w:line="135" w:lineRule="exact"/>
        <w:rPr>
          <w:sz w:val="20"/>
          <w:szCs w:val="20"/>
          <w:color w:val="auto"/>
        </w:rPr>
      </w:pPr>
    </w:p>
    <w:p>
      <w:pPr>
        <w:jc w:val="both"/>
        <w:ind w:left="8" w:firstLine="434"/>
        <w:spacing w:after="0" w:line="267" w:lineRule="auto"/>
        <w:rPr>
          <w:sz w:val="20"/>
          <w:szCs w:val="20"/>
          <w:color w:val="auto"/>
        </w:rPr>
      </w:pPr>
      <w:r>
        <w:rPr>
          <w:rFonts w:ascii="Arial" w:cs="Arial" w:eastAsia="Arial" w:hAnsi="Arial"/>
          <w:sz w:val="11"/>
          <w:szCs w:val="11"/>
          <w:color w:val="auto"/>
        </w:rPr>
        <w:t>GLPI’s primary business consists of acquiring, financing, and owning real estate property to be leased to gaming operators in triple-net lease arrangements. As of September 30, 2021, GLPI’s portfolio consisted of interests in 50 gaming and related facilities, including the TRS Properties, the real property associated with 34 gaming and related facilities operated by Penn, the real property associated with 7 gaming and related facilities operated by Caesars Entertainment Corporation (NASDAQ: CZR) ("Caesars"), the real property associated with 4 gaming and related facilities operated by Boyd Gaming Corporation (NYSE: BYD) ("Boyd"), the real property associated with 2 gaming and related facilities operated by Bally's Corporation (NYSE: BALY) ("Bally's") and the real property associated with property operated by Casino Queen Holding Company Inc. ("Casino Queen") in East St. Louis, Illinois. These facilities, including our corporate headquarters building, are geographically diversified across 17 states and contain approximately 25.3 million square feet. As of September 30, 2021, the Company's properties were 100% occupied. GLPI expects to continue growing its portfolio by pursuing opportunities to acquire additional gaming facilities to lease to gaming operators under prudent terms.</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Penn Master Lease and Casino Queen Lease</w:t>
      </w:r>
    </w:p>
    <w:p>
      <w:pPr>
        <w:spacing w:after="0" w:line="169" w:lineRule="exact"/>
        <w:rPr>
          <w:sz w:val="20"/>
          <w:szCs w:val="20"/>
          <w:color w:val="auto"/>
        </w:rPr>
      </w:pPr>
    </w:p>
    <w:p>
      <w:pPr>
        <w:ind w:left="8" w:right="160" w:firstLine="434"/>
        <w:spacing w:after="0" w:line="260" w:lineRule="auto"/>
        <w:rPr>
          <w:sz w:val="20"/>
          <w:szCs w:val="20"/>
          <w:color w:val="auto"/>
        </w:rPr>
      </w:pPr>
      <w:r>
        <w:rPr>
          <w:rFonts w:ascii="Arial" w:cs="Arial" w:eastAsia="Arial" w:hAnsi="Arial"/>
          <w:sz w:val="12"/>
          <w:szCs w:val="12"/>
          <w:color w:val="auto"/>
        </w:rPr>
        <w:t>As a result of the Spin-Off, GLPI owns substantially all of Penn’s former real property assets (as of the consummation of the Spin-Off) and leases back most of those assets to Penn for use by its subsidiaries, under a unitary master lease (the "Penn Master Lease"). The Penn Master Lease is a triple-net operating lease, the current term of which expires October 31, 2033, with no purchase option, followed by three remaining 5-year renewal options (exercisable by the tenant) on the same terms and conditions. GLPI leases the Casino Queen property in East St. Louis back to its operator on a triple-net basis on terms similar to those in the Penn Master Lease (the "Casino Queen Lease").</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Amended Pinnacle Master Lease, Boyd Master Lease and Belterra Park Lease</w:t>
      </w:r>
    </w:p>
    <w:p>
      <w:pPr>
        <w:spacing w:after="0" w:line="169" w:lineRule="exact"/>
        <w:rPr>
          <w:sz w:val="20"/>
          <w:szCs w:val="20"/>
          <w:color w:val="auto"/>
        </w:rPr>
      </w:pPr>
    </w:p>
    <w:p>
      <w:pPr>
        <w:ind w:left="8" w:right="40" w:firstLine="434"/>
        <w:spacing w:after="0" w:line="265" w:lineRule="auto"/>
        <w:rPr>
          <w:sz w:val="20"/>
          <w:szCs w:val="20"/>
          <w:color w:val="auto"/>
        </w:rPr>
      </w:pPr>
      <w:r>
        <w:rPr>
          <w:rFonts w:ascii="Arial" w:cs="Arial" w:eastAsia="Arial" w:hAnsi="Arial"/>
          <w:sz w:val="12"/>
          <w:szCs w:val="12"/>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w:t>
      </w:r>
    </w:p>
    <w:p>
      <w:pPr>
        <w:spacing w:after="0" w:line="34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134" w:right="299" w:bottom="1440" w:gutter="0" w:footer="0" w:header="0"/>
        </w:sectPr>
      </w:pPr>
    </w:p>
    <w:bookmarkStart w:id="9" w:name="page10"/>
    <w:bookmarkEnd w:id="9"/>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5" w:lineRule="exact"/>
        <w:rPr>
          <w:sz w:val="20"/>
          <w:szCs w:val="20"/>
          <w:color w:val="auto"/>
        </w:rPr>
      </w:pPr>
    </w:p>
    <w:p>
      <w:pPr>
        <w:ind w:right="20"/>
        <w:spacing w:after="0" w:line="310" w:lineRule="auto"/>
        <w:rPr>
          <w:sz w:val="20"/>
          <w:szCs w:val="20"/>
          <w:color w:val="auto"/>
        </w:rPr>
      </w:pPr>
      <w:r>
        <w:rPr>
          <w:rFonts w:ascii="Arial" w:cs="Arial" w:eastAsia="Arial" w:hAnsi="Arial"/>
          <w:sz w:val="10"/>
          <w:szCs w:val="10"/>
          <w:color w:val="auto"/>
        </w:rPr>
        <w:t>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w:t>
      </w:r>
    </w:p>
    <w:p>
      <w:pPr>
        <w:spacing w:after="0"/>
        <w:rPr>
          <w:sz w:val="20"/>
          <w:szCs w:val="20"/>
          <w:color w:val="auto"/>
        </w:rPr>
      </w:pPr>
      <w:r>
        <w:rPr>
          <w:rFonts w:ascii="Arial" w:cs="Arial" w:eastAsia="Arial" w:hAnsi="Arial"/>
          <w:sz w:val="11"/>
          <w:szCs w:val="11"/>
          <w:color w:val="auto"/>
        </w:rPr>
        <w:t>of Belterra Park in satisfaction of the Belterra Park Loan, subject to a long-term lease (the "Belterra Park Lease") with a Boyd affiliate operating the property. The Belterra Park Lease rent terms are consistent with the Boyd Master</w:t>
      </w:r>
    </w:p>
    <w:p>
      <w:pPr>
        <w:spacing w:after="0" w:line="45" w:lineRule="exact"/>
        <w:rPr>
          <w:sz w:val="20"/>
          <w:szCs w:val="20"/>
          <w:color w:val="auto"/>
        </w:rPr>
      </w:pPr>
    </w:p>
    <w:p>
      <w:pPr>
        <w:ind w:right="140"/>
        <w:spacing w:after="0" w:line="325" w:lineRule="auto"/>
        <w:rPr>
          <w:sz w:val="20"/>
          <w:szCs w:val="20"/>
          <w:color w:val="auto"/>
        </w:rPr>
      </w:pPr>
      <w:r>
        <w:rPr>
          <w:rFonts w:ascii="Arial" w:cs="Arial" w:eastAsia="Arial" w:hAnsi="Arial"/>
          <w:sz w:val="11"/>
          <w:szCs w:val="11"/>
          <w:color w:val="auto"/>
        </w:rPr>
        <w:t>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Meadows Lease</w:t>
      </w:r>
    </w:p>
    <w:p>
      <w:pPr>
        <w:spacing w:after="0" w:line="169" w:lineRule="exact"/>
        <w:rPr>
          <w:sz w:val="20"/>
          <w:szCs w:val="20"/>
          <w:color w:val="auto"/>
        </w:rPr>
      </w:pPr>
    </w:p>
    <w:p>
      <w:pPr>
        <w:jc w:val="both"/>
        <w:ind w:firstLine="434"/>
        <w:spacing w:after="0" w:line="242" w:lineRule="auto"/>
        <w:rPr>
          <w:sz w:val="20"/>
          <w:szCs w:val="20"/>
          <w:color w:val="auto"/>
        </w:rPr>
      </w:pPr>
      <w:r>
        <w:rPr>
          <w:rFonts w:ascii="Arial" w:cs="Arial" w:eastAsia="Arial" w:hAnsi="Arial"/>
          <w:sz w:val="12"/>
          <w:szCs w:val="12"/>
          <w:color w:val="auto"/>
        </w:rPr>
        <w:t>The real estate assets of the Meadows Racetrack and Casino are leased to Penn pursuant to a single property triple-net lease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Amended and Restated Caesars Master Lease</w:t>
      </w:r>
    </w:p>
    <w:p>
      <w:pPr>
        <w:spacing w:after="0" w:line="169"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1"/>
          <w:szCs w:val="11"/>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L.P, ("GLP Capital"), the operating partnership of GLPI,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0" w:name="page11"/>
    <w:bookmarkEnd w:id="10"/>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of certain gaming regulatory agencies and the expiration of applicable gaming regulatory advance notice periods which were received on July 23, 2020. On December 18, 2020, the Company and Caesars completed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This resulted in a non-cash gain of $41.4 million in the fourth quarter of 2020, which represented the difference between the fair value of the properties received compared to the carrying value of Tropicana Evansville and the cash payment made. In connection with the Exchange Agreement, the annual building base rent was increased to $62.5 million and the annual land component was increased to $23.7 million.</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Lumière Place Lease</w:t>
      </w:r>
    </w:p>
    <w:p>
      <w:pPr>
        <w:spacing w:after="0" w:line="169"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1"/>
          <w:szCs w:val="11"/>
          <w:color w:val="auto"/>
        </w:rPr>
        <w:t>On October 1, 2018, the Company entered into a loan agreement with Caesars in connection with Caesars’s acquisition of Lumière Place Casino ("Lumière Place"), whereby the Company loaned Caesars $246.0 million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 own the Lumière Place property in satisfaction of the CZR loan. On September 29, 2020, the transaction closed and we entered into a new triple net lease with Caesars (the "Lumière Place Lease") the initial term of which expires on October 31, 2033, with 4 separate renewal options of five years each, exercisable at the tenant's option. The Lumière Place Lease's rent is subject to an annual escalator of up to 2% if certain rent coverage ratio thresholds are met.</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Tropicana Las Vegas</w:t>
      </w:r>
    </w:p>
    <w:p>
      <w:pPr>
        <w:spacing w:after="0" w:line="169"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2"/>
          <w:szCs w:val="12"/>
          <w:color w:val="auto"/>
        </w:rPr>
        <w:t>On April 16, 2020, the Company and certain of its subsidiaries acquired the real property associated with the Tropicana Las Vegas from Penn in exchange for $307.5 million of rent credits to be applied against future rent obligations that were fully utilized in 2020. This asset has been placed in our TRS Segment. See Note 17 for the anticipated sale of the building and sale-lease back of the land for this asset.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Morgantown Lease</w:t>
      </w:r>
    </w:p>
    <w:p>
      <w:pPr>
        <w:spacing w:after="0" w:line="169" w:lineRule="exact"/>
        <w:rPr>
          <w:sz w:val="20"/>
          <w:szCs w:val="20"/>
          <w:color w:val="auto"/>
        </w:rPr>
      </w:pPr>
    </w:p>
    <w:p>
      <w:pPr>
        <w:jc w:val="both"/>
        <w:ind w:right="20" w:firstLine="434"/>
        <w:spacing w:after="0" w:line="265" w:lineRule="auto"/>
        <w:rPr>
          <w:sz w:val="20"/>
          <w:szCs w:val="20"/>
          <w:color w:val="auto"/>
        </w:rPr>
      </w:pPr>
      <w:r>
        <w:rPr>
          <w:rFonts w:ascii="Arial" w:cs="Arial" w:eastAsia="Arial" w:hAnsi="Arial"/>
          <w:sz w:val="12"/>
          <w:szCs w:val="12"/>
          <w:color w:val="auto"/>
        </w:rPr>
        <w:t>On October 1, 2020, the Company and Penn closed on their previously announced transaction whereby GLPI acquired the land under Penn's gaming facility under construction in Morgantown, Pennsylvania in exchange for $30.0 million in rent credits which were fully utilized by Penn in the fourth quarter of 2020. The Company is leasing the land back to an affiliate of Penn for an initial term of 20 years, followed by six 5-year renewal options exercisable by the tenant (the "Morgantown Lease").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Bally's Master Lease</w:t>
      </w:r>
    </w:p>
    <w:p>
      <w:pPr>
        <w:spacing w:after="0" w:line="169" w:lineRule="exact"/>
        <w:rPr>
          <w:sz w:val="20"/>
          <w:szCs w:val="20"/>
          <w:color w:val="auto"/>
        </w:rPr>
      </w:pPr>
    </w:p>
    <w:p>
      <w:pPr>
        <w:jc w:val="both"/>
        <w:ind w:firstLine="434"/>
        <w:spacing w:after="0" w:line="260" w:lineRule="auto"/>
        <w:rPr>
          <w:sz w:val="20"/>
          <w:szCs w:val="20"/>
          <w:color w:val="auto"/>
        </w:rPr>
      </w:pPr>
      <w:r>
        <w:rPr>
          <w:rFonts w:ascii="Arial" w:cs="Arial" w:eastAsia="Arial" w:hAnsi="Arial"/>
          <w:sz w:val="12"/>
          <w:szCs w:val="12"/>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master lease (the "Bally's Master Lease") which has an initial term of 15 years, with no purchase option, followed by four 5-year renewal options (exercisable by the tenant) on the same terms and conditions.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Perryville Lease</w:t>
      </w:r>
    </w:p>
    <w:p>
      <w:pPr>
        <w:spacing w:after="0" w:line="169"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On July 1, 2021, the Company completed its previously announced transaction whereby Penn purchased the operations of Hollywood Casino Perryville and the real estate assets of the facility are being leased to Penn under a triple net lease for an initial annual rent of $7.77 million, $5.83 million of which will be subject to escalation provisions beginning in the second lease year through the fourth lease year and increasing by 1.50% during such period and then increasing by 1.25% for the remaining lease term. The escalation provisions beginning in the fifth lease year are subject to the CPI being at least 0.5% for the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1" w:name="page12"/>
    <w:bookmarkEnd w:id="11"/>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5" w:lineRule="exact"/>
        <w:rPr>
          <w:sz w:val="20"/>
          <w:szCs w:val="20"/>
          <w:color w:val="auto"/>
        </w:rPr>
      </w:pPr>
    </w:p>
    <w:p>
      <w:pPr>
        <w:ind w:left="8"/>
        <w:spacing w:after="0"/>
        <w:rPr>
          <w:sz w:val="20"/>
          <w:szCs w:val="20"/>
          <w:color w:val="auto"/>
        </w:rPr>
      </w:pPr>
      <w:r>
        <w:rPr>
          <w:rFonts w:ascii="Arial" w:cs="Arial" w:eastAsia="Arial" w:hAnsi="Arial"/>
          <w:sz w:val="11"/>
          <w:szCs w:val="11"/>
          <w:color w:val="auto"/>
        </w:rPr>
        <w:t>preceding lease year. The lease has an initial term of 20 years, with no purchase option, followed by three 5-year renewal options (exercisable by the tenant) on the same terms and conditions (the "Perryville Lease").</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COVID-19</w:t>
      </w:r>
    </w:p>
    <w:p>
      <w:pPr>
        <w:spacing w:after="0" w:line="169" w:lineRule="exact"/>
        <w:rPr>
          <w:sz w:val="20"/>
          <w:szCs w:val="20"/>
          <w:color w:val="auto"/>
        </w:rPr>
      </w:pPr>
    </w:p>
    <w:p>
      <w:pPr>
        <w:jc w:val="both"/>
        <w:ind w:left="8" w:firstLine="434"/>
        <w:spacing w:after="0" w:line="291" w:lineRule="auto"/>
        <w:rPr>
          <w:sz w:val="20"/>
          <w:szCs w:val="20"/>
          <w:color w:val="auto"/>
        </w:rPr>
      </w:pPr>
      <w:r>
        <w:rPr>
          <w:rFonts w:ascii="Arial" w:cs="Arial" w:eastAsia="Arial" w:hAnsi="Arial"/>
          <w:sz w:val="11"/>
          <w:szCs w:val="11"/>
          <w:color w:val="auto"/>
        </w:rPr>
        <w:t>In the first quarter of 2020, there was a global outbreak of a new strain of novel coronavirus COVID-19. The global, domestic and local response to the COVID-19 outbreak continues to evolve. Responses to the COVID-19 outbreak included mandates from federal, state, and/or local authorities that required temporary closures of, or imposed limitations on, the operations of non-essential businesses. All of the Company's tenants' casino operations, in addition to the Company's two TRS Properties, were closed in mid-March 2020. Our properties began reopening at limited capacity in May 2020 and by early July 2020 nearly all had resumed operations at limited capacity. However, in the fourth quarter of 2020, increased spread of COVID-19 led some jurisdictions to impose temporary closures once again. As of the date of this filing, none of our properties are closed.</w:t>
      </w:r>
    </w:p>
    <w:p>
      <w:pPr>
        <w:spacing w:after="0" w:line="124" w:lineRule="exact"/>
        <w:rPr>
          <w:sz w:val="20"/>
          <w:szCs w:val="20"/>
          <w:color w:val="auto"/>
        </w:rPr>
      </w:pPr>
    </w:p>
    <w:p>
      <w:pPr>
        <w:ind w:left="248" w:hanging="248"/>
        <w:spacing w:after="0"/>
        <w:tabs>
          <w:tab w:leader="none" w:pos="248"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Presentation</w:t>
      </w:r>
    </w:p>
    <w:p>
      <w:pPr>
        <w:spacing w:after="0" w:line="173" w:lineRule="exact"/>
        <w:rPr>
          <w:sz w:val="20"/>
          <w:szCs w:val="20"/>
          <w:color w:val="auto"/>
        </w:rPr>
      </w:pPr>
    </w:p>
    <w:p>
      <w:pPr>
        <w:ind w:left="8" w:right="180" w:firstLine="434"/>
        <w:spacing w:after="0" w:line="265" w:lineRule="auto"/>
        <w:rPr>
          <w:sz w:val="20"/>
          <w:szCs w:val="20"/>
          <w:color w:val="auto"/>
        </w:rPr>
      </w:pPr>
      <w:r>
        <w:rPr>
          <w:rFonts w:ascii="Arial" w:cs="Arial" w:eastAsia="Arial" w:hAnsi="Arial"/>
          <w:sz w:val="12"/>
          <w:szCs w:val="12"/>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40" w:lineRule="exact"/>
        <w:rPr>
          <w:sz w:val="20"/>
          <w:szCs w:val="20"/>
          <w:color w:val="auto"/>
        </w:rPr>
      </w:pPr>
    </w:p>
    <w:p>
      <w:pPr>
        <w:jc w:val="both"/>
        <w:ind w:left="8" w:right="20" w:firstLine="434"/>
        <w:spacing w:after="0" w:line="291" w:lineRule="auto"/>
        <w:rPr>
          <w:sz w:val="20"/>
          <w:szCs w:val="20"/>
          <w:color w:val="auto"/>
        </w:rPr>
      </w:pPr>
      <w:r>
        <w:rPr>
          <w:rFonts w:ascii="Arial" w:cs="Arial" w:eastAsia="Arial" w:hAnsi="Arial"/>
          <w:sz w:val="11"/>
          <w:szCs w:val="11"/>
          <w:color w:val="auto"/>
        </w:rPr>
        <w:t>The condensed consolidated financial statements include the accounts of GLPI and its subsidiaries. All intercompany accounts and transactions have been eliminated in consolidation.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 Certain prior period amounts have been reclassified to conform to the current period presentation. Specifically, gains and losses from dispositions were previously classified within General and administrative expenses and are now presented separately on the Condensed Consolidated Statements of Income.</w:t>
      </w:r>
    </w:p>
    <w:p>
      <w:pPr>
        <w:spacing w:after="0" w:line="128" w:lineRule="exact"/>
        <w:rPr>
          <w:sz w:val="20"/>
          <w:szCs w:val="20"/>
          <w:color w:val="auto"/>
        </w:rPr>
      </w:pPr>
    </w:p>
    <w:p>
      <w:pPr>
        <w:ind w:left="8" w:right="240" w:firstLine="434"/>
        <w:spacing w:after="0" w:line="265" w:lineRule="auto"/>
        <w:rPr>
          <w:sz w:val="20"/>
          <w:szCs w:val="20"/>
          <w:color w:val="auto"/>
        </w:rPr>
      </w:pPr>
      <w:r>
        <w:rPr>
          <w:rFonts w:ascii="Arial" w:cs="Arial" w:eastAsia="Arial" w:hAnsi="Arial"/>
          <w:sz w:val="12"/>
          <w:szCs w:val="12"/>
          <w:color w:val="auto"/>
        </w:rPr>
        <w:t>Operating results for the three and nine months ended September 30, 2021 are not necessarily indicative of the results that may be expected for the year ending December 31, 2021. The consolidated financial statements contained in our Annual Report on Form 10-K for the year ended December 31, 2020 (our "Annual Report") should be read in conjunction with these condensed consolidated financial statements. The December 31, 2020 financial information has been derived from the Company’s audited consolidated financial statements.</w:t>
      </w:r>
    </w:p>
    <w:p>
      <w:pPr>
        <w:spacing w:after="0" w:line="140" w:lineRule="exact"/>
        <w:rPr>
          <w:sz w:val="20"/>
          <w:szCs w:val="20"/>
          <w:color w:val="auto"/>
        </w:rPr>
      </w:pPr>
    </w:p>
    <w:p>
      <w:pPr>
        <w:ind w:left="8" w:right="260" w:firstLine="434"/>
        <w:spacing w:after="0" w:line="278" w:lineRule="auto"/>
        <w:rPr>
          <w:sz w:val="20"/>
          <w:szCs w:val="20"/>
          <w:color w:val="auto"/>
        </w:rPr>
      </w:pPr>
      <w:r>
        <w:rPr>
          <w:rFonts w:ascii="Arial" w:cs="Arial" w:eastAsia="Arial" w:hAnsi="Arial"/>
          <w:sz w:val="12"/>
          <w:szCs w:val="12"/>
          <w:color w:val="auto"/>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w:t>
      </w:r>
    </w:p>
    <w:p>
      <w:pPr>
        <w:spacing w:after="0" w:line="128" w:lineRule="exact"/>
        <w:rPr>
          <w:sz w:val="20"/>
          <w:szCs w:val="20"/>
          <w:color w:val="auto"/>
        </w:rPr>
      </w:pPr>
    </w:p>
    <w:p>
      <w:pPr>
        <w:ind w:left="8"/>
        <w:spacing w:after="0"/>
        <w:tabs>
          <w:tab w:leader="none" w:pos="187" w:val="left"/>
        </w:tabs>
        <w:rPr>
          <w:sz w:val="20"/>
          <w:szCs w:val="20"/>
          <w:color w:val="auto"/>
        </w:rPr>
      </w:pPr>
      <w:r>
        <w:rPr>
          <w:rFonts w:ascii="Arial" w:cs="Arial" w:eastAsia="Arial" w:hAnsi="Arial"/>
          <w:sz w:val="12"/>
          <w:szCs w:val="12"/>
          <w:b w:val="1"/>
          <w:bCs w:val="1"/>
          <w:color w:val="auto"/>
        </w:rPr>
        <w:t>3.</w:t>
      </w:r>
      <w:r>
        <w:rPr>
          <w:sz w:val="20"/>
          <w:szCs w:val="20"/>
          <w:color w:val="auto"/>
        </w:rPr>
        <w:tab/>
      </w:r>
      <w:r>
        <w:rPr>
          <w:rFonts w:ascii="Arial" w:cs="Arial" w:eastAsia="Arial" w:hAnsi="Arial"/>
          <w:sz w:val="10"/>
          <w:szCs w:val="10"/>
          <w:b w:val="1"/>
          <w:bCs w:val="1"/>
          <w:color w:val="auto"/>
        </w:rPr>
        <w:t>New Accounting Pronouncements</w:t>
      </w:r>
    </w:p>
    <w:p>
      <w:pPr>
        <w:spacing w:after="0" w:line="17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Accounting Pronouncements Recently Adopted</w:t>
      </w:r>
    </w:p>
    <w:p>
      <w:pPr>
        <w:spacing w:after="0" w:line="169" w:lineRule="exact"/>
        <w:rPr>
          <w:sz w:val="20"/>
          <w:szCs w:val="20"/>
          <w:color w:val="auto"/>
        </w:rPr>
      </w:pPr>
    </w:p>
    <w:p>
      <w:pPr>
        <w:ind w:left="8" w:right="40" w:firstLine="434"/>
        <w:spacing w:after="0" w:line="287" w:lineRule="auto"/>
        <w:rPr>
          <w:sz w:val="20"/>
          <w:szCs w:val="20"/>
          <w:color w:val="auto"/>
        </w:rPr>
      </w:pPr>
      <w:r>
        <w:rPr>
          <w:rFonts w:ascii="Arial" w:cs="Arial" w:eastAsia="Arial" w:hAnsi="Arial"/>
          <w:sz w:val="11"/>
          <w:szCs w:val="11"/>
          <w:color w:val="auto"/>
        </w:rPr>
        <w:t xml:space="preserve">In March 2020, the FASB issued ASU No. 2020-04, </w:t>
      </w:r>
      <w:r>
        <w:rPr>
          <w:rFonts w:ascii="Arial" w:cs="Arial" w:eastAsia="Arial" w:hAnsi="Arial"/>
          <w:sz w:val="11"/>
          <w:szCs w:val="11"/>
          <w:i w:val="1"/>
          <w:iCs w:val="1"/>
          <w:color w:val="auto"/>
        </w:rPr>
        <w:t>Reference Rate Reform</w:t>
      </w:r>
      <w:r>
        <w:rPr>
          <w:rFonts w:ascii="Arial" w:cs="Arial" w:eastAsia="Arial" w:hAnsi="Arial"/>
          <w:sz w:val="11"/>
          <w:szCs w:val="11"/>
          <w:color w:val="auto"/>
        </w:rPr>
        <w:t xml:space="preserve"> ("ASU 2020-04"). Reference rates such as London Interbank Offered Rate ("LIBOR") are widely used in a broad range of financial instruments and other agreements. Regulators and market participants in various jurisdictions have undertaken efforts, generally referred to as "reference rate reform", to eliminate certain reference rates and introduce new reference rates that are based on a larger and more liquid population of observable transactions. As a result of this reform initiative, certain widely used rates such as LIBOR are expected to be discontinued. ASU 2020-04 provides optional expedients for applying the guidance for contract modifications or other situations affected by reference rate reform, specifically addressing the accounting for modifications of contracts within the scope of ASC Topic 310 on receivables, ASC 470 on debt, and ASC 842 on leases and ASC subtopic 815-15 on embedded derivatives. The adoption of this pronouncement had no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134" w:right="299" w:bottom="1440" w:gutter="0" w:footer="0" w:header="0"/>
        </w:sectPr>
      </w:pPr>
    </w:p>
    <w:bookmarkStart w:id="12" w:name="page13"/>
    <w:bookmarkEnd w:id="12"/>
    <w:p>
      <w:pPr>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1" w:lineRule="exact"/>
        <w:rPr>
          <w:sz w:val="20"/>
          <w:szCs w:val="20"/>
          <w:color w:val="auto"/>
        </w:rPr>
      </w:pPr>
    </w:p>
    <w:p>
      <w:pPr>
        <w:spacing w:after="0"/>
        <w:tabs>
          <w:tab w:leader="none" w:pos="220" w:val="left"/>
        </w:tabs>
        <w:rPr>
          <w:sz w:val="20"/>
          <w:szCs w:val="20"/>
          <w:color w:val="auto"/>
        </w:rPr>
      </w:pPr>
      <w:r>
        <w:rPr>
          <w:rFonts w:ascii="Arial" w:cs="Arial" w:eastAsia="Arial" w:hAnsi="Arial"/>
          <w:sz w:val="12"/>
          <w:szCs w:val="12"/>
          <w:b w:val="1"/>
          <w:bCs w:val="1"/>
          <w:color w:val="auto"/>
        </w:rPr>
        <w:t>4.</w:t>
        <w:tab/>
        <w:t>Real Estate Investments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Real estate investments, net, represents investments in 48 rental properties and the corporate headquarters building and is summarized as follows:</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4"/>
              </w:rPr>
              <w:t>September 30,</w:t>
            </w:r>
          </w:p>
        </w:tc>
        <w:tc>
          <w:tcPr>
            <w:tcW w:w="340" w:type="dxa"/>
            <w:vAlign w:val="bottom"/>
          </w:tcPr>
          <w:p>
            <w:pPr>
              <w:spacing w:after="0"/>
              <w:rPr>
                <w:sz w:val="10"/>
                <w:szCs w:val="10"/>
                <w:color w:val="auto"/>
              </w:rPr>
            </w:pPr>
          </w:p>
        </w:tc>
        <w:tc>
          <w:tcPr>
            <w:tcW w:w="1100" w:type="dxa"/>
            <w:vAlign w:val="bottom"/>
          </w:tcPr>
          <w:p>
            <w:pPr>
              <w:jc w:val="center"/>
              <w:ind w:right="283"/>
              <w:spacing w:after="0"/>
              <w:rPr>
                <w:sz w:val="20"/>
                <w:szCs w:val="20"/>
                <w:color w:val="auto"/>
              </w:rPr>
            </w:pPr>
            <w:r>
              <w:rPr>
                <w:rFonts w:ascii="Arial" w:cs="Arial" w:eastAsia="Arial" w:hAnsi="Arial"/>
                <w:sz w:val="10"/>
                <w:szCs w:val="10"/>
                <w:b w:val="1"/>
                <w:bCs w:val="1"/>
                <w:color w:val="auto"/>
                <w:w w:val="86"/>
              </w:rPr>
              <w:t>December 31,</w:t>
            </w:r>
          </w:p>
        </w:tc>
      </w:tr>
      <w:tr>
        <w:trPr>
          <w:trHeight w:val="125"/>
        </w:trPr>
        <w:tc>
          <w:tcPr>
            <w:tcW w:w="75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2020</w:t>
            </w:r>
          </w:p>
        </w:tc>
      </w:tr>
      <w:tr>
        <w:trPr>
          <w:trHeight w:val="116"/>
        </w:trPr>
        <w:tc>
          <w:tcPr>
            <w:tcW w:w="7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0"/>
                <w:szCs w:val="10"/>
                <w:b w:val="1"/>
                <w:bCs w:val="1"/>
                <w:color w:val="auto"/>
              </w:rPr>
              <w:t>(in thousands)</w:t>
            </w:r>
          </w:p>
        </w:tc>
        <w:tc>
          <w:tcPr>
            <w:tcW w:w="1100" w:type="dxa"/>
            <w:vAlign w:val="bottom"/>
          </w:tcPr>
          <w:p>
            <w:pPr>
              <w:spacing w:after="0"/>
              <w:rPr>
                <w:sz w:val="10"/>
                <w:szCs w:val="10"/>
                <w:color w:val="auto"/>
              </w:rPr>
            </w:pPr>
          </w:p>
        </w:tc>
      </w:tr>
      <w:tr>
        <w:trPr>
          <w:trHeight w:val="155"/>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Land and improvements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center"/>
              <w:ind w:left="564"/>
              <w:spacing w:after="0"/>
              <w:rPr>
                <w:sz w:val="20"/>
                <w:szCs w:val="20"/>
                <w:color w:val="auto"/>
              </w:rPr>
            </w:pPr>
            <w:r>
              <w:rPr>
                <w:rFonts w:ascii="Arial" w:cs="Arial" w:eastAsia="Arial" w:hAnsi="Arial"/>
                <w:sz w:val="12"/>
                <w:szCs w:val="12"/>
                <w:color w:val="auto"/>
                <w:w w:val="89"/>
              </w:rPr>
              <w:t>3,134,326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center"/>
              <w:ind w:left="443"/>
              <w:spacing w:after="0"/>
              <w:rPr>
                <w:sz w:val="20"/>
                <w:szCs w:val="20"/>
                <w:color w:val="auto"/>
              </w:rPr>
            </w:pPr>
            <w:r>
              <w:rPr>
                <w:rFonts w:ascii="Arial" w:cs="Arial" w:eastAsia="Arial" w:hAnsi="Arial"/>
                <w:sz w:val="12"/>
                <w:szCs w:val="12"/>
                <w:color w:val="auto"/>
                <w:w w:val="89"/>
              </w:rPr>
              <w:t>2,667,616</w:t>
            </w:r>
          </w:p>
        </w:tc>
      </w:tr>
      <w:tr>
        <w:trPr>
          <w:trHeight w:val="154"/>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Building and improvements</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left="564"/>
              <w:spacing w:after="0"/>
              <w:rPr>
                <w:sz w:val="20"/>
                <w:szCs w:val="20"/>
                <w:color w:val="auto"/>
              </w:rPr>
            </w:pPr>
            <w:r>
              <w:rPr>
                <w:rFonts w:ascii="Arial" w:cs="Arial" w:eastAsia="Arial" w:hAnsi="Arial"/>
                <w:sz w:val="12"/>
                <w:szCs w:val="12"/>
                <w:color w:val="auto"/>
                <w:w w:val="89"/>
              </w:rPr>
              <w:t>6,262,060</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left="443"/>
              <w:spacing w:after="0"/>
              <w:rPr>
                <w:sz w:val="20"/>
                <w:szCs w:val="20"/>
                <w:color w:val="auto"/>
              </w:rPr>
            </w:pPr>
            <w:r>
              <w:rPr>
                <w:rFonts w:ascii="Arial" w:cs="Arial" w:eastAsia="Arial" w:hAnsi="Arial"/>
                <w:sz w:val="12"/>
                <w:szCs w:val="12"/>
                <w:color w:val="auto"/>
                <w:w w:val="89"/>
              </w:rPr>
              <w:t>6,030,482</w:t>
            </w:r>
          </w:p>
        </w:tc>
      </w:tr>
      <w:tr>
        <w:trPr>
          <w:trHeight w:val="143"/>
        </w:trPr>
        <w:tc>
          <w:tcPr>
            <w:tcW w:w="75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real estate investments</w:t>
            </w: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left="564"/>
              <w:spacing w:after="0"/>
              <w:rPr>
                <w:sz w:val="20"/>
                <w:szCs w:val="20"/>
                <w:color w:val="auto"/>
              </w:rPr>
            </w:pPr>
            <w:r>
              <w:rPr>
                <w:rFonts w:ascii="Arial" w:cs="Arial" w:eastAsia="Arial" w:hAnsi="Arial"/>
                <w:sz w:val="12"/>
                <w:szCs w:val="12"/>
                <w:color w:val="auto"/>
                <w:w w:val="89"/>
              </w:rPr>
              <w:t>9,396,386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center"/>
              <w:ind w:left="443"/>
              <w:spacing w:after="0"/>
              <w:rPr>
                <w:sz w:val="20"/>
                <w:szCs w:val="20"/>
                <w:color w:val="auto"/>
              </w:rPr>
            </w:pPr>
            <w:r>
              <w:rPr>
                <w:rFonts w:ascii="Arial" w:cs="Arial" w:eastAsia="Arial" w:hAnsi="Arial"/>
                <w:sz w:val="12"/>
                <w:szCs w:val="12"/>
                <w:color w:val="auto"/>
                <w:w w:val="89"/>
              </w:rPr>
              <w:t>8,698,098</w:t>
            </w:r>
          </w:p>
        </w:tc>
      </w:tr>
      <w:tr>
        <w:trPr>
          <w:trHeight w:val="154"/>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Less accumulated depreciation</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left="524"/>
              <w:spacing w:after="0"/>
              <w:rPr>
                <w:sz w:val="20"/>
                <w:szCs w:val="20"/>
                <w:color w:val="auto"/>
              </w:rPr>
            </w:pPr>
            <w:r>
              <w:rPr>
                <w:rFonts w:ascii="Arial" w:cs="Arial" w:eastAsia="Arial" w:hAnsi="Arial"/>
                <w:sz w:val="12"/>
                <w:szCs w:val="12"/>
                <w:color w:val="auto"/>
                <w:w w:val="91"/>
              </w:rPr>
              <w:t>(1,598,652)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left="443"/>
              <w:spacing w:after="0"/>
              <w:rPr>
                <w:sz w:val="20"/>
                <w:szCs w:val="20"/>
                <w:color w:val="auto"/>
              </w:rPr>
            </w:pPr>
            <w:r>
              <w:rPr>
                <w:rFonts w:ascii="Arial" w:cs="Arial" w:eastAsia="Arial" w:hAnsi="Arial"/>
                <w:sz w:val="12"/>
                <w:szCs w:val="12"/>
                <w:color w:val="auto"/>
                <w:w w:val="91"/>
              </w:rPr>
              <w:t>(1,410,940)</w:t>
            </w:r>
          </w:p>
        </w:tc>
      </w:tr>
      <w:tr>
        <w:trPr>
          <w:trHeight w:val="159"/>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Real estate investments, net</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center"/>
              <w:ind w:left="564"/>
              <w:spacing w:after="0"/>
              <w:rPr>
                <w:sz w:val="20"/>
                <w:szCs w:val="20"/>
                <w:color w:val="auto"/>
              </w:rPr>
            </w:pPr>
            <w:r>
              <w:rPr>
                <w:rFonts w:ascii="Arial" w:cs="Arial" w:eastAsia="Arial" w:hAnsi="Arial"/>
                <w:sz w:val="12"/>
                <w:szCs w:val="12"/>
                <w:color w:val="auto"/>
                <w:w w:val="89"/>
              </w:rPr>
              <w:t>7,797,734</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center"/>
              <w:ind w:left="443"/>
              <w:spacing w:after="0"/>
              <w:rPr>
                <w:sz w:val="20"/>
                <w:szCs w:val="20"/>
                <w:color w:val="auto"/>
              </w:rPr>
            </w:pPr>
            <w:r>
              <w:rPr>
                <w:rFonts w:ascii="Arial" w:cs="Arial" w:eastAsia="Arial" w:hAnsi="Arial"/>
                <w:sz w:val="12"/>
                <w:szCs w:val="12"/>
                <w:color w:val="auto"/>
                <w:w w:val="89"/>
              </w:rPr>
              <w:t>7,287,158</w:t>
            </w:r>
          </w:p>
        </w:tc>
      </w:tr>
    </w:tbl>
    <w:p>
      <w:pPr>
        <w:spacing w:after="0" w:line="226" w:lineRule="exact"/>
        <w:rPr>
          <w:sz w:val="20"/>
          <w:szCs w:val="20"/>
          <w:color w:val="auto"/>
        </w:rPr>
      </w:pPr>
    </w:p>
    <w:p>
      <w:pPr>
        <w:ind w:right="40" w:firstLine="434"/>
        <w:spacing w:after="0" w:line="265" w:lineRule="auto"/>
        <w:rPr>
          <w:sz w:val="20"/>
          <w:szCs w:val="20"/>
          <w:color w:val="auto"/>
        </w:rPr>
      </w:pPr>
      <w:r>
        <w:rPr>
          <w:rFonts w:ascii="Arial" w:cs="Arial" w:eastAsia="Arial" w:hAnsi="Arial"/>
          <w:sz w:val="12"/>
          <w:szCs w:val="12"/>
          <w:color w:val="auto"/>
        </w:rPr>
        <w:t>The increase in real estate investments is due to the acquisition of Dover Downs and Tropicana Evansville in the previously announced transaction with Bally's as well as the reclassification of the land associated with Tropicana Las Vegas from its own line item on the Condensed Consolidated Balance Sheet as the Company has entered into an agreement to sell the building and lease the land back to Bally's. This deal is expected to close in less than one year. The building has been reclassified to assets held for sale. See Note 6 and 17 for further details on these transactions.</w:t>
      </w:r>
    </w:p>
    <w:p>
      <w:pPr>
        <w:spacing w:after="0" w:line="136" w:lineRule="exact"/>
        <w:rPr>
          <w:sz w:val="20"/>
          <w:szCs w:val="20"/>
          <w:color w:val="auto"/>
        </w:rPr>
      </w:pPr>
    </w:p>
    <w:p>
      <w:pPr>
        <w:spacing w:after="0"/>
        <w:tabs>
          <w:tab w:leader="none" w:pos="220" w:val="left"/>
        </w:tabs>
        <w:rPr>
          <w:sz w:val="20"/>
          <w:szCs w:val="20"/>
          <w:color w:val="auto"/>
        </w:rPr>
      </w:pPr>
      <w:r>
        <w:rPr>
          <w:rFonts w:ascii="Arial" w:cs="Arial" w:eastAsia="Arial" w:hAnsi="Arial"/>
          <w:sz w:val="12"/>
          <w:szCs w:val="12"/>
          <w:b w:val="1"/>
          <w:bCs w:val="1"/>
          <w:color w:val="auto"/>
        </w:rPr>
        <w:t>5.</w:t>
        <w:tab/>
        <w:t>Property and Equipment Used in Operations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Property and equipment used in operations, net, consists of the following and primarily represents the assets utilized at the TRS Properties.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jc w:val="right"/>
              <w:ind w:right="282"/>
              <w:spacing w:after="0"/>
              <w:rPr>
                <w:sz w:val="20"/>
                <w:szCs w:val="20"/>
                <w:color w:val="auto"/>
              </w:rPr>
            </w:pPr>
            <w:r>
              <w:rPr>
                <w:rFonts w:ascii="Arial" w:cs="Arial" w:eastAsia="Arial" w:hAnsi="Arial"/>
                <w:sz w:val="10"/>
                <w:szCs w:val="10"/>
                <w:b w:val="1"/>
                <w:bCs w:val="1"/>
                <w:color w:val="auto"/>
              </w:rPr>
              <w:t>September 30,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jc w:val="right"/>
              <w:ind w:right="342"/>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72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702"/>
              <w:spacing w:after="0"/>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742"/>
              <w:spacing w:after="0"/>
              <w:rPr>
                <w:sz w:val="20"/>
                <w:szCs w:val="20"/>
                <w:color w:val="auto"/>
              </w:rPr>
            </w:pPr>
            <w:r>
              <w:rPr>
                <w:rFonts w:ascii="Arial" w:cs="Arial" w:eastAsia="Arial" w:hAnsi="Arial"/>
                <w:sz w:val="10"/>
                <w:szCs w:val="10"/>
                <w:b w:val="1"/>
                <w:bCs w:val="1"/>
                <w:color w:val="auto"/>
              </w:rPr>
              <w:t>2020</w:t>
            </w:r>
          </w:p>
        </w:tc>
      </w:tr>
      <w:tr>
        <w:trPr>
          <w:trHeight w:val="116"/>
        </w:trPr>
        <w:tc>
          <w:tcPr>
            <w:tcW w:w="7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84"/>
              </w:rPr>
              <w:t>(in thousands)</w:t>
            </w:r>
          </w:p>
        </w:tc>
        <w:tc>
          <w:tcPr>
            <w:tcW w:w="1140" w:type="dxa"/>
            <w:vAlign w:val="bottom"/>
          </w:tcPr>
          <w:p>
            <w:pPr>
              <w:spacing w:after="0"/>
              <w:rPr>
                <w:sz w:val="10"/>
                <w:szCs w:val="10"/>
                <w:color w:val="auto"/>
              </w:rPr>
            </w:pPr>
          </w:p>
        </w:tc>
      </w:tr>
      <w:tr>
        <w:trPr>
          <w:trHeight w:val="155"/>
        </w:trPr>
        <w:tc>
          <w:tcPr>
            <w:tcW w:w="72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Land and improvements</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7,320</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30,540</w:t>
            </w:r>
          </w:p>
        </w:tc>
      </w:tr>
      <w:tr>
        <w:trPr>
          <w:trHeight w:val="154"/>
        </w:trPr>
        <w:tc>
          <w:tcPr>
            <w:tcW w:w="7200" w:type="dxa"/>
            <w:vAlign w:val="bottom"/>
          </w:tcPr>
          <w:p>
            <w:pPr>
              <w:ind w:left="440"/>
              <w:spacing w:after="0"/>
              <w:rPr>
                <w:sz w:val="20"/>
                <w:szCs w:val="20"/>
                <w:color w:val="auto"/>
              </w:rPr>
            </w:pPr>
            <w:r>
              <w:rPr>
                <w:rFonts w:ascii="Arial" w:cs="Arial" w:eastAsia="Arial" w:hAnsi="Arial"/>
                <w:sz w:val="12"/>
                <w:szCs w:val="12"/>
                <w:color w:val="auto"/>
              </w:rPr>
              <w:t>Building and improvements</w:t>
            </w:r>
          </w:p>
        </w:tc>
        <w:tc>
          <w:tcPr>
            <w:tcW w:w="6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86,110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117,333</w:t>
            </w:r>
          </w:p>
        </w:tc>
      </w:tr>
      <w:tr>
        <w:trPr>
          <w:trHeight w:val="154"/>
        </w:trPr>
        <w:tc>
          <w:tcPr>
            <w:tcW w:w="72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Furniture, fixtures, and equipment</w:t>
            </w:r>
          </w:p>
        </w:tc>
        <w:tc>
          <w:tcPr>
            <w:tcW w:w="6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28,832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28,767</w:t>
            </w:r>
          </w:p>
        </w:tc>
      </w:tr>
      <w:tr>
        <w:trPr>
          <w:trHeight w:val="154"/>
        </w:trPr>
        <w:tc>
          <w:tcPr>
            <w:tcW w:w="72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Construction in progress</w:t>
            </w:r>
          </w:p>
        </w:tc>
        <w:tc>
          <w:tcPr>
            <w:tcW w:w="6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2,083</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w:t>
            </w:r>
          </w:p>
        </w:tc>
      </w:tr>
      <w:tr>
        <w:trPr>
          <w:trHeight w:val="143"/>
        </w:trPr>
        <w:tc>
          <w:tcPr>
            <w:tcW w:w="72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Total property and equipment</w:t>
            </w:r>
          </w:p>
        </w:tc>
        <w:tc>
          <w:tcPr>
            <w:tcW w:w="6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124,345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177,114</w:t>
            </w:r>
          </w:p>
        </w:tc>
      </w:tr>
      <w:tr>
        <w:trPr>
          <w:trHeight w:val="154"/>
        </w:trPr>
        <w:tc>
          <w:tcPr>
            <w:tcW w:w="72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Less accumulated depreciation</w:t>
            </w:r>
          </w:p>
        </w:tc>
        <w:tc>
          <w:tcPr>
            <w:tcW w:w="6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(84,260)</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(96,496)</w:t>
            </w:r>
          </w:p>
        </w:tc>
      </w:tr>
      <w:tr>
        <w:trPr>
          <w:trHeight w:val="159"/>
        </w:trPr>
        <w:tc>
          <w:tcPr>
            <w:tcW w:w="7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Property and equipment, net</w:t>
            </w: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40,085</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80,618</w:t>
            </w:r>
          </w:p>
        </w:tc>
      </w:tr>
    </w:tbl>
    <w:p>
      <w:pPr>
        <w:spacing w:after="0" w:line="208" w:lineRule="exact"/>
        <w:rPr>
          <w:sz w:val="20"/>
          <w:szCs w:val="20"/>
          <w:color w:val="auto"/>
        </w:rPr>
      </w:pPr>
    </w:p>
    <w:p>
      <w:pPr>
        <w:ind w:right="60"/>
        <w:spacing w:after="0" w:line="278" w:lineRule="auto"/>
        <w:rPr>
          <w:sz w:val="20"/>
          <w:szCs w:val="20"/>
          <w:color w:val="auto"/>
        </w:rPr>
      </w:pPr>
      <w:r>
        <w:rPr>
          <w:rFonts w:ascii="Arial" w:cs="Arial" w:eastAsia="Arial" w:hAnsi="Arial"/>
          <w:sz w:val="12"/>
          <w:szCs w:val="12"/>
          <w:color w:val="auto"/>
        </w:rPr>
        <w:t>The decrease in land and improvements and building and improvements as well as accumulated depreciation at September 30, 2021 from year end is a result of the sale of the operations of Hollywood Casino Perryville as discussed in Note 6.</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Assets Held for Sale</w:t>
      </w:r>
    </w:p>
    <w:p>
      <w:pPr>
        <w:spacing w:after="0" w:line="173" w:lineRule="exact"/>
        <w:rPr>
          <w:sz w:val="20"/>
          <w:szCs w:val="20"/>
          <w:color w:val="auto"/>
        </w:rPr>
      </w:pPr>
    </w:p>
    <w:p>
      <w:pPr>
        <w:ind w:right="80" w:firstLine="434"/>
        <w:spacing w:after="0" w:line="287" w:lineRule="auto"/>
        <w:rPr>
          <w:sz w:val="20"/>
          <w:szCs w:val="20"/>
          <w:color w:val="auto"/>
        </w:rPr>
      </w:pPr>
      <w:r>
        <w:rPr>
          <w:rFonts w:ascii="Arial" w:cs="Arial" w:eastAsia="Arial" w:hAnsi="Arial"/>
          <w:sz w:val="11"/>
          <w:szCs w:val="11"/>
          <w:color w:val="auto"/>
        </w:rPr>
        <w:t>On November 25, 2020, the Company entered into a definitive agreement to sell the operations of our Hollywood Casino Baton Rouge to Casino Queen for $28.2 million. The Company will retain ownership of all real estate assets at Hollywood Casino Baton Rouge and will simultaneously enter into a master lease with Casino Queen, which will include the Casino Queen property in East St. Louis that is currently leased by us to Casino Queen and the Hollywood Casino Baton Rouge facility (the "Casino Queen Master Lease"). The initial annual cash rent on the retained real estate will be approximately $21.4 million and the Casino Queen Master Lease will have an initial term of 15 years with four 5-year renewal options exercisable by the tenant. Additionally, the Company will complete the current land side development project that is in process and the rent under the Casino Queen Master Lease will be adjusted upon delivery to reflect a yield of 8.25% on GLPI's project costs. The transaction is subject to customary closing conditions and regulatory approvals and is expected to close before the end of the year.</w:t>
      </w:r>
    </w:p>
    <w:p>
      <w:pPr>
        <w:spacing w:after="0" w:line="130" w:lineRule="exact"/>
        <w:rPr>
          <w:sz w:val="20"/>
          <w:szCs w:val="20"/>
          <w:color w:val="auto"/>
        </w:rPr>
      </w:pPr>
    </w:p>
    <w:p>
      <w:pPr>
        <w:ind w:firstLine="434"/>
        <w:spacing w:after="0" w:line="278" w:lineRule="auto"/>
        <w:rPr>
          <w:sz w:val="20"/>
          <w:szCs w:val="20"/>
          <w:color w:val="auto"/>
        </w:rPr>
      </w:pPr>
      <w:r>
        <w:rPr>
          <w:rFonts w:ascii="Arial" w:cs="Arial" w:eastAsia="Arial" w:hAnsi="Arial"/>
          <w:sz w:val="12"/>
          <w:szCs w:val="12"/>
          <w:color w:val="auto"/>
        </w:rPr>
        <w:t>On December 15, 2020, the Company announced that Penn exercised its option to purchase from the Company the operations of our Hollywood Casino Perryville, located in Perryville, Maryland, for $31.1 million, which closed on July 1,</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3" w:name="page14"/>
    <w:bookmarkEnd w:id="13"/>
    <w:p>
      <w:pPr>
        <w:ind w:left="8"/>
        <w:spacing w:after="0"/>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Table of Contents</w:t>
        </w:r>
      </w:hyperlink>
    </w:p>
    <w:p>
      <w:pPr>
        <w:spacing w:after="0" w:line="385" w:lineRule="exact"/>
        <w:rPr>
          <w:sz w:val="20"/>
          <w:szCs w:val="20"/>
          <w:color w:val="auto"/>
        </w:rPr>
      </w:pPr>
    </w:p>
    <w:p>
      <w:pPr>
        <w:jc w:val="both"/>
        <w:ind w:left="8"/>
        <w:spacing w:after="0" w:line="278" w:lineRule="auto"/>
        <w:rPr>
          <w:sz w:val="20"/>
          <w:szCs w:val="20"/>
          <w:color w:val="auto"/>
        </w:rPr>
      </w:pPr>
      <w:r>
        <w:rPr>
          <w:rFonts w:ascii="Arial" w:cs="Arial" w:eastAsia="Arial" w:hAnsi="Arial"/>
          <w:sz w:val="12"/>
          <w:szCs w:val="12"/>
          <w:color w:val="auto"/>
        </w:rPr>
        <w:t>2021. The Company is leasing the real estate of the Perryville facility to Penn pursuant to a lease providing for initial annual rent on the retained real estate of $7.77 million, subject to escalation provisions. The Company recorded a gain of $15.6 million (after tax gain of $11.3 million) in connection with the sale during the three month period ended September 30, 2021.</w:t>
      </w:r>
    </w:p>
    <w:p>
      <w:pPr>
        <w:spacing w:after="0" w:line="132" w:lineRule="exact"/>
        <w:rPr>
          <w:sz w:val="20"/>
          <w:szCs w:val="20"/>
          <w:color w:val="auto"/>
        </w:rPr>
      </w:pPr>
    </w:p>
    <w:p>
      <w:pPr>
        <w:jc w:val="both"/>
        <w:ind w:left="8" w:firstLine="434"/>
        <w:spacing w:after="0" w:line="258" w:lineRule="auto"/>
        <w:rPr>
          <w:sz w:val="20"/>
          <w:szCs w:val="20"/>
          <w:color w:val="auto"/>
        </w:rPr>
      </w:pPr>
      <w:r>
        <w:rPr>
          <w:rFonts w:ascii="Arial" w:cs="Arial" w:eastAsia="Arial" w:hAnsi="Arial"/>
          <w:sz w:val="12"/>
          <w:szCs w:val="12"/>
          <w:color w:val="auto"/>
        </w:rPr>
        <w:t>On April 13, 2021, Bally’s agreed to acquire both GLPI’s non-land real estate assets and Penn's outstanding equity interests in Tropicana Las Vegas Hotel and Casino, Inc. for an aggregate cash acquisition price of $150 million. GLPI will retain ownership of the land and concurrently enter into a ground lease for 50 years with initial annual rent of $10.5 million. The ground lease will be supported by a Bally’s corporate guarantee and cross-defaulted with the Bally's Master Lease. This transaction is expected to close in early 2022. At September 30, 2021, the Company classified the building value of Tropicana Las Vegas in Assets held for sale and the land value in Real estate investments, net on the Condensed Consolidated Balance Sheet since the transaction is expected to close within 12 months of the most recent balance sheet date. At December 31, 2020, the Company classified the real property associated with Tropicana Las Vegas as a separate caption on the Condensed Consolidated Balance Sheet.</w:t>
      </w:r>
    </w:p>
    <w:p>
      <w:pPr>
        <w:spacing w:after="0" w:line="144" w:lineRule="exact"/>
        <w:rPr>
          <w:sz w:val="20"/>
          <w:szCs w:val="20"/>
          <w:color w:val="auto"/>
        </w:rPr>
      </w:pPr>
    </w:p>
    <w:p>
      <w:pPr>
        <w:jc w:val="both"/>
        <w:ind w:left="8" w:firstLine="434"/>
        <w:spacing w:after="0" w:line="278" w:lineRule="auto"/>
        <w:rPr>
          <w:sz w:val="20"/>
          <w:szCs w:val="20"/>
          <w:color w:val="auto"/>
        </w:rPr>
      </w:pPr>
      <w:r>
        <w:rPr>
          <w:rFonts w:ascii="Arial" w:cs="Arial" w:eastAsia="Arial" w:hAnsi="Arial"/>
          <w:sz w:val="12"/>
          <w:szCs w:val="12"/>
          <w:color w:val="auto"/>
        </w:rPr>
        <w:t>The Company has classified the building value of Tropicana Las Vegas and the operating assets of Hollywood Casino Baton Rouge as Assets held for sale since we expect these transactions to close within 12 months and classified the respective liabilities relating to the above asset sales within Other liabilities on the Condensed Consolidated Balance Sheet which is comprised of the following (in thousands).</w:t>
      </w:r>
    </w:p>
    <w:p>
      <w:pPr>
        <w:spacing w:after="0" w:line="159" w:lineRule="exact"/>
        <w:rPr>
          <w:sz w:val="20"/>
          <w:szCs w:val="20"/>
          <w:color w:val="auto"/>
        </w:rPr>
      </w:pPr>
    </w:p>
    <w:tbl>
      <w:tblPr>
        <w:tblLayout w:type="fixed"/>
        <w:tblInd w:w="3148" w:type="dxa"/>
        <w:tblCellMar>
          <w:top w:w="0" w:type="dxa"/>
          <w:left w:w="0" w:type="dxa"/>
          <w:bottom w:w="0" w:type="dxa"/>
          <w:right w:w="0" w:type="dxa"/>
        </w:tblCellMar>
      </w:tblPr>
      <w:tr>
        <w:trPr>
          <w:trHeight w:val="154"/>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Assets</w:t>
            </w: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4"/>
        </w:trPr>
        <w:tc>
          <w:tcPr>
            <w:tcW w:w="3900" w:type="dxa"/>
            <w:vAlign w:val="bottom"/>
          </w:tcPr>
          <w:p>
            <w:pPr>
              <w:ind w:left="440"/>
              <w:spacing w:after="0"/>
              <w:rPr>
                <w:sz w:val="20"/>
                <w:szCs w:val="20"/>
                <w:color w:val="auto"/>
              </w:rPr>
            </w:pPr>
            <w:r>
              <w:rPr>
                <w:rFonts w:ascii="Arial" w:cs="Arial" w:eastAsia="Arial" w:hAnsi="Arial"/>
                <w:sz w:val="12"/>
                <w:szCs w:val="12"/>
                <w:color w:val="auto"/>
              </w:rPr>
              <w:t>Property and equipment, used in operations, net</w:t>
            </w:r>
          </w:p>
        </w:tc>
        <w:tc>
          <w:tcPr>
            <w:tcW w:w="82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4,501</w:t>
            </w:r>
          </w:p>
        </w:tc>
      </w:tr>
      <w:tr>
        <w:trPr>
          <w:trHeight w:val="154"/>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Real estate of Tropicana Las Vegas, net</w:t>
            </w: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77,728</w:t>
            </w:r>
          </w:p>
        </w:tc>
      </w:tr>
      <w:tr>
        <w:trPr>
          <w:trHeight w:val="154"/>
        </w:trPr>
        <w:tc>
          <w:tcPr>
            <w:tcW w:w="3900" w:type="dxa"/>
            <w:vAlign w:val="bottom"/>
          </w:tcPr>
          <w:p>
            <w:pPr>
              <w:ind w:left="440"/>
              <w:spacing w:after="0"/>
              <w:rPr>
                <w:sz w:val="20"/>
                <w:szCs w:val="20"/>
                <w:color w:val="auto"/>
              </w:rPr>
            </w:pPr>
            <w:r>
              <w:rPr>
                <w:rFonts w:ascii="Arial" w:cs="Arial" w:eastAsia="Arial" w:hAnsi="Arial"/>
                <w:sz w:val="12"/>
                <w:szCs w:val="12"/>
                <w:color w:val="auto"/>
              </w:rPr>
              <w:t>Right-of-use assets and land rights, net</w:t>
            </w:r>
          </w:p>
        </w:tc>
        <w:tc>
          <w:tcPr>
            <w:tcW w:w="8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54"/>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Cash and cash equivalents</w:t>
            </w: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18,481</w:t>
            </w:r>
          </w:p>
        </w:tc>
      </w:tr>
      <w:tr>
        <w:trPr>
          <w:trHeight w:val="154"/>
        </w:trPr>
        <w:tc>
          <w:tcPr>
            <w:tcW w:w="3900" w:type="dxa"/>
            <w:vAlign w:val="bottom"/>
          </w:tcPr>
          <w:p>
            <w:pPr>
              <w:ind w:left="440"/>
              <w:spacing w:after="0"/>
              <w:rPr>
                <w:sz w:val="20"/>
                <w:szCs w:val="20"/>
                <w:color w:val="auto"/>
              </w:rPr>
            </w:pPr>
            <w:r>
              <w:rPr>
                <w:rFonts w:ascii="Arial" w:cs="Arial" w:eastAsia="Arial" w:hAnsi="Arial"/>
                <w:sz w:val="12"/>
                <w:szCs w:val="12"/>
                <w:color w:val="auto"/>
              </w:rPr>
              <w:t>Prepaid expenses</w:t>
            </w:r>
          </w:p>
        </w:tc>
        <w:tc>
          <w:tcPr>
            <w:tcW w:w="8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802</w:t>
            </w:r>
          </w:p>
        </w:tc>
      </w:tr>
      <w:tr>
        <w:trPr>
          <w:trHeight w:val="154"/>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Goodwill</w:t>
            </w: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16,067</w:t>
            </w:r>
          </w:p>
        </w:tc>
      </w:tr>
      <w:tr>
        <w:trPr>
          <w:trHeight w:val="154"/>
        </w:trPr>
        <w:tc>
          <w:tcPr>
            <w:tcW w:w="39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Other assets</w:t>
            </w:r>
          </w:p>
        </w:tc>
        <w:tc>
          <w:tcPr>
            <w:tcW w:w="8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511</w:t>
            </w:r>
          </w:p>
        </w:tc>
      </w:tr>
      <w:tr>
        <w:trPr>
          <w:trHeight w:val="143"/>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Total</w:t>
            </w:r>
          </w:p>
        </w:tc>
        <w:tc>
          <w:tcPr>
            <w:tcW w:w="82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118,118</w:t>
            </w:r>
          </w:p>
        </w:tc>
      </w:tr>
      <w:tr>
        <w:trPr>
          <w:trHeight w:val="181"/>
        </w:trPr>
        <w:tc>
          <w:tcPr>
            <w:tcW w:w="3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54"/>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Liabilities</w:t>
            </w: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4"/>
        </w:trPr>
        <w:tc>
          <w:tcPr>
            <w:tcW w:w="3900" w:type="dxa"/>
            <w:vAlign w:val="bottom"/>
          </w:tcPr>
          <w:p>
            <w:pPr>
              <w:ind w:left="440"/>
              <w:spacing w:after="0"/>
              <w:rPr>
                <w:sz w:val="20"/>
                <w:szCs w:val="20"/>
                <w:color w:val="auto"/>
              </w:rPr>
            </w:pPr>
            <w:r>
              <w:rPr>
                <w:rFonts w:ascii="Arial" w:cs="Arial" w:eastAsia="Arial" w:hAnsi="Arial"/>
                <w:sz w:val="12"/>
                <w:szCs w:val="12"/>
                <w:color w:val="auto"/>
              </w:rPr>
              <w:t>Accounts payable</w:t>
            </w:r>
          </w:p>
        </w:tc>
        <w:tc>
          <w:tcPr>
            <w:tcW w:w="8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54"/>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Accrued expenses</w:t>
            </w: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1,561</w:t>
            </w:r>
          </w:p>
        </w:tc>
      </w:tr>
      <w:tr>
        <w:trPr>
          <w:trHeight w:val="154"/>
        </w:trPr>
        <w:tc>
          <w:tcPr>
            <w:tcW w:w="3900" w:type="dxa"/>
            <w:vAlign w:val="bottom"/>
          </w:tcPr>
          <w:p>
            <w:pPr>
              <w:ind w:left="440"/>
              <w:spacing w:after="0"/>
              <w:rPr>
                <w:sz w:val="20"/>
                <w:szCs w:val="20"/>
                <w:color w:val="auto"/>
              </w:rPr>
            </w:pPr>
            <w:r>
              <w:rPr>
                <w:rFonts w:ascii="Arial" w:cs="Arial" w:eastAsia="Arial" w:hAnsi="Arial"/>
                <w:sz w:val="12"/>
                <w:szCs w:val="12"/>
                <w:color w:val="auto"/>
              </w:rPr>
              <w:t>Accrued salaries and wages</w:t>
            </w:r>
          </w:p>
        </w:tc>
        <w:tc>
          <w:tcPr>
            <w:tcW w:w="8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1,716</w:t>
            </w:r>
          </w:p>
        </w:tc>
      </w:tr>
      <w:tr>
        <w:trPr>
          <w:trHeight w:val="154"/>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Gaming, property and other taxes</w:t>
            </w: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876</w:t>
            </w:r>
          </w:p>
        </w:tc>
      </w:tr>
      <w:tr>
        <w:trPr>
          <w:trHeight w:val="154"/>
        </w:trPr>
        <w:tc>
          <w:tcPr>
            <w:tcW w:w="3900" w:type="dxa"/>
            <w:vAlign w:val="bottom"/>
          </w:tcPr>
          <w:p>
            <w:pPr>
              <w:ind w:left="440"/>
              <w:spacing w:after="0"/>
              <w:rPr>
                <w:sz w:val="20"/>
                <w:szCs w:val="20"/>
                <w:color w:val="auto"/>
              </w:rPr>
            </w:pPr>
            <w:r>
              <w:rPr>
                <w:rFonts w:ascii="Arial" w:cs="Arial" w:eastAsia="Arial" w:hAnsi="Arial"/>
                <w:sz w:val="12"/>
                <w:szCs w:val="12"/>
                <w:color w:val="auto"/>
              </w:rPr>
              <w:t>Lease liabilities</w:t>
            </w:r>
          </w:p>
        </w:tc>
        <w:tc>
          <w:tcPr>
            <w:tcW w:w="8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54"/>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Other liabilities</w:t>
            </w:r>
          </w:p>
        </w:tc>
        <w:tc>
          <w:tcPr>
            <w:tcW w:w="8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320</w:t>
            </w:r>
          </w:p>
        </w:tc>
      </w:tr>
      <w:tr>
        <w:trPr>
          <w:trHeight w:val="143"/>
        </w:trPr>
        <w:tc>
          <w:tcPr>
            <w:tcW w:w="3900" w:type="dxa"/>
            <w:vAlign w:val="bottom"/>
          </w:tcPr>
          <w:p>
            <w:pPr>
              <w:ind w:left="440"/>
              <w:spacing w:after="0"/>
              <w:rPr>
                <w:sz w:val="20"/>
                <w:szCs w:val="20"/>
                <w:color w:val="auto"/>
              </w:rPr>
            </w:pPr>
            <w:r>
              <w:rPr>
                <w:rFonts w:ascii="Arial" w:cs="Arial" w:eastAsia="Arial" w:hAnsi="Arial"/>
                <w:sz w:val="12"/>
                <w:szCs w:val="12"/>
                <w:color w:val="auto"/>
              </w:rPr>
              <w:t>Total which is classified in Other Liabilities</w:t>
            </w:r>
          </w:p>
        </w:tc>
        <w:tc>
          <w:tcPr>
            <w:tcW w:w="82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4,505</w:t>
            </w:r>
          </w:p>
        </w:tc>
      </w:tr>
    </w:tbl>
    <w:p>
      <w:pPr>
        <w:spacing w:after="0" w:line="38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assets held for sale reside in the Company's TRS Segment. See Note 15 for the pre-tax income of this segment for the three and nine month periods ended September 30, 2021 and 2020, respectively.</w:t>
      </w:r>
    </w:p>
    <w:p>
      <w:pPr>
        <w:spacing w:after="0" w:line="340" w:lineRule="exact"/>
        <w:rPr>
          <w:sz w:val="20"/>
          <w:szCs w:val="20"/>
          <w:color w:val="auto"/>
        </w:rPr>
      </w:pPr>
    </w:p>
    <w:p>
      <w:pPr>
        <w:ind w:left="8" w:right="9440" w:hanging="8"/>
        <w:spacing w:after="0" w:line="538" w:lineRule="auto"/>
        <w:tabs>
          <w:tab w:leader="none" w:pos="128"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Lease Assets and Lease Liabilities Lease Assets</w:t>
      </w:r>
    </w:p>
    <w:p>
      <w:pPr>
        <w:ind w:left="8" w:right="60" w:firstLine="434"/>
        <w:spacing w:after="0" w:line="300" w:lineRule="auto"/>
        <w:rPr>
          <w:sz w:val="20"/>
          <w:szCs w:val="20"/>
          <w:color w:val="auto"/>
        </w:rPr>
      </w:pPr>
      <w:r>
        <w:rPr>
          <w:rFonts w:ascii="Arial" w:cs="Arial" w:eastAsia="Arial" w:hAnsi="Arial"/>
          <w:sz w:val="11"/>
          <w:szCs w:val="11"/>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consumer price index ("CPI"), and have maturity dates ranging from 2028 to 2108, when considering all renewal options. For certain of these ground leases, the Company’s tenants are responsible for payment directly to the third-party landlord.</w:t>
      </w:r>
    </w:p>
    <w:p>
      <w:pPr>
        <w:spacing w:after="0" w:line="33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134" w:right="299" w:bottom="1440" w:gutter="0" w:footer="0" w:header="0"/>
        </w:sectPr>
      </w:pPr>
    </w:p>
    <w:bookmarkStart w:id="14" w:name="page15"/>
    <w:bookmarkEnd w:id="14"/>
    <w:p>
      <w:pPr>
        <w:ind w:right="60"/>
        <w:spacing w:after="0" w:line="258" w:lineRule="auto"/>
        <w:rPr>
          <w:sz w:val="20"/>
          <w:szCs w:val="20"/>
          <w:color w:val="auto"/>
        </w:rPr>
      </w:pPr>
      <w:r>
        <w:rPr>
          <w:rFonts w:ascii="Arial" w:cs="Arial" w:eastAsia="Arial" w:hAnsi="Arial"/>
          <w:sz w:val="12"/>
          <w:szCs w:val="12"/>
          <w:color w:val="auto"/>
        </w:rPr>
        <w:t>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 in conjunction with the Company's assumption of below market leases at the time it acquired the related land and building assets, the Company is required to report the right-of-use assets and land rights in the aggregate on the condensed consolidated balance sheet.</w:t>
      </w:r>
    </w:p>
    <w:p>
      <w:pPr>
        <w:spacing w:after="0" w:line="172" w:lineRule="exact"/>
        <w:rPr>
          <w:sz w:val="20"/>
          <w:szCs w:val="20"/>
          <w:color w:val="auto"/>
        </w:rPr>
      </w:pPr>
    </w:p>
    <w:p>
      <w:pPr>
        <w:ind w:right="100" w:firstLine="434"/>
        <w:spacing w:after="0" w:line="260" w:lineRule="auto"/>
        <w:rPr>
          <w:sz w:val="20"/>
          <w:szCs w:val="20"/>
          <w:color w:val="auto"/>
        </w:rPr>
      </w:pPr>
      <w:r>
        <w:rPr>
          <w:rFonts w:ascii="Arial" w:cs="Arial" w:eastAsia="Arial" w:hAnsi="Arial"/>
          <w:sz w:val="12"/>
          <w:szCs w:val="12"/>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Components of the Company's right-of use assets and land rights, net are detailed below (in thousands):</w:t>
      </w:r>
    </w:p>
    <w:p>
      <w:pPr>
        <w:spacing w:after="0" w:line="28" w:lineRule="exact"/>
        <w:rPr>
          <w:sz w:val="20"/>
          <w:szCs w:val="20"/>
          <w:color w:val="auto"/>
        </w:rPr>
      </w:pPr>
    </w:p>
    <w:tbl>
      <w:tblPr>
        <w:tblLayout w:type="fixed"/>
        <w:tblInd w:w="1040" w:type="dxa"/>
        <w:tblCellMar>
          <w:top w:w="0" w:type="dxa"/>
          <w:left w:w="0" w:type="dxa"/>
          <w:bottom w:w="0" w:type="dxa"/>
          <w:right w:w="0" w:type="dxa"/>
        </w:tblCellMar>
      </w:tblPr>
      <w:tr>
        <w:trPr>
          <w:trHeight w:val="124"/>
        </w:trPr>
        <w:tc>
          <w:tcPr>
            <w:tcW w:w="5180" w:type="dxa"/>
            <w:vAlign w:val="bottom"/>
          </w:tcPr>
          <w:p>
            <w:pPr>
              <w:spacing w:after="0"/>
              <w:rPr>
                <w:sz w:val="10"/>
                <w:szCs w:val="1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September 30, 2021</w:t>
            </w:r>
          </w:p>
        </w:tc>
        <w:tc>
          <w:tcPr>
            <w:tcW w:w="6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December 31, 2020</w:t>
            </w:r>
          </w:p>
        </w:tc>
      </w:tr>
      <w:tr>
        <w:trPr>
          <w:trHeight w:val="151"/>
        </w:trPr>
        <w:tc>
          <w:tcPr>
            <w:tcW w:w="5180" w:type="dxa"/>
            <w:vAlign w:val="bottom"/>
          </w:tcPr>
          <w:p>
            <w:pPr>
              <w:ind w:left="440"/>
              <w:spacing w:after="0" w:line="151" w:lineRule="exact"/>
              <w:rPr>
                <w:sz w:val="20"/>
                <w:szCs w:val="20"/>
                <w:color w:val="auto"/>
              </w:rPr>
            </w:pPr>
            <w:r>
              <w:rPr>
                <w:rFonts w:ascii="Arial" w:cs="Arial" w:eastAsia="Arial" w:hAnsi="Arial"/>
                <w:sz w:val="12"/>
                <w:szCs w:val="12"/>
                <w:color w:val="auto"/>
              </w:rPr>
              <w:t xml:space="preserve">Right-of use assets - operating leases </w:t>
            </w:r>
            <w:r>
              <w:rPr>
                <w:rFonts w:ascii="Arial" w:cs="Arial" w:eastAsia="Arial" w:hAnsi="Arial"/>
                <w:sz w:val="15"/>
                <w:szCs w:val="15"/>
                <w:color w:val="auto"/>
                <w:vertAlign w:val="superscript"/>
              </w:rPr>
              <w:t>(1)</w:t>
            </w:r>
          </w:p>
        </w:tc>
        <w:tc>
          <w:tcPr>
            <w:tcW w:w="1760" w:type="dxa"/>
            <w:vAlign w:val="bottom"/>
          </w:tcPr>
          <w:p>
            <w:pPr>
              <w:jc w:val="right"/>
              <w:ind w:right="1204"/>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00"/>
              <w:spacing w:after="0"/>
              <w:rPr>
                <w:sz w:val="20"/>
                <w:szCs w:val="20"/>
                <w:color w:val="auto"/>
              </w:rPr>
            </w:pPr>
            <w:r>
              <w:rPr>
                <w:rFonts w:ascii="Arial" w:cs="Arial" w:eastAsia="Arial" w:hAnsi="Arial"/>
                <w:sz w:val="12"/>
                <w:szCs w:val="12"/>
                <w:color w:val="auto"/>
                <w:w w:val="92"/>
              </w:rPr>
              <w:t>185,410</w:t>
            </w:r>
          </w:p>
        </w:tc>
        <w:tc>
          <w:tcPr>
            <w:tcW w:w="5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3"/>
              <w:spacing w:after="0"/>
              <w:rPr>
                <w:sz w:val="20"/>
                <w:szCs w:val="20"/>
                <w:color w:val="auto"/>
              </w:rPr>
            </w:pPr>
            <w:r>
              <w:rPr>
                <w:rFonts w:ascii="Arial" w:cs="Arial" w:eastAsia="Arial" w:hAnsi="Arial"/>
                <w:sz w:val="12"/>
                <w:szCs w:val="12"/>
                <w:color w:val="auto"/>
              </w:rPr>
              <w:t>151,339</w:t>
            </w:r>
          </w:p>
        </w:tc>
      </w:tr>
      <w:tr>
        <w:trPr>
          <w:trHeight w:val="154"/>
        </w:trPr>
        <w:tc>
          <w:tcPr>
            <w:tcW w:w="51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Land rights, net</w:t>
            </w:r>
          </w:p>
        </w:tc>
        <w:tc>
          <w:tcPr>
            <w:tcW w:w="17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92"/>
              </w:rPr>
              <w:t>675,128</w:t>
            </w:r>
          </w:p>
        </w:tc>
        <w:tc>
          <w:tcPr>
            <w:tcW w:w="5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617,858</w:t>
            </w:r>
          </w:p>
        </w:tc>
      </w:tr>
      <w:tr>
        <w:trPr>
          <w:trHeight w:val="143"/>
        </w:trPr>
        <w:tc>
          <w:tcPr>
            <w:tcW w:w="5180" w:type="dxa"/>
            <w:vAlign w:val="bottom"/>
          </w:tcPr>
          <w:p>
            <w:pPr>
              <w:ind w:left="440"/>
              <w:spacing w:after="0"/>
              <w:rPr>
                <w:sz w:val="20"/>
                <w:szCs w:val="20"/>
                <w:color w:val="auto"/>
              </w:rPr>
            </w:pPr>
            <w:r>
              <w:rPr>
                <w:rFonts w:ascii="Arial" w:cs="Arial" w:eastAsia="Arial" w:hAnsi="Arial"/>
                <w:sz w:val="12"/>
                <w:szCs w:val="12"/>
                <w:color w:val="auto"/>
              </w:rPr>
              <w:t>Right-of-use assets and land rights, net</w:t>
            </w:r>
          </w:p>
        </w:tc>
        <w:tc>
          <w:tcPr>
            <w:tcW w:w="1760" w:type="dxa"/>
            <w:vAlign w:val="bottom"/>
            <w:tcBorders>
              <w:bottom w:val="single" w:sz="8" w:color="auto"/>
            </w:tcBorders>
          </w:tcPr>
          <w:p>
            <w:pPr>
              <w:jc w:val="right"/>
              <w:ind w:right="1204"/>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92"/>
              </w:rPr>
              <w:t>860,538</w:t>
            </w:r>
          </w:p>
        </w:tc>
        <w:tc>
          <w:tcPr>
            <w:tcW w:w="5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15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769,197</w:t>
            </w:r>
          </w:p>
        </w:tc>
      </w:tr>
      <w:tr>
        <w:trPr>
          <w:trHeight w:val="20"/>
        </w:trPr>
        <w:tc>
          <w:tcPr>
            <w:tcW w:w="51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520" w:firstLine="426"/>
        <w:spacing w:after="0" w:line="239" w:lineRule="auto"/>
        <w:tabs>
          <w:tab w:leader="none" w:pos="555" w:val="left"/>
        </w:tabs>
        <w:numPr>
          <w:ilvl w:val="0"/>
          <w:numId w:val="8"/>
        </w:numPr>
        <w:rPr>
          <w:rFonts w:ascii="Arial" w:cs="Arial" w:eastAsia="Arial" w:hAnsi="Arial"/>
          <w:sz w:val="15"/>
          <w:szCs w:val="15"/>
          <w:color w:val="auto"/>
          <w:vertAlign w:val="superscript"/>
        </w:rPr>
      </w:pPr>
      <w:r>
        <w:rPr>
          <w:rFonts w:ascii="Arial" w:cs="Arial" w:eastAsia="Arial" w:hAnsi="Arial"/>
          <w:sz w:val="11"/>
          <w:szCs w:val="11"/>
          <w:color w:val="auto"/>
        </w:rPr>
        <w:t>The increase in right-of use assets - operating leases relates to a ground lease acquired in connection with the Tropicana Evansville transaction which closed on June 3, 2021. In addition, there is $28 thousand and $0.3 million of operating lease right-of-use assets included in assets held for sale at September 30, 2021 and December 31, 2020,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Land Rights</w:t>
      </w:r>
    </w:p>
    <w:p>
      <w:pPr>
        <w:spacing w:after="0" w:line="173" w:lineRule="exact"/>
        <w:rPr>
          <w:sz w:val="20"/>
          <w:szCs w:val="20"/>
          <w:color w:val="auto"/>
        </w:rPr>
      </w:pPr>
    </w:p>
    <w:p>
      <w:pPr>
        <w:ind w:firstLine="434"/>
        <w:spacing w:after="0" w:line="270" w:lineRule="auto"/>
        <w:rPr>
          <w:sz w:val="20"/>
          <w:szCs w:val="20"/>
          <w:color w:val="auto"/>
        </w:rPr>
      </w:pPr>
      <w:r>
        <w:rPr>
          <w:rFonts w:ascii="Arial" w:cs="Arial" w:eastAsia="Arial" w:hAnsi="Arial"/>
          <w:sz w:val="12"/>
          <w:szCs w:val="12"/>
          <w:color w:val="auto"/>
        </w:rPr>
        <w:t>The land rights are amortized over the individual lease term of the related ground lease, including all renewal options, which ranged from 10 years to 92 years at their respective acquisition dates. Land rights net, consist of the following:</w:t>
      </w:r>
    </w:p>
    <w:tbl>
      <w:tblPr>
        <w:tblLayout w:type="fixed"/>
        <w:tblInd w:w="620" w:type="dxa"/>
        <w:tblCellMar>
          <w:top w:w="0" w:type="dxa"/>
          <w:left w:w="0" w:type="dxa"/>
          <w:bottom w:w="0" w:type="dxa"/>
          <w:right w:w="0" w:type="dxa"/>
        </w:tblCellMar>
      </w:tblPr>
      <w:tr>
        <w:trPr>
          <w:trHeight w:val="96"/>
        </w:trPr>
        <w:tc>
          <w:tcPr>
            <w:tcW w:w="6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tcPr>
          <w:p>
            <w:pPr>
              <w:ind w:left="160"/>
              <w:spacing w:after="0" w:line="96" w:lineRule="exact"/>
              <w:rPr>
                <w:sz w:val="20"/>
                <w:szCs w:val="20"/>
                <w:color w:val="auto"/>
              </w:rPr>
            </w:pPr>
            <w:r>
              <w:rPr>
                <w:rFonts w:ascii="Arial" w:cs="Arial" w:eastAsia="Arial" w:hAnsi="Arial"/>
                <w:sz w:val="10"/>
                <w:szCs w:val="10"/>
                <w:b w:val="1"/>
                <w:bCs w:val="1"/>
                <w:color w:val="auto"/>
              </w:rPr>
              <w:t>September 30,</w:t>
            </w:r>
          </w:p>
        </w:tc>
        <w:tc>
          <w:tcPr>
            <w:tcW w:w="660" w:type="dxa"/>
            <w:vAlign w:val="bottom"/>
          </w:tcPr>
          <w:p>
            <w:pPr>
              <w:spacing w:after="0"/>
              <w:rPr>
                <w:sz w:val="8"/>
                <w:szCs w:val="8"/>
                <w:color w:val="auto"/>
              </w:rPr>
            </w:pPr>
          </w:p>
        </w:tc>
        <w:tc>
          <w:tcPr>
            <w:tcW w:w="1140" w:type="dxa"/>
            <w:vAlign w:val="bottom"/>
          </w:tcPr>
          <w:p>
            <w:pPr>
              <w:ind w:left="180"/>
              <w:spacing w:after="0" w:line="96" w:lineRule="exact"/>
              <w:rPr>
                <w:sz w:val="20"/>
                <w:szCs w:val="20"/>
                <w:color w:val="auto"/>
              </w:rPr>
            </w:pPr>
            <w:r>
              <w:rPr>
                <w:rFonts w:ascii="Arial" w:cs="Arial" w:eastAsia="Arial" w:hAnsi="Arial"/>
                <w:sz w:val="10"/>
                <w:szCs w:val="10"/>
                <w:b w:val="1"/>
                <w:bCs w:val="1"/>
                <w:color w:val="auto"/>
              </w:rPr>
              <w:t>December 31,</w:t>
            </w:r>
          </w:p>
        </w:tc>
      </w:tr>
      <w:tr>
        <w:trPr>
          <w:trHeight w:val="125"/>
        </w:trPr>
        <w:tc>
          <w:tcPr>
            <w:tcW w:w="68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2020</w:t>
            </w:r>
          </w:p>
        </w:tc>
      </w:tr>
      <w:tr>
        <w:trPr>
          <w:trHeight w:val="116"/>
        </w:trPr>
        <w:tc>
          <w:tcPr>
            <w:tcW w:w="6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80" w:type="dxa"/>
            <w:vAlign w:val="bottom"/>
            <w:gridSpan w:val="3"/>
          </w:tcPr>
          <w:p>
            <w:pPr>
              <w:ind w:left="1100"/>
              <w:spacing w:after="0"/>
              <w:rPr>
                <w:sz w:val="20"/>
                <w:szCs w:val="20"/>
                <w:color w:val="auto"/>
              </w:rPr>
            </w:pPr>
            <w:r>
              <w:rPr>
                <w:rFonts w:ascii="Arial" w:cs="Arial" w:eastAsia="Arial" w:hAnsi="Arial"/>
                <w:sz w:val="10"/>
                <w:szCs w:val="10"/>
                <w:b w:val="1"/>
                <w:bCs w:val="1"/>
                <w:color w:val="auto"/>
              </w:rPr>
              <w:t>(in thousands)</w:t>
            </w:r>
          </w:p>
        </w:tc>
        <w:tc>
          <w:tcPr>
            <w:tcW w:w="1140" w:type="dxa"/>
            <w:vAlign w:val="bottom"/>
          </w:tcPr>
          <w:p>
            <w:pPr>
              <w:spacing w:after="0"/>
              <w:rPr>
                <w:sz w:val="10"/>
                <w:szCs w:val="10"/>
                <w:color w:val="auto"/>
              </w:rPr>
            </w:pPr>
          </w:p>
        </w:tc>
      </w:tr>
      <w:tr>
        <w:trPr>
          <w:trHeight w:val="155"/>
        </w:trPr>
        <w:tc>
          <w:tcPr>
            <w:tcW w:w="68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Land rights</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ind w:left="700"/>
              <w:spacing w:after="0"/>
              <w:rPr>
                <w:sz w:val="20"/>
                <w:szCs w:val="20"/>
                <w:color w:val="auto"/>
              </w:rPr>
            </w:pPr>
            <w:r>
              <w:rPr>
                <w:rFonts w:ascii="Arial" w:cs="Arial" w:eastAsia="Arial" w:hAnsi="Arial"/>
                <w:sz w:val="12"/>
                <w:szCs w:val="12"/>
                <w:color w:val="auto"/>
                <w:w w:val="96"/>
              </w:rPr>
              <w:t>734,192</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ind w:left="700"/>
              <w:spacing w:after="0"/>
              <w:rPr>
                <w:sz w:val="20"/>
                <w:szCs w:val="20"/>
                <w:color w:val="auto"/>
              </w:rPr>
            </w:pPr>
            <w:r>
              <w:rPr>
                <w:rFonts w:ascii="Arial" w:cs="Arial" w:eastAsia="Arial" w:hAnsi="Arial"/>
                <w:sz w:val="12"/>
                <w:szCs w:val="12"/>
                <w:color w:val="auto"/>
                <w:w w:val="96"/>
              </w:rPr>
              <w:t>667,751</w:t>
            </w:r>
          </w:p>
        </w:tc>
      </w:tr>
      <w:tr>
        <w:trPr>
          <w:trHeight w:val="154"/>
        </w:trPr>
        <w:tc>
          <w:tcPr>
            <w:tcW w:w="68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Less accumulated amortization</w:t>
            </w:r>
          </w:p>
        </w:tc>
        <w:tc>
          <w:tcPr>
            <w:tcW w:w="6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700"/>
              <w:spacing w:after="0"/>
              <w:rPr>
                <w:sz w:val="20"/>
                <w:szCs w:val="20"/>
                <w:color w:val="auto"/>
              </w:rPr>
            </w:pPr>
            <w:r>
              <w:rPr>
                <w:rFonts w:ascii="Arial" w:cs="Arial" w:eastAsia="Arial" w:hAnsi="Arial"/>
                <w:sz w:val="12"/>
                <w:szCs w:val="12"/>
                <w:color w:val="auto"/>
                <w:w w:val="93"/>
              </w:rPr>
              <w:t>(59,064)</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720"/>
              <w:spacing w:after="0"/>
              <w:rPr>
                <w:sz w:val="20"/>
                <w:szCs w:val="20"/>
                <w:color w:val="auto"/>
              </w:rPr>
            </w:pPr>
            <w:r>
              <w:rPr>
                <w:rFonts w:ascii="Arial" w:cs="Arial" w:eastAsia="Arial" w:hAnsi="Arial"/>
                <w:sz w:val="12"/>
                <w:szCs w:val="12"/>
                <w:color w:val="auto"/>
                <w:w w:val="89"/>
              </w:rPr>
              <w:t>(49,893)</w:t>
            </w:r>
          </w:p>
        </w:tc>
      </w:tr>
      <w:tr>
        <w:trPr>
          <w:trHeight w:val="159"/>
        </w:trPr>
        <w:tc>
          <w:tcPr>
            <w:tcW w:w="6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Land rights, net</w:t>
            </w: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2"/>
                <w:szCs w:val="12"/>
                <w:color w:val="auto"/>
                <w:w w:val="96"/>
              </w:rPr>
              <w:t>675,128</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2"/>
                <w:szCs w:val="12"/>
                <w:color w:val="auto"/>
                <w:w w:val="96"/>
              </w:rPr>
              <w:t>617,858</w:t>
            </w:r>
          </w:p>
        </w:tc>
      </w:tr>
    </w:tbl>
    <w:p>
      <w:pPr>
        <w:spacing w:after="0" w:line="20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increase from December 31, 2020 relates to land rights recorded in connection with the Tropicana Evansville acquisition which closed on June 3, 2021.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60"/>
          </w:cols>
          <w:pgMar w:left="300" w:top="646" w:right="339" w:bottom="1440" w:gutter="0" w:footer="0" w:header="0"/>
        </w:sectPr>
      </w:pPr>
    </w:p>
    <w:bookmarkStart w:id="15" w:name="page16"/>
    <w:bookmarkEnd w:id="15"/>
    <w:p>
      <w:pPr>
        <w:ind w:left="420"/>
        <w:spacing w:after="0"/>
        <w:rPr>
          <w:sz w:val="20"/>
          <w:szCs w:val="20"/>
          <w:color w:val="auto"/>
        </w:rPr>
      </w:pPr>
      <w:r>
        <w:rPr>
          <w:rFonts w:ascii="Arial" w:cs="Arial" w:eastAsia="Arial" w:hAnsi="Arial"/>
          <w:sz w:val="12"/>
          <w:szCs w:val="12"/>
          <w:color w:val="auto"/>
        </w:rPr>
        <w:t>As of September 30, 2021, estimated future amortization expense related to the Company’s land rights by fiscal year is as follows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160" w:type="dxa"/>
            <w:vAlign w:val="bottom"/>
            <w:gridSpan w:val="4"/>
          </w:tcPr>
          <w:p>
            <w:pPr>
              <w:spacing w:after="0"/>
              <w:rPr>
                <w:sz w:val="20"/>
                <w:szCs w:val="20"/>
                <w:color w:val="auto"/>
              </w:rPr>
            </w:pPr>
            <w:r>
              <w:rPr>
                <w:rFonts w:ascii="Arial" w:cs="Arial" w:eastAsia="Arial" w:hAnsi="Arial"/>
                <w:sz w:val="10"/>
                <w:szCs w:val="10"/>
                <w:b w:val="1"/>
                <w:bCs w:val="1"/>
                <w:color w:val="auto"/>
              </w:rPr>
              <w:t>Year ending December 31,</w:t>
            </w: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54"/>
        </w:trPr>
        <w:tc>
          <w:tcPr>
            <w:tcW w:w="1240" w:type="dxa"/>
            <w:vAlign w:val="bottom"/>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2021 (remainder of year)</w:t>
            </w:r>
          </w:p>
        </w:tc>
        <w:tc>
          <w:tcPr>
            <w:tcW w:w="500" w:type="dxa"/>
            <w:vAlign w:val="bottom"/>
            <w:shd w:val="clear" w:color="auto" w:fill="CCEEFF"/>
          </w:tcPr>
          <w:p>
            <w:pPr>
              <w:spacing w:after="0"/>
              <w:rPr>
                <w:sz w:val="13"/>
                <w:szCs w:val="13"/>
                <w:color w:val="auto"/>
              </w:rPr>
            </w:pPr>
          </w:p>
        </w:tc>
        <w:tc>
          <w:tcPr>
            <w:tcW w:w="238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3,325</w:t>
            </w:r>
          </w:p>
        </w:tc>
      </w:tr>
      <w:tr>
        <w:trPr>
          <w:trHeight w:val="154"/>
        </w:trPr>
        <w:tc>
          <w:tcPr>
            <w:tcW w:w="2760" w:type="dxa"/>
            <w:vAlign w:val="bottom"/>
            <w:gridSpan w:val="3"/>
          </w:tcPr>
          <w:p>
            <w:pPr>
              <w:ind w:left="1680"/>
              <w:spacing w:after="0"/>
              <w:rPr>
                <w:sz w:val="20"/>
                <w:szCs w:val="20"/>
                <w:color w:val="auto"/>
              </w:rPr>
            </w:pPr>
            <w:r>
              <w:rPr>
                <w:rFonts w:ascii="Arial" w:cs="Arial" w:eastAsia="Arial" w:hAnsi="Arial"/>
                <w:sz w:val="12"/>
                <w:szCs w:val="12"/>
                <w:color w:val="auto"/>
              </w:rPr>
              <w:t>2022</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13,298</w:t>
            </w:r>
          </w:p>
        </w:tc>
      </w:tr>
      <w:tr>
        <w:trPr>
          <w:trHeight w:val="154"/>
        </w:trPr>
        <w:tc>
          <w:tcPr>
            <w:tcW w:w="1240" w:type="dxa"/>
            <w:vAlign w:val="bottom"/>
          </w:tcPr>
          <w:p>
            <w:pPr>
              <w:spacing w:after="0"/>
              <w:rPr>
                <w:sz w:val="13"/>
                <w:szCs w:val="13"/>
                <w:color w:val="auto"/>
              </w:rPr>
            </w:pPr>
          </w:p>
        </w:tc>
        <w:tc>
          <w:tcPr>
            <w:tcW w:w="15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2023</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13,298</w:t>
            </w:r>
          </w:p>
        </w:tc>
      </w:tr>
      <w:tr>
        <w:trPr>
          <w:trHeight w:val="154"/>
        </w:trPr>
        <w:tc>
          <w:tcPr>
            <w:tcW w:w="2760" w:type="dxa"/>
            <w:vAlign w:val="bottom"/>
            <w:gridSpan w:val="3"/>
          </w:tcPr>
          <w:p>
            <w:pPr>
              <w:ind w:left="1680"/>
              <w:spacing w:after="0"/>
              <w:rPr>
                <w:sz w:val="20"/>
                <w:szCs w:val="20"/>
                <w:color w:val="auto"/>
              </w:rPr>
            </w:pPr>
            <w:r>
              <w:rPr>
                <w:rFonts w:ascii="Arial" w:cs="Arial" w:eastAsia="Arial" w:hAnsi="Arial"/>
                <w:sz w:val="12"/>
                <w:szCs w:val="12"/>
                <w:color w:val="auto"/>
              </w:rPr>
              <w:t>2024</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13,298</w:t>
            </w:r>
          </w:p>
        </w:tc>
      </w:tr>
      <w:tr>
        <w:trPr>
          <w:trHeight w:val="154"/>
        </w:trPr>
        <w:tc>
          <w:tcPr>
            <w:tcW w:w="1240" w:type="dxa"/>
            <w:vAlign w:val="bottom"/>
          </w:tcPr>
          <w:p>
            <w:pPr>
              <w:spacing w:after="0"/>
              <w:rPr>
                <w:sz w:val="13"/>
                <w:szCs w:val="13"/>
                <w:color w:val="auto"/>
              </w:rPr>
            </w:pPr>
          </w:p>
        </w:tc>
        <w:tc>
          <w:tcPr>
            <w:tcW w:w="15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2025</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13,298</w:t>
            </w:r>
          </w:p>
        </w:tc>
      </w:tr>
      <w:tr>
        <w:trPr>
          <w:trHeight w:val="154"/>
        </w:trPr>
        <w:tc>
          <w:tcPr>
            <w:tcW w:w="1240" w:type="dxa"/>
            <w:vAlign w:val="bottom"/>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5160" w:type="dxa"/>
            <w:vAlign w:val="bottom"/>
            <w:tcBorders>
              <w:bottom w:val="single" w:sz="8" w:color="CCEEFF"/>
            </w:tcBorders>
            <w:gridSpan w:val="4"/>
          </w:tcPr>
          <w:p>
            <w:pPr>
              <w:spacing w:after="0"/>
              <w:rPr>
                <w:sz w:val="20"/>
                <w:szCs w:val="20"/>
                <w:color w:val="auto"/>
              </w:rPr>
            </w:pPr>
            <w:r>
              <w:rPr>
                <w:rFonts w:ascii="Arial" w:cs="Arial" w:eastAsia="Arial" w:hAnsi="Arial"/>
                <w:sz w:val="12"/>
                <w:szCs w:val="12"/>
                <w:color w:val="auto"/>
              </w:rPr>
              <w:t>Thereafter</w:t>
            </w:r>
          </w:p>
        </w:tc>
        <w:tc>
          <w:tcPr>
            <w:tcW w:w="5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618,611</w:t>
            </w:r>
          </w:p>
        </w:tc>
      </w:tr>
      <w:tr>
        <w:trPr>
          <w:trHeight w:val="163"/>
        </w:trPr>
        <w:tc>
          <w:tcPr>
            <w:tcW w:w="1240" w:type="dxa"/>
            <w:vAlign w:val="bottom"/>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5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Total</w:t>
            </w:r>
          </w:p>
        </w:tc>
        <w:tc>
          <w:tcPr>
            <w:tcW w:w="50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gridSpan w:val="2"/>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675,128</w:t>
            </w:r>
          </w:p>
        </w:tc>
      </w:tr>
      <w:tr>
        <w:trPr>
          <w:trHeight w:val="367"/>
        </w:trPr>
        <w:tc>
          <w:tcPr>
            <w:tcW w:w="6840" w:type="dxa"/>
            <w:vAlign w:val="bottom"/>
            <w:gridSpan w:val="6"/>
          </w:tcPr>
          <w:p>
            <w:pPr>
              <w:spacing w:after="0"/>
              <w:rPr>
                <w:sz w:val="20"/>
                <w:szCs w:val="20"/>
                <w:color w:val="auto"/>
              </w:rPr>
            </w:pPr>
            <w:r>
              <w:rPr>
                <w:rFonts w:ascii="Arial" w:cs="Arial" w:eastAsia="Arial" w:hAnsi="Arial"/>
                <w:sz w:val="12"/>
                <w:szCs w:val="12"/>
                <w:b w:val="1"/>
                <w:bCs w:val="1"/>
                <w:color w:val="auto"/>
              </w:rPr>
              <w:t>Lease Liabilities</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7"/>
        </w:trPr>
        <w:tc>
          <w:tcPr>
            <w:tcW w:w="6840" w:type="dxa"/>
            <w:vAlign w:val="bottom"/>
            <w:gridSpan w:val="6"/>
          </w:tcPr>
          <w:p>
            <w:pPr>
              <w:ind w:left="420"/>
              <w:spacing w:after="0"/>
              <w:rPr>
                <w:sz w:val="20"/>
                <w:szCs w:val="20"/>
                <w:color w:val="auto"/>
              </w:rPr>
            </w:pPr>
            <w:r>
              <w:rPr>
                <w:rFonts w:ascii="Arial" w:cs="Arial" w:eastAsia="Arial" w:hAnsi="Arial"/>
                <w:sz w:val="12"/>
                <w:szCs w:val="12"/>
                <w:color w:val="auto"/>
              </w:rPr>
              <w:t>At September 30, 2021, maturities of the Company's operating lease liabilities were as follows (in thousands):</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25"/>
        </w:trPr>
        <w:tc>
          <w:tcPr>
            <w:tcW w:w="1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4"/>
              </w:rPr>
              <w:t>Year ending December 31,</w:t>
            </w:r>
          </w:p>
        </w:tc>
        <w:tc>
          <w:tcPr>
            <w:tcW w:w="2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54"/>
        </w:trPr>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2021 (remainder of year)</w:t>
            </w: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3,417</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4"/>
        </w:trPr>
        <w:tc>
          <w:tcPr>
            <w:tcW w:w="4120" w:type="dxa"/>
            <w:vAlign w:val="bottom"/>
            <w:gridSpan w:val="5"/>
          </w:tcPr>
          <w:p>
            <w:pPr>
              <w:ind w:left="3040"/>
              <w:spacing w:after="0"/>
              <w:rPr>
                <w:sz w:val="20"/>
                <w:szCs w:val="20"/>
                <w:color w:val="auto"/>
              </w:rPr>
            </w:pPr>
            <w:r>
              <w:rPr>
                <w:rFonts w:ascii="Arial" w:cs="Arial" w:eastAsia="Arial" w:hAnsi="Arial"/>
                <w:sz w:val="12"/>
                <w:szCs w:val="12"/>
                <w:color w:val="auto"/>
              </w:rPr>
              <w:t>2022</w:t>
            </w:r>
          </w:p>
        </w:tc>
        <w:tc>
          <w:tcPr>
            <w:tcW w:w="2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13,666</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4"/>
        </w:trPr>
        <w:tc>
          <w:tcPr>
            <w:tcW w:w="3040" w:type="dxa"/>
            <w:vAlign w:val="bottom"/>
            <w:gridSpan w:val="4"/>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2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13,664</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4"/>
        </w:trPr>
        <w:tc>
          <w:tcPr>
            <w:tcW w:w="4120" w:type="dxa"/>
            <w:vAlign w:val="bottom"/>
            <w:gridSpan w:val="5"/>
          </w:tcPr>
          <w:p>
            <w:pPr>
              <w:ind w:left="3040"/>
              <w:spacing w:after="0"/>
              <w:rPr>
                <w:sz w:val="20"/>
                <w:szCs w:val="20"/>
                <w:color w:val="auto"/>
              </w:rPr>
            </w:pPr>
            <w:r>
              <w:rPr>
                <w:rFonts w:ascii="Arial" w:cs="Arial" w:eastAsia="Arial" w:hAnsi="Arial"/>
                <w:sz w:val="12"/>
                <w:szCs w:val="12"/>
                <w:color w:val="auto"/>
              </w:rPr>
              <w:t>2024</w:t>
            </w:r>
          </w:p>
        </w:tc>
        <w:tc>
          <w:tcPr>
            <w:tcW w:w="2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13,617</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4"/>
        </w:trPr>
        <w:tc>
          <w:tcPr>
            <w:tcW w:w="3040" w:type="dxa"/>
            <w:vAlign w:val="bottom"/>
            <w:gridSpan w:val="4"/>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2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13,567</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4"/>
        </w:trPr>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630,492</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3"/>
        </w:trPr>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lease payments</w:t>
            </w: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688,423</w:t>
            </w: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Less: interest</w:t>
            </w: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(501,942)</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9"/>
        </w:trPr>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0" w:type="dxa"/>
            <w:vAlign w:val="bottom"/>
            <w:tcBorders>
              <w:bottom w:val="single" w:sz="8" w:color="CCEEFF"/>
            </w:tcBorders>
            <w:gridSpan w:val="2"/>
            <w:shd w:val="clear" w:color="auto" w:fill="CCEEFF"/>
          </w:tcPr>
          <w:p>
            <w:pPr>
              <w:spacing w:after="0" w:line="143" w:lineRule="exact"/>
              <w:rPr>
                <w:sz w:val="20"/>
                <w:szCs w:val="20"/>
                <w:color w:val="auto"/>
              </w:rPr>
            </w:pPr>
            <w:r>
              <w:rPr>
                <w:rFonts w:ascii="Arial" w:cs="Arial" w:eastAsia="Arial" w:hAnsi="Arial"/>
                <w:sz w:val="12"/>
                <w:szCs w:val="12"/>
                <w:color w:val="auto"/>
              </w:rPr>
              <w:t xml:space="preserve">Present value of lease liabilities </w:t>
            </w:r>
            <w:r>
              <w:rPr>
                <w:rFonts w:ascii="Arial" w:cs="Arial" w:eastAsia="Arial" w:hAnsi="Arial"/>
                <w:sz w:val="15"/>
                <w:szCs w:val="15"/>
                <w:color w:val="auto"/>
                <w:vertAlign w:val="superscript"/>
              </w:rPr>
              <w:t>(1)</w:t>
            </w: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186,481</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bl>
    <w:p>
      <w:pPr>
        <w:spacing w:after="0" w:line="208" w:lineRule="exact"/>
        <w:rPr>
          <w:sz w:val="20"/>
          <w:szCs w:val="20"/>
          <w:color w:val="auto"/>
        </w:rPr>
      </w:pPr>
    </w:p>
    <w:p>
      <w:pPr>
        <w:ind w:left="540" w:hanging="114"/>
        <w:spacing w:after="0"/>
        <w:tabs>
          <w:tab w:leader="none" w:pos="540" w:val="left"/>
        </w:tabs>
        <w:numPr>
          <w:ilvl w:val="0"/>
          <w:numId w:val="9"/>
        </w:numPr>
        <w:rPr>
          <w:rFonts w:ascii="Arial" w:cs="Arial" w:eastAsia="Arial" w:hAnsi="Arial"/>
          <w:sz w:val="13"/>
          <w:szCs w:val="13"/>
          <w:color w:val="auto"/>
          <w:vertAlign w:val="superscript"/>
        </w:rPr>
      </w:pPr>
      <w:r>
        <w:rPr>
          <w:rFonts w:ascii="Arial" w:cs="Arial" w:eastAsia="Arial" w:hAnsi="Arial"/>
          <w:sz w:val="10"/>
          <w:szCs w:val="10"/>
          <w:color w:val="auto"/>
        </w:rPr>
        <w:t>In addition, there is $28 thousand of lease liabilities included in other liabilities related to liabilities held for sale.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Lease Expense</w:t>
      </w:r>
    </w:p>
    <w:p>
      <w:pPr>
        <w:spacing w:after="0" w:line="173" w:lineRule="exact"/>
        <w:rPr>
          <w:sz w:val="20"/>
          <w:szCs w:val="20"/>
          <w:color w:val="auto"/>
        </w:rPr>
      </w:pPr>
    </w:p>
    <w:p>
      <w:pPr>
        <w:jc w:val="both"/>
        <w:ind w:right="40" w:firstLine="434"/>
        <w:spacing w:after="0" w:line="265" w:lineRule="auto"/>
        <w:rPr>
          <w:sz w:val="20"/>
          <w:szCs w:val="20"/>
          <w:color w:val="auto"/>
        </w:rPr>
      </w:pPr>
      <w:r>
        <w:rPr>
          <w:rFonts w:ascii="Arial" w:cs="Arial" w:eastAsia="Arial" w:hAnsi="Arial"/>
          <w:sz w:val="12"/>
          <w:szCs w:val="12"/>
          <w:color w:val="auto"/>
        </w:rPr>
        <w:t>Operating lease costs represent the entire amount of expense recognized for operating leases that are recorded on the condensed consolidated balance sheet.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components of lease expense were as follows (in thousands):</w:t>
      </w:r>
    </w:p>
    <w:p>
      <w:pPr>
        <w:sectPr>
          <w:pgSz w:w="11900" w:h="16838" w:orient="portrait"/>
          <w:cols w:equalWidth="0" w:num="1">
            <w:col w:w="11300"/>
          </w:cols>
          <w:pgMar w:left="300" w:top="646" w:right="299" w:bottom="1440" w:gutter="0" w:footer="0" w:header="0"/>
        </w:sectPr>
      </w:pPr>
    </w:p>
    <w:p>
      <w:pPr>
        <w:spacing w:after="0" w:line="28" w:lineRule="exact"/>
        <w:rPr>
          <w:sz w:val="20"/>
          <w:szCs w:val="20"/>
          <w:color w:val="auto"/>
        </w:rPr>
      </w:pPr>
    </w:p>
    <w:p>
      <w:pPr>
        <w:jc w:val="center"/>
        <w:ind w:left="2900"/>
        <w:spacing w:after="0"/>
        <w:rPr>
          <w:sz w:val="20"/>
          <w:szCs w:val="20"/>
          <w:color w:val="auto"/>
        </w:rPr>
      </w:pPr>
      <w:r>
        <w:rPr>
          <w:rFonts w:ascii="Arial" w:cs="Arial" w:eastAsia="Arial" w:hAnsi="Arial"/>
          <w:sz w:val="10"/>
          <w:szCs w:val="10"/>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1821180</wp:posOffset>
            </wp:positionH>
            <wp:positionV relativeFrom="paragraph">
              <wp:posOffset>10795</wp:posOffset>
            </wp:positionV>
            <wp:extent cx="251523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15235" cy="5715"/>
                    </a:xfrm>
                    <a:prstGeom prst="rect">
                      <a:avLst/>
                    </a:prstGeom>
                    <a:noFill/>
                  </pic:spPr>
                </pic:pic>
              </a:graphicData>
            </a:graphic>
          </wp:anchor>
        </w:drawing>
      </w:r>
    </w:p>
    <w:p>
      <w:pPr>
        <w:spacing w:after="0" w:line="1" w:lineRule="exact"/>
        <w:rPr>
          <w:sz w:val="20"/>
          <w:szCs w:val="20"/>
          <w:color w:val="auto"/>
        </w:rPr>
      </w:pPr>
    </w:p>
    <w:p>
      <w:pPr>
        <w:ind w:left="3980"/>
        <w:spacing w:after="0"/>
        <w:tabs>
          <w:tab w:leader="none" w:pos="5940" w:val="left"/>
        </w:tabs>
        <w:rPr>
          <w:sz w:val="20"/>
          <w:szCs w:val="20"/>
          <w:color w:val="auto"/>
        </w:rPr>
      </w:pPr>
      <w:r>
        <w:rPr>
          <w:rFonts w:ascii="Arial" w:cs="Arial" w:eastAsia="Arial" w:hAnsi="Arial"/>
          <w:sz w:val="8"/>
          <w:szCs w:val="8"/>
          <w:b w:val="1"/>
          <w:bCs w:val="1"/>
          <w:color w:val="auto"/>
        </w:rPr>
        <w:t>2021</w:t>
      </w:r>
      <w:r>
        <w:rPr>
          <w:sz w:val="20"/>
          <w:szCs w:val="20"/>
          <w:color w:val="auto"/>
        </w:rPr>
        <w:tab/>
      </w:r>
      <w:r>
        <w:rPr>
          <w:rFonts w:ascii="Arial" w:cs="Arial" w:eastAsia="Arial" w:hAnsi="Arial"/>
          <w:sz w:val="8"/>
          <w:szCs w:val="8"/>
          <w:b w:val="1"/>
          <w:bCs w:val="1"/>
          <w:color w:val="auto"/>
        </w:rPr>
        <w:t>2020</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400"/>
        <w:spacing w:after="0"/>
        <w:rPr>
          <w:sz w:val="20"/>
          <w:szCs w:val="20"/>
          <w:color w:val="auto"/>
        </w:rPr>
      </w:pPr>
      <w:r>
        <w:rPr>
          <w:rFonts w:ascii="Arial" w:cs="Arial" w:eastAsia="Arial" w:hAnsi="Arial"/>
          <w:sz w:val="10"/>
          <w:szCs w:val="10"/>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10795</wp:posOffset>
            </wp:positionV>
            <wp:extent cx="244030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40305" cy="5715"/>
                    </a:xfrm>
                    <a:prstGeom prst="rect">
                      <a:avLst/>
                    </a:prstGeom>
                    <a:noFill/>
                  </pic:spPr>
                </pic:pic>
              </a:graphicData>
            </a:graphic>
          </wp:anchor>
        </w:drawing>
      </w:r>
    </w:p>
    <w:p>
      <w:pPr>
        <w:spacing w:after="0" w:line="1" w:lineRule="exact"/>
        <w:rPr>
          <w:sz w:val="20"/>
          <w:szCs w:val="20"/>
          <w:color w:val="auto"/>
        </w:rPr>
      </w:pPr>
    </w:p>
    <w:p>
      <w:pPr>
        <w:spacing w:after="0"/>
        <w:tabs>
          <w:tab w:leader="none" w:pos="1900" w:val="left"/>
        </w:tabs>
        <w:rPr>
          <w:sz w:val="20"/>
          <w:szCs w:val="20"/>
          <w:color w:val="auto"/>
        </w:rPr>
      </w:pPr>
      <w:r>
        <w:rPr>
          <w:rFonts w:ascii="Arial" w:cs="Arial" w:eastAsia="Arial" w:hAnsi="Arial"/>
          <w:sz w:val="8"/>
          <w:szCs w:val="8"/>
          <w:b w:val="1"/>
          <w:bCs w:val="1"/>
          <w:color w:val="auto"/>
        </w:rPr>
        <w:t>2021</w:t>
      </w:r>
      <w:r>
        <w:rPr>
          <w:sz w:val="20"/>
          <w:szCs w:val="20"/>
          <w:color w:val="auto"/>
        </w:rPr>
        <w:tab/>
      </w:r>
      <w:r>
        <w:rPr>
          <w:rFonts w:ascii="Arial" w:cs="Arial" w:eastAsia="Arial" w:hAnsi="Arial"/>
          <w:sz w:val="8"/>
          <w:szCs w:val="8"/>
          <w:b w:val="1"/>
          <w:bCs w:val="1"/>
          <w:color w:val="auto"/>
        </w:rPr>
        <w:t>2020</w:t>
      </w:r>
    </w:p>
    <w:p>
      <w:pPr>
        <w:spacing w:after="0" w:line="32" w:lineRule="exact"/>
        <w:rPr>
          <w:sz w:val="20"/>
          <w:szCs w:val="20"/>
          <w:color w:val="auto"/>
        </w:rPr>
      </w:pPr>
    </w:p>
    <w:p>
      <w:pPr>
        <w:sectPr>
          <w:pgSz w:w="11900" w:h="16838" w:orient="portrait"/>
          <w:cols w:equalWidth="0" w:num="2">
            <w:col w:w="7240" w:space="720"/>
            <w:col w:w="3340"/>
          </w:cols>
          <w:pgMar w:left="300" w:top="646" w:right="29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28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Operating lease cost</w:t>
            </w:r>
          </w:p>
        </w:tc>
        <w:tc>
          <w:tcPr>
            <w:tcW w:w="110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3,425</w:t>
            </w:r>
          </w:p>
        </w:tc>
        <w:tc>
          <w:tcPr>
            <w:tcW w:w="90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3,458</w:t>
            </w:r>
          </w:p>
        </w:tc>
        <w:tc>
          <w:tcPr>
            <w:tcW w:w="1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9,581</w:t>
            </w:r>
          </w:p>
        </w:tc>
        <w:tc>
          <w:tcPr>
            <w:tcW w:w="88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10,625</w:t>
            </w:r>
          </w:p>
        </w:tc>
      </w:tr>
      <w:tr>
        <w:trPr>
          <w:trHeight w:val="154"/>
        </w:trPr>
        <w:tc>
          <w:tcPr>
            <w:tcW w:w="2860" w:type="dxa"/>
            <w:vAlign w:val="bottom"/>
          </w:tcPr>
          <w:p>
            <w:pPr>
              <w:ind w:left="440"/>
              <w:spacing w:after="0" w:line="154" w:lineRule="exact"/>
              <w:rPr>
                <w:sz w:val="20"/>
                <w:szCs w:val="20"/>
                <w:color w:val="auto"/>
              </w:rPr>
            </w:pPr>
            <w:r>
              <w:rPr>
                <w:rFonts w:ascii="Arial" w:cs="Arial" w:eastAsia="Arial" w:hAnsi="Arial"/>
                <w:sz w:val="12"/>
                <w:szCs w:val="12"/>
                <w:color w:val="auto"/>
              </w:rPr>
              <w:t xml:space="preserve">Variable lease cost </w:t>
            </w:r>
            <w:r>
              <w:rPr>
                <w:rFonts w:ascii="Arial" w:cs="Arial" w:eastAsia="Arial" w:hAnsi="Arial"/>
                <w:sz w:val="15"/>
                <w:szCs w:val="15"/>
                <w:color w:val="auto"/>
                <w:vertAlign w:val="superscript"/>
              </w:rPr>
              <w:t>(1)</w:t>
            </w:r>
          </w:p>
        </w:tc>
        <w:tc>
          <w:tcPr>
            <w:tcW w:w="1100" w:type="dxa"/>
            <w:vAlign w:val="bottom"/>
          </w:tcPr>
          <w:p>
            <w:pPr>
              <w:spacing w:after="0"/>
              <w:rPr>
                <w:sz w:val="13"/>
                <w:szCs w:val="13"/>
                <w:color w:val="auto"/>
              </w:rPr>
            </w:pPr>
          </w:p>
        </w:tc>
        <w:tc>
          <w:tcPr>
            <w:tcW w:w="1080" w:type="dxa"/>
            <w:vAlign w:val="bottom"/>
          </w:tcPr>
          <w:p>
            <w:pPr>
              <w:jc w:val="right"/>
              <w:ind w:right="180"/>
              <w:spacing w:after="0"/>
              <w:rPr>
                <w:sz w:val="20"/>
                <w:szCs w:val="20"/>
                <w:color w:val="auto"/>
              </w:rPr>
            </w:pPr>
            <w:r>
              <w:rPr>
                <w:rFonts w:ascii="Arial" w:cs="Arial" w:eastAsia="Arial" w:hAnsi="Arial"/>
                <w:sz w:val="12"/>
                <w:szCs w:val="12"/>
                <w:color w:val="auto"/>
              </w:rPr>
              <w:t>2,688</w:t>
            </w:r>
          </w:p>
        </w:tc>
        <w:tc>
          <w:tcPr>
            <w:tcW w:w="9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1,651</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jc w:val="right"/>
              <w:ind w:right="200"/>
              <w:spacing w:after="0"/>
              <w:rPr>
                <w:sz w:val="20"/>
                <w:szCs w:val="20"/>
                <w:color w:val="auto"/>
              </w:rPr>
            </w:pPr>
            <w:r>
              <w:rPr>
                <w:rFonts w:ascii="Arial" w:cs="Arial" w:eastAsia="Arial" w:hAnsi="Arial"/>
                <w:sz w:val="12"/>
                <w:szCs w:val="12"/>
                <w:color w:val="auto"/>
              </w:rPr>
              <w:t>5,827</w:t>
            </w:r>
          </w:p>
        </w:tc>
        <w:tc>
          <w:tcPr>
            <w:tcW w:w="8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2,461</w:t>
            </w:r>
          </w:p>
        </w:tc>
      </w:tr>
      <w:tr>
        <w:trPr>
          <w:trHeight w:val="154"/>
        </w:trPr>
        <w:tc>
          <w:tcPr>
            <w:tcW w:w="28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Short-term lease cost</w:t>
            </w:r>
          </w:p>
        </w:tc>
        <w:tc>
          <w:tcPr>
            <w:tcW w:w="1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185</w:t>
            </w:r>
          </w:p>
        </w:tc>
        <w:tc>
          <w:tcPr>
            <w:tcW w:w="9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813</w:t>
            </w:r>
          </w:p>
        </w:tc>
        <w:tc>
          <w:tcPr>
            <w:tcW w:w="8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w:t>
            </w:r>
          </w:p>
        </w:tc>
      </w:tr>
      <w:tr>
        <w:trPr>
          <w:trHeight w:val="154"/>
        </w:trPr>
        <w:tc>
          <w:tcPr>
            <w:tcW w:w="286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Amortization of land right assets</w:t>
            </w:r>
          </w:p>
        </w:tc>
        <w:tc>
          <w:tcPr>
            <w:tcW w:w="1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3,322</w:t>
            </w:r>
          </w:p>
        </w:tc>
        <w:tc>
          <w:tcPr>
            <w:tcW w:w="9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3,021</w:t>
            </w:r>
          </w:p>
        </w:tc>
        <w:tc>
          <w:tcPr>
            <w:tcW w:w="1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9,171</w:t>
            </w:r>
          </w:p>
        </w:tc>
        <w:tc>
          <w:tcPr>
            <w:tcW w:w="8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9,061</w:t>
            </w:r>
          </w:p>
        </w:tc>
      </w:tr>
      <w:tr>
        <w:trPr>
          <w:trHeight w:val="159"/>
        </w:trPr>
        <w:tc>
          <w:tcPr>
            <w:tcW w:w="2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Total lease cost</w:t>
            </w:r>
          </w:p>
        </w:tc>
        <w:tc>
          <w:tcPr>
            <w:tcW w:w="110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9,620</w:t>
            </w:r>
          </w:p>
        </w:tc>
        <w:tc>
          <w:tcPr>
            <w:tcW w:w="90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8,333</w:t>
            </w:r>
          </w:p>
        </w:tc>
        <w:tc>
          <w:tcPr>
            <w:tcW w:w="1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25,392</w:t>
            </w:r>
          </w:p>
        </w:tc>
        <w:tc>
          <w:tcPr>
            <w:tcW w:w="88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22,572</w:t>
            </w:r>
          </w:p>
        </w:tc>
      </w:tr>
    </w:tbl>
    <w:p>
      <w:pPr>
        <w:spacing w:after="0" w:line="217" w:lineRule="exact"/>
        <w:rPr>
          <w:sz w:val="20"/>
          <w:szCs w:val="20"/>
          <w:color w:val="auto"/>
        </w:rPr>
      </w:pPr>
    </w:p>
    <w:p>
      <w:pPr>
        <w:ind w:firstLine="426"/>
        <w:spacing w:after="0" w:line="253" w:lineRule="auto"/>
        <w:tabs>
          <w:tab w:leader="none" w:pos="552" w:val="left"/>
        </w:tabs>
        <w:numPr>
          <w:ilvl w:val="0"/>
          <w:numId w:val="10"/>
        </w:numPr>
        <w:rPr>
          <w:rFonts w:ascii="Arial" w:cs="Arial" w:eastAsia="Arial" w:hAnsi="Arial"/>
          <w:sz w:val="15"/>
          <w:szCs w:val="15"/>
          <w:color w:val="auto"/>
          <w:vertAlign w:val="superscript"/>
        </w:rPr>
      </w:pPr>
      <w:r>
        <w:rPr>
          <w:rFonts w:ascii="Arial" w:cs="Arial" w:eastAsia="Arial" w:hAnsi="Arial"/>
          <w:sz w:val="11"/>
          <w:szCs w:val="11"/>
          <w:color w:val="auto"/>
        </w:rPr>
        <w:t>Variable lease costs for the nine months ended September 30, 2020 included a true up of the monthly rental payments paid by our tenants on certain ground leases that are based on estimated current year annual performance which were impacted by casino closures due to COVID-19. As discussed previously, under ASC 842, the Company is required to gross up its financial statements by recording both expense and revenue (recorded within rental income on the condensed consolidated statements of income) for these payments since the Company is considered the primary obligor.</w:t>
      </w:r>
    </w:p>
    <w:p>
      <w:pPr>
        <w:spacing w:after="0" w:line="148" w:lineRule="exact"/>
        <w:rPr>
          <w:sz w:val="20"/>
          <w:szCs w:val="20"/>
          <w:color w:val="auto"/>
        </w:rPr>
      </w:pPr>
    </w:p>
    <w:p>
      <w:pPr>
        <w:ind w:right="280" w:firstLine="434"/>
        <w:spacing w:after="0" w:line="278" w:lineRule="auto"/>
        <w:rPr>
          <w:sz w:val="20"/>
          <w:szCs w:val="20"/>
          <w:color w:val="auto"/>
        </w:rPr>
      </w:pPr>
      <w:r>
        <w:rPr>
          <w:rFonts w:ascii="Arial" w:cs="Arial" w:eastAsia="Arial" w:hAnsi="Arial"/>
          <w:sz w:val="12"/>
          <w:szCs w:val="12"/>
          <w:color w:val="auto"/>
        </w:rPr>
        <w:t>Amortization expense related to the land right intangibles, as well as variable lease costs and the majority of the Company's operating lease costs are recorded within land rights and ground lease expense in the condensed consolidated statements of income. The Company's short-term lease costs as well as a small portion of operating lease costs are recorded in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6" w:right="2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2"/>
          <w:szCs w:val="12"/>
          <w:color w:val="auto"/>
        </w:rPr>
        <w:t>both gaming, food, beverage and other expense and general and administrative expense in the condensed consolidated statements of income.</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Supplemental Disclosures Related to Leases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Supplemental balance sheet information related to the Company's operating leases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132"/>
              <w:spacing w:after="0"/>
              <w:rPr>
                <w:sz w:val="20"/>
                <w:szCs w:val="20"/>
                <w:color w:val="auto"/>
              </w:rPr>
            </w:pPr>
            <w:r>
              <w:rPr>
                <w:rFonts w:ascii="Arial" w:cs="Arial" w:eastAsia="Arial" w:hAnsi="Arial"/>
                <w:sz w:val="10"/>
                <w:szCs w:val="10"/>
                <w:b w:val="1"/>
                <w:bCs w:val="1"/>
                <w:color w:val="auto"/>
                <w:w w:val="85"/>
              </w:rPr>
              <w:t>September 30, 2021</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51"/>
        </w:trPr>
        <w:tc>
          <w:tcPr>
            <w:tcW w:w="4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40" w:type="dxa"/>
            <w:vAlign w:val="bottom"/>
            <w:gridSpan w:val="2"/>
          </w:tcPr>
          <w:p>
            <w:pPr>
              <w:ind w:left="440"/>
              <w:spacing w:after="0"/>
              <w:rPr>
                <w:sz w:val="20"/>
                <w:szCs w:val="20"/>
                <w:color w:val="auto"/>
              </w:rPr>
            </w:pPr>
            <w:r>
              <w:rPr>
                <w:rFonts w:ascii="Arial" w:cs="Arial" w:eastAsia="Arial" w:hAnsi="Arial"/>
                <w:sz w:val="12"/>
                <w:szCs w:val="12"/>
                <w:color w:val="auto"/>
              </w:rPr>
              <w:t>Weighted average remaining lease term - operating leases</w:t>
            </w: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4"/>
          </w:tcPr>
          <w:p>
            <w:pPr>
              <w:jc w:val="center"/>
              <w:ind w:right="652"/>
              <w:spacing w:after="0"/>
              <w:rPr>
                <w:sz w:val="20"/>
                <w:szCs w:val="20"/>
                <w:color w:val="auto"/>
              </w:rPr>
            </w:pPr>
            <w:r>
              <w:rPr>
                <w:rFonts w:ascii="Arial" w:cs="Arial" w:eastAsia="Arial" w:hAnsi="Arial"/>
                <w:sz w:val="12"/>
                <w:szCs w:val="12"/>
                <w:color w:val="auto"/>
                <w:w w:val="89"/>
              </w:rPr>
              <w:t>51.78 years</w:t>
            </w: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4"/>
        </w:trPr>
        <w:tc>
          <w:tcPr>
            <w:tcW w:w="4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4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Weighted average discount rate - operating leases</w:t>
            </w: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center"/>
              <w:ind w:right="432"/>
              <w:spacing w:after="0"/>
              <w:rPr>
                <w:sz w:val="20"/>
                <w:szCs w:val="20"/>
                <w:color w:val="auto"/>
              </w:rPr>
            </w:pPr>
            <w:r>
              <w:rPr>
                <w:rFonts w:ascii="Arial" w:cs="Arial" w:eastAsia="Arial" w:hAnsi="Arial"/>
                <w:sz w:val="12"/>
                <w:szCs w:val="12"/>
                <w:color w:val="auto"/>
                <w:w w:val="93"/>
              </w:rPr>
              <w:t>6.56%</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362"/>
        </w:trPr>
        <w:tc>
          <w:tcPr>
            <w:tcW w:w="42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Arial" w:cs="Arial" w:eastAsia="Arial" w:hAnsi="Arial"/>
                <w:sz w:val="12"/>
                <w:szCs w:val="12"/>
                <w:color w:val="auto"/>
                <w:w w:val="91"/>
              </w:rPr>
              <w:t>In addition, the weighted average remaining lease term and the weighted average discount rate for those operating</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3"/>
        </w:trPr>
        <w:tc>
          <w:tcPr>
            <w:tcW w:w="6040" w:type="dxa"/>
            <w:vAlign w:val="bottom"/>
            <w:gridSpan w:val="4"/>
          </w:tcPr>
          <w:p>
            <w:pPr>
              <w:spacing w:after="0"/>
              <w:rPr>
                <w:sz w:val="20"/>
                <w:szCs w:val="20"/>
                <w:color w:val="auto"/>
              </w:rPr>
            </w:pPr>
            <w:r>
              <w:rPr>
                <w:rFonts w:ascii="Arial" w:cs="Arial" w:eastAsia="Arial" w:hAnsi="Arial"/>
                <w:sz w:val="12"/>
                <w:szCs w:val="12"/>
                <w:color w:val="auto"/>
              </w:rPr>
              <w:t>leases included in assets held for sale and other liabilities is 0.8 years and 5.16%, respectively.</w:t>
            </w: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307"/>
        </w:trPr>
        <w:tc>
          <w:tcPr>
            <w:tcW w:w="42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Arial" w:cs="Arial" w:eastAsia="Arial" w:hAnsi="Arial"/>
                <w:sz w:val="12"/>
                <w:szCs w:val="12"/>
                <w:color w:val="auto"/>
              </w:rPr>
              <w:t>Supplemental cash flow information related to the Company's operating leases was as follows:</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41"/>
        </w:trPr>
        <w:tc>
          <w:tcPr>
            <w:tcW w:w="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0"/>
                <w:szCs w:val="10"/>
                <w:b w:val="1"/>
                <w:bCs w:val="1"/>
                <w:color w:val="auto"/>
              </w:rPr>
              <w:t>Three Months Ended September 30,</w:t>
            </w: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0"/>
                <w:szCs w:val="10"/>
                <w:b w:val="1"/>
                <w:bCs w:val="1"/>
                <w:color w:val="auto"/>
                <w:w w:val="87"/>
              </w:rPr>
              <w:t>Nine Months Ended September 30,</w:t>
            </w:r>
          </w:p>
        </w:tc>
      </w:tr>
      <w:tr>
        <w:trPr>
          <w:trHeight w:val="118"/>
        </w:trPr>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2020</w:t>
            </w: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2021</w:t>
            </w:r>
          </w:p>
        </w:tc>
        <w:tc>
          <w:tcPr>
            <w:tcW w:w="8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r>
      <w:tr>
        <w:trPr>
          <w:trHeight w:val="116"/>
        </w:trPr>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0"/>
                <w:szCs w:val="10"/>
                <w:b w:val="1"/>
                <w:bCs w:val="1"/>
                <w:color w:val="auto"/>
              </w:rPr>
              <w:t>(in thousands)</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(in thousands)</w:t>
            </w:r>
          </w:p>
        </w:tc>
        <w:tc>
          <w:tcPr>
            <w:tcW w:w="560" w:type="dxa"/>
            <w:vAlign w:val="bottom"/>
          </w:tcPr>
          <w:p>
            <w:pPr>
              <w:spacing w:after="0"/>
              <w:rPr>
                <w:sz w:val="10"/>
                <w:szCs w:val="10"/>
                <w:color w:val="auto"/>
              </w:rPr>
            </w:pPr>
          </w:p>
        </w:tc>
      </w:tr>
      <w:tr>
        <w:trPr>
          <w:trHeight w:val="155"/>
        </w:trPr>
        <w:tc>
          <w:tcPr>
            <w:tcW w:w="420" w:type="dxa"/>
            <w:vAlign w:val="bottom"/>
          </w:tcPr>
          <w:p>
            <w:pPr>
              <w:spacing w:after="0"/>
              <w:rPr>
                <w:sz w:val="13"/>
                <w:szCs w:val="13"/>
                <w:color w:val="auto"/>
              </w:rPr>
            </w:pPr>
          </w:p>
        </w:tc>
        <w:tc>
          <w:tcPr>
            <w:tcW w:w="5620" w:type="dxa"/>
            <w:vAlign w:val="bottom"/>
            <w:gridSpan w:val="3"/>
            <w:shd w:val="clear" w:color="auto" w:fill="CCEEFF"/>
          </w:tcPr>
          <w:p>
            <w:pPr>
              <w:ind w:left="460"/>
              <w:spacing w:after="0"/>
              <w:rPr>
                <w:sz w:val="20"/>
                <w:szCs w:val="20"/>
                <w:color w:val="auto"/>
              </w:rPr>
            </w:pPr>
            <w:r>
              <w:rPr>
                <w:rFonts w:ascii="Arial" w:cs="Arial" w:eastAsia="Arial" w:hAnsi="Arial"/>
                <w:sz w:val="12"/>
                <w:szCs w:val="12"/>
                <w:color w:val="auto"/>
              </w:rPr>
              <w:t>Cash paid for amounts included in the measurement of lease liabilities:</w:t>
            </w: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4"/>
        </w:trPr>
        <w:tc>
          <w:tcPr>
            <w:tcW w:w="420" w:type="dxa"/>
            <w:vAlign w:val="bottom"/>
          </w:tcPr>
          <w:p>
            <w:pPr>
              <w:spacing w:after="0"/>
              <w:rPr>
                <w:sz w:val="13"/>
                <w:szCs w:val="13"/>
                <w:color w:val="auto"/>
              </w:rPr>
            </w:pPr>
          </w:p>
        </w:tc>
        <w:tc>
          <w:tcPr>
            <w:tcW w:w="5620" w:type="dxa"/>
            <w:vAlign w:val="bottom"/>
            <w:gridSpan w:val="3"/>
          </w:tcPr>
          <w:p>
            <w:pPr>
              <w:ind w:left="520"/>
              <w:spacing w:after="0" w:line="154" w:lineRule="exact"/>
              <w:rPr>
                <w:sz w:val="20"/>
                <w:szCs w:val="20"/>
                <w:color w:val="auto"/>
              </w:rPr>
            </w:pPr>
            <w:r>
              <w:rPr>
                <w:rFonts w:ascii="Arial" w:cs="Arial" w:eastAsia="Arial" w:hAnsi="Arial"/>
                <w:sz w:val="12"/>
                <w:szCs w:val="12"/>
                <w:color w:val="auto"/>
              </w:rPr>
              <w:t xml:space="preserve">Operating cash flows from operating leases </w:t>
            </w:r>
            <w:r>
              <w:rPr>
                <w:rFonts w:ascii="Arial" w:cs="Arial" w:eastAsia="Arial" w:hAnsi="Arial"/>
                <w:sz w:val="15"/>
                <w:szCs w:val="15"/>
                <w:color w:val="auto"/>
                <w:vertAlign w:val="superscript"/>
              </w:rPr>
              <w:t>(1) (2)</w:t>
            </w:r>
          </w:p>
        </w:tc>
        <w:tc>
          <w:tcPr>
            <w:tcW w:w="840" w:type="dxa"/>
            <w:vAlign w:val="bottom"/>
          </w:tcPr>
          <w:p>
            <w:pPr>
              <w:jc w:val="right"/>
              <w:ind w:right="626"/>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204"/>
              <w:spacing w:after="0"/>
              <w:rPr>
                <w:sz w:val="20"/>
                <w:szCs w:val="20"/>
                <w:color w:val="auto"/>
              </w:rPr>
            </w:pPr>
            <w:r>
              <w:rPr>
                <w:rFonts w:ascii="Arial" w:cs="Arial" w:eastAsia="Arial" w:hAnsi="Arial"/>
                <w:sz w:val="12"/>
                <w:szCs w:val="12"/>
                <w:color w:val="auto"/>
              </w:rPr>
              <w:t>405</w:t>
            </w:r>
          </w:p>
        </w:tc>
        <w:tc>
          <w:tcPr>
            <w:tcW w:w="380" w:type="dxa"/>
            <w:vAlign w:val="bottom"/>
          </w:tcPr>
          <w:p>
            <w:pPr>
              <w:jc w:val="right"/>
              <w:ind w:right="24"/>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436</w:t>
            </w:r>
          </w:p>
        </w:tc>
        <w:tc>
          <w:tcPr>
            <w:tcW w:w="1040" w:type="dxa"/>
            <w:vAlign w:val="bottom"/>
            <w:gridSpan w:val="3"/>
          </w:tcPr>
          <w:p>
            <w:pPr>
              <w:jc w:val="right"/>
              <w:ind w:right="372"/>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40" w:type="dxa"/>
            <w:vAlign w:val="bottom"/>
          </w:tcPr>
          <w:p>
            <w:pPr>
              <w:jc w:val="right"/>
              <w:ind w:right="404"/>
              <w:spacing w:after="0"/>
              <w:rPr>
                <w:sz w:val="20"/>
                <w:szCs w:val="20"/>
                <w:color w:val="auto"/>
              </w:rPr>
            </w:pPr>
            <w:r>
              <w:rPr>
                <w:rFonts w:ascii="Arial" w:cs="Arial" w:eastAsia="Arial" w:hAnsi="Arial"/>
                <w:sz w:val="12"/>
                <w:szCs w:val="12"/>
                <w:color w:val="auto"/>
              </w:rPr>
              <w:t>1,212</w:t>
            </w:r>
          </w:p>
        </w:tc>
        <w:tc>
          <w:tcPr>
            <w:tcW w:w="560" w:type="dxa"/>
            <w:vAlign w:val="bottom"/>
          </w:tcPr>
          <w:p>
            <w:pPr>
              <w:jc w:val="right"/>
              <w:ind w:right="424"/>
              <w:spacing w:after="0"/>
              <w:rPr>
                <w:sz w:val="20"/>
                <w:szCs w:val="20"/>
                <w:color w:val="auto"/>
              </w:rPr>
            </w:pPr>
            <w:r>
              <w:rPr>
                <w:rFonts w:ascii="Arial" w:cs="Arial" w:eastAsia="Arial" w:hAnsi="Arial"/>
                <w:sz w:val="12"/>
                <w:szCs w:val="12"/>
                <w:color w:val="auto"/>
                <w:w w:val="89"/>
              </w:rPr>
              <w:t>$</w:t>
            </w:r>
          </w:p>
        </w:tc>
      </w:tr>
      <w:tr>
        <w:trPr>
          <w:trHeight w:val="181"/>
        </w:trPr>
        <w:tc>
          <w:tcPr>
            <w:tcW w:w="420" w:type="dxa"/>
            <w:vAlign w:val="bottom"/>
          </w:tcPr>
          <w:p>
            <w:pPr>
              <w:spacing w:after="0"/>
              <w:rPr>
                <w:sz w:val="15"/>
                <w:szCs w:val="15"/>
                <w:color w:val="auto"/>
              </w:rPr>
            </w:pPr>
          </w:p>
        </w:tc>
        <w:tc>
          <w:tcPr>
            <w:tcW w:w="5260" w:type="dxa"/>
            <w:vAlign w:val="bottom"/>
            <w:gridSpan w:val="2"/>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54"/>
        </w:trPr>
        <w:tc>
          <w:tcPr>
            <w:tcW w:w="420" w:type="dxa"/>
            <w:vAlign w:val="bottom"/>
          </w:tcPr>
          <w:p>
            <w:pPr>
              <w:spacing w:after="0"/>
              <w:rPr>
                <w:sz w:val="13"/>
                <w:szCs w:val="13"/>
                <w:color w:val="auto"/>
              </w:rPr>
            </w:pPr>
          </w:p>
        </w:tc>
        <w:tc>
          <w:tcPr>
            <w:tcW w:w="5620" w:type="dxa"/>
            <w:vAlign w:val="bottom"/>
            <w:gridSpan w:val="3"/>
          </w:tcPr>
          <w:p>
            <w:pPr>
              <w:ind w:left="460"/>
              <w:spacing w:after="0"/>
              <w:rPr>
                <w:sz w:val="20"/>
                <w:szCs w:val="20"/>
                <w:color w:val="auto"/>
              </w:rPr>
            </w:pPr>
            <w:r>
              <w:rPr>
                <w:rFonts w:ascii="Arial" w:cs="Arial" w:eastAsia="Arial" w:hAnsi="Arial"/>
                <w:sz w:val="12"/>
                <w:szCs w:val="12"/>
                <w:color w:val="auto"/>
              </w:rPr>
              <w:t>Right-of-use assets obtained in exchange for new lease obligations:</w:t>
            </w: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4"/>
        </w:trPr>
        <w:tc>
          <w:tcPr>
            <w:tcW w:w="420" w:type="dxa"/>
            <w:vAlign w:val="bottom"/>
          </w:tcPr>
          <w:p>
            <w:pPr>
              <w:spacing w:after="0"/>
              <w:rPr>
                <w:sz w:val="13"/>
                <w:szCs w:val="13"/>
                <w:color w:val="auto"/>
              </w:rPr>
            </w:pPr>
          </w:p>
        </w:tc>
        <w:tc>
          <w:tcPr>
            <w:tcW w:w="5620" w:type="dxa"/>
            <w:vAlign w:val="bottom"/>
            <w:gridSpan w:val="3"/>
            <w:shd w:val="clear" w:color="auto" w:fill="CCEEFF"/>
          </w:tcPr>
          <w:p>
            <w:pPr>
              <w:ind w:left="540"/>
              <w:spacing w:after="0"/>
              <w:rPr>
                <w:sz w:val="20"/>
                <w:szCs w:val="20"/>
                <w:color w:val="auto"/>
              </w:rPr>
            </w:pPr>
            <w:r>
              <w:rPr>
                <w:rFonts w:ascii="Arial" w:cs="Arial" w:eastAsia="Arial" w:hAnsi="Arial"/>
                <w:sz w:val="12"/>
                <w:szCs w:val="12"/>
                <w:color w:val="auto"/>
              </w:rPr>
              <w:t>Operating leases</w:t>
            </w:r>
          </w:p>
        </w:tc>
        <w:tc>
          <w:tcPr>
            <w:tcW w:w="840" w:type="dxa"/>
            <w:vAlign w:val="bottom"/>
            <w:shd w:val="clear" w:color="auto" w:fill="CCEEFF"/>
          </w:tcPr>
          <w:p>
            <w:pPr>
              <w:jc w:val="right"/>
              <w:ind w:right="626"/>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40" w:type="dxa"/>
            <w:vAlign w:val="bottom"/>
            <w:gridSpan w:val="3"/>
            <w:shd w:val="clear" w:color="auto" w:fill="CCEEFF"/>
          </w:tcPr>
          <w:p>
            <w:pPr>
              <w:jc w:val="right"/>
              <w:ind w:right="372"/>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04"/>
              <w:spacing w:after="0"/>
              <w:rPr>
                <w:sz w:val="20"/>
                <w:szCs w:val="20"/>
                <w:color w:val="auto"/>
              </w:rPr>
            </w:pPr>
            <w:r>
              <w:rPr>
                <w:rFonts w:ascii="Arial" w:cs="Arial" w:eastAsia="Arial" w:hAnsi="Arial"/>
                <w:sz w:val="12"/>
                <w:szCs w:val="12"/>
                <w:color w:val="auto"/>
                <w:w w:val="97"/>
              </w:rPr>
              <w:t>35,372</w:t>
            </w:r>
          </w:p>
        </w:tc>
        <w:tc>
          <w:tcPr>
            <w:tcW w:w="560" w:type="dxa"/>
            <w:vAlign w:val="bottom"/>
            <w:shd w:val="clear" w:color="auto" w:fill="CCEEFF"/>
          </w:tcPr>
          <w:p>
            <w:pPr>
              <w:jc w:val="right"/>
              <w:ind w:right="424"/>
              <w:spacing w:after="0"/>
              <w:rPr>
                <w:sz w:val="20"/>
                <w:szCs w:val="20"/>
                <w:color w:val="auto"/>
              </w:rPr>
            </w:pPr>
            <w:r>
              <w:rPr>
                <w:rFonts w:ascii="Arial" w:cs="Arial" w:eastAsia="Arial" w:hAnsi="Arial"/>
                <w:sz w:val="12"/>
                <w:szCs w:val="12"/>
                <w:color w:val="auto"/>
                <w:w w:val="89"/>
              </w:rPr>
              <w:t>$</w:t>
            </w:r>
          </w:p>
        </w:tc>
      </w:tr>
    </w:tbl>
    <w:p>
      <w:pPr>
        <w:spacing w:after="0" w:line="208" w:lineRule="exact"/>
        <w:rPr>
          <w:sz w:val="20"/>
          <w:szCs w:val="20"/>
          <w:color w:val="auto"/>
        </w:rPr>
      </w:pPr>
    </w:p>
    <w:p>
      <w:pPr>
        <w:ind w:right="100" w:firstLine="426"/>
        <w:spacing w:after="0" w:line="270" w:lineRule="auto"/>
        <w:tabs>
          <w:tab w:leader="none" w:pos="545" w:val="left"/>
        </w:tabs>
        <w:numPr>
          <w:ilvl w:val="0"/>
          <w:numId w:val="11"/>
        </w:numPr>
        <w:rPr>
          <w:rFonts w:ascii="Arial" w:cs="Arial" w:eastAsia="Arial" w:hAnsi="Arial"/>
          <w:sz w:val="13"/>
          <w:szCs w:val="13"/>
          <w:color w:val="auto"/>
          <w:vertAlign w:val="superscript"/>
        </w:rPr>
      </w:pPr>
      <w:r>
        <w:rPr>
          <w:rFonts w:ascii="Arial" w:cs="Arial" w:eastAsia="Arial" w:hAnsi="Arial"/>
          <w:sz w:val="10"/>
          <w:szCs w:val="10"/>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ind w:right="80" w:firstLine="426"/>
        <w:spacing w:after="0" w:line="232" w:lineRule="auto"/>
        <w:tabs>
          <w:tab w:leader="none" w:pos="555" w:val="left"/>
        </w:tabs>
        <w:numPr>
          <w:ilvl w:val="0"/>
          <w:numId w:val="11"/>
        </w:numPr>
        <w:rPr>
          <w:rFonts w:ascii="Arial" w:cs="Arial" w:eastAsia="Arial" w:hAnsi="Arial"/>
          <w:sz w:val="15"/>
          <w:szCs w:val="15"/>
          <w:color w:val="auto"/>
          <w:vertAlign w:val="superscript"/>
        </w:rPr>
      </w:pPr>
      <w:r>
        <w:rPr>
          <w:rFonts w:ascii="Arial" w:cs="Arial" w:eastAsia="Arial" w:hAnsi="Arial"/>
          <w:sz w:val="11"/>
          <w:szCs w:val="11"/>
          <w:color w:val="auto"/>
        </w:rPr>
        <w:t>In addition, there is $9 thousand and $27 thousand related to assets held for sale and other liabilities for operating cash flows from cash paid for amounts included in the measurement of lease liabilities for the three and nine months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60"/>
          </w:cols>
          <w:pgMar w:left="300" w:top="646" w:right="239" w:bottom="1440" w:gutter="0" w:footer="0" w:header="0"/>
        </w:sectPr>
      </w:pPr>
    </w:p>
    <w:bookmarkStart w:id="17" w:name="page18"/>
    <w:bookmarkEnd w:id="17"/>
    <w:p>
      <w:pPr>
        <w:spacing w:after="0"/>
        <w:tabs>
          <w:tab w:leader="none" w:pos="220" w:val="left"/>
        </w:tabs>
        <w:rPr>
          <w:sz w:val="20"/>
          <w:szCs w:val="20"/>
          <w:color w:val="auto"/>
        </w:rPr>
      </w:pPr>
      <w:r>
        <w:rPr>
          <w:rFonts w:ascii="Arial" w:cs="Arial" w:eastAsia="Arial" w:hAnsi="Arial"/>
          <w:sz w:val="12"/>
          <w:szCs w:val="12"/>
          <w:b w:val="1"/>
          <w:bCs w:val="1"/>
          <w:color w:val="auto"/>
        </w:rPr>
        <w:t>8.</w:t>
        <w:tab/>
        <w:t>Long-term Debt</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Long-term debt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4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4"/>
          </w:tcPr>
          <w:p>
            <w:pPr>
              <w:jc w:val="right"/>
              <w:ind w:right="720"/>
              <w:spacing w:after="0"/>
              <w:rPr>
                <w:sz w:val="20"/>
                <w:szCs w:val="20"/>
                <w:color w:val="auto"/>
              </w:rPr>
            </w:pPr>
            <w:r>
              <w:rPr>
                <w:rFonts w:ascii="Arial" w:cs="Arial" w:eastAsia="Arial" w:hAnsi="Arial"/>
                <w:sz w:val="10"/>
                <w:szCs w:val="10"/>
                <w:b w:val="1"/>
                <w:bCs w:val="1"/>
                <w:color w:val="auto"/>
              </w:rPr>
              <w:t>September 30,</w:t>
            </w:r>
          </w:p>
        </w:tc>
        <w:tc>
          <w:tcPr>
            <w:tcW w:w="400" w:type="dxa"/>
            <w:vAlign w:val="bottom"/>
          </w:tcPr>
          <w:p>
            <w:pPr>
              <w:spacing w:after="0"/>
              <w:rPr>
                <w:sz w:val="10"/>
                <w:szCs w:val="10"/>
                <w:color w:val="auto"/>
              </w:rPr>
            </w:pPr>
          </w:p>
        </w:tc>
        <w:tc>
          <w:tcPr>
            <w:tcW w:w="1160" w:type="dxa"/>
            <w:vAlign w:val="bottom"/>
          </w:tcPr>
          <w:p>
            <w:pPr>
              <w:jc w:val="right"/>
              <w:ind w:right="341"/>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25"/>
        </w:trPr>
        <w:tc>
          <w:tcPr>
            <w:tcW w:w="204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14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0"/>
                <w:szCs w:val="10"/>
                <w:b w:val="1"/>
                <w:bCs w:val="1"/>
                <w:color w:val="auto"/>
              </w:rPr>
              <w:t>2021</w:t>
            </w: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16"/>
        </w:trPr>
        <w:tc>
          <w:tcPr>
            <w:tcW w:w="204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rPr>
              <w:t>(in thousands)</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Unsecured $1,175 million revolver</w:t>
            </w:r>
          </w:p>
        </w:tc>
        <w:tc>
          <w:tcPr>
            <w:tcW w:w="1140" w:type="dxa"/>
            <w:vAlign w:val="bottom"/>
            <w:gridSpan w:val="2"/>
            <w:shd w:val="clear" w:color="auto" w:fill="CCEEFF"/>
          </w:tcPr>
          <w:p>
            <w:pPr>
              <w:jc w:val="right"/>
              <w:ind w:right="586"/>
              <w:spacing w:after="0"/>
              <w:rPr>
                <w:sz w:val="20"/>
                <w:szCs w:val="20"/>
                <w:color w:val="auto"/>
              </w:rPr>
            </w:pPr>
            <w:r>
              <w:rPr>
                <w:rFonts w:ascii="Arial" w:cs="Arial" w:eastAsia="Arial" w:hAnsi="Arial"/>
                <w:sz w:val="12"/>
                <w:szCs w:val="12"/>
                <w:color w:val="auto"/>
              </w:rPr>
              <w:t>$</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Unsecured term loan A-2</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424,019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424,019</w:t>
            </w:r>
          </w:p>
        </w:tc>
        <w:tc>
          <w:tcPr>
            <w:tcW w:w="0" w:type="dxa"/>
            <w:vAlign w:val="bottom"/>
          </w:tcPr>
          <w:p>
            <w:pPr>
              <w:spacing w:after="0"/>
              <w:rPr>
                <w:sz w:val="1"/>
                <w:szCs w:val="1"/>
                <w:color w:val="auto"/>
              </w:rPr>
            </w:pPr>
          </w:p>
        </w:tc>
      </w:tr>
      <w:tr>
        <w:trPr>
          <w:trHeight w:val="154"/>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$500 million 5.375% senior unsecured notes due November 2023</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500,000</w:t>
            </w:r>
          </w:p>
        </w:tc>
        <w:tc>
          <w:tcPr>
            <w:tcW w:w="0" w:type="dxa"/>
            <w:vAlign w:val="bottom"/>
          </w:tcPr>
          <w:p>
            <w:pPr>
              <w:spacing w:after="0"/>
              <w:rPr>
                <w:sz w:val="1"/>
                <w:szCs w:val="1"/>
                <w:color w:val="auto"/>
              </w:rPr>
            </w:pPr>
          </w:p>
        </w:tc>
      </w:tr>
      <w:tr>
        <w:trPr>
          <w:trHeight w:val="154"/>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$400 million 3.35% senior unsecured notes due September 2024</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400,000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400,000</w:t>
            </w:r>
          </w:p>
        </w:tc>
        <w:tc>
          <w:tcPr>
            <w:tcW w:w="0" w:type="dxa"/>
            <w:vAlign w:val="bottom"/>
          </w:tcPr>
          <w:p>
            <w:pPr>
              <w:spacing w:after="0"/>
              <w:rPr>
                <w:sz w:val="1"/>
                <w:szCs w:val="1"/>
                <w:color w:val="auto"/>
              </w:rPr>
            </w:pPr>
          </w:p>
        </w:tc>
      </w:tr>
      <w:tr>
        <w:trPr>
          <w:trHeight w:val="154"/>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$850 million 5.25% senior unsecured notes due June 2025</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850,000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850,000</w:t>
            </w:r>
          </w:p>
        </w:tc>
        <w:tc>
          <w:tcPr>
            <w:tcW w:w="0" w:type="dxa"/>
            <w:vAlign w:val="bottom"/>
          </w:tcPr>
          <w:p>
            <w:pPr>
              <w:spacing w:after="0"/>
              <w:rPr>
                <w:sz w:val="1"/>
                <w:szCs w:val="1"/>
                <w:color w:val="auto"/>
              </w:rPr>
            </w:pPr>
          </w:p>
        </w:tc>
      </w:tr>
      <w:tr>
        <w:trPr>
          <w:trHeight w:val="154"/>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$975 million 5.375% senior unsecured notes due April 2026</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975,000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975,000</w:t>
            </w:r>
          </w:p>
        </w:tc>
        <w:tc>
          <w:tcPr>
            <w:tcW w:w="0" w:type="dxa"/>
            <w:vAlign w:val="bottom"/>
          </w:tcPr>
          <w:p>
            <w:pPr>
              <w:spacing w:after="0"/>
              <w:rPr>
                <w:sz w:val="1"/>
                <w:szCs w:val="1"/>
                <w:color w:val="auto"/>
              </w:rPr>
            </w:pPr>
          </w:p>
        </w:tc>
      </w:tr>
      <w:tr>
        <w:trPr>
          <w:trHeight w:val="154"/>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$500 million 5.75% senior unsecured notes due June 2028</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500,000</w:t>
            </w:r>
          </w:p>
        </w:tc>
        <w:tc>
          <w:tcPr>
            <w:tcW w:w="0" w:type="dxa"/>
            <w:vAlign w:val="bottom"/>
          </w:tcPr>
          <w:p>
            <w:pPr>
              <w:spacing w:after="0"/>
              <w:rPr>
                <w:sz w:val="1"/>
                <w:szCs w:val="1"/>
                <w:color w:val="auto"/>
              </w:rPr>
            </w:pPr>
          </w:p>
        </w:tc>
      </w:tr>
      <w:tr>
        <w:trPr>
          <w:trHeight w:val="154"/>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$750 million 5.30% senior unsecured notes due January 2029</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750,000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750,000</w:t>
            </w:r>
          </w:p>
        </w:tc>
        <w:tc>
          <w:tcPr>
            <w:tcW w:w="0" w:type="dxa"/>
            <w:vAlign w:val="bottom"/>
          </w:tcPr>
          <w:p>
            <w:pPr>
              <w:spacing w:after="0"/>
              <w:rPr>
                <w:sz w:val="1"/>
                <w:szCs w:val="1"/>
                <w:color w:val="auto"/>
              </w:rPr>
            </w:pPr>
          </w:p>
        </w:tc>
      </w:tr>
      <w:tr>
        <w:trPr>
          <w:trHeight w:val="154"/>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$700 million 4.00% senior unsecured notes due January 2030</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700,000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700,000</w:t>
            </w:r>
          </w:p>
        </w:tc>
        <w:tc>
          <w:tcPr>
            <w:tcW w:w="0" w:type="dxa"/>
            <w:vAlign w:val="bottom"/>
          </w:tcPr>
          <w:p>
            <w:pPr>
              <w:spacing w:after="0"/>
              <w:rPr>
                <w:sz w:val="1"/>
                <w:szCs w:val="1"/>
                <w:color w:val="auto"/>
              </w:rPr>
            </w:pPr>
          </w:p>
        </w:tc>
      </w:tr>
      <w:tr>
        <w:trPr>
          <w:trHeight w:val="154"/>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$700 million 4.00% senior unsecured notes due January 2031</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700,000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700,000</w:t>
            </w:r>
          </w:p>
        </w:tc>
        <w:tc>
          <w:tcPr>
            <w:tcW w:w="0" w:type="dxa"/>
            <w:vAlign w:val="bottom"/>
          </w:tcPr>
          <w:p>
            <w:pPr>
              <w:spacing w:after="0"/>
              <w:rPr>
                <w:sz w:val="1"/>
                <w:szCs w:val="1"/>
                <w:color w:val="auto"/>
              </w:rPr>
            </w:pPr>
          </w:p>
        </w:tc>
      </w:tr>
      <w:tr>
        <w:trPr>
          <w:trHeight w:val="154"/>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Finance lease liability</w:t>
            </w:r>
          </w:p>
        </w:tc>
        <w:tc>
          <w:tcPr>
            <w:tcW w:w="1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759</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860</w:t>
            </w:r>
          </w:p>
        </w:tc>
        <w:tc>
          <w:tcPr>
            <w:tcW w:w="0" w:type="dxa"/>
            <w:vAlign w:val="bottom"/>
          </w:tcPr>
          <w:p>
            <w:pPr>
              <w:spacing w:after="0"/>
              <w:rPr>
                <w:sz w:val="1"/>
                <w:szCs w:val="1"/>
                <w:color w:val="auto"/>
              </w:rPr>
            </w:pPr>
          </w:p>
        </w:tc>
      </w:tr>
      <w:tr>
        <w:trPr>
          <w:trHeight w:val="143"/>
        </w:trPr>
        <w:tc>
          <w:tcPr>
            <w:tcW w:w="7580" w:type="dxa"/>
            <w:vAlign w:val="bottom"/>
            <w:gridSpan w:val="2"/>
          </w:tcPr>
          <w:p>
            <w:pPr>
              <w:ind w:left="440"/>
              <w:spacing w:after="0"/>
              <w:rPr>
                <w:sz w:val="20"/>
                <w:szCs w:val="20"/>
                <w:color w:val="auto"/>
              </w:rPr>
            </w:pPr>
            <w:r>
              <w:rPr>
                <w:rFonts w:ascii="Arial" w:cs="Arial" w:eastAsia="Arial" w:hAnsi="Arial"/>
                <w:sz w:val="12"/>
                <w:szCs w:val="12"/>
                <w:color w:val="auto"/>
              </w:rPr>
              <w:t>Total long-term debt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5,799,778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5,799,879</w:t>
            </w:r>
          </w:p>
        </w:tc>
        <w:tc>
          <w:tcPr>
            <w:tcW w:w="0" w:type="dxa"/>
            <w:vAlign w:val="bottom"/>
          </w:tcPr>
          <w:p>
            <w:pPr>
              <w:spacing w:after="0"/>
              <w:rPr>
                <w:sz w:val="1"/>
                <w:szCs w:val="1"/>
                <w:color w:val="auto"/>
              </w:rPr>
            </w:pPr>
          </w:p>
        </w:tc>
      </w:tr>
      <w:tr>
        <w:trPr>
          <w:trHeight w:val="154"/>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Less: unamortized debt issuance costs, bond premiums and original issuance discounts</w:t>
            </w:r>
          </w:p>
        </w:tc>
        <w:tc>
          <w:tcPr>
            <w:tcW w:w="1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(37,781)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(45,190)</w:t>
            </w:r>
          </w:p>
        </w:tc>
        <w:tc>
          <w:tcPr>
            <w:tcW w:w="0" w:type="dxa"/>
            <w:vAlign w:val="bottom"/>
          </w:tcPr>
          <w:p>
            <w:pPr>
              <w:spacing w:after="0"/>
              <w:rPr>
                <w:sz w:val="1"/>
                <w:szCs w:val="1"/>
                <w:color w:val="auto"/>
              </w:rPr>
            </w:pPr>
          </w:p>
        </w:tc>
      </w:tr>
      <w:tr>
        <w:trPr>
          <w:trHeight w:val="143"/>
        </w:trPr>
        <w:tc>
          <w:tcPr>
            <w:tcW w:w="7580" w:type="dxa"/>
            <w:vAlign w:val="bottom"/>
            <w:gridSpan w:val="2"/>
          </w:tcPr>
          <w:p>
            <w:pPr>
              <w:spacing w:after="0"/>
              <w:rPr>
                <w:sz w:val="20"/>
                <w:szCs w:val="20"/>
                <w:color w:val="auto"/>
              </w:rPr>
            </w:pPr>
            <w:r>
              <w:rPr>
                <w:rFonts w:ascii="Arial" w:cs="Arial" w:eastAsia="Arial" w:hAnsi="Arial"/>
                <w:sz w:val="12"/>
                <w:szCs w:val="12"/>
                <w:color w:val="auto"/>
              </w:rPr>
              <w:t>Total long-term debt, net of unamortized debt issuance costs, bond premiums and original issuance discounts</w:t>
            </w:r>
          </w:p>
        </w:tc>
        <w:tc>
          <w:tcPr>
            <w:tcW w:w="1140" w:type="dxa"/>
            <w:vAlign w:val="bottom"/>
            <w:tcBorders>
              <w:bottom w:val="single" w:sz="8" w:color="auto"/>
            </w:tcBorders>
            <w:gridSpan w:val="2"/>
          </w:tcPr>
          <w:p>
            <w:pPr>
              <w:jc w:val="right"/>
              <w:ind w:right="586"/>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5,761,997</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5,754,689</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ind w:left="420"/>
              <w:spacing w:after="0"/>
              <w:rPr>
                <w:sz w:val="20"/>
                <w:szCs w:val="20"/>
                <w:color w:val="auto"/>
              </w:rPr>
            </w:pPr>
            <w:r>
              <w:rPr>
                <w:rFonts w:ascii="Arial" w:cs="Arial" w:eastAsia="Arial" w:hAnsi="Arial"/>
                <w:sz w:val="12"/>
                <w:szCs w:val="12"/>
                <w:color w:val="auto"/>
              </w:rPr>
              <w:t>The following is a schedule of future minimum repayments of long-term debt as of September 30, 2021 (in thousands):</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75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40" w:type="dxa"/>
            <w:vAlign w:val="bottom"/>
          </w:tcPr>
          <w:p>
            <w:pPr>
              <w:spacing w:after="0"/>
              <w:rPr>
                <w:sz w:val="13"/>
                <w:szCs w:val="13"/>
                <w:color w:val="auto"/>
              </w:rPr>
            </w:pPr>
          </w:p>
        </w:tc>
        <w:tc>
          <w:tcPr>
            <w:tcW w:w="55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Within one year</w:t>
            </w:r>
          </w:p>
        </w:tc>
        <w:tc>
          <w:tcPr>
            <w:tcW w:w="1140" w:type="dxa"/>
            <w:vAlign w:val="bottom"/>
            <w:gridSpan w:val="2"/>
            <w:shd w:val="clear" w:color="auto" w:fill="CCEEFF"/>
          </w:tcPr>
          <w:p>
            <w:pPr>
              <w:jc w:val="right"/>
              <w:ind w:right="446"/>
              <w:spacing w:after="0"/>
              <w:rPr>
                <w:sz w:val="20"/>
                <w:szCs w:val="20"/>
                <w:color w:val="auto"/>
              </w:rPr>
            </w:pPr>
            <w:r>
              <w:rPr>
                <w:rFonts w:ascii="Arial" w:cs="Arial" w:eastAsia="Arial" w:hAnsi="Arial"/>
                <w:sz w:val="12"/>
                <w:szCs w:val="12"/>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140</w:t>
            </w: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40" w:type="dxa"/>
            <w:vAlign w:val="bottom"/>
          </w:tcPr>
          <w:p>
            <w:pPr>
              <w:spacing w:after="0"/>
              <w:rPr>
                <w:sz w:val="13"/>
                <w:szCs w:val="13"/>
                <w:color w:val="auto"/>
              </w:rPr>
            </w:pPr>
          </w:p>
        </w:tc>
        <w:tc>
          <w:tcPr>
            <w:tcW w:w="5540" w:type="dxa"/>
            <w:vAlign w:val="bottom"/>
          </w:tcPr>
          <w:p>
            <w:pPr>
              <w:ind w:left="440"/>
              <w:spacing w:after="0"/>
              <w:rPr>
                <w:sz w:val="20"/>
                <w:szCs w:val="20"/>
                <w:color w:val="auto"/>
              </w:rPr>
            </w:pPr>
            <w:r>
              <w:rPr>
                <w:rFonts w:ascii="Arial" w:cs="Arial" w:eastAsia="Arial" w:hAnsi="Arial"/>
                <w:sz w:val="12"/>
                <w:szCs w:val="12"/>
                <w:color w:val="auto"/>
              </w:rPr>
              <w:t>2-3 years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2"/>
                <w:szCs w:val="12"/>
                <w:color w:val="auto"/>
              </w:rPr>
              <w:t>1,324,321</w:t>
            </w: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40" w:type="dxa"/>
            <w:vAlign w:val="bottom"/>
          </w:tcPr>
          <w:p>
            <w:pPr>
              <w:spacing w:after="0"/>
              <w:rPr>
                <w:sz w:val="13"/>
                <w:szCs w:val="13"/>
                <w:color w:val="auto"/>
              </w:rPr>
            </w:pPr>
          </w:p>
        </w:tc>
        <w:tc>
          <w:tcPr>
            <w:tcW w:w="55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4-5 years</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1,825,317</w:t>
            </w: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40" w:type="dxa"/>
            <w:vAlign w:val="bottom"/>
          </w:tcPr>
          <w:p>
            <w:pPr>
              <w:spacing w:after="0"/>
              <w:rPr>
                <w:sz w:val="13"/>
                <w:szCs w:val="13"/>
                <w:color w:val="auto"/>
              </w:rPr>
            </w:pPr>
          </w:p>
        </w:tc>
        <w:tc>
          <w:tcPr>
            <w:tcW w:w="55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Over 5 years</w:t>
            </w:r>
          </w:p>
        </w:tc>
        <w:tc>
          <w:tcPr>
            <w:tcW w:w="1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2,650,000</w:t>
            </w: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5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Total minimum payments</w:t>
            </w: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5,799,778</w:t>
            </w: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Unsecured Credit Facility</w:t>
      </w:r>
    </w:p>
    <w:p>
      <w:pPr>
        <w:spacing w:after="0" w:line="173" w:lineRule="exact"/>
        <w:rPr>
          <w:sz w:val="20"/>
          <w:szCs w:val="20"/>
          <w:color w:val="auto"/>
        </w:rPr>
      </w:pPr>
    </w:p>
    <w:p>
      <w:pPr>
        <w:ind w:right="180" w:firstLine="434"/>
        <w:spacing w:after="0" w:line="278" w:lineRule="auto"/>
        <w:rPr>
          <w:sz w:val="20"/>
          <w:szCs w:val="20"/>
          <w:color w:val="auto"/>
        </w:rPr>
      </w:pPr>
      <w:r>
        <w:rPr>
          <w:rFonts w:ascii="Arial" w:cs="Arial" w:eastAsia="Arial" w:hAnsi="Arial"/>
          <w:sz w:val="12"/>
          <w:szCs w:val="12"/>
          <w:color w:val="auto"/>
        </w:rPr>
        <w:t>Prior to June 25, 2020, the Company's senior unsecured credit facility (the "Credit Facility") consisted of a $1,175 million revolving credit facility (the "Revolver") with a maturity date of May 21, 2023, and a $449 million Term Loan A-1 facility with a maturity date of April 28, 2021.</w:t>
      </w:r>
    </w:p>
    <w:p>
      <w:pPr>
        <w:spacing w:after="0" w:line="132" w:lineRule="exact"/>
        <w:rPr>
          <w:sz w:val="20"/>
          <w:szCs w:val="20"/>
          <w:color w:val="auto"/>
        </w:rPr>
      </w:pPr>
    </w:p>
    <w:p>
      <w:pPr>
        <w:ind w:right="20" w:firstLine="434"/>
        <w:spacing w:after="0" w:line="256" w:lineRule="auto"/>
        <w:rPr>
          <w:sz w:val="20"/>
          <w:szCs w:val="20"/>
          <w:color w:val="auto"/>
        </w:rPr>
      </w:pPr>
      <w:r>
        <w:rPr>
          <w:rFonts w:ascii="Arial" w:cs="Arial" w:eastAsia="Arial" w:hAnsi="Arial"/>
          <w:sz w:val="12"/>
          <w:szCs w:val="12"/>
          <w:color w:val="auto"/>
        </w:rPr>
        <w:t>The Company fully drew down on its Revolver in the first quarter of 2020 to increase its liquidity position and repay certain senior unsecured notes. On June 25, 2020, the Company entered into an amendment to the Credit Facility (as amended, the "Amended Credit Facility"), which extended the maturity date of approximately $224 million of outstanding Term Loan A-1 facility borrowings to May 21, 2023, which term loans are now classified as a new tranche of term loans (Term Loans A-2). Additionally, the Company borrowed incremental Term Loans A-2 totaling $200 million. Furthermore, on June 25, 2020, the Company closed on an offering of $500 million of 4.00% unsecured senior notes due in January 2031 at an issue price equal to 98.827% of the principal amount. The Company utilized the proceeds from these two financings along with cash on hand to repay all outstanding obligations under its Revolver. On August 18, 2020, the Company borrowed an additional $200 million of 4.00% unsecured senior notes due in January 2031 at an issue price equal to 103.824% of the principal amount. The Company utilized the net proceeds from this additional borrowing to repay indebtedness under the Term Loan A-1 facility.</w:t>
      </w:r>
    </w:p>
    <w:p>
      <w:pPr>
        <w:spacing w:after="0" w:line="148" w:lineRule="exact"/>
        <w:rPr>
          <w:sz w:val="20"/>
          <w:szCs w:val="20"/>
          <w:color w:val="auto"/>
        </w:rPr>
      </w:pPr>
    </w:p>
    <w:p>
      <w:pPr>
        <w:ind w:right="20" w:firstLine="434"/>
        <w:spacing w:after="0" w:line="265" w:lineRule="auto"/>
        <w:rPr>
          <w:sz w:val="20"/>
          <w:szCs w:val="20"/>
          <w:color w:val="auto"/>
        </w:rPr>
      </w:pPr>
      <w:r>
        <w:rPr>
          <w:rFonts w:ascii="Arial" w:cs="Arial" w:eastAsia="Arial" w:hAnsi="Arial"/>
          <w:sz w:val="12"/>
          <w:szCs w:val="12"/>
          <w:color w:val="auto"/>
        </w:rPr>
        <w:t>At September 30, 2021, the Amended Credit Facility had a gross outstanding balance of $424.0 million, consisting of the Term Loan A-2 facility. Additionally, at September 30, 2021, the Company was contingently obligated under letters of credit issued pursuant to the Amended Credit Facility with face amounts aggregating approximately $0.4 million, resulting in $1,174.6 million available borrowing capacity under the Revolver as of September 30, 2021.</w:t>
      </w:r>
    </w:p>
    <w:p>
      <w:pPr>
        <w:spacing w:after="0" w:line="140" w:lineRule="exact"/>
        <w:rPr>
          <w:sz w:val="20"/>
          <w:szCs w:val="20"/>
          <w:color w:val="auto"/>
        </w:rPr>
      </w:pPr>
    </w:p>
    <w:p>
      <w:pPr>
        <w:ind w:right="120" w:firstLine="434"/>
        <w:spacing w:after="0" w:line="278" w:lineRule="auto"/>
        <w:rPr>
          <w:sz w:val="20"/>
          <w:szCs w:val="20"/>
          <w:color w:val="auto"/>
        </w:rPr>
      </w:pPr>
      <w:r>
        <w:rPr>
          <w:rFonts w:ascii="Arial" w:cs="Arial" w:eastAsia="Arial" w:hAnsi="Arial"/>
          <w:sz w:val="12"/>
          <w:szCs w:val="12"/>
          <w:color w:val="auto"/>
        </w:rPr>
        <w:t>The interest rates payable on the loans are, at the Company's option, equal to either a LIBOR rate or a base rate plus an applicable margin, which ranges from 1.0% to 2.0% per annum for LIBOR loans and 0.0% to 1.0% per annum for base rate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18" w:name="page19"/>
    <w:bookmarkEnd w:id="18"/>
    <w:p>
      <w:pPr>
        <w:ind w:right="40"/>
        <w:spacing w:after="0" w:line="258" w:lineRule="auto"/>
        <w:rPr>
          <w:sz w:val="20"/>
          <w:szCs w:val="20"/>
          <w:color w:val="auto"/>
        </w:rPr>
      </w:pPr>
      <w:r>
        <w:rPr>
          <w:rFonts w:ascii="Arial" w:cs="Arial" w:eastAsia="Arial" w:hAnsi="Arial"/>
          <w:sz w:val="12"/>
          <w:szCs w:val="12"/>
          <w:color w:val="auto"/>
        </w:rPr>
        <w:t>loans, in each case, depending on the credit ratings assigned to the Amended Credit Facility. At September 30, 2021, the applicable margin was 1.50% for LIBOR loans and 0.50% for base rate loans. In addition, the Company is required to pay a commitment fee on the unused portion of the commitments under the Revolver at a rate that ranges from 0.15% to 0.35% per annum, depending on the credit ratings assigned to the Amended Credit Facility. At September 30, 2021, the commitment fee rate was 0.25%. The Company is not required to repay any loans under the Amended Credit Facility prior to maturity and may prepay all or any portion of the loans under the Amended Credit Facility prior to maturity without premium or penalty, subject to reimbursement of any LIBOR breakage costs of the lenders. The Company's wholly owned subsidiary, GLP Capital, is the primary obligor under the Amended Credit Facility, which is guaranteed by GLPI.</w:t>
      </w:r>
    </w:p>
    <w:p>
      <w:pPr>
        <w:spacing w:after="0" w:line="144" w:lineRule="exact"/>
        <w:rPr>
          <w:sz w:val="20"/>
          <w:szCs w:val="20"/>
          <w:color w:val="auto"/>
        </w:rPr>
      </w:pPr>
    </w:p>
    <w:p>
      <w:pPr>
        <w:ind w:right="20" w:firstLine="434"/>
        <w:spacing w:after="0" w:line="281" w:lineRule="auto"/>
        <w:rPr>
          <w:sz w:val="20"/>
          <w:szCs w:val="20"/>
          <w:color w:val="auto"/>
        </w:rPr>
      </w:pPr>
      <w:r>
        <w:rPr>
          <w:rFonts w:ascii="Arial" w:cs="Arial" w:eastAsia="Arial" w:hAnsi="Arial"/>
          <w:sz w:val="11"/>
          <w:szCs w:val="11"/>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Amended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 At September 30, 2021, the Company was in compliance with all required financial covenants under the Amended Credit Facility.</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Unsecured Notes</w:t>
      </w:r>
    </w:p>
    <w:p>
      <w:pPr>
        <w:spacing w:after="0" w:line="173"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The Company recorded a loss on the early extinguishment of debt related to the redemption of $17.3 million, primarily for call premium charges and debt issuance write-offs.</w:t>
      </w:r>
    </w:p>
    <w:p>
      <w:pPr>
        <w:spacing w:after="0" w:line="140" w:lineRule="exact"/>
        <w:rPr>
          <w:sz w:val="20"/>
          <w:szCs w:val="20"/>
          <w:color w:val="auto"/>
        </w:rPr>
      </w:pPr>
    </w:p>
    <w:p>
      <w:pPr>
        <w:ind w:right="380" w:firstLine="434"/>
        <w:spacing w:after="0" w:line="249" w:lineRule="auto"/>
        <w:rPr>
          <w:sz w:val="20"/>
          <w:szCs w:val="20"/>
          <w:color w:val="auto"/>
        </w:rPr>
      </w:pPr>
      <w:r>
        <w:rPr>
          <w:rFonts w:ascii="Arial" w:cs="Arial" w:eastAsia="Arial" w:hAnsi="Arial"/>
          <w:sz w:val="12"/>
          <w:szCs w:val="12"/>
          <w:color w:val="auto"/>
        </w:rPr>
        <w:t>At September 30, 2021, the Company had $5,375.0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September 30, 2021, the Company was in compliance with all required financial covenants under its Senior Notes.</w:t>
      </w: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Fair Value of Financial Assets and Liabilities</w:t>
      </w:r>
    </w:p>
    <w:p>
      <w:pPr>
        <w:spacing w:after="0" w:line="173" w:lineRule="exact"/>
        <w:rPr>
          <w:sz w:val="20"/>
          <w:szCs w:val="20"/>
          <w:color w:val="auto"/>
        </w:rPr>
      </w:pPr>
    </w:p>
    <w:p>
      <w:pPr>
        <w:ind w:right="20" w:firstLine="434"/>
        <w:spacing w:after="0" w:line="342" w:lineRule="auto"/>
        <w:rPr>
          <w:sz w:val="20"/>
          <w:szCs w:val="20"/>
          <w:color w:val="auto"/>
        </w:rPr>
      </w:pPr>
      <w:r>
        <w:rPr>
          <w:rFonts w:ascii="Arial" w:cs="Arial" w:eastAsia="Arial" w:hAnsi="Arial"/>
          <w:sz w:val="10"/>
          <w:szCs w:val="10"/>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Arial" w:cs="Arial" w:eastAsia="Arial" w:hAnsi="Arial"/>
          <w:sz w:val="10"/>
          <w:szCs w:val="10"/>
          <w:i w:val="1"/>
          <w:iCs w:val="1"/>
          <w:color w:val="auto"/>
        </w:rPr>
        <w:t>Fair Value Measurements and Disclosures</w:t>
      </w:r>
      <w:r>
        <w:rPr>
          <w:rFonts w:ascii="Arial" w:cs="Arial" w:eastAsia="Arial" w:hAnsi="Arial"/>
          <w:sz w:val="10"/>
          <w:szCs w:val="10"/>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105" w:lineRule="exact"/>
        <w:rPr>
          <w:sz w:val="20"/>
          <w:szCs w:val="20"/>
          <w:color w:val="auto"/>
        </w:rPr>
      </w:pPr>
    </w:p>
    <w:p>
      <w:pPr>
        <w:ind w:left="420" w:hanging="211"/>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Level 1: Observable inputs such as quoted prices in active markets for identical assets or liabilities.</w:t>
      </w:r>
    </w:p>
    <w:p>
      <w:pPr>
        <w:spacing w:after="0" w:line="169" w:lineRule="exact"/>
        <w:rPr>
          <w:rFonts w:ascii="Arial" w:cs="Arial" w:eastAsia="Arial" w:hAnsi="Arial"/>
          <w:sz w:val="12"/>
          <w:szCs w:val="12"/>
          <w:color w:val="auto"/>
        </w:rPr>
      </w:pPr>
    </w:p>
    <w:p>
      <w:pPr>
        <w:ind w:left="420" w:right="280" w:hanging="211"/>
        <w:spacing w:after="0" w:line="278" w:lineRule="auto"/>
        <w:tabs>
          <w:tab w:leader="none" w:pos="417" w:val="left"/>
        </w:tabs>
        <w:numPr>
          <w:ilvl w:val="0"/>
          <w:numId w:val="12"/>
        </w:numPr>
        <w:rPr>
          <w:rFonts w:ascii="Arial" w:cs="Arial" w:eastAsia="Arial" w:hAnsi="Arial"/>
          <w:sz w:val="12"/>
          <w:szCs w:val="12"/>
          <w:color w:val="auto"/>
        </w:rPr>
      </w:pPr>
      <w:r>
        <w:rPr>
          <w:rFonts w:ascii="Arial" w:cs="Arial" w:eastAsia="Arial" w:hAnsi="Arial"/>
          <w:sz w:val="12"/>
          <w:szCs w:val="12"/>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32" w:lineRule="exact"/>
        <w:rPr>
          <w:rFonts w:ascii="Arial" w:cs="Arial" w:eastAsia="Arial" w:hAnsi="Arial"/>
          <w:sz w:val="12"/>
          <w:szCs w:val="12"/>
          <w:color w:val="auto"/>
        </w:rPr>
      </w:pPr>
    </w:p>
    <w:p>
      <w:pPr>
        <w:ind w:left="420" w:hanging="211"/>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Level 3: Unobservable inputs that reflect the reporting entity's own assumptions, as there is little, if any, related market activity.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19" w:name="page20"/>
    <w:bookmarkEnd w:id="19"/>
    <w:p>
      <w:pPr>
        <w:ind w:left="120"/>
        <w:spacing w:after="0"/>
        <w:rPr>
          <w:sz w:val="20"/>
          <w:szCs w:val="20"/>
          <w:color w:val="auto"/>
        </w:rPr>
      </w:pPr>
      <w:r>
        <w:rPr>
          <w:rFonts w:ascii="Arial" w:cs="Arial" w:eastAsia="Arial" w:hAnsi="Arial"/>
          <w:sz w:val="11"/>
          <w:szCs w:val="11"/>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Assets and Liabilities Measured at Fair Value on a Recurring Basis</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methods and assumptions are used to estimate the fair value of each class of financial instruments for which it is practicable to estimate.</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Cash and Cash Equivalents</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fair value of the Company’s cash and cash equivalents approximates the carrying value of the Company’s cash and cash equivalents, due to the short maturity of the cash equivalents.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Deferred Compensation Plan Assets</w:t>
      </w:r>
    </w:p>
    <w:p>
      <w:pPr>
        <w:spacing w:after="0" w:line="169" w:lineRule="exact"/>
        <w:rPr>
          <w:sz w:val="20"/>
          <w:szCs w:val="20"/>
          <w:color w:val="auto"/>
        </w:rPr>
      </w:pPr>
    </w:p>
    <w:p>
      <w:pPr>
        <w:ind w:right="500" w:firstLine="434"/>
        <w:spacing w:after="0" w:line="278" w:lineRule="auto"/>
        <w:rPr>
          <w:sz w:val="20"/>
          <w:szCs w:val="20"/>
          <w:color w:val="auto"/>
        </w:rPr>
      </w:pPr>
      <w:r>
        <w:rPr>
          <w:rFonts w:ascii="Arial" w:cs="Arial" w:eastAsia="Arial" w:hAnsi="Arial"/>
          <w:sz w:val="12"/>
          <w:szCs w:val="12"/>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Long-term Debt</w:t>
      </w:r>
    </w:p>
    <w:p>
      <w:pPr>
        <w:spacing w:after="0" w:line="151" w:lineRule="exact"/>
        <w:rPr>
          <w:sz w:val="20"/>
          <w:szCs w:val="20"/>
          <w:color w:val="auto"/>
        </w:rPr>
      </w:pPr>
    </w:p>
    <w:p>
      <w:pPr>
        <w:ind w:right="120" w:firstLine="434"/>
        <w:spacing w:after="0" w:line="278" w:lineRule="auto"/>
        <w:rPr>
          <w:sz w:val="20"/>
          <w:szCs w:val="20"/>
          <w:color w:val="auto"/>
        </w:rPr>
      </w:pPr>
      <w:r>
        <w:rPr>
          <w:rFonts w:ascii="Arial" w:cs="Arial" w:eastAsia="Arial" w:hAnsi="Arial"/>
          <w:sz w:val="12"/>
          <w:szCs w:val="12"/>
          <w:color w:val="auto"/>
        </w:rPr>
        <w:t>The fair value of the Senior Notes are estimated based on quoted prices in active markets and as such is a Level 1 measurement as defined under ASC 820. The fair value of the obligations in our Amended Credit Facility is based on indicative pricing from market information (Level 2 inputs).</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estimated fair values of the Company’s financial instruments are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September 30, 2021</w:t>
            </w:r>
          </w:p>
        </w:tc>
        <w:tc>
          <w:tcPr>
            <w:tcW w:w="10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December 31, 2020</w:t>
            </w:r>
          </w:p>
        </w:tc>
        <w:tc>
          <w:tcPr>
            <w:tcW w:w="1080" w:type="dxa"/>
            <w:vAlign w:val="bottom"/>
            <w:tcBorders>
              <w:bottom w:val="single" w:sz="8" w:color="auto"/>
            </w:tcBorders>
          </w:tcPr>
          <w:p>
            <w:pPr>
              <w:spacing w:after="0"/>
              <w:rPr>
                <w:sz w:val="11"/>
                <w:szCs w:val="11"/>
                <w:color w:val="auto"/>
              </w:rPr>
            </w:pPr>
          </w:p>
        </w:tc>
      </w:tr>
      <w:tr>
        <w:trPr>
          <w:trHeight w:val="84"/>
        </w:trPr>
        <w:tc>
          <w:tcPr>
            <w:tcW w:w="4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gridSpan w:val="2"/>
          </w:tcPr>
          <w:p>
            <w:pPr>
              <w:ind w:left="280"/>
              <w:spacing w:after="0" w:line="84" w:lineRule="exact"/>
              <w:rPr>
                <w:sz w:val="20"/>
                <w:szCs w:val="20"/>
                <w:color w:val="auto"/>
              </w:rPr>
            </w:pPr>
            <w:r>
              <w:rPr>
                <w:rFonts w:ascii="Arial" w:cs="Arial" w:eastAsia="Arial" w:hAnsi="Arial"/>
                <w:sz w:val="8"/>
                <w:szCs w:val="8"/>
                <w:b w:val="1"/>
                <w:bCs w:val="1"/>
                <w:color w:val="auto"/>
              </w:rPr>
              <w:t>Carrying</w:t>
            </w:r>
          </w:p>
        </w:tc>
        <w:tc>
          <w:tcPr>
            <w:tcW w:w="660" w:type="dxa"/>
            <w:vAlign w:val="bottom"/>
          </w:tcPr>
          <w:p>
            <w:pPr>
              <w:spacing w:after="0"/>
              <w:rPr>
                <w:sz w:val="7"/>
                <w:szCs w:val="7"/>
                <w:color w:val="auto"/>
              </w:rPr>
            </w:pPr>
          </w:p>
        </w:tc>
        <w:tc>
          <w:tcPr>
            <w:tcW w:w="1080" w:type="dxa"/>
            <w:vAlign w:val="bottom"/>
          </w:tcPr>
          <w:p>
            <w:pPr>
              <w:jc w:val="right"/>
              <w:ind w:right="505"/>
              <w:spacing w:after="0" w:line="84" w:lineRule="exact"/>
              <w:rPr>
                <w:sz w:val="20"/>
                <w:szCs w:val="20"/>
                <w:color w:val="auto"/>
              </w:rPr>
            </w:pPr>
            <w:r>
              <w:rPr>
                <w:rFonts w:ascii="Arial" w:cs="Arial" w:eastAsia="Arial" w:hAnsi="Arial"/>
                <w:sz w:val="8"/>
                <w:szCs w:val="8"/>
                <w:b w:val="1"/>
                <w:bCs w:val="1"/>
                <w:color w:val="auto"/>
              </w:rPr>
              <w:t>Fair</w:t>
            </w: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gridSpan w:val="2"/>
          </w:tcPr>
          <w:p>
            <w:pPr>
              <w:ind w:left="280"/>
              <w:spacing w:after="0" w:line="84" w:lineRule="exact"/>
              <w:rPr>
                <w:sz w:val="20"/>
                <w:szCs w:val="20"/>
                <w:color w:val="auto"/>
              </w:rPr>
            </w:pPr>
            <w:r>
              <w:rPr>
                <w:rFonts w:ascii="Arial" w:cs="Arial" w:eastAsia="Arial" w:hAnsi="Arial"/>
                <w:sz w:val="8"/>
                <w:szCs w:val="8"/>
                <w:b w:val="1"/>
                <w:bCs w:val="1"/>
                <w:color w:val="auto"/>
              </w:rPr>
              <w:t>Carrying</w:t>
            </w:r>
          </w:p>
        </w:tc>
        <w:tc>
          <w:tcPr>
            <w:tcW w:w="660" w:type="dxa"/>
            <w:vAlign w:val="bottom"/>
          </w:tcPr>
          <w:p>
            <w:pPr>
              <w:spacing w:after="0"/>
              <w:rPr>
                <w:sz w:val="7"/>
                <w:szCs w:val="7"/>
                <w:color w:val="auto"/>
              </w:rPr>
            </w:pPr>
          </w:p>
        </w:tc>
        <w:tc>
          <w:tcPr>
            <w:tcW w:w="1080" w:type="dxa"/>
            <w:vAlign w:val="bottom"/>
          </w:tcPr>
          <w:p>
            <w:pPr>
              <w:jc w:val="right"/>
              <w:ind w:right="505"/>
              <w:spacing w:after="0" w:line="84" w:lineRule="exact"/>
              <w:rPr>
                <w:sz w:val="20"/>
                <w:szCs w:val="20"/>
                <w:color w:val="auto"/>
              </w:rPr>
            </w:pPr>
            <w:r>
              <w:rPr>
                <w:rFonts w:ascii="Arial" w:cs="Arial" w:eastAsia="Arial" w:hAnsi="Arial"/>
                <w:sz w:val="8"/>
                <w:szCs w:val="8"/>
                <w:b w:val="1"/>
                <w:bCs w:val="1"/>
                <w:color w:val="auto"/>
              </w:rPr>
              <w:t>Fair</w:t>
            </w:r>
          </w:p>
        </w:tc>
      </w:tr>
      <w:tr>
        <w:trPr>
          <w:trHeight w:val="125"/>
        </w:trPr>
        <w:tc>
          <w:tcPr>
            <w:tcW w:w="4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0" w:type="dxa"/>
            <w:vAlign w:val="bottom"/>
            <w:gridSpan w:val="2"/>
          </w:tcPr>
          <w:p>
            <w:pPr>
              <w:ind w:left="100"/>
              <w:spacing w:after="0"/>
              <w:rPr>
                <w:sz w:val="20"/>
                <w:szCs w:val="20"/>
                <w:color w:val="auto"/>
              </w:rPr>
            </w:pPr>
            <w:r>
              <w:rPr>
                <w:rFonts w:ascii="Arial" w:cs="Arial" w:eastAsia="Arial" w:hAnsi="Arial"/>
                <w:sz w:val="10"/>
                <w:szCs w:val="10"/>
                <w:b w:val="1"/>
                <w:bCs w:val="1"/>
                <w:color w:val="auto"/>
              </w:rPr>
              <w:t>Amount</w:t>
            </w:r>
          </w:p>
        </w:tc>
        <w:tc>
          <w:tcPr>
            <w:tcW w:w="660" w:type="dxa"/>
            <w:vAlign w:val="bottom"/>
          </w:tcPr>
          <w:p>
            <w:pPr>
              <w:spacing w:after="0"/>
              <w:rPr>
                <w:sz w:val="10"/>
                <w:szCs w:val="10"/>
                <w:color w:val="auto"/>
              </w:rPr>
            </w:pPr>
          </w:p>
        </w:tc>
        <w:tc>
          <w:tcPr>
            <w:tcW w:w="1160" w:type="dxa"/>
            <w:vAlign w:val="bottom"/>
            <w:gridSpan w:val="2"/>
          </w:tcPr>
          <w:p>
            <w:pPr>
              <w:ind w:left="100"/>
              <w:spacing w:after="0"/>
              <w:rPr>
                <w:sz w:val="20"/>
                <w:szCs w:val="20"/>
                <w:color w:val="auto"/>
              </w:rPr>
            </w:pPr>
            <w:r>
              <w:rPr>
                <w:rFonts w:ascii="Arial" w:cs="Arial" w:eastAsia="Arial" w:hAnsi="Arial"/>
                <w:sz w:val="10"/>
                <w:szCs w:val="10"/>
                <w:b w:val="1"/>
                <w:bCs w:val="1"/>
                <w:color w:val="auto"/>
              </w:rPr>
              <w:t>Value</w:t>
            </w:r>
          </w:p>
        </w:tc>
        <w:tc>
          <w:tcPr>
            <w:tcW w:w="60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0"/>
                <w:szCs w:val="10"/>
                <w:b w:val="1"/>
                <w:bCs w:val="1"/>
                <w:color w:val="auto"/>
              </w:rPr>
              <w:t>Amount</w:t>
            </w:r>
          </w:p>
        </w:tc>
        <w:tc>
          <w:tcPr>
            <w:tcW w:w="660" w:type="dxa"/>
            <w:vAlign w:val="bottom"/>
          </w:tcPr>
          <w:p>
            <w:pPr>
              <w:spacing w:after="0"/>
              <w:rPr>
                <w:sz w:val="10"/>
                <w:szCs w:val="10"/>
                <w:color w:val="auto"/>
              </w:rPr>
            </w:pPr>
          </w:p>
        </w:tc>
        <w:tc>
          <w:tcPr>
            <w:tcW w:w="1080" w:type="dxa"/>
            <w:vAlign w:val="bottom"/>
          </w:tcPr>
          <w:p>
            <w:pPr>
              <w:jc w:val="right"/>
              <w:ind w:right="705"/>
              <w:spacing w:after="0"/>
              <w:rPr>
                <w:sz w:val="20"/>
                <w:szCs w:val="20"/>
                <w:color w:val="auto"/>
              </w:rPr>
            </w:pPr>
            <w:r>
              <w:rPr>
                <w:rFonts w:ascii="Arial" w:cs="Arial" w:eastAsia="Arial" w:hAnsi="Arial"/>
                <w:sz w:val="10"/>
                <w:szCs w:val="10"/>
                <w:b w:val="1"/>
                <w:bCs w:val="1"/>
                <w:color w:val="auto"/>
              </w:rPr>
              <w:t>Value</w:t>
            </w:r>
          </w:p>
        </w:tc>
      </w:tr>
      <w:tr>
        <w:trPr>
          <w:trHeight w:val="135"/>
        </w:trPr>
        <w:tc>
          <w:tcPr>
            <w:tcW w:w="4100" w:type="dxa"/>
            <w:vAlign w:val="bottom"/>
            <w:tcBorders>
              <w:top w:val="single" w:sz="8" w:color="CCEEFF"/>
            </w:tcBorders>
            <w:shd w:val="clear" w:color="auto" w:fill="CCEEFF"/>
          </w:tcPr>
          <w:p>
            <w:pPr>
              <w:ind w:left="440"/>
              <w:spacing w:after="0" w:line="135" w:lineRule="exact"/>
              <w:rPr>
                <w:sz w:val="20"/>
                <w:szCs w:val="20"/>
                <w:color w:val="auto"/>
              </w:rPr>
            </w:pPr>
            <w:r>
              <w:rPr>
                <w:rFonts w:ascii="Arial" w:cs="Arial" w:eastAsia="Arial" w:hAnsi="Arial"/>
                <w:sz w:val="12"/>
                <w:szCs w:val="12"/>
                <w:b w:val="1"/>
                <w:bCs w:val="1"/>
                <w:color w:val="auto"/>
              </w:rPr>
              <w:t>Financial assets:</w:t>
            </w:r>
          </w:p>
        </w:tc>
        <w:tc>
          <w:tcPr>
            <w:tcW w:w="6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r>
      <w:tr>
        <w:trPr>
          <w:trHeight w:val="154"/>
        </w:trPr>
        <w:tc>
          <w:tcPr>
            <w:tcW w:w="4100" w:type="dxa"/>
            <w:vAlign w:val="bottom"/>
          </w:tcPr>
          <w:p>
            <w:pPr>
              <w:ind w:left="120"/>
              <w:spacing w:after="0" w:line="154" w:lineRule="exact"/>
              <w:rPr>
                <w:sz w:val="20"/>
                <w:szCs w:val="20"/>
                <w:color w:val="auto"/>
              </w:rPr>
            </w:pPr>
            <w:r>
              <w:rPr>
                <w:rFonts w:ascii="Arial" w:cs="Arial" w:eastAsia="Arial" w:hAnsi="Arial"/>
                <w:sz w:val="12"/>
                <w:szCs w:val="12"/>
                <w:color w:val="auto"/>
              </w:rPr>
              <w:t xml:space="preserve">Cash and cash equivalents </w:t>
            </w:r>
            <w:r>
              <w:rPr>
                <w:rFonts w:ascii="Arial" w:cs="Arial" w:eastAsia="Arial" w:hAnsi="Arial"/>
                <w:sz w:val="15"/>
                <w:szCs w:val="15"/>
                <w:color w:val="auto"/>
                <w:vertAlign w:val="superscript"/>
              </w:rPr>
              <w:t>(1)</w:t>
            </w: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423,224</w:t>
            </w:r>
          </w:p>
        </w:tc>
        <w:tc>
          <w:tcPr>
            <w:tcW w:w="8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5"/>
              <w:spacing w:after="0"/>
              <w:rPr>
                <w:sz w:val="20"/>
                <w:szCs w:val="20"/>
                <w:color w:val="auto"/>
              </w:rPr>
            </w:pPr>
            <w:r>
              <w:rPr>
                <w:rFonts w:ascii="Arial" w:cs="Arial" w:eastAsia="Arial" w:hAnsi="Arial"/>
                <w:sz w:val="12"/>
                <w:szCs w:val="12"/>
                <w:color w:val="auto"/>
              </w:rPr>
              <w:t>423,224</w:t>
            </w:r>
          </w:p>
        </w:tc>
        <w:tc>
          <w:tcPr>
            <w:tcW w:w="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486,451</w:t>
            </w:r>
          </w:p>
        </w:tc>
        <w:tc>
          <w:tcPr>
            <w:tcW w:w="8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486,451</w:t>
            </w:r>
          </w:p>
        </w:tc>
      </w:tr>
      <w:tr>
        <w:trPr>
          <w:trHeight w:val="154"/>
        </w:trPr>
        <w:tc>
          <w:tcPr>
            <w:tcW w:w="4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compensation plan assets</w:t>
            </w:r>
          </w:p>
        </w:tc>
        <w:tc>
          <w:tcPr>
            <w:tcW w:w="6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32,912</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32,912</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35,514</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35,514</w:t>
            </w:r>
          </w:p>
        </w:tc>
      </w:tr>
      <w:tr>
        <w:trPr>
          <w:trHeight w:val="154"/>
        </w:trPr>
        <w:tc>
          <w:tcPr>
            <w:tcW w:w="4100" w:type="dxa"/>
            <w:vAlign w:val="bottom"/>
          </w:tcPr>
          <w:p>
            <w:pPr>
              <w:ind w:left="440"/>
              <w:spacing w:after="0"/>
              <w:rPr>
                <w:sz w:val="20"/>
                <w:szCs w:val="20"/>
                <w:color w:val="auto"/>
              </w:rPr>
            </w:pPr>
            <w:r>
              <w:rPr>
                <w:rFonts w:ascii="Arial" w:cs="Arial" w:eastAsia="Arial" w:hAnsi="Arial"/>
                <w:sz w:val="12"/>
                <w:szCs w:val="12"/>
                <w:b w:val="1"/>
                <w:bCs w:val="1"/>
                <w:color w:val="auto"/>
              </w:rPr>
              <w:t>Financial liabilities:</w:t>
            </w: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4"/>
        </w:trPr>
        <w:tc>
          <w:tcPr>
            <w:tcW w:w="41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Long-term debt:</w:t>
            </w:r>
          </w:p>
        </w:tc>
        <w:tc>
          <w:tcPr>
            <w:tcW w:w="6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4"/>
        </w:trPr>
        <w:tc>
          <w:tcPr>
            <w:tcW w:w="4100" w:type="dxa"/>
            <w:vAlign w:val="bottom"/>
          </w:tcPr>
          <w:p>
            <w:pPr>
              <w:ind w:left="660"/>
              <w:spacing w:after="0"/>
              <w:rPr>
                <w:sz w:val="20"/>
                <w:szCs w:val="20"/>
                <w:color w:val="auto"/>
              </w:rPr>
            </w:pPr>
            <w:r>
              <w:rPr>
                <w:rFonts w:ascii="Arial" w:cs="Arial" w:eastAsia="Arial" w:hAnsi="Arial"/>
                <w:sz w:val="12"/>
                <w:szCs w:val="12"/>
                <w:color w:val="auto"/>
              </w:rPr>
              <w:t>Amended Credit Facility</w:t>
            </w:r>
          </w:p>
        </w:tc>
        <w:tc>
          <w:tcPr>
            <w:tcW w:w="6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424,019</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jc w:val="right"/>
              <w:ind w:right="5"/>
              <w:spacing w:after="0"/>
              <w:rPr>
                <w:sz w:val="20"/>
                <w:szCs w:val="20"/>
                <w:color w:val="auto"/>
              </w:rPr>
            </w:pPr>
            <w:r>
              <w:rPr>
                <w:rFonts w:ascii="Arial" w:cs="Arial" w:eastAsia="Arial" w:hAnsi="Arial"/>
                <w:sz w:val="12"/>
                <w:szCs w:val="12"/>
                <w:color w:val="auto"/>
              </w:rPr>
              <w:t>424,019</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424,019</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424,019</w:t>
            </w:r>
          </w:p>
        </w:tc>
      </w:tr>
      <w:tr>
        <w:trPr>
          <w:trHeight w:val="154"/>
        </w:trPr>
        <w:tc>
          <w:tcPr>
            <w:tcW w:w="41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Senior Notes</w:t>
            </w:r>
          </w:p>
        </w:tc>
        <w:tc>
          <w:tcPr>
            <w:tcW w:w="6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5,375,000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5,978,513</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5,375,000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6,026,840</w:t>
            </w:r>
          </w:p>
        </w:tc>
      </w:tr>
    </w:tbl>
    <w:p>
      <w:pPr>
        <w:spacing w:after="0" w:line="217" w:lineRule="exact"/>
        <w:rPr>
          <w:sz w:val="20"/>
          <w:szCs w:val="20"/>
          <w:color w:val="auto"/>
        </w:rPr>
      </w:pPr>
    </w:p>
    <w:p>
      <w:pPr>
        <w:ind w:left="540" w:hanging="114"/>
        <w:spacing w:after="0"/>
        <w:tabs>
          <w:tab w:leader="none" w:pos="540"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In addition, there is $18.5 million at September 30, 2021 and $22.1 million at December 31, 2020 in cash and cash equivalents in assets held for sale.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Assets and Liabilities Measured at Fair Value on a Nonrecurring Basis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were no assets or liabilities measured at fair value on a nonrecurring basis during the nine months ended September 30, 2021 and 2020.</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60"/>
          </w:cols>
          <w:pgMar w:left="300" w:top="646" w:right="339" w:bottom="1440" w:gutter="0" w:footer="0" w:header="0"/>
        </w:sectPr>
      </w:pPr>
    </w:p>
    <w:bookmarkStart w:id="20" w:name="page21"/>
    <w:bookmarkEnd w:id="20"/>
    <w:p>
      <w:pPr>
        <w:ind w:left="8" w:right="9300" w:hanging="8"/>
        <w:spacing w:after="0" w:line="522" w:lineRule="auto"/>
        <w:tabs>
          <w:tab w:leader="none" w:pos="306" w:val="left"/>
        </w:tabs>
        <w:numPr>
          <w:ilvl w:val="0"/>
          <w:numId w:val="14"/>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Litigation</w:t>
      </w:r>
    </w:p>
    <w:p>
      <w:pPr>
        <w:spacing w:after="0" w:line="1" w:lineRule="exact"/>
        <w:rPr>
          <w:sz w:val="20"/>
          <w:szCs w:val="20"/>
          <w:color w:val="auto"/>
        </w:rPr>
      </w:pPr>
    </w:p>
    <w:p>
      <w:pPr>
        <w:ind w:left="8" w:right="100" w:firstLine="434"/>
        <w:spacing w:after="0" w:line="258" w:lineRule="auto"/>
        <w:rPr>
          <w:sz w:val="20"/>
          <w:szCs w:val="20"/>
          <w:color w:val="auto"/>
        </w:rPr>
      </w:pPr>
      <w:r>
        <w:rPr>
          <w:rFonts w:ascii="Arial" w:cs="Arial" w:eastAsia="Arial" w:hAnsi="Arial"/>
          <w:sz w:val="12"/>
          <w:szCs w:val="12"/>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11. Revenue Recognition</w:t>
      </w:r>
    </w:p>
    <w:p>
      <w:pPr>
        <w:spacing w:after="0" w:line="173" w:lineRule="exact"/>
        <w:rPr>
          <w:sz w:val="20"/>
          <w:szCs w:val="20"/>
          <w:color w:val="auto"/>
        </w:rPr>
      </w:pPr>
    </w:p>
    <w:p>
      <w:pPr>
        <w:ind w:left="8" w:right="180" w:firstLine="434"/>
        <w:spacing w:after="0" w:line="256" w:lineRule="auto"/>
        <w:rPr>
          <w:sz w:val="20"/>
          <w:szCs w:val="20"/>
          <w:color w:val="auto"/>
        </w:rPr>
      </w:pPr>
      <w:r>
        <w:rPr>
          <w:rFonts w:ascii="Arial" w:cs="Arial" w:eastAsia="Arial" w:hAnsi="Arial"/>
          <w:sz w:val="12"/>
          <w:szCs w:val="12"/>
          <w:color w:val="auto"/>
        </w:rPr>
        <w:t>As of September 30, 2021, 19 of the Company’s real estate investment properties were leased to a subsidiary of Penn under the Penn Master Lease, an additional 12 of the Company's real estate investment properties were leased to a subsidiary of Penn under the Amended Pinnacle Master Lease, 6 of the Company's real estate investment properties were leased to a subsidiary of Caesars under the Amended and Restated Caesars Master Lease, 3 of the Company's real estate investment properties were leased to a subsidiary of Boyd under the Boyd Master Lease and 2 of the Company's real estate investment properties were leased to a subsidiary of Bally's under the Bally's Master Lease. Additionally, the Meadows real estate assets are leased to Penn pursuant to the Meadows Lease, the Hollywood Casino Perryville real estate assets are leased to Penn pursuant to the Perryville Lease, the land under a Penn development facility is subject to the Morgantown Lease and the Casino Queen real estate assets are leased back to the operator under the Casino Queen Lease. Finally, the Company has single property triple net leases with Caesars under the Lumière Place Lease and Boyd under the Belterra Park Lease.</w:t>
      </w:r>
    </w:p>
    <w:p>
      <w:pPr>
        <w:spacing w:after="0" w:line="148" w:lineRule="exact"/>
        <w:rPr>
          <w:sz w:val="20"/>
          <w:szCs w:val="20"/>
          <w:color w:val="auto"/>
        </w:rPr>
      </w:pPr>
    </w:p>
    <w:p>
      <w:pPr>
        <w:ind w:left="8" w:right="40" w:firstLine="434"/>
        <w:spacing w:after="0" w:line="291" w:lineRule="auto"/>
        <w:rPr>
          <w:sz w:val="20"/>
          <w:szCs w:val="20"/>
          <w:color w:val="auto"/>
        </w:rPr>
      </w:pPr>
      <w:r>
        <w:rPr>
          <w:rFonts w:ascii="Arial" w:cs="Arial" w:eastAsia="Arial" w:hAnsi="Arial"/>
          <w:sz w:val="11"/>
          <w:szCs w:val="11"/>
          <w:color w:val="auto"/>
        </w:rPr>
        <w:t>The obligations under the Penn Master Lease and Amended Pinnacle Master Lease, as well as the Meadows Lease, Morgantown Lease and Perryville Lease, are guaranteed by Penn and, with respect to each lease, jointly and severally by Penn's subsidiaries that occupy and operate the facilities covered by such lease. Similarly, the obligations under the Amended and Restated Caesars Master Lease are jointly and severally guaranteed by Caesars and by most of Caesars's subsidiaries that occupy and operate the leased facilities. The obligations under the Bally's Master Lease are guaranteed by Bally's and jointly and severally by Bally's subsidiaries that occupy and operate the facilities covered by the Bally's Master Lease. The obligations under the Boyd Master Lease are jointly and severally guaranteed by Boyd's subsidiaries that occupy and operate the facilities leased under the Boyd Master Lease.</w:t>
      </w:r>
    </w:p>
    <w:p>
      <w:pPr>
        <w:spacing w:after="0" w:line="65" w:lineRule="exact"/>
        <w:rPr>
          <w:sz w:val="20"/>
          <w:szCs w:val="20"/>
          <w:color w:val="auto"/>
        </w:rPr>
      </w:pPr>
    </w:p>
    <w:p>
      <w:pPr>
        <w:ind w:left="8" w:right="200" w:firstLine="434"/>
        <w:spacing w:after="0" w:line="258" w:lineRule="auto"/>
        <w:rPr>
          <w:sz w:val="20"/>
          <w:szCs w:val="20"/>
          <w:color w:val="auto"/>
        </w:rPr>
      </w:pPr>
      <w:r>
        <w:rPr>
          <w:rFonts w:ascii="Arial" w:cs="Arial" w:eastAsia="Arial" w:hAnsi="Arial"/>
          <w:sz w:val="12"/>
          <w:szCs w:val="12"/>
          <w:color w:val="auto"/>
        </w:rPr>
        <w:t>The rent structure under the Penn Master Lease includes a fixed component, a portion of which is subject to an annual 2% escalator if certain rent coverage ratio thresholds are met, and a component that is based on the performance of the facilities, which is prospectively adjusted, subject to certain floors (i) every five years to an amount equal to 4% of the average net revenues of all facilities under the Penn Master Lease (other than Hollywood Casino Columbus and Hollywood Casino Toledo) during the preceding five years in excess of a contractual baseline, and (ii) monthly by an amount equal to 20% of the net revenues of Hollywood Casino Columbus and Hollywood Casino Toledo during the preceding month in excess of a contractual baseline, although Hollywood Casino Toledo has a monthly percentage rent floor which equals $22.9 million annually due to Penn's acquisition of a competing facility, Greektown Casino-Hotel in Detroit, Michigan.</w:t>
      </w:r>
    </w:p>
    <w:p>
      <w:pPr>
        <w:spacing w:after="0" w:line="144" w:lineRule="exact"/>
        <w:rPr>
          <w:sz w:val="20"/>
          <w:szCs w:val="20"/>
          <w:color w:val="auto"/>
        </w:rPr>
      </w:pPr>
    </w:p>
    <w:p>
      <w:pPr>
        <w:ind w:left="8" w:right="20" w:firstLine="434"/>
        <w:spacing w:after="0" w:line="300" w:lineRule="auto"/>
        <w:rPr>
          <w:sz w:val="20"/>
          <w:szCs w:val="20"/>
          <w:color w:val="auto"/>
        </w:rPr>
      </w:pPr>
      <w:r>
        <w:rPr>
          <w:rFonts w:ascii="Arial" w:cs="Arial" w:eastAsia="Arial" w:hAnsi="Arial"/>
          <w:sz w:val="11"/>
          <w:szCs w:val="11"/>
          <w:color w:val="auto"/>
        </w:rPr>
        <w:t>Similar to the Penn Master Lease, the Amended Pinnacle Master Lease also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w:t>
      </w:r>
    </w:p>
    <w:p>
      <w:pPr>
        <w:spacing w:after="0" w:line="123" w:lineRule="exact"/>
        <w:rPr>
          <w:sz w:val="20"/>
          <w:szCs w:val="20"/>
          <w:color w:val="auto"/>
        </w:rPr>
      </w:pPr>
    </w:p>
    <w:p>
      <w:pPr>
        <w:jc w:val="both"/>
        <w:ind w:left="8" w:firstLine="434"/>
        <w:spacing w:after="0" w:line="274" w:lineRule="auto"/>
        <w:rPr>
          <w:sz w:val="20"/>
          <w:szCs w:val="20"/>
          <w:color w:val="auto"/>
        </w:rPr>
      </w:pPr>
      <w:r>
        <w:rPr>
          <w:rFonts w:ascii="Arial" w:cs="Arial" w:eastAsia="Arial" w:hAnsi="Arial"/>
          <w:sz w:val="11"/>
          <w:szCs w:val="11"/>
          <w:color w:val="auto"/>
        </w:rPr>
        <w:t>On July 23, 2020, the Amended and Restated Caesars Master Lease became effective as described more fully in Note 1. This modification was accounted for as a new lease which the Company concluded continued to meet the criteria for operating lease treatment. As a result, the existing deferred revenue at the time of the amendment is being recognized in the income statement over the Amended and Restated Caesars Master Lease's new initial lease term, which now expires in September 2038. The Company has concluded the renewal options of up to an additional 20 years at the tenant's option are not reasonably certain of being exercised as failure to renew would not result in a significant penalty to the tenant. In addition, the guaranteed fixed escalations in the new initial lease term will be recognized on a straight line basis.</w:t>
      </w: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805" w:right="299" w:bottom="1440" w:gutter="0" w:footer="0" w:header="0"/>
        </w:sectPr>
      </w:pPr>
    </w:p>
    <w:bookmarkStart w:id="21" w:name="page22"/>
    <w:bookmarkEnd w:id="21"/>
    <w:p>
      <w:pPr>
        <w:jc w:val="both"/>
        <w:ind w:left="8" w:firstLine="434"/>
        <w:spacing w:after="0" w:line="260" w:lineRule="auto"/>
        <w:rPr>
          <w:sz w:val="20"/>
          <w:szCs w:val="20"/>
          <w:color w:val="auto"/>
        </w:rPr>
      </w:pPr>
      <w:r>
        <w:rPr>
          <w:rFonts w:ascii="Arial" w:cs="Arial" w:eastAsia="Arial" w:hAnsi="Arial"/>
          <w:sz w:val="12"/>
          <w:szCs w:val="12"/>
          <w:color w:val="auto"/>
        </w:rPr>
        <w:t>On December 18, 2020, following the receipt of required regulatory approvals, the Company and Caesars completed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The Waterloo and Bettendorf facilities were added to the Amended and Restated Caesars Master Lease and the rent was increased by $520,000 annually. This Exchange Transaction resulted in a reconsideration of the Amended and Restated Caesars Master Lease which resulted in the continuation of operating lease treatment for accounting classification purposes.</w:t>
      </w:r>
    </w:p>
    <w:p>
      <w:pPr>
        <w:spacing w:after="0" w:line="144" w:lineRule="exact"/>
        <w:rPr>
          <w:sz w:val="20"/>
          <w:szCs w:val="20"/>
          <w:color w:val="auto"/>
        </w:rPr>
      </w:pPr>
    </w:p>
    <w:p>
      <w:pPr>
        <w:ind w:left="8" w:right="100" w:firstLine="434"/>
        <w:spacing w:after="0" w:line="325" w:lineRule="auto"/>
        <w:rPr>
          <w:sz w:val="20"/>
          <w:szCs w:val="20"/>
          <w:color w:val="auto"/>
        </w:rPr>
      </w:pPr>
      <w:r>
        <w:rPr>
          <w:rFonts w:ascii="Arial" w:cs="Arial" w:eastAsia="Arial" w:hAnsi="Arial"/>
          <w:sz w:val="11"/>
          <w:szCs w:val="11"/>
          <w:color w:val="auto"/>
        </w:rPr>
        <w:t>The Boyd Master Lease includes a fixed component, a portion of which is subject to an annual 2% escalator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spacing w:after="0" w:line="13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In May 2020, the Company acquired the real estate of Belterra Park in satisfaction of the Belterra Park Loan, subject to the Belterra Park Lease with a Boyd affiliate operating the property. The Belterra Park Lease rent terms</w:t>
      </w:r>
    </w:p>
    <w:p>
      <w:pPr>
        <w:spacing w:after="0" w:line="45" w:lineRule="exact"/>
        <w:rPr>
          <w:sz w:val="20"/>
          <w:szCs w:val="20"/>
          <w:color w:val="auto"/>
        </w:rPr>
      </w:pPr>
    </w:p>
    <w:p>
      <w:pPr>
        <w:ind w:left="8" w:right="100"/>
        <w:spacing w:after="0" w:line="325" w:lineRule="auto"/>
        <w:rPr>
          <w:sz w:val="20"/>
          <w:szCs w:val="20"/>
          <w:color w:val="auto"/>
        </w:rPr>
      </w:pPr>
      <w:r>
        <w:rPr>
          <w:rFonts w:ascii="Arial" w:cs="Arial" w:eastAsia="Arial" w:hAnsi="Arial"/>
          <w:sz w:val="11"/>
          <w:szCs w:val="11"/>
          <w:color w:val="auto"/>
        </w:rPr>
        <w:t>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w:t>
      </w:r>
    </w:p>
    <w:p>
      <w:pPr>
        <w:spacing w:after="0" w:line="110" w:lineRule="exact"/>
        <w:rPr>
          <w:sz w:val="20"/>
          <w:szCs w:val="20"/>
          <w:color w:val="auto"/>
        </w:rPr>
      </w:pPr>
    </w:p>
    <w:p>
      <w:pPr>
        <w:ind w:left="8" w:right="20" w:firstLine="434"/>
        <w:spacing w:after="0" w:line="278" w:lineRule="auto"/>
        <w:rPr>
          <w:sz w:val="20"/>
          <w:szCs w:val="20"/>
          <w:color w:val="auto"/>
        </w:rPr>
      </w:pPr>
      <w:r>
        <w:rPr>
          <w:rFonts w:ascii="Arial" w:cs="Arial" w:eastAsia="Arial" w:hAnsi="Arial"/>
          <w:sz w:val="12"/>
          <w:szCs w:val="12"/>
          <w:color w:val="auto"/>
        </w:rPr>
        <w:t>On September 29, 2020, the Company acquired the real estate of Lumière Place in satisfaction of the CZR loan, subject to the Lumière Place Lease, the initial term of which expires on October 31, 2033, with 4 separate renewal options of five years each, exercisable at the tenant's option. The Lumière Place Lease's rent is subject to an annual escalator of up to 2% if certain rent coverage ratio thresholds are met.</w:t>
      </w:r>
    </w:p>
    <w:p>
      <w:pPr>
        <w:spacing w:after="0" w:line="132" w:lineRule="exact"/>
        <w:rPr>
          <w:sz w:val="20"/>
          <w:szCs w:val="20"/>
          <w:color w:val="auto"/>
        </w:rPr>
      </w:pPr>
    </w:p>
    <w:p>
      <w:pPr>
        <w:ind w:left="428"/>
        <w:spacing w:after="0"/>
        <w:rPr>
          <w:sz w:val="20"/>
          <w:szCs w:val="20"/>
          <w:color w:val="auto"/>
        </w:rPr>
      </w:pPr>
      <w:r>
        <w:rPr>
          <w:rFonts w:ascii="Arial" w:cs="Arial" w:eastAsia="Arial" w:hAnsi="Arial"/>
          <w:sz w:val="10"/>
          <w:szCs w:val="10"/>
          <w:color w:val="auto"/>
        </w:rPr>
        <w:t>The Meadows Lease contains a fixed component, subject to annual escalators, and a component that is based on the performance of the facility, which is reset every two years to an amount determined by multiplying (i) 4% by</w:t>
      </w:r>
    </w:p>
    <w:p>
      <w:pPr>
        <w:spacing w:after="0" w:line="38" w:lineRule="exact"/>
        <w:rPr>
          <w:sz w:val="20"/>
          <w:szCs w:val="20"/>
          <w:color w:val="auto"/>
        </w:rPr>
      </w:pPr>
    </w:p>
    <w:p>
      <w:pPr>
        <w:ind w:left="8" w:right="360" w:hanging="8"/>
        <w:spacing w:after="0" w:line="263" w:lineRule="auto"/>
        <w:tabs>
          <w:tab w:leader="none" w:pos="185"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$31.0 million, at which point the escalator will be reduced to 2% annually thereafter.</w:t>
      </w:r>
    </w:p>
    <w:p>
      <w:pPr>
        <w:spacing w:after="0" w:line="141" w:lineRule="exact"/>
        <w:rPr>
          <w:sz w:val="20"/>
          <w:szCs w:val="20"/>
          <w:color w:val="auto"/>
        </w:rPr>
      </w:pPr>
    </w:p>
    <w:p>
      <w:pPr>
        <w:ind w:left="8" w:right="60" w:firstLine="434"/>
        <w:spacing w:after="0" w:line="311" w:lineRule="auto"/>
        <w:rPr>
          <w:sz w:val="20"/>
          <w:szCs w:val="20"/>
          <w:color w:val="auto"/>
        </w:rPr>
      </w:pPr>
      <w:r>
        <w:rPr>
          <w:rFonts w:ascii="Arial" w:cs="Arial" w:eastAsia="Arial" w:hAnsi="Arial"/>
          <w:sz w:val="10"/>
          <w:szCs w:val="10"/>
          <w:color w:val="auto"/>
        </w:rPr>
        <w:t>The Morgantown Lease became effective on October 1, 2020 whereby the Company is leasing the land under Penn's gaming facility under construction for an initial cash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w:t>
      </w:r>
    </w:p>
    <w:p>
      <w:pPr>
        <w:ind w:left="8" w:right="520" w:hanging="8"/>
        <w:spacing w:after="0" w:line="263" w:lineRule="auto"/>
        <w:tabs>
          <w:tab w:leader="none" w:pos="185"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w:t>
      </w:r>
    </w:p>
    <w:p>
      <w:pPr>
        <w:spacing w:after="0" w:line="141" w:lineRule="exact"/>
        <w:rPr>
          <w:sz w:val="20"/>
          <w:szCs w:val="20"/>
          <w:color w:val="auto"/>
        </w:rPr>
      </w:pPr>
    </w:p>
    <w:p>
      <w:pPr>
        <w:ind w:left="8" w:right="100" w:firstLine="434"/>
        <w:spacing w:after="0" w:line="265" w:lineRule="auto"/>
        <w:rPr>
          <w:sz w:val="20"/>
          <w:szCs w:val="20"/>
          <w:color w:val="auto"/>
        </w:rPr>
      </w:pPr>
      <w:r>
        <w:rPr>
          <w:rFonts w:ascii="Arial" w:cs="Arial" w:eastAsia="Arial" w:hAnsi="Arial"/>
          <w:sz w:val="12"/>
          <w:szCs w:val="12"/>
          <w:color w:val="auto"/>
        </w:rPr>
        <w:t>The Perryville Lease with Penn became effective July 1, 2021 which has initial annual rent of $7.77 million, $5.83 million of which is subject to escalation provisions beginning in the second lease year through the fourth lease year and increasing by 1.50% during such period and then increasing by 1.25% for the remaining lease term. The escalation provisions beginning in the fifth lease year are subject to the CPI being at least 0.5% for the preceding lease year.</w:t>
      </w:r>
    </w:p>
    <w:p>
      <w:pPr>
        <w:spacing w:after="0" w:line="140" w:lineRule="exact"/>
        <w:rPr>
          <w:sz w:val="20"/>
          <w:szCs w:val="20"/>
          <w:color w:val="auto"/>
        </w:rPr>
      </w:pPr>
    </w:p>
    <w:p>
      <w:pPr>
        <w:ind w:left="8" w:right="280" w:firstLine="434"/>
        <w:spacing w:after="0" w:line="278" w:lineRule="auto"/>
        <w:rPr>
          <w:sz w:val="20"/>
          <w:szCs w:val="20"/>
          <w:color w:val="auto"/>
        </w:rPr>
      </w:pPr>
      <w:r>
        <w:rPr>
          <w:rFonts w:ascii="Arial" w:cs="Arial" w:eastAsia="Arial" w:hAnsi="Arial"/>
          <w:sz w:val="12"/>
          <w:szCs w:val="12"/>
          <w:color w:val="auto"/>
        </w:rPr>
        <w:t>The Bally's Master Lease became effective on June 3, 2021 in connection with the Company's acquisition of the real estate assets of Tropicana Evansville and Dover Downs Casino &amp; Hotel. Rent under the Bally's Master Lease is $40 million annually and is subject to an annual escalator of up to 2% determined in relation to the annual increase in CPI.</w:t>
      </w:r>
    </w:p>
    <w:p>
      <w:pPr>
        <w:spacing w:after="0" w:line="132" w:lineRule="exact"/>
        <w:rPr>
          <w:sz w:val="20"/>
          <w:szCs w:val="20"/>
          <w:color w:val="auto"/>
        </w:rPr>
      </w:pPr>
    </w:p>
    <w:p>
      <w:pPr>
        <w:jc w:val="both"/>
        <w:ind w:left="8" w:right="40" w:firstLine="434"/>
        <w:spacing w:after="0" w:line="265" w:lineRule="auto"/>
        <w:rPr>
          <w:sz w:val="20"/>
          <w:szCs w:val="20"/>
          <w:color w:val="auto"/>
        </w:rPr>
      </w:pPr>
      <w:r>
        <w:rPr>
          <w:rFonts w:ascii="Arial" w:cs="Arial" w:eastAsia="Arial" w:hAnsi="Arial"/>
          <w:sz w:val="12"/>
          <w:szCs w:val="12"/>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an amount equal to the greater of (i) the annual amount of non-fixed rent applicable for the lease year immediately preceding such rent reset year and (ii) an amount equal to 4% of the average annual net revenues of the facility for the trailing five-year period.</w:t>
      </w:r>
    </w:p>
    <w:p>
      <w:pPr>
        <w:spacing w:after="0" w:line="140" w:lineRule="exact"/>
        <w:rPr>
          <w:sz w:val="20"/>
          <w:szCs w:val="20"/>
          <w:color w:val="auto"/>
        </w:rPr>
      </w:pPr>
    </w:p>
    <w:p>
      <w:pPr>
        <w:ind w:left="8" w:right="180" w:firstLine="434"/>
        <w:spacing w:after="0" w:line="278" w:lineRule="auto"/>
        <w:rPr>
          <w:sz w:val="20"/>
          <w:szCs w:val="20"/>
          <w:color w:val="auto"/>
        </w:rPr>
      </w:pPr>
      <w:r>
        <w:rPr>
          <w:rFonts w:ascii="Arial" w:cs="Arial" w:eastAsia="Arial" w:hAnsi="Arial"/>
          <w:sz w:val="12"/>
          <w:szCs w:val="12"/>
          <w:color w:val="auto"/>
        </w:rPr>
        <w:t>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w:t>
      </w:r>
    </w:p>
    <w:p>
      <w:pPr>
        <w:spacing w:after="0" w:line="3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809" w:right="299" w:bottom="1440" w:gutter="0" w:footer="0" w:header="0"/>
        </w:sectPr>
      </w:pPr>
    </w:p>
    <w:bookmarkStart w:id="22" w:name="page23"/>
    <w:bookmarkEnd w:id="22"/>
    <w:p>
      <w:pPr>
        <w:ind w:right="200"/>
        <w:spacing w:after="0" w:line="260" w:lineRule="auto"/>
        <w:rPr>
          <w:sz w:val="20"/>
          <w:szCs w:val="20"/>
          <w:color w:val="auto"/>
        </w:rPr>
      </w:pPr>
      <w:r>
        <w:rPr>
          <w:rFonts w:ascii="Arial" w:cs="Arial" w:eastAsia="Arial" w:hAnsi="Arial"/>
          <w:sz w:val="12"/>
          <w:szCs w:val="12"/>
          <w:color w:val="auto"/>
        </w:rPr>
        <w:t>rent floor for any affected facility on the net revenues of such facility for the calendar year immediately preceding the year in which the competing facility is acquired or first operated by the tenant. A percentage rent floor was triggered on Penn's Hollywood Casino Toledo property, as a result of Penn's purchase of the operations of the Greektown Casino-Hotel in Detroit, Michigan and a percentage rent floor on the Amended Pinnacle Master Lease was triggered on the Bossier City Boomtown property due to Penn's acquisition of Margaritaville Resort Casino. Additionally, a percentage rent floor was triggered on the Hollywood Casino at Penn National Race Course in connection with Penn opening a facility in York, Pennsylvania which will go into effect at the next reset.</w:t>
      </w:r>
    </w:p>
    <w:p>
      <w:pPr>
        <w:spacing w:after="0" w:line="144" w:lineRule="exact"/>
        <w:rPr>
          <w:sz w:val="20"/>
          <w:szCs w:val="20"/>
          <w:color w:val="auto"/>
        </w:rPr>
      </w:pPr>
    </w:p>
    <w:p>
      <w:pPr>
        <w:ind w:right="100" w:firstLine="434"/>
        <w:spacing w:after="0" w:line="265" w:lineRule="auto"/>
        <w:rPr>
          <w:sz w:val="20"/>
          <w:szCs w:val="20"/>
          <w:color w:val="auto"/>
        </w:rPr>
      </w:pPr>
      <w:r>
        <w:rPr>
          <w:rFonts w:ascii="Arial" w:cs="Arial" w:eastAsia="Arial" w:hAnsi="Arial"/>
          <w:sz w:val="12"/>
          <w:szCs w:val="12"/>
          <w:color w:val="auto"/>
        </w:rPr>
        <w:t>In addition to rent, as triple-net lessees, all of the Company's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40" w:lineRule="exact"/>
        <w:rPr>
          <w:sz w:val="20"/>
          <w:szCs w:val="20"/>
          <w:color w:val="auto"/>
        </w:rPr>
      </w:pPr>
    </w:p>
    <w:p>
      <w:pPr>
        <w:ind w:right="60" w:firstLine="434"/>
        <w:spacing w:after="0" w:line="283" w:lineRule="auto"/>
        <w:rPr>
          <w:sz w:val="20"/>
          <w:szCs w:val="20"/>
          <w:color w:val="auto"/>
        </w:rPr>
      </w:pPr>
      <w:r>
        <w:rPr>
          <w:rFonts w:ascii="Arial" w:cs="Arial" w:eastAsia="Arial" w:hAnsi="Arial"/>
          <w:sz w:val="11"/>
          <w:szCs w:val="11"/>
          <w:color w:val="auto"/>
        </w:rPr>
        <w:t>The Company determined, based on facts and circumstances prevailing at the time of each lease's inception, that neither Penn nor Casino Queen could continue as a going concern without the property(ies) that are leased to them under the Penn Master Lease and the Casino Queen Master Lease. At lease inception, all of Casino Queen's revenues and substantially all of Penn's revenues were generated from operations in connection with the leased properties. There are also various legal restrictions in the jurisdictions in which Penn and Casino Queen operate that limit the availability and location of gaming facilities, which makes relocation or replacement of the leased gaming facilities restrictive and potentially impracticable or unavailable. Moreover, under the terms of the Penn Master Lease, Penn must make renewal elections with respect to all of the leased property together; the tenant is not entitled to selectively renew certain of the leased property while not renewing other property. Accordingly, the Company concluded that failure by Penn or Casino Queen to renew the Penn Master Lease or Casino Queen Lease, respectively, would impose a significant penalty on such tenant such that renewal of all lease renewal options appeared at lease inception to be reasonably assured. Therefore, the Company concluded that the term of the Penn Master Lease and the Casino Queen Lease is 35 years, equal to the initial 15-year term plus all four of the 5-year renewal options.</w:t>
      </w:r>
    </w:p>
    <w:p>
      <w:pPr>
        <w:spacing w:after="0" w:line="132" w:lineRule="exact"/>
        <w:rPr>
          <w:sz w:val="20"/>
          <w:szCs w:val="20"/>
          <w:color w:val="auto"/>
        </w:rPr>
      </w:pPr>
    </w:p>
    <w:p>
      <w:pPr>
        <w:ind w:firstLine="434"/>
        <w:spacing w:after="0" w:line="258" w:lineRule="auto"/>
        <w:rPr>
          <w:sz w:val="20"/>
          <w:szCs w:val="20"/>
          <w:color w:val="auto"/>
        </w:rPr>
      </w:pPr>
      <w:r>
        <w:rPr>
          <w:rFonts w:ascii="Arial" w:cs="Arial" w:eastAsia="Arial" w:hAnsi="Arial"/>
          <w:sz w:val="12"/>
          <w:szCs w:val="12"/>
          <w:color w:val="auto"/>
        </w:rPr>
        <w:t>On October 15, 2018, in conjunction with the Penn-Pinnacle Merger, the Pinnacle Master Lease was amended to allow for the sale of the operating assets of Ameristar Casino Hotel Kansas City, Ameristar Casino Resort Spa St. Charles and Belterra Casino Resort from Pinnacle to Boyd. As a result of this amendment, the Company reassessed the lease's classification and determined the Amended Pinnacle Master Lease qualified for operating lease treatment under ASC 840. Therefore, subsequent to the Penn-Pinnacle Merger, the Amended Pinnacle Master Lease is treated as an operating lease in its entirety. Because the properties under the Amended Pinnacle Master Lease did not represent a meaningful portion of Penn's business at the time Penn assumed the Amended Pinnacle Master Lease, the Company concluded that the lease term of the Amended Pinnacle Master Lease was 10 years, equal to the initial 10-year term only.</w:t>
      </w:r>
    </w:p>
    <w:p>
      <w:pPr>
        <w:spacing w:after="0" w:line="144" w:lineRule="exact"/>
        <w:rPr>
          <w:sz w:val="20"/>
          <w:szCs w:val="20"/>
          <w:color w:val="auto"/>
        </w:rPr>
      </w:pPr>
    </w:p>
    <w:p>
      <w:pPr>
        <w:ind w:right="40" w:firstLine="434"/>
        <w:spacing w:after="0" w:line="265" w:lineRule="auto"/>
        <w:rPr>
          <w:sz w:val="20"/>
          <w:szCs w:val="20"/>
          <w:color w:val="auto"/>
        </w:rPr>
      </w:pPr>
      <w:r>
        <w:rPr>
          <w:rFonts w:ascii="Arial" w:cs="Arial" w:eastAsia="Arial" w:hAnsi="Arial"/>
          <w:sz w:val="12"/>
          <w:szCs w:val="12"/>
          <w:color w:val="auto"/>
        </w:rPr>
        <w:t>In connection with Penn exercising its first renewal option on October 1, 2020, the Company reassessed the Amended Pinnacle Master Lease as the lease term now concludes on May 1, 2031. The Company continued to conclude that each individual lease component within the Amended Pinnacle Master Lease meets the definition of an operating lease. The deferred rent and fixed minimum lease payments at October 1, 2020 are being recognized on a straight-line basis over the new initial lease term ending on May 1, 2031.</w:t>
      </w:r>
    </w:p>
    <w:p>
      <w:pPr>
        <w:spacing w:after="0" w:line="140" w:lineRule="exact"/>
        <w:rPr>
          <w:sz w:val="20"/>
          <w:szCs w:val="20"/>
          <w:color w:val="auto"/>
        </w:rPr>
      </w:pPr>
    </w:p>
    <w:p>
      <w:pPr>
        <w:ind w:firstLine="434"/>
        <w:spacing w:after="0" w:line="317" w:lineRule="auto"/>
        <w:rPr>
          <w:sz w:val="20"/>
          <w:szCs w:val="20"/>
          <w:color w:val="auto"/>
        </w:rPr>
      </w:pPr>
      <w:r>
        <w:rPr>
          <w:rFonts w:ascii="Arial" w:cs="Arial" w:eastAsia="Arial" w:hAnsi="Arial"/>
          <w:sz w:val="10"/>
          <w:szCs w:val="10"/>
          <w:color w:val="auto"/>
        </w:rPr>
        <w:t>Because the Meadows Lease was a single property lease operated by a large multi-property operator, GLPI concluded it was not reasonably assured at lease inception that the operator would elect to exercise any lease renewal options. Therefore, the Company concluded that the lease term of the Meadows Lease was 10 years, equal to the initial 10-year term only. In conjunction with the Penn-Pinnacle Merger, Penn assumed the Meadows Lease from Pinnacle. The accounting for the Meadows Lease, including the lease term was not impacted by the change in tenant. Based upon similar fact patterns, the Company concluded it was not reasonably assured at lease inception that Caesars, Boyd or Bally's would elect to exercise all lease renewal options under the Caesars Master Lease, the Boyd Master Lease and the Bally's Master Lease as the earnings from these properties did not represent a meaningful portion of either tenant's business at lease inception. The Company concluded that the lease term of the Amended and Restated Caesars Master Lease was its remaining initial lease term which was extended by 5 years when the Amended and Restated Caesars Master Lease became effective on July 23, 2020. The lease term of the Boyd Master Lease and Bally's Master Lease is 10 years and 15 years, respectively, equal to the initial terms of such master leases.</w:t>
      </w:r>
    </w:p>
    <w:p>
      <w:pPr>
        <w:spacing w:after="0" w:line="120" w:lineRule="exact"/>
        <w:rPr>
          <w:sz w:val="20"/>
          <w:szCs w:val="20"/>
          <w:color w:val="auto"/>
        </w:rPr>
      </w:pPr>
    </w:p>
    <w:p>
      <w:pPr>
        <w:ind w:right="80" w:firstLine="434"/>
        <w:spacing w:after="0" w:line="278" w:lineRule="auto"/>
        <w:rPr>
          <w:sz w:val="20"/>
          <w:szCs w:val="20"/>
          <w:color w:val="auto"/>
        </w:rPr>
      </w:pPr>
      <w:r>
        <w:rPr>
          <w:rFonts w:ascii="Arial" w:cs="Arial" w:eastAsia="Arial" w:hAnsi="Arial"/>
          <w:sz w:val="12"/>
          <w:szCs w:val="12"/>
          <w:color w:val="auto"/>
        </w:rPr>
        <w:t>The Belterra Park Lease, Morgantown Lease, Perryville Lease and Lumière Park Lease are single property leases operated by large-multi-property operators and as such the Company concluded it was not reasonably assured at lease inception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23" w:name="page24"/>
    <w:bookmarkEnd w:id="23"/>
    <w:p>
      <w:pPr>
        <w:ind w:left="8"/>
        <w:spacing w:after="0"/>
        <w:rPr>
          <w:sz w:val="20"/>
          <w:szCs w:val="20"/>
          <w:color w:val="auto"/>
        </w:rPr>
      </w:pPr>
      <w:r>
        <w:rPr>
          <w:rFonts w:ascii="Arial" w:cs="Arial" w:eastAsia="Arial" w:hAnsi="Arial"/>
          <w:sz w:val="12"/>
          <w:szCs w:val="12"/>
          <w:color w:val="auto"/>
        </w:rPr>
        <w:t>that the operator would elect to exercise any renewal options. Accordingly, the lease term of these leases is equal to their initial terms.</w:t>
      </w:r>
    </w:p>
    <w:p>
      <w:pPr>
        <w:spacing w:after="0" w:line="16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Details of the Company's rental income for the three and nine months ended September 30, 2021 was as follows (in thousands):</w:t>
      </w:r>
    </w:p>
    <w:p>
      <w:pPr>
        <w:spacing w:after="0" w:line="9" w:lineRule="exact"/>
        <w:rPr>
          <w:sz w:val="20"/>
          <w:szCs w:val="20"/>
          <w:color w:val="auto"/>
        </w:rPr>
      </w:pPr>
    </w:p>
    <w:tbl>
      <w:tblPr>
        <w:tblLayout w:type="fixed"/>
        <w:tblInd w:w="428" w:type="dxa"/>
        <w:tblCellMar>
          <w:top w:w="0" w:type="dxa"/>
          <w:left w:w="0" w:type="dxa"/>
          <w:bottom w:w="0" w:type="dxa"/>
          <w:right w:w="0" w:type="dxa"/>
        </w:tblCellMar>
      </w:tblPr>
      <w:tr>
        <w:trPr>
          <w:trHeight w:val="115"/>
        </w:trPr>
        <w:tc>
          <w:tcPr>
            <w:tcW w:w="3660" w:type="dxa"/>
            <w:vAlign w:val="bottom"/>
          </w:tcPr>
          <w:p>
            <w:pPr>
              <w:spacing w:after="0"/>
              <w:rPr>
                <w:sz w:val="10"/>
                <w:szCs w:val="10"/>
                <w:color w:val="auto"/>
              </w:rPr>
            </w:pPr>
          </w:p>
        </w:tc>
        <w:tc>
          <w:tcPr>
            <w:tcW w:w="2160" w:type="dxa"/>
            <w:vAlign w:val="bottom"/>
            <w:gridSpan w:val="3"/>
          </w:tcPr>
          <w:p>
            <w:pPr>
              <w:ind w:left="500"/>
              <w:spacing w:after="0"/>
              <w:rPr>
                <w:sz w:val="20"/>
                <w:szCs w:val="20"/>
                <w:color w:val="auto"/>
              </w:rPr>
            </w:pPr>
            <w:r>
              <w:rPr>
                <w:rFonts w:ascii="Arial" w:cs="Arial" w:eastAsia="Arial" w:hAnsi="Arial"/>
                <w:sz w:val="10"/>
                <w:szCs w:val="10"/>
                <w:b w:val="1"/>
                <w:bCs w:val="1"/>
                <w:color w:val="auto"/>
                <w:w w:val="96"/>
              </w:rPr>
              <w:t>Three Months Ended September 30,</w:t>
            </w:r>
          </w:p>
        </w:tc>
        <w:tc>
          <w:tcPr>
            <w:tcW w:w="520" w:type="dxa"/>
            <w:vAlign w:val="bottom"/>
          </w:tcPr>
          <w:p>
            <w:pPr>
              <w:spacing w:after="0"/>
              <w:rPr>
                <w:sz w:val="10"/>
                <w:szCs w:val="10"/>
                <w:color w:val="auto"/>
              </w:rPr>
            </w:pPr>
          </w:p>
        </w:tc>
        <w:tc>
          <w:tcPr>
            <w:tcW w:w="1540" w:type="dxa"/>
            <w:vAlign w:val="bottom"/>
          </w:tcPr>
          <w:p>
            <w:pPr>
              <w:jc w:val="right"/>
              <w:ind w:right="42"/>
              <w:spacing w:after="0"/>
              <w:rPr>
                <w:sz w:val="20"/>
                <w:szCs w:val="20"/>
                <w:color w:val="auto"/>
              </w:rPr>
            </w:pPr>
            <w:r>
              <w:rPr>
                <w:rFonts w:ascii="Arial" w:cs="Arial" w:eastAsia="Arial" w:hAnsi="Arial"/>
                <w:sz w:val="10"/>
                <w:szCs w:val="10"/>
                <w:b w:val="1"/>
                <w:bCs w:val="1"/>
                <w:color w:val="auto"/>
                <w:w w:val="86"/>
              </w:rPr>
              <w:t>Nine Months Ended September 30,</w:t>
            </w:r>
          </w:p>
        </w:tc>
      </w:tr>
      <w:tr>
        <w:trPr>
          <w:trHeight w:val="125"/>
        </w:trPr>
        <w:tc>
          <w:tcPr>
            <w:tcW w:w="36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881"/>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ind w:right="882"/>
              <w:spacing w:after="0"/>
              <w:rPr>
                <w:sz w:val="20"/>
                <w:szCs w:val="20"/>
                <w:color w:val="auto"/>
              </w:rPr>
            </w:pPr>
            <w:r>
              <w:rPr>
                <w:rFonts w:ascii="Arial" w:cs="Arial" w:eastAsia="Arial" w:hAnsi="Arial"/>
                <w:sz w:val="10"/>
                <w:szCs w:val="10"/>
                <w:b w:val="1"/>
                <w:bCs w:val="1"/>
                <w:color w:val="auto"/>
              </w:rPr>
              <w:t>2021</w:t>
            </w:r>
          </w:p>
        </w:tc>
      </w:tr>
      <w:tr>
        <w:trPr>
          <w:trHeight w:val="144"/>
        </w:trPr>
        <w:tc>
          <w:tcPr>
            <w:tcW w:w="3660" w:type="dxa"/>
            <w:vAlign w:val="bottom"/>
            <w:shd w:val="clear" w:color="auto" w:fill="CCEEFF"/>
          </w:tcPr>
          <w:p>
            <w:pPr>
              <w:ind w:left="460"/>
              <w:spacing w:after="0" w:line="144" w:lineRule="exact"/>
              <w:rPr>
                <w:sz w:val="20"/>
                <w:szCs w:val="20"/>
                <w:color w:val="auto"/>
              </w:rPr>
            </w:pPr>
            <w:r>
              <w:rPr>
                <w:rFonts w:ascii="Arial" w:cs="Arial" w:eastAsia="Arial" w:hAnsi="Arial"/>
                <w:sz w:val="12"/>
                <w:szCs w:val="12"/>
                <w:color w:val="auto"/>
              </w:rPr>
              <w:t xml:space="preserve">Building base rent </w:t>
            </w:r>
            <w:r>
              <w:rPr>
                <w:rFonts w:ascii="Arial" w:cs="Arial" w:eastAsia="Arial" w:hAnsi="Arial"/>
                <w:sz w:val="15"/>
                <w:szCs w:val="15"/>
                <w:color w:val="auto"/>
                <w:vertAlign w:val="superscript"/>
              </w:rPr>
              <w:t>(1)</w:t>
            </w:r>
          </w:p>
        </w:tc>
        <w:tc>
          <w:tcPr>
            <w:tcW w:w="720" w:type="dxa"/>
            <w:vAlign w:val="bottom"/>
            <w:shd w:val="clear" w:color="auto" w:fill="CCEEFF"/>
          </w:tcPr>
          <w:p>
            <w:pPr>
              <w:jc w:val="right"/>
              <w:ind w:right="164"/>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187,310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537,676</w:t>
            </w:r>
          </w:p>
        </w:tc>
      </w:tr>
      <w:tr>
        <w:trPr>
          <w:trHeight w:val="154"/>
        </w:trPr>
        <w:tc>
          <w:tcPr>
            <w:tcW w:w="3660" w:type="dxa"/>
            <w:vAlign w:val="bottom"/>
          </w:tcPr>
          <w:p>
            <w:pPr>
              <w:ind w:left="460"/>
              <w:spacing w:after="0"/>
              <w:rPr>
                <w:sz w:val="20"/>
                <w:szCs w:val="20"/>
                <w:color w:val="auto"/>
              </w:rPr>
            </w:pPr>
            <w:r>
              <w:rPr>
                <w:rFonts w:ascii="Arial" w:cs="Arial" w:eastAsia="Arial" w:hAnsi="Arial"/>
                <w:sz w:val="12"/>
                <w:szCs w:val="12"/>
                <w:color w:val="auto"/>
              </w:rPr>
              <w:t>Land base rent</w:t>
            </w:r>
          </w:p>
        </w:tc>
        <w:tc>
          <w:tcPr>
            <w:tcW w:w="7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51,894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154,710</w:t>
            </w:r>
          </w:p>
        </w:tc>
      </w:tr>
      <w:tr>
        <w:trPr>
          <w:trHeight w:val="154"/>
        </w:trPr>
        <w:tc>
          <w:tcPr>
            <w:tcW w:w="36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Percentage rent</w:t>
            </w:r>
          </w:p>
        </w:tc>
        <w:tc>
          <w:tcPr>
            <w:tcW w:w="7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37,875</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113,486</w:t>
            </w:r>
          </w:p>
        </w:tc>
      </w:tr>
      <w:tr>
        <w:trPr>
          <w:trHeight w:val="143"/>
        </w:trPr>
        <w:tc>
          <w:tcPr>
            <w:tcW w:w="3660" w:type="dxa"/>
            <w:vAlign w:val="bottom"/>
          </w:tcPr>
          <w:p>
            <w:pPr>
              <w:ind w:left="460"/>
              <w:spacing w:after="0"/>
              <w:rPr>
                <w:sz w:val="20"/>
                <w:szCs w:val="20"/>
                <w:color w:val="auto"/>
              </w:rPr>
            </w:pPr>
            <w:r>
              <w:rPr>
                <w:rFonts w:ascii="Arial" w:cs="Arial" w:eastAsia="Arial" w:hAnsi="Arial"/>
                <w:sz w:val="12"/>
                <w:szCs w:val="12"/>
                <w:b w:val="1"/>
                <w:bCs w:val="1"/>
                <w:color w:val="auto"/>
              </w:rPr>
              <w:t>Total cash rental income</w:t>
            </w:r>
          </w:p>
        </w:tc>
        <w:tc>
          <w:tcPr>
            <w:tcW w:w="720" w:type="dxa"/>
            <w:vAlign w:val="bottom"/>
          </w:tcPr>
          <w:p>
            <w:pPr>
              <w:spacing w:after="0"/>
              <w:rPr>
                <w:sz w:val="12"/>
                <w:szCs w:val="12"/>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277,079</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805,872</w:t>
            </w:r>
          </w:p>
        </w:tc>
      </w:tr>
      <w:tr>
        <w:trPr>
          <w:trHeight w:val="154"/>
        </w:trPr>
        <w:tc>
          <w:tcPr>
            <w:tcW w:w="36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Straight-line rent adjustments</w:t>
            </w:r>
          </w:p>
        </w:tc>
        <w:tc>
          <w:tcPr>
            <w:tcW w:w="7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888</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2,544</w:t>
            </w:r>
          </w:p>
        </w:tc>
      </w:tr>
      <w:tr>
        <w:trPr>
          <w:trHeight w:val="154"/>
        </w:trPr>
        <w:tc>
          <w:tcPr>
            <w:tcW w:w="3660" w:type="dxa"/>
            <w:vAlign w:val="bottom"/>
          </w:tcPr>
          <w:p>
            <w:pPr>
              <w:ind w:left="460"/>
              <w:spacing w:after="0"/>
              <w:rPr>
                <w:sz w:val="20"/>
                <w:szCs w:val="20"/>
                <w:color w:val="auto"/>
              </w:rPr>
            </w:pPr>
            <w:r>
              <w:rPr>
                <w:rFonts w:ascii="Arial" w:cs="Arial" w:eastAsia="Arial" w:hAnsi="Arial"/>
                <w:sz w:val="12"/>
                <w:szCs w:val="12"/>
                <w:color w:val="auto"/>
              </w:rPr>
              <w:t>Ground rent in revenue</w:t>
            </w:r>
          </w:p>
        </w:tc>
        <w:tc>
          <w:tcPr>
            <w:tcW w:w="7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5,264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12,634</w:t>
            </w:r>
          </w:p>
        </w:tc>
      </w:tr>
      <w:tr>
        <w:trPr>
          <w:trHeight w:val="154"/>
        </w:trPr>
        <w:tc>
          <w:tcPr>
            <w:tcW w:w="36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Other rental revenue</w:t>
            </w:r>
          </w:p>
        </w:tc>
        <w:tc>
          <w:tcPr>
            <w:tcW w:w="7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w:t>
            </w:r>
          </w:p>
        </w:tc>
      </w:tr>
      <w:tr>
        <w:trPr>
          <w:trHeight w:val="143"/>
        </w:trPr>
        <w:tc>
          <w:tcPr>
            <w:tcW w:w="3660" w:type="dxa"/>
            <w:vAlign w:val="bottom"/>
          </w:tcPr>
          <w:p>
            <w:pPr>
              <w:ind w:left="460"/>
              <w:spacing w:after="0"/>
              <w:rPr>
                <w:sz w:val="20"/>
                <w:szCs w:val="20"/>
                <w:color w:val="auto"/>
              </w:rPr>
            </w:pPr>
            <w:r>
              <w:rPr>
                <w:rFonts w:ascii="Arial" w:cs="Arial" w:eastAsia="Arial" w:hAnsi="Arial"/>
                <w:sz w:val="12"/>
                <w:szCs w:val="12"/>
                <w:b w:val="1"/>
                <w:bCs w:val="1"/>
                <w:color w:val="auto"/>
              </w:rPr>
              <w:t>Total rental income</w:t>
            </w:r>
          </w:p>
        </w:tc>
        <w:tc>
          <w:tcPr>
            <w:tcW w:w="720" w:type="dxa"/>
            <w:vAlign w:val="bottom"/>
            <w:tcBorders>
              <w:bottom w:val="single" w:sz="8" w:color="auto"/>
            </w:tcBorders>
          </w:tcPr>
          <w:p>
            <w:pPr>
              <w:jc w:val="right"/>
              <w:ind w:right="164"/>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283,253</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821,197</w:t>
            </w:r>
          </w:p>
        </w:tc>
      </w:tr>
      <w:tr>
        <w:trPr>
          <w:trHeight w:val="20"/>
        </w:trPr>
        <w:tc>
          <w:tcPr>
            <w:tcW w:w="3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28" w:hanging="128"/>
        <w:spacing w:after="0"/>
        <w:tabs>
          <w:tab w:leader="none" w:pos="128" w:val="left"/>
        </w:tabs>
        <w:numPr>
          <w:ilvl w:val="0"/>
          <w:numId w:val="17"/>
        </w:numPr>
        <w:rPr>
          <w:rFonts w:ascii="Arial" w:cs="Arial" w:eastAsia="Arial" w:hAnsi="Arial"/>
          <w:sz w:val="15"/>
          <w:szCs w:val="15"/>
          <w:color w:val="auto"/>
          <w:vertAlign w:val="superscript"/>
        </w:rPr>
      </w:pPr>
      <w:r>
        <w:rPr>
          <w:rFonts w:ascii="Arial" w:cs="Arial" w:eastAsia="Arial" w:hAnsi="Arial"/>
          <w:sz w:val="11"/>
          <w:szCs w:val="11"/>
          <w:color w:val="auto"/>
        </w:rPr>
        <w:t>Building base rent is subject to the annual rent escalators described above.</w:t>
      </w:r>
    </w:p>
    <w:p>
      <w:pPr>
        <w:spacing w:after="0" w:line="91" w:lineRule="exact"/>
        <w:rPr>
          <w:sz w:val="20"/>
          <w:szCs w:val="20"/>
          <w:color w:val="auto"/>
        </w:rPr>
      </w:pPr>
    </w:p>
    <w:p>
      <w:pPr>
        <w:ind w:left="428"/>
        <w:spacing w:after="0"/>
        <w:rPr>
          <w:sz w:val="20"/>
          <w:szCs w:val="20"/>
          <w:color w:val="auto"/>
        </w:rPr>
      </w:pPr>
      <w:r>
        <w:rPr>
          <w:rFonts w:ascii="Arial" w:cs="Arial" w:eastAsia="Arial" w:hAnsi="Arial"/>
          <w:sz w:val="10"/>
          <w:szCs w:val="10"/>
          <w:color w:val="auto"/>
        </w:rPr>
        <w:t>As of September 30, 2021, the future minimum rental income from the Company's rental properties under non-cancelable operating leases, including any reasonably assured renewal periods, was as follows (in thousands):</w:t>
      </w:r>
    </w:p>
    <w:p>
      <w:pPr>
        <w:spacing w:after="0" w:line="132" w:lineRule="exact"/>
        <w:rPr>
          <w:sz w:val="20"/>
          <w:szCs w:val="20"/>
          <w:color w:val="auto"/>
        </w:rPr>
      </w:pPr>
    </w:p>
    <w:tbl>
      <w:tblPr>
        <w:tblLayout w:type="fixed"/>
        <w:tblInd w:w="1008"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4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Year ending December 31,</w:t>
            </w:r>
          </w:p>
        </w:tc>
        <w:tc>
          <w:tcPr>
            <w:tcW w:w="520" w:type="dxa"/>
            <w:vAlign w:val="bottom"/>
          </w:tcPr>
          <w:p>
            <w:pPr>
              <w:spacing w:after="0"/>
              <w:rPr>
                <w:sz w:val="10"/>
                <w:szCs w:val="10"/>
                <w:color w:val="auto"/>
              </w:rPr>
            </w:pPr>
          </w:p>
        </w:tc>
        <w:tc>
          <w:tcPr>
            <w:tcW w:w="1180" w:type="dxa"/>
            <w:vAlign w:val="bottom"/>
            <w:gridSpan w:val="2"/>
          </w:tcPr>
          <w:p>
            <w:pPr>
              <w:spacing w:after="0"/>
              <w:rPr>
                <w:sz w:val="20"/>
                <w:szCs w:val="20"/>
                <w:color w:val="auto"/>
              </w:rPr>
            </w:pPr>
            <w:r>
              <w:rPr>
                <w:rFonts w:ascii="Arial" w:cs="Arial" w:eastAsia="Arial" w:hAnsi="Arial"/>
                <w:sz w:val="10"/>
                <w:szCs w:val="10"/>
                <w:b w:val="1"/>
                <w:bCs w:val="1"/>
                <w:color w:val="auto"/>
              </w:rPr>
              <w:t>Future Rental Payments</w:t>
            </w:r>
          </w:p>
        </w:tc>
        <w:tc>
          <w:tcPr>
            <w:tcW w:w="520" w:type="dxa"/>
            <w:vAlign w:val="bottom"/>
          </w:tcPr>
          <w:p>
            <w:pPr>
              <w:spacing w:after="0"/>
              <w:rPr>
                <w:sz w:val="10"/>
                <w:szCs w:val="10"/>
                <w:color w:val="auto"/>
              </w:rPr>
            </w:pPr>
          </w:p>
        </w:tc>
        <w:tc>
          <w:tcPr>
            <w:tcW w:w="1140" w:type="dxa"/>
            <w:vAlign w:val="bottom"/>
            <w:gridSpan w:val="2"/>
          </w:tcPr>
          <w:p>
            <w:pPr>
              <w:ind w:left="100"/>
              <w:spacing w:after="0"/>
              <w:rPr>
                <w:sz w:val="20"/>
                <w:szCs w:val="20"/>
                <w:color w:val="auto"/>
              </w:rPr>
            </w:pPr>
            <w:r>
              <w:rPr>
                <w:rFonts w:ascii="Arial" w:cs="Arial" w:eastAsia="Arial" w:hAnsi="Arial"/>
                <w:sz w:val="10"/>
                <w:szCs w:val="10"/>
                <w:b w:val="1"/>
                <w:bCs w:val="1"/>
                <w:color w:val="auto"/>
              </w:rPr>
              <w:t>Straight-Line Rent</w:t>
            </w:r>
          </w:p>
        </w:tc>
        <w:tc>
          <w:tcPr>
            <w:tcW w:w="1660" w:type="dxa"/>
            <w:vAlign w:val="bottom"/>
            <w:gridSpan w:val="3"/>
          </w:tcPr>
          <w:p>
            <w:pPr>
              <w:ind w:left="460"/>
              <w:spacing w:after="0"/>
              <w:rPr>
                <w:sz w:val="20"/>
                <w:szCs w:val="20"/>
                <w:color w:val="auto"/>
              </w:rPr>
            </w:pPr>
            <w:r>
              <w:rPr>
                <w:rFonts w:ascii="Arial" w:cs="Arial" w:eastAsia="Arial" w:hAnsi="Arial"/>
                <w:sz w:val="10"/>
                <w:szCs w:val="10"/>
                <w:b w:val="1"/>
                <w:bCs w:val="1"/>
                <w:color w:val="auto"/>
                <w:w w:val="92"/>
              </w:rPr>
              <w:t>Future Base Ground Rents</w:t>
            </w:r>
          </w:p>
        </w:tc>
        <w:tc>
          <w:tcPr>
            <w:tcW w:w="600" w:type="dxa"/>
            <w:vAlign w:val="bottom"/>
          </w:tcPr>
          <w:p>
            <w:pPr>
              <w:spacing w:after="0"/>
              <w:rPr>
                <w:sz w:val="10"/>
                <w:szCs w:val="10"/>
                <w:color w:val="auto"/>
              </w:rPr>
            </w:pPr>
          </w:p>
        </w:tc>
        <w:tc>
          <w:tcPr>
            <w:tcW w:w="1180" w:type="dxa"/>
            <w:vAlign w:val="bottom"/>
          </w:tcPr>
          <w:p>
            <w:pPr>
              <w:jc w:val="right"/>
              <w:ind w:right="201"/>
              <w:spacing w:after="0"/>
              <w:rPr>
                <w:sz w:val="20"/>
                <w:szCs w:val="20"/>
                <w:color w:val="auto"/>
              </w:rPr>
            </w:pPr>
            <w:r>
              <w:rPr>
                <w:rFonts w:ascii="Arial" w:cs="Arial" w:eastAsia="Arial" w:hAnsi="Arial"/>
                <w:sz w:val="10"/>
                <w:szCs w:val="10"/>
                <w:b w:val="1"/>
                <w:bCs w:val="1"/>
                <w:color w:val="auto"/>
                <w:w w:val="94"/>
              </w:rPr>
              <w:t>Future Income to be</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4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1180" w:type="dxa"/>
            <w:vAlign w:val="bottom"/>
            <w:gridSpan w:val="2"/>
          </w:tcPr>
          <w:p>
            <w:pPr>
              <w:ind w:left="60"/>
              <w:spacing w:after="0" w:line="100" w:lineRule="exact"/>
              <w:rPr>
                <w:sz w:val="20"/>
                <w:szCs w:val="20"/>
                <w:color w:val="auto"/>
              </w:rPr>
            </w:pPr>
            <w:r>
              <w:rPr>
                <w:rFonts w:ascii="Arial" w:cs="Arial" w:eastAsia="Arial" w:hAnsi="Arial"/>
                <w:sz w:val="10"/>
                <w:szCs w:val="10"/>
                <w:b w:val="1"/>
                <w:bCs w:val="1"/>
                <w:color w:val="auto"/>
              </w:rPr>
              <w:t>Receivable</w:t>
            </w:r>
          </w:p>
        </w:tc>
        <w:tc>
          <w:tcPr>
            <w:tcW w:w="520" w:type="dxa"/>
            <w:vAlign w:val="bottom"/>
          </w:tcPr>
          <w:p>
            <w:pPr>
              <w:spacing w:after="0"/>
              <w:rPr>
                <w:sz w:val="8"/>
                <w:szCs w:val="8"/>
                <w:color w:val="auto"/>
              </w:rPr>
            </w:pPr>
          </w:p>
        </w:tc>
        <w:tc>
          <w:tcPr>
            <w:tcW w:w="1140" w:type="dxa"/>
            <w:vAlign w:val="bottom"/>
            <w:gridSpan w:val="2"/>
          </w:tcPr>
          <w:p>
            <w:pPr>
              <w:ind w:left="20"/>
              <w:spacing w:after="0" w:line="100" w:lineRule="exact"/>
              <w:rPr>
                <w:sz w:val="20"/>
                <w:szCs w:val="20"/>
                <w:color w:val="auto"/>
              </w:rPr>
            </w:pPr>
            <w:r>
              <w:rPr>
                <w:rFonts w:ascii="Arial" w:cs="Arial" w:eastAsia="Arial" w:hAnsi="Arial"/>
                <w:sz w:val="10"/>
                <w:szCs w:val="10"/>
                <w:b w:val="1"/>
                <w:bCs w:val="1"/>
                <w:color w:val="auto"/>
              </w:rPr>
              <w:t>Adjustments</w:t>
            </w:r>
          </w:p>
        </w:tc>
        <w:tc>
          <w:tcPr>
            <w:tcW w:w="540" w:type="dxa"/>
            <w:vAlign w:val="bottom"/>
          </w:tcPr>
          <w:p>
            <w:pPr>
              <w:spacing w:after="0"/>
              <w:rPr>
                <w:sz w:val="8"/>
                <w:szCs w:val="8"/>
                <w:color w:val="auto"/>
              </w:rPr>
            </w:pPr>
          </w:p>
        </w:tc>
        <w:tc>
          <w:tcPr>
            <w:tcW w:w="1120" w:type="dxa"/>
            <w:vAlign w:val="bottom"/>
            <w:gridSpan w:val="2"/>
          </w:tcPr>
          <w:p>
            <w:pPr>
              <w:ind w:left="20"/>
              <w:spacing w:after="0" w:line="100" w:lineRule="exact"/>
              <w:rPr>
                <w:sz w:val="20"/>
                <w:szCs w:val="20"/>
                <w:color w:val="auto"/>
              </w:rPr>
            </w:pPr>
            <w:r>
              <w:rPr>
                <w:rFonts w:ascii="Arial" w:cs="Arial" w:eastAsia="Arial" w:hAnsi="Arial"/>
                <w:sz w:val="10"/>
                <w:szCs w:val="10"/>
                <w:b w:val="1"/>
                <w:bCs w:val="1"/>
                <w:color w:val="auto"/>
              </w:rPr>
              <w:t>Receivable</w:t>
            </w:r>
          </w:p>
        </w:tc>
        <w:tc>
          <w:tcPr>
            <w:tcW w:w="1780" w:type="dxa"/>
            <w:vAlign w:val="bottom"/>
            <w:gridSpan w:val="2"/>
          </w:tcPr>
          <w:p>
            <w:pPr>
              <w:jc w:val="right"/>
              <w:ind w:right="1"/>
              <w:spacing w:after="0" w:line="100" w:lineRule="exact"/>
              <w:rPr>
                <w:sz w:val="20"/>
                <w:szCs w:val="20"/>
                <w:color w:val="auto"/>
              </w:rPr>
            </w:pPr>
            <w:r>
              <w:rPr>
                <w:rFonts w:ascii="Arial" w:cs="Arial" w:eastAsia="Arial" w:hAnsi="Arial"/>
                <w:sz w:val="10"/>
                <w:szCs w:val="10"/>
                <w:b w:val="1"/>
                <w:bCs w:val="1"/>
                <w:color w:val="auto"/>
                <w:w w:val="87"/>
              </w:rPr>
              <w:t>Recognized Related to Operating Leases</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60" w:type="dxa"/>
            <w:vAlign w:val="bottom"/>
            <w:shd w:val="clear" w:color="auto" w:fill="CCEEFF"/>
          </w:tcPr>
          <w:p>
            <w:pPr>
              <w:spacing w:after="0"/>
              <w:rPr>
                <w:sz w:val="11"/>
                <w:szCs w:val="11"/>
                <w:color w:val="auto"/>
              </w:rPr>
            </w:pPr>
          </w:p>
        </w:tc>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2"/>
                <w:szCs w:val="12"/>
                <w:color w:val="auto"/>
              </w:rPr>
              <w:t>2021 (remainder of year)</w:t>
            </w: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267,292</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888</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40"/>
              <w:spacing w:after="0" w:line="130"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
              <w:spacing w:after="0" w:line="130" w:lineRule="exact"/>
              <w:rPr>
                <w:sz w:val="20"/>
                <w:szCs w:val="20"/>
                <w:color w:val="auto"/>
              </w:rPr>
            </w:pPr>
            <w:r>
              <w:rPr>
                <w:rFonts w:ascii="Arial" w:cs="Arial" w:eastAsia="Arial" w:hAnsi="Arial"/>
                <w:sz w:val="12"/>
                <w:szCs w:val="12"/>
                <w:color w:val="auto"/>
              </w:rPr>
              <w:t>3,012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4"/>
              <w:spacing w:after="0" w:line="130" w:lineRule="exact"/>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1"/>
              <w:spacing w:after="0" w:line="130" w:lineRule="exact"/>
              <w:rPr>
                <w:sz w:val="20"/>
                <w:szCs w:val="20"/>
                <w:color w:val="auto"/>
              </w:rPr>
            </w:pPr>
            <w:r>
              <w:rPr>
                <w:rFonts w:ascii="Arial" w:cs="Arial" w:eastAsia="Arial" w:hAnsi="Arial"/>
                <w:sz w:val="12"/>
                <w:szCs w:val="12"/>
                <w:color w:val="auto"/>
              </w:rPr>
              <w:t>271,192</w:t>
            </w:r>
          </w:p>
        </w:tc>
        <w:tc>
          <w:tcPr>
            <w:tcW w:w="0" w:type="dxa"/>
            <w:vAlign w:val="bottom"/>
          </w:tcPr>
          <w:p>
            <w:pPr>
              <w:spacing w:after="0"/>
              <w:rPr>
                <w:sz w:val="1"/>
                <w:szCs w:val="1"/>
                <w:color w:val="auto"/>
              </w:rPr>
            </w:pPr>
          </w:p>
        </w:tc>
      </w:tr>
      <w:tr>
        <w:trPr>
          <w:trHeight w:val="154"/>
        </w:trPr>
        <w:tc>
          <w:tcPr>
            <w:tcW w:w="1540" w:type="dxa"/>
            <w:vAlign w:val="bottom"/>
            <w:gridSpan w:val="2"/>
          </w:tcPr>
          <w:p>
            <w:pPr>
              <w:ind w:left="460"/>
              <w:spacing w:after="0"/>
              <w:rPr>
                <w:sz w:val="20"/>
                <w:szCs w:val="20"/>
                <w:color w:val="auto"/>
              </w:rPr>
            </w:pPr>
            <w:r>
              <w:rPr>
                <w:rFonts w:ascii="Arial" w:cs="Arial" w:eastAsia="Arial" w:hAnsi="Arial"/>
                <w:sz w:val="12"/>
                <w:szCs w:val="12"/>
                <w:color w:val="auto"/>
              </w:rPr>
              <w:t>2022</w:t>
            </w:r>
          </w:p>
        </w:tc>
        <w:tc>
          <w:tcPr>
            <w:tcW w:w="1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1,041,709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22,375</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12,051</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1,076,135</w:t>
            </w:r>
          </w:p>
        </w:tc>
        <w:tc>
          <w:tcPr>
            <w:tcW w:w="0" w:type="dxa"/>
            <w:vAlign w:val="bottom"/>
          </w:tcPr>
          <w:p>
            <w:pPr>
              <w:spacing w:after="0"/>
              <w:rPr>
                <w:sz w:val="1"/>
                <w:szCs w:val="1"/>
                <w:color w:val="auto"/>
              </w:rPr>
            </w:pPr>
          </w:p>
        </w:tc>
      </w:tr>
      <w:tr>
        <w:trPr>
          <w:trHeight w:val="154"/>
        </w:trPr>
        <w:tc>
          <w:tcPr>
            <w:tcW w:w="15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2023</w:t>
            </w:r>
          </w:p>
        </w:tc>
        <w:tc>
          <w:tcPr>
            <w:tcW w:w="1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1,016,345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31,035</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12,057</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1,059,437</w:t>
            </w:r>
          </w:p>
        </w:tc>
        <w:tc>
          <w:tcPr>
            <w:tcW w:w="0" w:type="dxa"/>
            <w:vAlign w:val="bottom"/>
          </w:tcPr>
          <w:p>
            <w:pPr>
              <w:spacing w:after="0"/>
              <w:rPr>
                <w:sz w:val="1"/>
                <w:szCs w:val="1"/>
                <w:color w:val="auto"/>
              </w:rPr>
            </w:pPr>
          </w:p>
        </w:tc>
      </w:tr>
      <w:tr>
        <w:trPr>
          <w:trHeight w:val="154"/>
        </w:trPr>
        <w:tc>
          <w:tcPr>
            <w:tcW w:w="1540" w:type="dxa"/>
            <w:vAlign w:val="bottom"/>
            <w:gridSpan w:val="2"/>
          </w:tcPr>
          <w:p>
            <w:pPr>
              <w:ind w:left="460"/>
              <w:spacing w:after="0"/>
              <w:rPr>
                <w:sz w:val="20"/>
                <w:szCs w:val="20"/>
                <w:color w:val="auto"/>
              </w:rPr>
            </w:pPr>
            <w:r>
              <w:rPr>
                <w:rFonts w:ascii="Arial" w:cs="Arial" w:eastAsia="Arial" w:hAnsi="Arial"/>
                <w:sz w:val="12"/>
                <w:szCs w:val="12"/>
                <w:color w:val="auto"/>
              </w:rPr>
              <w:t>2024</w:t>
            </w:r>
          </w:p>
        </w:tc>
        <w:tc>
          <w:tcPr>
            <w:tcW w:w="1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984,118</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30,072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12,063</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1,026,253</w:t>
            </w:r>
          </w:p>
        </w:tc>
        <w:tc>
          <w:tcPr>
            <w:tcW w:w="0" w:type="dxa"/>
            <w:vAlign w:val="bottom"/>
          </w:tcPr>
          <w:p>
            <w:pPr>
              <w:spacing w:after="0"/>
              <w:rPr>
                <w:sz w:val="1"/>
                <w:szCs w:val="1"/>
                <w:color w:val="auto"/>
              </w:rPr>
            </w:pPr>
          </w:p>
        </w:tc>
      </w:tr>
      <w:tr>
        <w:trPr>
          <w:trHeight w:val="154"/>
        </w:trPr>
        <w:tc>
          <w:tcPr>
            <w:tcW w:w="15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2025</w:t>
            </w:r>
          </w:p>
        </w:tc>
        <w:tc>
          <w:tcPr>
            <w:tcW w:w="1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985,525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28,900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12,069</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1,026,494</w:t>
            </w:r>
          </w:p>
        </w:tc>
        <w:tc>
          <w:tcPr>
            <w:tcW w:w="0" w:type="dxa"/>
            <w:vAlign w:val="bottom"/>
          </w:tcPr>
          <w:p>
            <w:pPr>
              <w:spacing w:after="0"/>
              <w:rPr>
                <w:sz w:val="1"/>
                <w:szCs w:val="1"/>
                <w:color w:val="auto"/>
              </w:rPr>
            </w:pPr>
          </w:p>
        </w:tc>
      </w:tr>
      <w:tr>
        <w:trPr>
          <w:trHeight w:val="154"/>
        </w:trPr>
        <w:tc>
          <w:tcPr>
            <w:tcW w:w="46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13,054,680</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217,247</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100,259</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13,372,186</w:t>
            </w:r>
          </w:p>
        </w:tc>
        <w:tc>
          <w:tcPr>
            <w:tcW w:w="0" w:type="dxa"/>
            <w:vAlign w:val="bottom"/>
          </w:tcPr>
          <w:p>
            <w:pPr>
              <w:spacing w:after="0"/>
              <w:rPr>
                <w:sz w:val="1"/>
                <w:szCs w:val="1"/>
                <w:color w:val="auto"/>
              </w:rPr>
            </w:pPr>
          </w:p>
        </w:tc>
      </w:tr>
      <w:tr>
        <w:trPr>
          <w:trHeight w:val="159"/>
        </w:trPr>
        <w:tc>
          <w:tcPr>
            <w:tcW w:w="460" w:type="dxa"/>
            <w:vAlign w:val="bottom"/>
            <w:tcBorders>
              <w:bottom w:val="single" w:sz="8" w:color="CCEEFF"/>
            </w:tcBorders>
            <w:shd w:val="clear" w:color="auto" w:fill="CCEEFF"/>
          </w:tcPr>
          <w:p>
            <w:pPr>
              <w:spacing w:after="0"/>
              <w:rPr>
                <w:sz w:val="13"/>
                <w:szCs w:val="13"/>
                <w:color w:val="auto"/>
              </w:rPr>
            </w:pPr>
          </w:p>
        </w:tc>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17,349,669</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330,517</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151,511</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17,831,697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8" w:firstLine="434"/>
        <w:spacing w:after="0" w:line="278" w:lineRule="auto"/>
        <w:rPr>
          <w:sz w:val="20"/>
          <w:szCs w:val="20"/>
          <w:color w:val="auto"/>
        </w:rPr>
      </w:pPr>
      <w:r>
        <w:rPr>
          <w:rFonts w:ascii="Arial" w:cs="Arial" w:eastAsia="Arial" w:hAnsi="Arial"/>
          <w:sz w:val="12"/>
          <w:szCs w:val="12"/>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w:t>
      </w:r>
    </w:p>
    <w:p>
      <w:pPr>
        <w:spacing w:after="0" w:line="60" w:lineRule="exact"/>
        <w:rPr>
          <w:sz w:val="20"/>
          <w:szCs w:val="20"/>
          <w:color w:val="auto"/>
        </w:rPr>
      </w:pPr>
    </w:p>
    <w:p>
      <w:pPr>
        <w:ind w:left="8" w:right="240" w:firstLine="434"/>
        <w:spacing w:after="0" w:line="278" w:lineRule="auto"/>
        <w:rPr>
          <w:sz w:val="20"/>
          <w:szCs w:val="20"/>
          <w:color w:val="auto"/>
        </w:rPr>
      </w:pPr>
      <w:r>
        <w:rPr>
          <w:rFonts w:ascii="Arial" w:cs="Arial" w:eastAsia="Arial" w:hAnsi="Arial"/>
          <w:sz w:val="12"/>
          <w:szCs w:val="12"/>
          <w:color w:val="auto"/>
        </w:rPr>
        <w:t>The Company may periodically loan funds to casino owner-operators for the purchase of real estate. Interest income related to real estate loans is recorded as revenue from real estate within the Company's consolidated statements of income in the period earned. During the three and nine months ended September 30, 2021, the Company had no real estate loans.</w:t>
      </w:r>
    </w:p>
    <w:p>
      <w:pPr>
        <w:spacing w:after="0" w:line="65"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Gaming, Food, Beverage and Other Revenues</w:t>
      </w:r>
    </w:p>
    <w:p>
      <w:pPr>
        <w:spacing w:after="0" w:line="110" w:lineRule="exact"/>
        <w:rPr>
          <w:sz w:val="20"/>
          <w:szCs w:val="20"/>
          <w:color w:val="auto"/>
        </w:rPr>
      </w:pPr>
    </w:p>
    <w:p>
      <w:pPr>
        <w:ind w:left="8" w:firstLine="434"/>
        <w:spacing w:after="0" w:line="300" w:lineRule="auto"/>
        <w:rPr>
          <w:sz w:val="20"/>
          <w:szCs w:val="20"/>
          <w:color w:val="auto"/>
        </w:rPr>
      </w:pPr>
      <w:r>
        <w:rPr>
          <w:rFonts w:ascii="Arial" w:cs="Arial" w:eastAsia="Arial" w:hAnsi="Arial"/>
          <w:sz w:val="11"/>
          <w:szCs w:val="11"/>
          <w:color w:val="auto"/>
        </w:rPr>
        <w:t xml:space="preserve">Gaming revenue generated by the TRS Properties mainly consists of revenue from slot machines, and to a lesser extent, table game and poker revenue. Gaming revenue is recognized net of certain sales incentives, including promotional allowances in accordance with ASC 606 - </w:t>
      </w:r>
      <w:r>
        <w:rPr>
          <w:rFonts w:ascii="Arial" w:cs="Arial" w:eastAsia="Arial" w:hAnsi="Arial"/>
          <w:sz w:val="11"/>
          <w:szCs w:val="11"/>
          <w:i w:val="1"/>
          <w:iCs w:val="1"/>
          <w:color w:val="auto"/>
        </w:rPr>
        <w:t>Revenue from Contracts with Customers</w:t>
      </w:r>
      <w:r>
        <w:rPr>
          <w:rFonts w:ascii="Arial" w:cs="Arial" w:eastAsia="Arial" w:hAnsi="Arial"/>
          <w:sz w:val="11"/>
          <w:szCs w:val="11"/>
          <w:color w:val="auto"/>
        </w:rPr>
        <w:t>. The Company also defers a portion of the revenue received from customers (who participate in points-based loyalty programs) at the time of play until a later period when the points are redeemed or forfeited. Other revenues at our TRS Properties are derived from our dining, retail and certain other ancillary activities.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27"/>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168"/>
          </w:cols>
          <w:pgMar w:left="292" w:top="646" w:right="43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12. Earnings Per Share</w:t>
      </w:r>
    </w:p>
    <w:p>
      <w:pPr>
        <w:spacing w:after="0" w:line="155" w:lineRule="exact"/>
        <w:rPr>
          <w:sz w:val="20"/>
          <w:szCs w:val="20"/>
          <w:color w:val="auto"/>
        </w:rPr>
      </w:pPr>
    </w:p>
    <w:p>
      <w:pPr>
        <w:ind w:right="60" w:firstLine="434"/>
        <w:spacing w:after="0" w:line="291" w:lineRule="auto"/>
        <w:rPr>
          <w:sz w:val="20"/>
          <w:szCs w:val="20"/>
          <w:color w:val="auto"/>
        </w:rPr>
      </w:pPr>
      <w:r>
        <w:rPr>
          <w:rFonts w:ascii="Arial" w:cs="Arial" w:eastAsia="Arial" w:hAnsi="Arial"/>
          <w:sz w:val="11"/>
          <w:szCs w:val="11"/>
          <w:color w:val="auto"/>
        </w:rPr>
        <w:t xml:space="preserve">The Company calculates earnings per share ("EPS") in accordance with ASC 260 - </w:t>
      </w:r>
      <w:r>
        <w:rPr>
          <w:rFonts w:ascii="Arial" w:cs="Arial" w:eastAsia="Arial" w:hAnsi="Arial"/>
          <w:sz w:val="11"/>
          <w:szCs w:val="11"/>
          <w:i w:val="1"/>
          <w:iCs w:val="1"/>
          <w:color w:val="auto"/>
        </w:rPr>
        <w:t>Earnings per Share</w:t>
      </w:r>
      <w:r>
        <w:rPr>
          <w:rFonts w:ascii="Arial" w:cs="Arial" w:eastAsia="Arial" w:hAnsi="Arial"/>
          <w:sz w:val="11"/>
          <w:szCs w:val="11"/>
          <w:color w:val="auto"/>
        </w:rPr>
        <w:t xml:space="preserve"> ("ASC 260"</w:t>
      </w:r>
      <w:r>
        <w:rPr>
          <w:rFonts w:ascii="Arial" w:cs="Arial" w:eastAsia="Arial" w:hAnsi="Arial"/>
          <w:sz w:val="11"/>
          <w:szCs w:val="11"/>
          <w:i w:val="1"/>
          <w:iCs w:val="1"/>
          <w:color w:val="auto"/>
        </w:rPr>
        <w:t>)</w:t>
      </w:r>
      <w:r>
        <w:rPr>
          <w:rFonts w:ascii="Arial" w:cs="Arial" w:eastAsia="Arial" w:hAnsi="Arial"/>
          <w:sz w:val="11"/>
          <w:szCs w:val="11"/>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In accordance with ASC 260,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128" w:lineRule="exact"/>
        <w:rPr>
          <w:sz w:val="20"/>
          <w:szCs w:val="20"/>
          <w:color w:val="auto"/>
        </w:rPr>
      </w:pPr>
    </w:p>
    <w:p>
      <w:pPr>
        <w:ind w:right="160" w:firstLine="434"/>
        <w:spacing w:after="0" w:line="278" w:lineRule="auto"/>
        <w:rPr>
          <w:sz w:val="20"/>
          <w:szCs w:val="20"/>
          <w:color w:val="auto"/>
        </w:rPr>
      </w:pPr>
      <w:r>
        <w:rPr>
          <w:rFonts w:ascii="Arial" w:cs="Arial" w:eastAsia="Arial" w:hAnsi="Arial"/>
          <w:sz w:val="12"/>
          <w:szCs w:val="12"/>
          <w:color w:val="auto"/>
        </w:rPr>
        <w:t>The following table reconciles the weighted-average common shares outstanding used in the calculation of basic EPS to the weighted-average common shares outstanding used in the calculation of diluted EPS for the three and nine months ended September 30, 2021 and 2020:</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5160" w:type="dxa"/>
            <w:vAlign w:val="bottom"/>
          </w:tcPr>
          <w:p>
            <w:pPr>
              <w:spacing w:after="0"/>
              <w:rPr>
                <w:sz w:val="11"/>
                <w:szCs w:val="11"/>
                <w:color w:val="auto"/>
              </w:rPr>
            </w:pPr>
          </w:p>
        </w:tc>
        <w:tc>
          <w:tcPr>
            <w:tcW w:w="24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0"/>
                <w:szCs w:val="10"/>
                <w:b w:val="1"/>
                <w:bCs w:val="1"/>
                <w:color w:val="auto"/>
              </w:rPr>
              <w:t>Three Months Ended September 30,</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10"/>
                <w:szCs w:val="10"/>
                <w:b w:val="1"/>
                <w:bCs w:val="1"/>
                <w:color w:val="auto"/>
              </w:rPr>
              <w:t>Nine Months Ended September 30,</w:t>
            </w:r>
          </w:p>
        </w:tc>
      </w:tr>
      <w:tr>
        <w:trPr>
          <w:trHeight w:val="118"/>
        </w:trPr>
        <w:tc>
          <w:tcPr>
            <w:tcW w:w="5160" w:type="dxa"/>
            <w:vAlign w:val="bottom"/>
          </w:tcPr>
          <w:p>
            <w:pPr>
              <w:spacing w:after="0"/>
              <w:rPr>
                <w:sz w:val="10"/>
                <w:szCs w:val="1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84"/>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2020</w:t>
            </w:r>
          </w:p>
        </w:tc>
      </w:tr>
      <w:tr>
        <w:trPr>
          <w:trHeight w:val="116"/>
        </w:trPr>
        <w:tc>
          <w:tcPr>
            <w:tcW w:w="5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gridSpan w:val="3"/>
          </w:tcPr>
          <w:p>
            <w:pPr>
              <w:ind w:left="300"/>
              <w:spacing w:after="0"/>
              <w:rPr>
                <w:sz w:val="20"/>
                <w:szCs w:val="20"/>
                <w:color w:val="auto"/>
              </w:rPr>
            </w:pPr>
            <w:r>
              <w:rPr>
                <w:rFonts w:ascii="Arial" w:cs="Arial" w:eastAsia="Arial" w:hAnsi="Arial"/>
                <w:sz w:val="10"/>
                <w:szCs w:val="10"/>
                <w:b w:val="1"/>
                <w:bCs w:val="1"/>
                <w:color w:val="auto"/>
              </w:rPr>
              <w:t>(in thousands)</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155"/>
        </w:trPr>
        <w:tc>
          <w:tcPr>
            <w:tcW w:w="6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Determination of shares:</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54"/>
        </w:trPr>
        <w:tc>
          <w:tcPr>
            <w:tcW w:w="6080" w:type="dxa"/>
            <w:vAlign w:val="bottom"/>
            <w:gridSpan w:val="2"/>
          </w:tcPr>
          <w:p>
            <w:pPr>
              <w:spacing w:after="0"/>
              <w:rPr>
                <w:sz w:val="20"/>
                <w:szCs w:val="20"/>
                <w:color w:val="auto"/>
              </w:rPr>
            </w:pPr>
            <w:r>
              <w:rPr>
                <w:rFonts w:ascii="Arial" w:cs="Arial" w:eastAsia="Arial" w:hAnsi="Arial"/>
                <w:sz w:val="12"/>
                <w:szCs w:val="12"/>
                <w:color w:val="auto"/>
              </w:rPr>
              <w:t>Weighted-average common shares outstanding</w:t>
            </w:r>
          </w:p>
        </w:tc>
        <w:tc>
          <w:tcPr>
            <w:tcW w:w="540" w:type="dxa"/>
            <w:vAlign w:val="bottom"/>
          </w:tcPr>
          <w:p>
            <w:pPr>
              <w:jc w:val="right"/>
              <w:spacing w:after="0"/>
              <w:rPr>
                <w:sz w:val="20"/>
                <w:szCs w:val="20"/>
                <w:color w:val="auto"/>
              </w:rPr>
            </w:pPr>
            <w:r>
              <w:rPr>
                <w:rFonts w:ascii="Arial" w:cs="Arial" w:eastAsia="Arial" w:hAnsi="Arial"/>
                <w:sz w:val="12"/>
                <w:szCs w:val="12"/>
                <w:color w:val="auto"/>
              </w:rPr>
              <w:t>235,267</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218,042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ind w:right="4"/>
              <w:spacing w:after="0"/>
              <w:rPr>
                <w:sz w:val="20"/>
                <w:szCs w:val="20"/>
                <w:color w:val="auto"/>
              </w:rPr>
            </w:pPr>
            <w:r>
              <w:rPr>
                <w:rFonts w:ascii="Arial" w:cs="Arial" w:eastAsia="Arial" w:hAnsi="Arial"/>
                <w:sz w:val="12"/>
                <w:szCs w:val="12"/>
                <w:color w:val="auto"/>
              </w:rPr>
              <w:t>233,773</w:t>
            </w:r>
          </w:p>
        </w:tc>
        <w:tc>
          <w:tcPr>
            <w:tcW w:w="8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216,140</w:t>
            </w:r>
          </w:p>
        </w:tc>
      </w:tr>
      <w:tr>
        <w:trPr>
          <w:trHeight w:val="154"/>
        </w:trPr>
        <w:tc>
          <w:tcPr>
            <w:tcW w:w="6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Assumed conversion of restricted stock awards</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143</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56</w:t>
            </w:r>
          </w:p>
        </w:tc>
      </w:tr>
      <w:tr>
        <w:trPr>
          <w:trHeight w:val="154"/>
        </w:trPr>
        <w:tc>
          <w:tcPr>
            <w:tcW w:w="51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Assumed conversion of performance-based restricted stock awards</w:t>
            </w:r>
          </w:p>
        </w:tc>
        <w:tc>
          <w:tcPr>
            <w:tcW w:w="9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695</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669</w:t>
            </w:r>
          </w:p>
        </w:tc>
        <w:tc>
          <w:tcPr>
            <w:tcW w:w="8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716</w:t>
            </w:r>
          </w:p>
        </w:tc>
      </w:tr>
      <w:tr>
        <w:trPr>
          <w:trHeight w:val="159"/>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Diluted weighted-average common shares outstanding</w:t>
            </w:r>
          </w:p>
        </w:tc>
        <w:tc>
          <w:tcPr>
            <w:tcW w:w="9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236,153</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218,847</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234,585</w:t>
            </w:r>
          </w:p>
        </w:tc>
        <w:tc>
          <w:tcPr>
            <w:tcW w:w="8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216,912</w:t>
            </w:r>
          </w:p>
        </w:tc>
      </w:tr>
    </w:tbl>
    <w:p>
      <w:pPr>
        <w:spacing w:after="0" w:line="217"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The following table presents the calculation of basic and diluted EPS for the Company’s common stock for the three and nine months ended September 30, 2021 and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3100" w:type="dxa"/>
            <w:vAlign w:val="bottom"/>
            <w:gridSpan w:val="6"/>
          </w:tcPr>
          <w:p>
            <w:pPr>
              <w:ind w:left="760"/>
              <w:spacing w:after="0"/>
              <w:rPr>
                <w:sz w:val="20"/>
                <w:szCs w:val="20"/>
                <w:color w:val="auto"/>
              </w:rPr>
            </w:pPr>
            <w:r>
              <w:rPr>
                <w:rFonts w:ascii="Arial" w:cs="Arial" w:eastAsia="Arial" w:hAnsi="Arial"/>
                <w:sz w:val="10"/>
                <w:szCs w:val="10"/>
                <w:b w:val="1"/>
                <w:bCs w:val="1"/>
                <w:color w:val="auto"/>
              </w:rPr>
              <w:t>Three Months Ended September 30,</w:t>
            </w:r>
          </w:p>
        </w:tc>
        <w:tc>
          <w:tcPr>
            <w:tcW w:w="340" w:type="dxa"/>
            <w:vAlign w:val="bottom"/>
          </w:tcPr>
          <w:p>
            <w:pPr>
              <w:spacing w:after="0"/>
              <w:rPr>
                <w:sz w:val="11"/>
                <w:szCs w:val="11"/>
                <w:color w:val="auto"/>
              </w:rPr>
            </w:pPr>
          </w:p>
        </w:tc>
        <w:tc>
          <w:tcPr>
            <w:tcW w:w="2660" w:type="dxa"/>
            <w:vAlign w:val="bottom"/>
            <w:gridSpan w:val="4"/>
          </w:tcPr>
          <w:p>
            <w:pPr>
              <w:jc w:val="right"/>
              <w:ind w:right="721"/>
              <w:spacing w:after="0"/>
              <w:rPr>
                <w:sz w:val="20"/>
                <w:szCs w:val="20"/>
                <w:color w:val="auto"/>
              </w:rPr>
            </w:pPr>
            <w:r>
              <w:rPr>
                <w:rFonts w:ascii="Arial" w:cs="Arial" w:eastAsia="Arial" w:hAnsi="Arial"/>
                <w:sz w:val="10"/>
                <w:szCs w:val="10"/>
                <w:b w:val="1"/>
                <w:bCs w:val="1"/>
                <w:color w:val="auto"/>
              </w:rPr>
              <w:t>Nine Months Ended September 30,</w:t>
            </w:r>
          </w:p>
        </w:tc>
      </w:tr>
      <w:tr>
        <w:trPr>
          <w:trHeight w:val="118"/>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1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1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2020</w:t>
            </w:r>
          </w:p>
        </w:tc>
      </w:tr>
      <w:tr>
        <w:trPr>
          <w:trHeight w:val="116"/>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740" w:type="dxa"/>
            <w:vAlign w:val="bottom"/>
            <w:gridSpan w:val="5"/>
          </w:tcPr>
          <w:p>
            <w:pPr>
              <w:ind w:left="400"/>
              <w:spacing w:after="0"/>
              <w:rPr>
                <w:sz w:val="20"/>
                <w:szCs w:val="20"/>
                <w:color w:val="auto"/>
              </w:rPr>
            </w:pPr>
            <w:r>
              <w:rPr>
                <w:rFonts w:ascii="Arial" w:cs="Arial" w:eastAsia="Arial" w:hAnsi="Arial"/>
                <w:sz w:val="10"/>
                <w:szCs w:val="10"/>
                <w:b w:val="1"/>
                <w:bCs w:val="1"/>
                <w:color w:val="auto"/>
              </w:rPr>
              <w:t>(in thousands, except per share data)</w:t>
            </w: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55"/>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Calculation of basic EPS:</w:t>
            </w:r>
          </w:p>
        </w:tc>
        <w:tc>
          <w:tcPr>
            <w:tcW w:w="9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Net income</w:t>
            </w:r>
          </w:p>
        </w:tc>
        <w:tc>
          <w:tcPr>
            <w:tcW w:w="920" w:type="dxa"/>
            <w:vAlign w:val="bottom"/>
          </w:tcPr>
          <w:p>
            <w:pPr>
              <w:jc w:val="right"/>
              <w:ind w:right="78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149,059</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127,126</w:t>
            </w:r>
          </w:p>
        </w:tc>
        <w:tc>
          <w:tcPr>
            <w:tcW w:w="100" w:type="dxa"/>
            <w:vAlign w:val="bottom"/>
          </w:tcPr>
          <w:p>
            <w:pPr>
              <w:spacing w:after="0"/>
              <w:rPr>
                <w:sz w:val="13"/>
                <w:szCs w:val="13"/>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414,459</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336,370</w:t>
            </w:r>
          </w:p>
        </w:tc>
      </w:tr>
      <w:tr>
        <w:trPr>
          <w:trHeight w:val="154"/>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Less: Net income allocated to participating securities</w:t>
            </w:r>
          </w:p>
        </w:tc>
        <w:tc>
          <w:tcPr>
            <w:tcW w:w="9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(406)</w:t>
            </w:r>
          </w:p>
        </w:tc>
      </w:tr>
      <w:tr>
        <w:trPr>
          <w:trHeight w:val="143"/>
        </w:trPr>
        <w:tc>
          <w:tcPr>
            <w:tcW w:w="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Net income attributable to common shareholders</w:t>
            </w:r>
          </w:p>
        </w:tc>
        <w:tc>
          <w:tcPr>
            <w:tcW w:w="920" w:type="dxa"/>
            <w:vAlign w:val="bottom"/>
          </w:tcPr>
          <w:p>
            <w:pPr>
              <w:jc w:val="right"/>
              <w:ind w:right="78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148,956</w:t>
            </w:r>
          </w:p>
        </w:tc>
        <w:tc>
          <w:tcPr>
            <w:tcW w:w="8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126,974</w:t>
            </w:r>
          </w:p>
        </w:tc>
        <w:tc>
          <w:tcPr>
            <w:tcW w:w="100" w:type="dxa"/>
            <w:vAlign w:val="bottom"/>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414,206</w:t>
            </w:r>
          </w:p>
        </w:tc>
        <w:tc>
          <w:tcPr>
            <w:tcW w:w="8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335,964</w:t>
            </w:r>
          </w:p>
        </w:tc>
      </w:tr>
      <w:tr>
        <w:trPr>
          <w:trHeight w:val="154"/>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common shares outstanding</w:t>
            </w:r>
          </w:p>
        </w:tc>
        <w:tc>
          <w:tcPr>
            <w:tcW w:w="9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235,267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218,042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233,773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216,140</w:t>
            </w:r>
          </w:p>
        </w:tc>
      </w:tr>
      <w:tr>
        <w:trPr>
          <w:trHeight w:val="154"/>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Basic EPS</w:t>
            </w:r>
          </w:p>
        </w:tc>
        <w:tc>
          <w:tcPr>
            <w:tcW w:w="920" w:type="dxa"/>
            <w:vAlign w:val="bottom"/>
          </w:tcPr>
          <w:p>
            <w:pPr>
              <w:jc w:val="right"/>
              <w:ind w:right="78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0.63</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0.58</w:t>
            </w:r>
          </w:p>
        </w:tc>
        <w:tc>
          <w:tcPr>
            <w:tcW w:w="100" w:type="dxa"/>
            <w:vAlign w:val="bottom"/>
          </w:tcPr>
          <w:p>
            <w:pPr>
              <w:spacing w:after="0"/>
              <w:rPr>
                <w:sz w:val="13"/>
                <w:szCs w:val="13"/>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1.77</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1.55</w:t>
            </w:r>
          </w:p>
        </w:tc>
      </w:tr>
      <w:tr>
        <w:trPr>
          <w:trHeight w:val="145"/>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Arial" w:cs="Arial" w:eastAsia="Arial" w:hAnsi="Arial"/>
                <w:sz w:val="12"/>
                <w:szCs w:val="12"/>
                <w:b w:val="1"/>
                <w:bCs w:val="1"/>
                <w:color w:val="auto"/>
              </w:rPr>
              <w:t>Calculation of diluted EPS:</w:t>
            </w: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920" w:type="dxa"/>
            <w:vAlign w:val="bottom"/>
            <w:shd w:val="clear" w:color="auto" w:fill="CCEEFF"/>
          </w:tcPr>
          <w:p>
            <w:pPr>
              <w:jc w:val="right"/>
              <w:ind w:right="783"/>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149,059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127,126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414,459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336,370</w:t>
            </w:r>
          </w:p>
        </w:tc>
      </w:tr>
      <w:tr>
        <w:trPr>
          <w:trHeight w:val="154"/>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Diluted weighted-average common shares outstanding</w:t>
            </w:r>
          </w:p>
        </w:tc>
        <w:tc>
          <w:tcPr>
            <w:tcW w:w="9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236,153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218,847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234,585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216,912</w:t>
            </w:r>
          </w:p>
        </w:tc>
      </w:tr>
      <w:tr>
        <w:trPr>
          <w:trHeight w:val="154"/>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Diluted EPS</w:t>
            </w:r>
          </w:p>
        </w:tc>
        <w:tc>
          <w:tcPr>
            <w:tcW w:w="920" w:type="dxa"/>
            <w:vAlign w:val="bottom"/>
            <w:shd w:val="clear" w:color="auto" w:fill="CCEEFF"/>
          </w:tcPr>
          <w:p>
            <w:pPr>
              <w:jc w:val="right"/>
              <w:ind w:right="783"/>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1.55</w:t>
            </w:r>
          </w:p>
        </w:tc>
      </w:tr>
      <w:tr>
        <w:trPr>
          <w:trHeight w:val="145"/>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5"/>
              </w:rPr>
              <w:t>Antidilutive securities excluded from the computation of diluted earnings per share (in shares)</w:t>
            </w:r>
          </w:p>
        </w:tc>
        <w:tc>
          <w:tcPr>
            <w:tcW w:w="9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38</w:t>
            </w:r>
          </w:p>
        </w:tc>
      </w:tr>
      <w:tr>
        <w:trPr>
          <w:trHeight w:val="362"/>
        </w:trPr>
        <w:tc>
          <w:tcPr>
            <w:tcW w:w="5180" w:type="dxa"/>
            <w:vAlign w:val="bottom"/>
            <w:gridSpan w:val="2"/>
          </w:tcPr>
          <w:p>
            <w:pPr>
              <w:spacing w:after="0"/>
              <w:rPr>
                <w:sz w:val="20"/>
                <w:szCs w:val="20"/>
                <w:color w:val="auto"/>
              </w:rPr>
            </w:pPr>
            <w:r>
              <w:rPr>
                <w:rFonts w:ascii="Arial" w:cs="Arial" w:eastAsia="Arial" w:hAnsi="Arial"/>
                <w:sz w:val="12"/>
                <w:szCs w:val="12"/>
                <w:b w:val="1"/>
                <w:bCs w:val="1"/>
                <w:color w:val="auto"/>
              </w:rPr>
              <w:t>13.   Shareholders' Equity</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7"/>
        </w:trPr>
        <w:tc>
          <w:tcPr>
            <w:tcW w:w="5180" w:type="dxa"/>
            <w:vAlign w:val="bottom"/>
            <w:gridSpan w:val="2"/>
          </w:tcPr>
          <w:p>
            <w:pPr>
              <w:spacing w:after="0"/>
              <w:rPr>
                <w:sz w:val="20"/>
                <w:szCs w:val="20"/>
                <w:color w:val="auto"/>
              </w:rPr>
            </w:pPr>
            <w:r>
              <w:rPr>
                <w:rFonts w:ascii="Arial" w:cs="Arial" w:eastAsia="Arial" w:hAnsi="Arial"/>
                <w:sz w:val="12"/>
                <w:szCs w:val="12"/>
                <w:b w:val="1"/>
                <w:bCs w:val="1"/>
                <w:color w:val="auto"/>
              </w:rPr>
              <w:t>Common Stock</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54" w:lineRule="exact"/>
        <w:rPr>
          <w:sz w:val="20"/>
          <w:szCs w:val="20"/>
          <w:color w:val="auto"/>
        </w:rPr>
      </w:pPr>
    </w:p>
    <w:p>
      <w:pPr>
        <w:ind w:right="140" w:firstLine="434"/>
        <w:spacing w:after="0" w:line="265" w:lineRule="auto"/>
        <w:rPr>
          <w:sz w:val="20"/>
          <w:szCs w:val="20"/>
          <w:color w:val="auto"/>
        </w:rPr>
      </w:pPr>
      <w:r>
        <w:rPr>
          <w:rFonts w:ascii="Arial" w:cs="Arial" w:eastAsia="Arial" w:hAnsi="Arial"/>
          <w:sz w:val="12"/>
          <w:szCs w:val="12"/>
          <w:color w:val="auto"/>
        </w:rPr>
        <w:t>On August 14, 2019, the Company commenced a continuous equity offering under which the Company may sell up to an aggregate of $600 million of its common stock from time to time through a sales agent in "at the market" offerings (the "ATM Program"). Actual sales will depend on a variety of factors, including market conditions, the trading price of the Company's common stock and determinations of the appropriate sources of funding. The Company may sell the shares in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25" w:name="page26"/>
    <w:bookmarkEnd w:id="25"/>
    <w:p>
      <w:pPr>
        <w:spacing w:after="0" w:line="287" w:lineRule="auto"/>
        <w:rPr>
          <w:sz w:val="20"/>
          <w:szCs w:val="20"/>
          <w:color w:val="auto"/>
        </w:rPr>
      </w:pPr>
      <w:r>
        <w:rPr>
          <w:rFonts w:ascii="Arial" w:cs="Arial" w:eastAsia="Arial" w:hAnsi="Arial"/>
          <w:sz w:val="11"/>
          <w:szCs w:val="11"/>
          <w:color w:val="auto"/>
        </w:rPr>
        <w:t>amounts and at times to be determined by the Company, but has no obligation to sell any of the shares in the ATM Program. The ATM Program also allows the Company to enter into forward sale agreements. In no event will the aggregate number of shares sold under the ATM Program (whether under any forward sale agreement or through a sales agent), have an aggregate sales price in excess of $600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130" w:lineRule="exact"/>
        <w:rPr>
          <w:sz w:val="20"/>
          <w:szCs w:val="20"/>
          <w:color w:val="auto"/>
        </w:rPr>
      </w:pPr>
    </w:p>
    <w:p>
      <w:pPr>
        <w:ind w:right="60" w:firstLine="434"/>
        <w:spacing w:after="0" w:line="325" w:lineRule="auto"/>
        <w:rPr>
          <w:sz w:val="20"/>
          <w:szCs w:val="20"/>
          <w:color w:val="auto"/>
        </w:rPr>
      </w:pPr>
      <w:r>
        <w:rPr>
          <w:rFonts w:ascii="Arial" w:cs="Arial" w:eastAsia="Arial" w:hAnsi="Arial"/>
          <w:sz w:val="11"/>
          <w:szCs w:val="11"/>
          <w:color w:val="auto"/>
        </w:rPr>
        <w:t>In connection with the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64" w:lineRule="exact"/>
        <w:rPr>
          <w:sz w:val="20"/>
          <w:szCs w:val="20"/>
          <w:color w:val="auto"/>
        </w:rPr>
      </w:pPr>
    </w:p>
    <w:p>
      <w:pPr>
        <w:ind w:right="140" w:firstLine="434"/>
        <w:spacing w:after="0" w:line="278" w:lineRule="auto"/>
        <w:rPr>
          <w:sz w:val="20"/>
          <w:szCs w:val="20"/>
          <w:color w:val="auto"/>
        </w:rPr>
      </w:pPr>
      <w:r>
        <w:rPr>
          <w:rFonts w:ascii="Arial" w:cs="Arial" w:eastAsia="Arial" w:hAnsi="Arial"/>
          <w:sz w:val="12"/>
          <w:szCs w:val="12"/>
          <w:color w:val="auto"/>
        </w:rPr>
        <w:t>During the nine months ended September 30, 2021, the Company sold 5.2 million shares of its common stock under the ATM Program which raised net proceeds of $253.0 million. As of September 30, 2021, the Company had $345.5 million remaining for issuance under the ATM Program and had not entered into any forward sale agreements.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lists the dividends declared and paid by the Company during the nine months ended September 30, 2021 and 2020: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Declaration Date</w:t>
            </w:r>
          </w:p>
        </w:tc>
        <w:tc>
          <w:tcPr>
            <w:tcW w:w="182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w w:val="98"/>
              </w:rPr>
              <w:t>Shareholder Record Date</w:t>
            </w:r>
          </w:p>
        </w:tc>
        <w:tc>
          <w:tcPr>
            <w:tcW w:w="1100" w:type="dxa"/>
            <w:vAlign w:val="bottom"/>
            <w:gridSpan w:val="2"/>
          </w:tcPr>
          <w:p>
            <w:pPr>
              <w:ind w:left="500"/>
              <w:spacing w:after="0"/>
              <w:rPr>
                <w:sz w:val="20"/>
                <w:szCs w:val="20"/>
                <w:color w:val="auto"/>
              </w:rPr>
            </w:pPr>
            <w:r>
              <w:rPr>
                <w:rFonts w:ascii="Arial" w:cs="Arial" w:eastAsia="Arial" w:hAnsi="Arial"/>
                <w:sz w:val="11"/>
                <w:szCs w:val="11"/>
                <w:b w:val="1"/>
                <w:bCs w:val="1"/>
                <w:color w:val="auto"/>
              </w:rPr>
              <w:t>Securities</w:t>
            </w:r>
          </w:p>
        </w:tc>
        <w:tc>
          <w:tcPr>
            <w:tcW w:w="1060" w:type="dxa"/>
            <w:vAlign w:val="bottom"/>
            <w:gridSpan w:val="2"/>
          </w:tcPr>
          <w:p>
            <w:pPr>
              <w:ind w:left="500"/>
              <w:spacing w:after="0"/>
              <w:rPr>
                <w:sz w:val="20"/>
                <w:szCs w:val="20"/>
                <w:color w:val="auto"/>
              </w:rPr>
            </w:pPr>
            <w:r>
              <w:rPr>
                <w:rFonts w:ascii="Arial" w:cs="Arial" w:eastAsia="Arial" w:hAnsi="Arial"/>
                <w:sz w:val="11"/>
                <w:szCs w:val="11"/>
                <w:b w:val="1"/>
                <w:bCs w:val="1"/>
                <w:color w:val="auto"/>
              </w:rPr>
              <w:t>Dividend</w:t>
            </w:r>
          </w:p>
        </w:tc>
        <w:tc>
          <w:tcPr>
            <w:tcW w:w="1940" w:type="dxa"/>
            <w:vAlign w:val="bottom"/>
            <w:gridSpan w:val="2"/>
            <w:vMerge w:val="restart"/>
          </w:tcPr>
          <w:p>
            <w:pPr>
              <w:ind w:left="780"/>
              <w:spacing w:after="0"/>
              <w:rPr>
                <w:sz w:val="20"/>
                <w:szCs w:val="20"/>
                <w:color w:val="auto"/>
              </w:rPr>
            </w:pPr>
            <w:r>
              <w:rPr>
                <w:rFonts w:ascii="Arial" w:cs="Arial" w:eastAsia="Arial" w:hAnsi="Arial"/>
                <w:sz w:val="11"/>
                <w:szCs w:val="11"/>
                <w:b w:val="1"/>
                <w:bCs w:val="1"/>
                <w:color w:val="auto"/>
              </w:rPr>
              <w:t>Period Covered</w:t>
            </w:r>
          </w:p>
        </w:tc>
        <w:tc>
          <w:tcPr>
            <w:tcW w:w="1820" w:type="dxa"/>
            <w:vAlign w:val="bottom"/>
            <w:gridSpan w:val="2"/>
            <w:vMerge w:val="restart"/>
          </w:tcPr>
          <w:p>
            <w:pPr>
              <w:ind w:left="680"/>
              <w:spacing w:after="0"/>
              <w:rPr>
                <w:sz w:val="20"/>
                <w:szCs w:val="20"/>
                <w:color w:val="auto"/>
              </w:rPr>
            </w:pPr>
            <w:r>
              <w:rPr>
                <w:rFonts w:ascii="Arial" w:cs="Arial" w:eastAsia="Arial" w:hAnsi="Arial"/>
                <w:sz w:val="11"/>
                <w:szCs w:val="11"/>
                <w:b w:val="1"/>
                <w:bCs w:val="1"/>
                <w:color w:val="auto"/>
              </w:rPr>
              <w:t>Distribution Date</w:t>
            </w:r>
          </w:p>
        </w:tc>
        <w:tc>
          <w:tcPr>
            <w:tcW w:w="1360" w:type="dxa"/>
            <w:vAlign w:val="bottom"/>
          </w:tcPr>
          <w:p>
            <w:pPr>
              <w:jc w:val="right"/>
              <w:spacing w:after="0"/>
              <w:rPr>
                <w:sz w:val="20"/>
                <w:szCs w:val="20"/>
                <w:color w:val="auto"/>
              </w:rPr>
            </w:pPr>
            <w:r>
              <w:rPr>
                <w:rFonts w:ascii="Arial" w:cs="Arial" w:eastAsia="Arial" w:hAnsi="Arial"/>
                <w:sz w:val="11"/>
                <w:szCs w:val="11"/>
                <w:b w:val="1"/>
                <w:bCs w:val="1"/>
                <w:color w:val="auto"/>
              </w:rPr>
              <w:t>Dividend Amount</w:t>
            </w:r>
          </w:p>
        </w:tc>
        <w:tc>
          <w:tcPr>
            <w:tcW w:w="0" w:type="dxa"/>
            <w:vAlign w:val="bottom"/>
          </w:tcPr>
          <w:p>
            <w:pPr>
              <w:spacing w:after="0"/>
              <w:rPr>
                <w:sz w:val="1"/>
                <w:szCs w:val="1"/>
                <w:color w:val="auto"/>
              </w:rPr>
            </w:pPr>
          </w:p>
        </w:tc>
      </w:tr>
      <w:tr>
        <w:trPr>
          <w:trHeight w:val="143"/>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00" w:type="dxa"/>
            <w:vAlign w:val="bottom"/>
            <w:gridSpan w:val="2"/>
          </w:tcPr>
          <w:p>
            <w:pPr>
              <w:ind w:left="380"/>
              <w:spacing w:after="0"/>
              <w:rPr>
                <w:sz w:val="20"/>
                <w:szCs w:val="20"/>
                <w:color w:val="auto"/>
              </w:rPr>
            </w:pPr>
            <w:r>
              <w:rPr>
                <w:rFonts w:ascii="Arial" w:cs="Arial" w:eastAsia="Arial" w:hAnsi="Arial"/>
                <w:sz w:val="11"/>
                <w:szCs w:val="11"/>
                <w:b w:val="1"/>
                <w:bCs w:val="1"/>
                <w:color w:val="auto"/>
              </w:rPr>
              <w:t>Class</w:t>
            </w:r>
          </w:p>
        </w:tc>
        <w:tc>
          <w:tcPr>
            <w:tcW w:w="1060" w:type="dxa"/>
            <w:vAlign w:val="bottom"/>
            <w:gridSpan w:val="2"/>
          </w:tcPr>
          <w:p>
            <w:pPr>
              <w:ind w:left="260"/>
              <w:spacing w:after="0"/>
              <w:rPr>
                <w:sz w:val="20"/>
                <w:szCs w:val="20"/>
                <w:color w:val="auto"/>
              </w:rPr>
            </w:pPr>
            <w:r>
              <w:rPr>
                <w:rFonts w:ascii="Arial" w:cs="Arial" w:eastAsia="Arial" w:hAnsi="Arial"/>
                <w:sz w:val="11"/>
                <w:szCs w:val="11"/>
                <w:b w:val="1"/>
                <w:bCs w:val="1"/>
                <w:color w:val="auto"/>
              </w:rPr>
              <w:t>Per Share</w:t>
            </w:r>
          </w:p>
        </w:tc>
        <w:tc>
          <w:tcPr>
            <w:tcW w:w="194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360" w:type="dxa"/>
            <w:vAlign w:val="bottom"/>
          </w:tcPr>
          <w:p>
            <w:pPr>
              <w:jc w:val="right"/>
              <w:ind w:right="566"/>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134"/>
        </w:trPr>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(in thousands)</w:t>
            </w:r>
          </w:p>
        </w:tc>
        <w:tc>
          <w:tcPr>
            <w:tcW w:w="0" w:type="dxa"/>
            <w:vAlign w:val="bottom"/>
          </w:tcPr>
          <w:p>
            <w:pPr>
              <w:spacing w:after="0"/>
              <w:rPr>
                <w:sz w:val="1"/>
                <w:szCs w:val="1"/>
                <w:color w:val="auto"/>
              </w:rPr>
            </w:pPr>
          </w:p>
        </w:tc>
      </w:tr>
      <w:tr>
        <w:trPr>
          <w:trHeight w:val="120"/>
        </w:trPr>
        <w:tc>
          <w:tcPr>
            <w:tcW w:w="66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b w:val="1"/>
                <w:bCs w:val="1"/>
                <w:color w:val="auto"/>
                <w:w w:val="81"/>
              </w:rPr>
              <w:t>2021</w:t>
            </w:r>
          </w:p>
        </w:tc>
        <w:tc>
          <w:tcPr>
            <w:tcW w:w="1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440" w:type="dxa"/>
            <w:vAlign w:val="bottom"/>
          </w:tcPr>
          <w:p>
            <w:pPr>
              <w:spacing w:after="0"/>
              <w:rPr>
                <w:sz w:val="9"/>
                <w:szCs w:val="9"/>
                <w:color w:val="auto"/>
              </w:rPr>
            </w:pPr>
          </w:p>
        </w:tc>
        <w:tc>
          <w:tcPr>
            <w:tcW w:w="1680" w:type="dxa"/>
            <w:vAlign w:val="bottom"/>
            <w:gridSpan w:val="3"/>
            <w:vMerge w:val="restart"/>
          </w:tcPr>
          <w:p>
            <w:pPr>
              <w:spacing w:after="0"/>
              <w:rPr>
                <w:sz w:val="20"/>
                <w:szCs w:val="20"/>
                <w:color w:val="auto"/>
              </w:rPr>
            </w:pPr>
            <w:r>
              <w:rPr>
                <w:rFonts w:ascii="Arial" w:cs="Arial" w:eastAsia="Arial" w:hAnsi="Arial"/>
                <w:sz w:val="11"/>
                <w:szCs w:val="11"/>
                <w:color w:val="auto"/>
              </w:rPr>
              <w:t>February 22, 2021</w:t>
            </w:r>
          </w:p>
        </w:tc>
        <w:tc>
          <w:tcPr>
            <w:tcW w:w="1820" w:type="dxa"/>
            <w:vAlign w:val="bottom"/>
            <w:gridSpan w:val="2"/>
            <w:vMerge w:val="restart"/>
          </w:tcPr>
          <w:p>
            <w:pPr>
              <w:ind w:left="460"/>
              <w:spacing w:after="0"/>
              <w:rPr>
                <w:sz w:val="20"/>
                <w:szCs w:val="20"/>
                <w:color w:val="auto"/>
              </w:rPr>
            </w:pPr>
            <w:r>
              <w:rPr>
                <w:rFonts w:ascii="Arial" w:cs="Arial" w:eastAsia="Arial" w:hAnsi="Arial"/>
                <w:sz w:val="11"/>
                <w:szCs w:val="11"/>
                <w:color w:val="auto"/>
              </w:rPr>
              <w:t>March 9, 2021</w:t>
            </w:r>
          </w:p>
        </w:tc>
        <w:tc>
          <w:tcPr>
            <w:tcW w:w="1100" w:type="dxa"/>
            <w:vAlign w:val="bottom"/>
            <w:gridSpan w:val="2"/>
          </w:tcPr>
          <w:p>
            <w:pPr>
              <w:ind w:left="520"/>
              <w:spacing w:after="0" w:line="113" w:lineRule="exact"/>
              <w:rPr>
                <w:sz w:val="20"/>
                <w:szCs w:val="20"/>
                <w:color w:val="auto"/>
              </w:rPr>
            </w:pPr>
            <w:r>
              <w:rPr>
                <w:rFonts w:ascii="Arial" w:cs="Arial" w:eastAsia="Arial" w:hAnsi="Arial"/>
                <w:sz w:val="11"/>
                <w:szCs w:val="11"/>
                <w:color w:val="auto"/>
              </w:rPr>
              <w:t>Common</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$0.65</w:t>
            </w:r>
          </w:p>
        </w:tc>
        <w:tc>
          <w:tcPr>
            <w:tcW w:w="80" w:type="dxa"/>
            <w:vAlign w:val="bottom"/>
          </w:tcPr>
          <w:p>
            <w:pPr>
              <w:spacing w:after="0"/>
              <w:rPr>
                <w:sz w:val="9"/>
                <w:szCs w:val="9"/>
                <w:color w:val="auto"/>
              </w:rPr>
            </w:pPr>
          </w:p>
        </w:tc>
        <w:tc>
          <w:tcPr>
            <w:tcW w:w="1940" w:type="dxa"/>
            <w:vAlign w:val="bottom"/>
            <w:gridSpan w:val="2"/>
            <w:vMerge w:val="restart"/>
          </w:tcPr>
          <w:p>
            <w:pPr>
              <w:ind w:left="460"/>
              <w:spacing w:after="0"/>
              <w:rPr>
                <w:sz w:val="20"/>
                <w:szCs w:val="20"/>
                <w:color w:val="auto"/>
              </w:rPr>
            </w:pPr>
            <w:r>
              <w:rPr>
                <w:rFonts w:ascii="Arial" w:cs="Arial" w:eastAsia="Arial" w:hAnsi="Arial"/>
                <w:sz w:val="11"/>
                <w:szCs w:val="11"/>
                <w:color w:val="auto"/>
              </w:rPr>
              <w:t>First Quarter 2021</w:t>
            </w:r>
          </w:p>
        </w:tc>
        <w:tc>
          <w:tcPr>
            <w:tcW w:w="1820" w:type="dxa"/>
            <w:vAlign w:val="bottom"/>
            <w:gridSpan w:val="2"/>
            <w:vMerge w:val="restart"/>
          </w:tcPr>
          <w:p>
            <w:pPr>
              <w:ind w:left="440"/>
              <w:spacing w:after="0"/>
              <w:rPr>
                <w:sz w:val="20"/>
                <w:szCs w:val="20"/>
                <w:color w:val="auto"/>
              </w:rPr>
            </w:pPr>
            <w:r>
              <w:rPr>
                <w:rFonts w:ascii="Arial" w:cs="Arial" w:eastAsia="Arial" w:hAnsi="Arial"/>
                <w:sz w:val="11"/>
                <w:szCs w:val="11"/>
                <w:color w:val="auto"/>
              </w:rPr>
              <w:t>March 23, 2021</w:t>
            </w:r>
          </w:p>
        </w:tc>
        <w:tc>
          <w:tcPr>
            <w:tcW w:w="1360" w:type="dxa"/>
            <w:vAlign w:val="bottom"/>
            <w:vMerge w:val="restart"/>
          </w:tcPr>
          <w:p>
            <w:pPr>
              <w:jc w:val="right"/>
              <w:spacing w:after="0"/>
              <w:rPr>
                <w:sz w:val="20"/>
                <w:szCs w:val="20"/>
                <w:color w:val="auto"/>
              </w:rPr>
            </w:pPr>
            <w:r>
              <w:rPr>
                <w:rFonts w:ascii="Arial" w:cs="Arial" w:eastAsia="Arial" w:hAnsi="Arial"/>
                <w:sz w:val="11"/>
                <w:szCs w:val="11"/>
                <w:color w:val="auto"/>
              </w:rPr>
              <w:t>$151,308</w:t>
            </w:r>
          </w:p>
        </w:tc>
        <w:tc>
          <w:tcPr>
            <w:tcW w:w="0" w:type="dxa"/>
            <w:vAlign w:val="bottom"/>
          </w:tcPr>
          <w:p>
            <w:pPr>
              <w:spacing w:after="0"/>
              <w:rPr>
                <w:sz w:val="1"/>
                <w:szCs w:val="1"/>
                <w:color w:val="auto"/>
              </w:rPr>
            </w:pPr>
          </w:p>
        </w:tc>
      </w:tr>
      <w:tr>
        <w:trPr>
          <w:trHeight w:val="139"/>
        </w:trPr>
        <w:tc>
          <w:tcPr>
            <w:tcW w:w="44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00" w:type="dxa"/>
            <w:vAlign w:val="bottom"/>
            <w:gridSpan w:val="2"/>
          </w:tcPr>
          <w:p>
            <w:pPr>
              <w:ind w:left="380"/>
              <w:spacing w:after="0"/>
              <w:rPr>
                <w:sz w:val="20"/>
                <w:szCs w:val="20"/>
                <w:color w:val="auto"/>
              </w:rPr>
            </w:pPr>
            <w:r>
              <w:rPr>
                <w:rFonts w:ascii="Arial" w:cs="Arial" w:eastAsia="Arial" w:hAnsi="Arial"/>
                <w:sz w:val="11"/>
                <w:szCs w:val="11"/>
                <w:color w:val="auto"/>
              </w:rPr>
              <w:t>Stock</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440" w:type="dxa"/>
            <w:vAlign w:val="bottom"/>
            <w:shd w:val="clear" w:color="auto" w:fill="CCEEFF"/>
          </w:tcPr>
          <w:p>
            <w:pPr>
              <w:spacing w:after="0"/>
              <w:rPr>
                <w:sz w:val="9"/>
                <w:szCs w:val="9"/>
                <w:color w:val="auto"/>
              </w:rPr>
            </w:pPr>
          </w:p>
        </w:tc>
        <w:tc>
          <w:tcPr>
            <w:tcW w:w="1680" w:type="dxa"/>
            <w:vAlign w:val="bottom"/>
            <w:gridSpan w:val="3"/>
            <w:vMerge w:val="restart"/>
            <w:shd w:val="clear" w:color="auto" w:fill="CCEEFF"/>
          </w:tcPr>
          <w:p>
            <w:pPr>
              <w:spacing w:after="0"/>
              <w:rPr>
                <w:sz w:val="20"/>
                <w:szCs w:val="20"/>
                <w:color w:val="auto"/>
              </w:rPr>
            </w:pPr>
            <w:r>
              <w:rPr>
                <w:rFonts w:ascii="Arial" w:cs="Arial" w:eastAsia="Arial" w:hAnsi="Arial"/>
                <w:sz w:val="11"/>
                <w:szCs w:val="11"/>
                <w:color w:val="auto"/>
              </w:rPr>
              <w:t>May 20, 2021</w:t>
            </w:r>
          </w:p>
        </w:tc>
        <w:tc>
          <w:tcPr>
            <w:tcW w:w="1820" w:type="dxa"/>
            <w:vAlign w:val="bottom"/>
            <w:gridSpan w:val="2"/>
            <w:vMerge w:val="restart"/>
            <w:shd w:val="clear" w:color="auto" w:fill="CCEEFF"/>
          </w:tcPr>
          <w:p>
            <w:pPr>
              <w:ind w:left="460"/>
              <w:spacing w:after="0"/>
              <w:rPr>
                <w:sz w:val="20"/>
                <w:szCs w:val="20"/>
                <w:color w:val="auto"/>
              </w:rPr>
            </w:pPr>
            <w:r>
              <w:rPr>
                <w:rFonts w:ascii="Arial" w:cs="Arial" w:eastAsia="Arial" w:hAnsi="Arial"/>
                <w:sz w:val="11"/>
                <w:szCs w:val="11"/>
                <w:color w:val="auto"/>
              </w:rPr>
              <w:t>June 11, 2021</w:t>
            </w:r>
          </w:p>
        </w:tc>
        <w:tc>
          <w:tcPr>
            <w:tcW w:w="1100" w:type="dxa"/>
            <w:vAlign w:val="bottom"/>
            <w:gridSpan w:val="2"/>
            <w:shd w:val="clear" w:color="auto" w:fill="CCEEFF"/>
          </w:tcPr>
          <w:p>
            <w:pPr>
              <w:ind w:left="520"/>
              <w:spacing w:after="0" w:line="115" w:lineRule="exact"/>
              <w:rPr>
                <w:sz w:val="20"/>
                <w:szCs w:val="20"/>
                <w:color w:val="auto"/>
              </w:rPr>
            </w:pPr>
            <w:r>
              <w:rPr>
                <w:rFonts w:ascii="Arial" w:cs="Arial" w:eastAsia="Arial" w:hAnsi="Arial"/>
                <w:sz w:val="11"/>
                <w:szCs w:val="11"/>
                <w:color w:val="auto"/>
              </w:rPr>
              <w:t>Common</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$0.67</w:t>
            </w:r>
          </w:p>
        </w:tc>
        <w:tc>
          <w:tcPr>
            <w:tcW w:w="80" w:type="dxa"/>
            <w:vAlign w:val="bottom"/>
            <w:shd w:val="clear" w:color="auto" w:fill="CCEEFF"/>
          </w:tcPr>
          <w:p>
            <w:pPr>
              <w:spacing w:after="0"/>
              <w:rPr>
                <w:sz w:val="9"/>
                <w:szCs w:val="9"/>
                <w:color w:val="auto"/>
              </w:rPr>
            </w:pPr>
          </w:p>
        </w:tc>
        <w:tc>
          <w:tcPr>
            <w:tcW w:w="1940" w:type="dxa"/>
            <w:vAlign w:val="bottom"/>
            <w:gridSpan w:val="2"/>
            <w:vMerge w:val="restart"/>
            <w:shd w:val="clear" w:color="auto" w:fill="CCEEFF"/>
          </w:tcPr>
          <w:p>
            <w:pPr>
              <w:ind w:left="460"/>
              <w:spacing w:after="0"/>
              <w:rPr>
                <w:sz w:val="20"/>
                <w:szCs w:val="20"/>
                <w:color w:val="auto"/>
              </w:rPr>
            </w:pPr>
            <w:r>
              <w:rPr>
                <w:rFonts w:ascii="Arial" w:cs="Arial" w:eastAsia="Arial" w:hAnsi="Arial"/>
                <w:sz w:val="11"/>
                <w:szCs w:val="11"/>
                <w:color w:val="auto"/>
              </w:rPr>
              <w:t>Second Quarter 2021</w:t>
            </w:r>
          </w:p>
        </w:tc>
        <w:tc>
          <w:tcPr>
            <w:tcW w:w="182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June 25, 2021</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$156,876</w:t>
            </w:r>
          </w:p>
        </w:tc>
        <w:tc>
          <w:tcPr>
            <w:tcW w:w="0" w:type="dxa"/>
            <w:vAlign w:val="bottom"/>
          </w:tcPr>
          <w:p>
            <w:pPr>
              <w:spacing w:after="0"/>
              <w:rPr>
                <w:sz w:val="1"/>
                <w:szCs w:val="1"/>
                <w:color w:val="auto"/>
              </w:rPr>
            </w:pPr>
          </w:p>
        </w:tc>
      </w:tr>
      <w:tr>
        <w:trPr>
          <w:trHeight w:val="141"/>
        </w:trPr>
        <w:tc>
          <w:tcPr>
            <w:tcW w:w="440" w:type="dxa"/>
            <w:vAlign w:val="bottom"/>
            <w:shd w:val="clear" w:color="auto" w:fill="CCEEFF"/>
          </w:tcPr>
          <w:p>
            <w:pPr>
              <w:spacing w:after="0"/>
              <w:rPr>
                <w:sz w:val="12"/>
                <w:szCs w:val="12"/>
                <w:color w:val="auto"/>
              </w:rPr>
            </w:pPr>
          </w:p>
        </w:tc>
        <w:tc>
          <w:tcPr>
            <w:tcW w:w="1680" w:type="dxa"/>
            <w:vAlign w:val="bottom"/>
            <w:gridSpan w:val="3"/>
            <w:vMerge w:val="continue"/>
            <w:shd w:val="clear" w:color="auto" w:fill="CCEEFF"/>
          </w:tcPr>
          <w:p>
            <w:pPr>
              <w:spacing w:after="0"/>
              <w:rPr>
                <w:sz w:val="12"/>
                <w:szCs w:val="12"/>
                <w:color w:val="auto"/>
              </w:rPr>
            </w:pPr>
          </w:p>
        </w:tc>
        <w:tc>
          <w:tcPr>
            <w:tcW w:w="1820" w:type="dxa"/>
            <w:vAlign w:val="bottom"/>
            <w:gridSpan w:val="2"/>
            <w:vMerge w:val="continue"/>
            <w:shd w:val="clear" w:color="auto" w:fill="CCEEFF"/>
          </w:tcPr>
          <w:p>
            <w:pPr>
              <w:spacing w:after="0"/>
              <w:rPr>
                <w:sz w:val="12"/>
                <w:szCs w:val="12"/>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Stock</w:t>
            </w: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40" w:type="dxa"/>
            <w:vAlign w:val="bottom"/>
            <w:gridSpan w:val="2"/>
            <w:vMerge w:val="continue"/>
            <w:shd w:val="clear" w:color="auto" w:fill="CCEEFF"/>
          </w:tcPr>
          <w:p>
            <w:pPr>
              <w:spacing w:after="0"/>
              <w:rPr>
                <w:sz w:val="12"/>
                <w:szCs w:val="12"/>
                <w:color w:val="auto"/>
              </w:rPr>
            </w:pPr>
          </w:p>
        </w:tc>
        <w:tc>
          <w:tcPr>
            <w:tcW w:w="1820" w:type="dxa"/>
            <w:vAlign w:val="bottom"/>
            <w:gridSpan w:val="2"/>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40" w:type="dxa"/>
            <w:vAlign w:val="bottom"/>
          </w:tcPr>
          <w:p>
            <w:pPr>
              <w:spacing w:after="0"/>
              <w:rPr>
                <w:sz w:val="9"/>
                <w:szCs w:val="9"/>
                <w:color w:val="auto"/>
              </w:rPr>
            </w:pPr>
          </w:p>
        </w:tc>
        <w:tc>
          <w:tcPr>
            <w:tcW w:w="1680" w:type="dxa"/>
            <w:vAlign w:val="bottom"/>
            <w:gridSpan w:val="3"/>
            <w:vMerge w:val="restart"/>
          </w:tcPr>
          <w:p>
            <w:pPr>
              <w:spacing w:after="0"/>
              <w:rPr>
                <w:sz w:val="20"/>
                <w:szCs w:val="20"/>
                <w:color w:val="auto"/>
              </w:rPr>
            </w:pPr>
            <w:r>
              <w:rPr>
                <w:rFonts w:ascii="Arial" w:cs="Arial" w:eastAsia="Arial" w:hAnsi="Arial"/>
                <w:sz w:val="11"/>
                <w:szCs w:val="11"/>
                <w:color w:val="auto"/>
              </w:rPr>
              <w:t>August 27, 2021</w:t>
            </w:r>
          </w:p>
        </w:tc>
        <w:tc>
          <w:tcPr>
            <w:tcW w:w="1820" w:type="dxa"/>
            <w:vAlign w:val="bottom"/>
            <w:gridSpan w:val="2"/>
            <w:vMerge w:val="restart"/>
          </w:tcPr>
          <w:p>
            <w:pPr>
              <w:ind w:left="460"/>
              <w:spacing w:after="0"/>
              <w:rPr>
                <w:sz w:val="20"/>
                <w:szCs w:val="20"/>
                <w:color w:val="auto"/>
              </w:rPr>
            </w:pPr>
            <w:r>
              <w:rPr>
                <w:rFonts w:ascii="Arial" w:cs="Arial" w:eastAsia="Arial" w:hAnsi="Arial"/>
                <w:sz w:val="11"/>
                <w:szCs w:val="11"/>
                <w:color w:val="auto"/>
              </w:rPr>
              <w:t>September 10, 2021</w:t>
            </w:r>
          </w:p>
        </w:tc>
        <w:tc>
          <w:tcPr>
            <w:tcW w:w="1100" w:type="dxa"/>
            <w:vAlign w:val="bottom"/>
            <w:gridSpan w:val="2"/>
          </w:tcPr>
          <w:p>
            <w:pPr>
              <w:ind w:left="520"/>
              <w:spacing w:after="0" w:line="113" w:lineRule="exact"/>
              <w:rPr>
                <w:sz w:val="20"/>
                <w:szCs w:val="20"/>
                <w:color w:val="auto"/>
              </w:rPr>
            </w:pPr>
            <w:r>
              <w:rPr>
                <w:rFonts w:ascii="Arial" w:cs="Arial" w:eastAsia="Arial" w:hAnsi="Arial"/>
                <w:sz w:val="11"/>
                <w:szCs w:val="11"/>
                <w:color w:val="auto"/>
              </w:rPr>
              <w:t>Common</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$0.67</w:t>
            </w:r>
          </w:p>
        </w:tc>
        <w:tc>
          <w:tcPr>
            <w:tcW w:w="80" w:type="dxa"/>
            <w:vAlign w:val="bottom"/>
          </w:tcPr>
          <w:p>
            <w:pPr>
              <w:spacing w:after="0"/>
              <w:rPr>
                <w:sz w:val="9"/>
                <w:szCs w:val="9"/>
                <w:color w:val="auto"/>
              </w:rPr>
            </w:pPr>
          </w:p>
        </w:tc>
        <w:tc>
          <w:tcPr>
            <w:tcW w:w="1940" w:type="dxa"/>
            <w:vAlign w:val="bottom"/>
            <w:gridSpan w:val="2"/>
            <w:vMerge w:val="restart"/>
          </w:tcPr>
          <w:p>
            <w:pPr>
              <w:ind w:left="460"/>
              <w:spacing w:after="0"/>
              <w:rPr>
                <w:sz w:val="20"/>
                <w:szCs w:val="20"/>
                <w:color w:val="auto"/>
              </w:rPr>
            </w:pPr>
            <w:r>
              <w:rPr>
                <w:rFonts w:ascii="Arial" w:cs="Arial" w:eastAsia="Arial" w:hAnsi="Arial"/>
                <w:sz w:val="11"/>
                <w:szCs w:val="11"/>
                <w:color w:val="auto"/>
              </w:rPr>
              <w:t>Third Quarter 2021</w:t>
            </w:r>
          </w:p>
        </w:tc>
        <w:tc>
          <w:tcPr>
            <w:tcW w:w="1820" w:type="dxa"/>
            <w:vAlign w:val="bottom"/>
            <w:gridSpan w:val="2"/>
            <w:vMerge w:val="restart"/>
          </w:tcPr>
          <w:p>
            <w:pPr>
              <w:ind w:left="440"/>
              <w:spacing w:after="0"/>
              <w:rPr>
                <w:sz w:val="20"/>
                <w:szCs w:val="20"/>
                <w:color w:val="auto"/>
              </w:rPr>
            </w:pPr>
            <w:r>
              <w:rPr>
                <w:rFonts w:ascii="Arial" w:cs="Arial" w:eastAsia="Arial" w:hAnsi="Arial"/>
                <w:sz w:val="11"/>
                <w:szCs w:val="11"/>
                <w:color w:val="auto"/>
              </w:rPr>
              <w:t>September 24, 2021</w:t>
            </w:r>
          </w:p>
        </w:tc>
        <w:tc>
          <w:tcPr>
            <w:tcW w:w="1360" w:type="dxa"/>
            <w:vAlign w:val="bottom"/>
            <w:vMerge w:val="restart"/>
          </w:tcPr>
          <w:p>
            <w:pPr>
              <w:jc w:val="right"/>
              <w:spacing w:after="0"/>
              <w:rPr>
                <w:sz w:val="20"/>
                <w:szCs w:val="20"/>
                <w:color w:val="auto"/>
              </w:rPr>
            </w:pPr>
            <w:r>
              <w:rPr>
                <w:rFonts w:ascii="Arial" w:cs="Arial" w:eastAsia="Arial" w:hAnsi="Arial"/>
                <w:sz w:val="11"/>
                <w:szCs w:val="11"/>
                <w:color w:val="auto"/>
              </w:rPr>
              <w:t>$159,426</w:t>
            </w:r>
          </w:p>
        </w:tc>
        <w:tc>
          <w:tcPr>
            <w:tcW w:w="0" w:type="dxa"/>
            <w:vAlign w:val="bottom"/>
          </w:tcPr>
          <w:p>
            <w:pPr>
              <w:spacing w:after="0"/>
              <w:rPr>
                <w:sz w:val="1"/>
                <w:szCs w:val="1"/>
                <w:color w:val="auto"/>
              </w:rPr>
            </w:pPr>
          </w:p>
        </w:tc>
      </w:tr>
      <w:tr>
        <w:trPr>
          <w:trHeight w:val="139"/>
        </w:trPr>
        <w:tc>
          <w:tcPr>
            <w:tcW w:w="44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00" w:type="dxa"/>
            <w:vAlign w:val="bottom"/>
            <w:gridSpan w:val="2"/>
          </w:tcPr>
          <w:p>
            <w:pPr>
              <w:ind w:left="380"/>
              <w:spacing w:after="0"/>
              <w:rPr>
                <w:sz w:val="20"/>
                <w:szCs w:val="20"/>
                <w:color w:val="auto"/>
              </w:rPr>
            </w:pPr>
            <w:r>
              <w:rPr>
                <w:rFonts w:ascii="Arial" w:cs="Arial" w:eastAsia="Arial" w:hAnsi="Arial"/>
                <w:sz w:val="11"/>
                <w:szCs w:val="11"/>
                <w:color w:val="auto"/>
              </w:rPr>
              <w:t>Stock</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60" w:type="dxa"/>
            <w:vAlign w:val="bottom"/>
            <w:gridSpan w:val="2"/>
          </w:tcPr>
          <w:p>
            <w:pPr>
              <w:ind w:left="440"/>
              <w:spacing w:after="0" w:line="118" w:lineRule="exact"/>
              <w:rPr>
                <w:sz w:val="20"/>
                <w:szCs w:val="20"/>
                <w:color w:val="auto"/>
              </w:rPr>
            </w:pPr>
            <w:r>
              <w:rPr>
                <w:rFonts w:ascii="Arial" w:cs="Arial" w:eastAsia="Arial" w:hAnsi="Arial"/>
                <w:sz w:val="11"/>
                <w:szCs w:val="11"/>
                <w:b w:val="1"/>
                <w:bCs w:val="1"/>
                <w:color w:val="auto"/>
                <w:w w:val="81"/>
              </w:rPr>
              <w:t>2020</w:t>
            </w: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440" w:type="dxa"/>
            <w:vAlign w:val="bottom"/>
            <w:shd w:val="clear" w:color="auto" w:fill="CCEEFF"/>
          </w:tcPr>
          <w:p>
            <w:pPr>
              <w:spacing w:after="0"/>
              <w:rPr>
                <w:sz w:val="9"/>
                <w:szCs w:val="9"/>
                <w:color w:val="auto"/>
              </w:rPr>
            </w:pPr>
          </w:p>
        </w:tc>
        <w:tc>
          <w:tcPr>
            <w:tcW w:w="1680" w:type="dxa"/>
            <w:vAlign w:val="bottom"/>
            <w:gridSpan w:val="3"/>
            <w:vMerge w:val="restart"/>
            <w:shd w:val="clear" w:color="auto" w:fill="CCEEFF"/>
          </w:tcPr>
          <w:p>
            <w:pPr>
              <w:spacing w:after="0"/>
              <w:rPr>
                <w:sz w:val="20"/>
                <w:szCs w:val="20"/>
                <w:color w:val="auto"/>
              </w:rPr>
            </w:pPr>
            <w:r>
              <w:rPr>
                <w:rFonts w:ascii="Arial" w:cs="Arial" w:eastAsia="Arial" w:hAnsi="Arial"/>
                <w:sz w:val="11"/>
                <w:szCs w:val="11"/>
                <w:color w:val="auto"/>
              </w:rPr>
              <w:t>February 20, 2020</w:t>
            </w:r>
          </w:p>
        </w:tc>
        <w:tc>
          <w:tcPr>
            <w:tcW w:w="1820" w:type="dxa"/>
            <w:vAlign w:val="bottom"/>
            <w:gridSpan w:val="2"/>
            <w:vMerge w:val="restart"/>
            <w:shd w:val="clear" w:color="auto" w:fill="CCEEFF"/>
          </w:tcPr>
          <w:p>
            <w:pPr>
              <w:ind w:left="460"/>
              <w:spacing w:after="0"/>
              <w:rPr>
                <w:sz w:val="20"/>
                <w:szCs w:val="20"/>
                <w:color w:val="auto"/>
              </w:rPr>
            </w:pPr>
            <w:r>
              <w:rPr>
                <w:rFonts w:ascii="Arial" w:cs="Arial" w:eastAsia="Arial" w:hAnsi="Arial"/>
                <w:sz w:val="11"/>
                <w:szCs w:val="11"/>
                <w:color w:val="auto"/>
              </w:rPr>
              <w:t>March 6, 2020</w:t>
            </w:r>
          </w:p>
        </w:tc>
        <w:tc>
          <w:tcPr>
            <w:tcW w:w="1100" w:type="dxa"/>
            <w:vAlign w:val="bottom"/>
            <w:gridSpan w:val="2"/>
            <w:shd w:val="clear" w:color="auto" w:fill="CCEEFF"/>
          </w:tcPr>
          <w:p>
            <w:pPr>
              <w:ind w:left="520"/>
              <w:spacing w:after="0" w:line="113" w:lineRule="exact"/>
              <w:rPr>
                <w:sz w:val="20"/>
                <w:szCs w:val="20"/>
                <w:color w:val="auto"/>
              </w:rPr>
            </w:pPr>
            <w:r>
              <w:rPr>
                <w:rFonts w:ascii="Arial" w:cs="Arial" w:eastAsia="Arial" w:hAnsi="Arial"/>
                <w:sz w:val="11"/>
                <w:szCs w:val="11"/>
                <w:color w:val="auto"/>
              </w:rPr>
              <w:t>Common</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$0.70</w:t>
            </w:r>
          </w:p>
        </w:tc>
        <w:tc>
          <w:tcPr>
            <w:tcW w:w="80" w:type="dxa"/>
            <w:vAlign w:val="bottom"/>
            <w:shd w:val="clear" w:color="auto" w:fill="CCEEFF"/>
          </w:tcPr>
          <w:p>
            <w:pPr>
              <w:spacing w:after="0"/>
              <w:rPr>
                <w:sz w:val="9"/>
                <w:szCs w:val="9"/>
                <w:color w:val="auto"/>
              </w:rPr>
            </w:pPr>
          </w:p>
        </w:tc>
        <w:tc>
          <w:tcPr>
            <w:tcW w:w="1940" w:type="dxa"/>
            <w:vAlign w:val="bottom"/>
            <w:gridSpan w:val="2"/>
            <w:vMerge w:val="restart"/>
            <w:shd w:val="clear" w:color="auto" w:fill="CCEEFF"/>
          </w:tcPr>
          <w:p>
            <w:pPr>
              <w:ind w:left="460"/>
              <w:spacing w:after="0"/>
              <w:rPr>
                <w:sz w:val="20"/>
                <w:szCs w:val="20"/>
                <w:color w:val="auto"/>
              </w:rPr>
            </w:pPr>
            <w:r>
              <w:rPr>
                <w:rFonts w:ascii="Arial" w:cs="Arial" w:eastAsia="Arial" w:hAnsi="Arial"/>
                <w:sz w:val="11"/>
                <w:szCs w:val="11"/>
                <w:color w:val="auto"/>
              </w:rPr>
              <w:t>First Quarter 2020</w:t>
            </w:r>
          </w:p>
        </w:tc>
        <w:tc>
          <w:tcPr>
            <w:tcW w:w="182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March 20, 2020</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$150,574</w:t>
            </w:r>
          </w:p>
        </w:tc>
        <w:tc>
          <w:tcPr>
            <w:tcW w:w="0" w:type="dxa"/>
            <w:vAlign w:val="bottom"/>
          </w:tcPr>
          <w:p>
            <w:pPr>
              <w:spacing w:after="0"/>
              <w:rPr>
                <w:sz w:val="1"/>
                <w:szCs w:val="1"/>
                <w:color w:val="auto"/>
              </w:rPr>
            </w:pPr>
          </w:p>
        </w:tc>
      </w:tr>
      <w:tr>
        <w:trPr>
          <w:trHeight w:val="141"/>
        </w:trPr>
        <w:tc>
          <w:tcPr>
            <w:tcW w:w="440" w:type="dxa"/>
            <w:vAlign w:val="bottom"/>
            <w:shd w:val="clear" w:color="auto" w:fill="CCEEFF"/>
          </w:tcPr>
          <w:p>
            <w:pPr>
              <w:spacing w:after="0"/>
              <w:rPr>
                <w:sz w:val="12"/>
                <w:szCs w:val="12"/>
                <w:color w:val="auto"/>
              </w:rPr>
            </w:pPr>
          </w:p>
        </w:tc>
        <w:tc>
          <w:tcPr>
            <w:tcW w:w="1680" w:type="dxa"/>
            <w:vAlign w:val="bottom"/>
            <w:gridSpan w:val="3"/>
            <w:vMerge w:val="continue"/>
            <w:shd w:val="clear" w:color="auto" w:fill="CCEEFF"/>
          </w:tcPr>
          <w:p>
            <w:pPr>
              <w:spacing w:after="0"/>
              <w:rPr>
                <w:sz w:val="12"/>
                <w:szCs w:val="12"/>
                <w:color w:val="auto"/>
              </w:rPr>
            </w:pPr>
          </w:p>
        </w:tc>
        <w:tc>
          <w:tcPr>
            <w:tcW w:w="1820" w:type="dxa"/>
            <w:vAlign w:val="bottom"/>
            <w:gridSpan w:val="2"/>
            <w:vMerge w:val="continue"/>
            <w:shd w:val="clear" w:color="auto" w:fill="CCEEFF"/>
          </w:tcPr>
          <w:p>
            <w:pPr>
              <w:spacing w:after="0"/>
              <w:rPr>
                <w:sz w:val="12"/>
                <w:szCs w:val="12"/>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Stock</w:t>
            </w: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40" w:type="dxa"/>
            <w:vAlign w:val="bottom"/>
            <w:gridSpan w:val="2"/>
            <w:vMerge w:val="continue"/>
            <w:shd w:val="clear" w:color="auto" w:fill="CCEEFF"/>
          </w:tcPr>
          <w:p>
            <w:pPr>
              <w:spacing w:after="0"/>
              <w:rPr>
                <w:sz w:val="12"/>
                <w:szCs w:val="12"/>
                <w:color w:val="auto"/>
              </w:rPr>
            </w:pPr>
          </w:p>
        </w:tc>
        <w:tc>
          <w:tcPr>
            <w:tcW w:w="1820" w:type="dxa"/>
            <w:vAlign w:val="bottom"/>
            <w:gridSpan w:val="2"/>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40" w:type="dxa"/>
            <w:vAlign w:val="bottom"/>
          </w:tcPr>
          <w:p>
            <w:pPr>
              <w:spacing w:after="0"/>
              <w:rPr>
                <w:sz w:val="9"/>
                <w:szCs w:val="9"/>
                <w:color w:val="auto"/>
              </w:rPr>
            </w:pPr>
          </w:p>
        </w:tc>
        <w:tc>
          <w:tcPr>
            <w:tcW w:w="1680" w:type="dxa"/>
            <w:vAlign w:val="bottom"/>
            <w:gridSpan w:val="3"/>
            <w:vMerge w:val="restart"/>
          </w:tcPr>
          <w:p>
            <w:pPr>
              <w:spacing w:after="0"/>
              <w:rPr>
                <w:sz w:val="20"/>
                <w:szCs w:val="20"/>
                <w:color w:val="auto"/>
              </w:rPr>
            </w:pPr>
            <w:r>
              <w:rPr>
                <w:rFonts w:ascii="Arial" w:cs="Arial" w:eastAsia="Arial" w:hAnsi="Arial"/>
                <w:sz w:val="11"/>
                <w:szCs w:val="11"/>
                <w:color w:val="auto"/>
              </w:rPr>
              <w:t>April 29, 2020</w:t>
            </w:r>
          </w:p>
        </w:tc>
        <w:tc>
          <w:tcPr>
            <w:tcW w:w="1820" w:type="dxa"/>
            <w:vAlign w:val="bottom"/>
            <w:gridSpan w:val="2"/>
            <w:vMerge w:val="restart"/>
          </w:tcPr>
          <w:p>
            <w:pPr>
              <w:ind w:left="460"/>
              <w:spacing w:after="0"/>
              <w:rPr>
                <w:sz w:val="20"/>
                <w:szCs w:val="20"/>
                <w:color w:val="auto"/>
              </w:rPr>
            </w:pPr>
            <w:r>
              <w:rPr>
                <w:rFonts w:ascii="Arial" w:cs="Arial" w:eastAsia="Arial" w:hAnsi="Arial"/>
                <w:sz w:val="11"/>
                <w:szCs w:val="11"/>
                <w:color w:val="auto"/>
              </w:rPr>
              <w:t>May 13, 2020</w:t>
            </w:r>
          </w:p>
        </w:tc>
        <w:tc>
          <w:tcPr>
            <w:tcW w:w="1100" w:type="dxa"/>
            <w:vAlign w:val="bottom"/>
            <w:gridSpan w:val="2"/>
          </w:tcPr>
          <w:p>
            <w:pPr>
              <w:ind w:left="520"/>
              <w:spacing w:after="0" w:line="113" w:lineRule="exact"/>
              <w:rPr>
                <w:sz w:val="20"/>
                <w:szCs w:val="20"/>
                <w:color w:val="auto"/>
              </w:rPr>
            </w:pPr>
            <w:r>
              <w:rPr>
                <w:rFonts w:ascii="Arial" w:cs="Arial" w:eastAsia="Arial" w:hAnsi="Arial"/>
                <w:sz w:val="11"/>
                <w:szCs w:val="11"/>
                <w:color w:val="auto"/>
              </w:rPr>
              <w:t>Common</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$0.60</w:t>
            </w:r>
          </w:p>
        </w:tc>
        <w:tc>
          <w:tcPr>
            <w:tcW w:w="80" w:type="dxa"/>
            <w:vAlign w:val="bottom"/>
          </w:tcPr>
          <w:p>
            <w:pPr>
              <w:spacing w:after="0"/>
              <w:rPr>
                <w:sz w:val="9"/>
                <w:szCs w:val="9"/>
                <w:color w:val="auto"/>
              </w:rPr>
            </w:pPr>
          </w:p>
        </w:tc>
        <w:tc>
          <w:tcPr>
            <w:tcW w:w="1940" w:type="dxa"/>
            <w:vAlign w:val="bottom"/>
            <w:gridSpan w:val="2"/>
            <w:vMerge w:val="restart"/>
          </w:tcPr>
          <w:p>
            <w:pPr>
              <w:ind w:left="460"/>
              <w:spacing w:after="0"/>
              <w:rPr>
                <w:sz w:val="20"/>
                <w:szCs w:val="20"/>
                <w:color w:val="auto"/>
              </w:rPr>
            </w:pPr>
            <w:r>
              <w:rPr>
                <w:rFonts w:ascii="Arial" w:cs="Arial" w:eastAsia="Arial" w:hAnsi="Arial"/>
                <w:sz w:val="11"/>
                <w:szCs w:val="11"/>
                <w:color w:val="auto"/>
              </w:rPr>
              <w:t>Second Quarter 2020</w:t>
            </w:r>
          </w:p>
        </w:tc>
        <w:tc>
          <w:tcPr>
            <w:tcW w:w="1820" w:type="dxa"/>
            <w:vAlign w:val="bottom"/>
            <w:gridSpan w:val="2"/>
            <w:vMerge w:val="restart"/>
          </w:tcPr>
          <w:p>
            <w:pPr>
              <w:ind w:left="440"/>
              <w:spacing w:after="0"/>
              <w:rPr>
                <w:sz w:val="20"/>
                <w:szCs w:val="20"/>
                <w:color w:val="auto"/>
              </w:rPr>
            </w:pPr>
            <w:r>
              <w:rPr>
                <w:rFonts w:ascii="Arial" w:cs="Arial" w:eastAsia="Arial" w:hAnsi="Arial"/>
                <w:sz w:val="11"/>
                <w:szCs w:val="11"/>
                <w:color w:val="auto"/>
              </w:rPr>
              <w:t>June 26, 2020</w:t>
            </w:r>
          </w:p>
        </w:tc>
        <w:tc>
          <w:tcPr>
            <w:tcW w:w="1360" w:type="dxa"/>
            <w:vAlign w:val="bottom"/>
            <w:vMerge w:val="restart"/>
          </w:tcPr>
          <w:p>
            <w:pPr>
              <w:jc w:val="right"/>
              <w:spacing w:after="0"/>
              <w:rPr>
                <w:sz w:val="20"/>
                <w:szCs w:val="20"/>
                <w:color w:val="auto"/>
              </w:rPr>
            </w:pPr>
            <w:r>
              <w:rPr>
                <w:rFonts w:ascii="Arial" w:cs="Arial" w:eastAsia="Arial" w:hAnsi="Arial"/>
                <w:sz w:val="11"/>
                <w:szCs w:val="11"/>
                <w:color w:val="auto"/>
              </w:rPr>
              <w:t>$129,071</w:t>
            </w:r>
          </w:p>
        </w:tc>
        <w:tc>
          <w:tcPr>
            <w:tcW w:w="0" w:type="dxa"/>
            <w:vAlign w:val="bottom"/>
          </w:tcPr>
          <w:p>
            <w:pPr>
              <w:spacing w:after="0"/>
              <w:rPr>
                <w:sz w:val="1"/>
                <w:szCs w:val="1"/>
                <w:color w:val="auto"/>
              </w:rPr>
            </w:pPr>
          </w:p>
        </w:tc>
      </w:tr>
      <w:tr>
        <w:trPr>
          <w:trHeight w:val="139"/>
        </w:trPr>
        <w:tc>
          <w:tcPr>
            <w:tcW w:w="44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00" w:type="dxa"/>
            <w:vAlign w:val="bottom"/>
            <w:gridSpan w:val="2"/>
          </w:tcPr>
          <w:p>
            <w:pPr>
              <w:ind w:left="380"/>
              <w:spacing w:after="0"/>
              <w:rPr>
                <w:sz w:val="20"/>
                <w:szCs w:val="20"/>
                <w:color w:val="auto"/>
              </w:rPr>
            </w:pPr>
            <w:r>
              <w:rPr>
                <w:rFonts w:ascii="Arial" w:cs="Arial" w:eastAsia="Arial" w:hAnsi="Arial"/>
                <w:sz w:val="11"/>
                <w:szCs w:val="11"/>
                <w:color w:val="auto"/>
              </w:rPr>
              <w:t>Stock</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440" w:type="dxa"/>
            <w:vAlign w:val="bottom"/>
            <w:shd w:val="clear" w:color="auto" w:fill="CCEEFF"/>
          </w:tcPr>
          <w:p>
            <w:pPr>
              <w:spacing w:after="0"/>
              <w:rPr>
                <w:sz w:val="9"/>
                <w:szCs w:val="9"/>
                <w:color w:val="auto"/>
              </w:rPr>
            </w:pPr>
          </w:p>
        </w:tc>
        <w:tc>
          <w:tcPr>
            <w:tcW w:w="1680" w:type="dxa"/>
            <w:vAlign w:val="bottom"/>
            <w:gridSpan w:val="3"/>
            <w:vMerge w:val="restart"/>
            <w:shd w:val="clear" w:color="auto" w:fill="CCEEFF"/>
          </w:tcPr>
          <w:p>
            <w:pPr>
              <w:spacing w:after="0"/>
              <w:rPr>
                <w:sz w:val="20"/>
                <w:szCs w:val="20"/>
                <w:color w:val="auto"/>
              </w:rPr>
            </w:pPr>
            <w:r>
              <w:rPr>
                <w:rFonts w:ascii="Arial" w:cs="Arial" w:eastAsia="Arial" w:hAnsi="Arial"/>
                <w:sz w:val="11"/>
                <w:szCs w:val="11"/>
                <w:color w:val="auto"/>
              </w:rPr>
              <w:t>August 6, 2020</w:t>
            </w:r>
          </w:p>
        </w:tc>
        <w:tc>
          <w:tcPr>
            <w:tcW w:w="1820" w:type="dxa"/>
            <w:vAlign w:val="bottom"/>
            <w:gridSpan w:val="2"/>
            <w:vMerge w:val="restart"/>
            <w:shd w:val="clear" w:color="auto" w:fill="CCEEFF"/>
          </w:tcPr>
          <w:p>
            <w:pPr>
              <w:ind w:left="460"/>
              <w:spacing w:after="0"/>
              <w:rPr>
                <w:sz w:val="20"/>
                <w:szCs w:val="20"/>
                <w:color w:val="auto"/>
              </w:rPr>
            </w:pPr>
            <w:r>
              <w:rPr>
                <w:rFonts w:ascii="Arial" w:cs="Arial" w:eastAsia="Arial" w:hAnsi="Arial"/>
                <w:sz w:val="11"/>
                <w:szCs w:val="11"/>
                <w:color w:val="auto"/>
              </w:rPr>
              <w:t>August 17, 2020</w:t>
            </w:r>
          </w:p>
        </w:tc>
        <w:tc>
          <w:tcPr>
            <w:tcW w:w="1100" w:type="dxa"/>
            <w:vAlign w:val="bottom"/>
            <w:gridSpan w:val="2"/>
            <w:shd w:val="clear" w:color="auto" w:fill="CCEEFF"/>
          </w:tcPr>
          <w:p>
            <w:pPr>
              <w:ind w:left="520"/>
              <w:spacing w:after="0" w:line="115" w:lineRule="exact"/>
              <w:rPr>
                <w:sz w:val="20"/>
                <w:szCs w:val="20"/>
                <w:color w:val="auto"/>
              </w:rPr>
            </w:pPr>
            <w:r>
              <w:rPr>
                <w:rFonts w:ascii="Arial" w:cs="Arial" w:eastAsia="Arial" w:hAnsi="Arial"/>
                <w:sz w:val="11"/>
                <w:szCs w:val="11"/>
                <w:color w:val="auto"/>
              </w:rPr>
              <w:t>Common</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$0.60</w:t>
            </w:r>
          </w:p>
        </w:tc>
        <w:tc>
          <w:tcPr>
            <w:tcW w:w="80" w:type="dxa"/>
            <w:vAlign w:val="bottom"/>
            <w:shd w:val="clear" w:color="auto" w:fill="CCEEFF"/>
          </w:tcPr>
          <w:p>
            <w:pPr>
              <w:spacing w:after="0"/>
              <w:rPr>
                <w:sz w:val="9"/>
                <w:szCs w:val="9"/>
                <w:color w:val="auto"/>
              </w:rPr>
            </w:pPr>
          </w:p>
        </w:tc>
        <w:tc>
          <w:tcPr>
            <w:tcW w:w="1940" w:type="dxa"/>
            <w:vAlign w:val="bottom"/>
            <w:gridSpan w:val="2"/>
            <w:vMerge w:val="restart"/>
            <w:shd w:val="clear" w:color="auto" w:fill="CCEEFF"/>
          </w:tcPr>
          <w:p>
            <w:pPr>
              <w:ind w:left="460"/>
              <w:spacing w:after="0"/>
              <w:rPr>
                <w:sz w:val="20"/>
                <w:szCs w:val="20"/>
                <w:color w:val="auto"/>
              </w:rPr>
            </w:pPr>
            <w:r>
              <w:rPr>
                <w:rFonts w:ascii="Arial" w:cs="Arial" w:eastAsia="Arial" w:hAnsi="Arial"/>
                <w:sz w:val="11"/>
                <w:szCs w:val="11"/>
                <w:color w:val="auto"/>
              </w:rPr>
              <w:t>Third Quarter 2020</w:t>
            </w:r>
          </w:p>
        </w:tc>
        <w:tc>
          <w:tcPr>
            <w:tcW w:w="182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September 25, 2020</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$130,697</w:t>
            </w:r>
          </w:p>
        </w:tc>
        <w:tc>
          <w:tcPr>
            <w:tcW w:w="0" w:type="dxa"/>
            <w:vAlign w:val="bottom"/>
          </w:tcPr>
          <w:p>
            <w:pPr>
              <w:spacing w:after="0"/>
              <w:rPr>
                <w:sz w:val="1"/>
                <w:szCs w:val="1"/>
                <w:color w:val="auto"/>
              </w:rPr>
            </w:pPr>
          </w:p>
        </w:tc>
      </w:tr>
      <w:tr>
        <w:trPr>
          <w:trHeight w:val="141"/>
        </w:trPr>
        <w:tc>
          <w:tcPr>
            <w:tcW w:w="440" w:type="dxa"/>
            <w:vAlign w:val="bottom"/>
            <w:shd w:val="clear" w:color="auto" w:fill="CCEEFF"/>
          </w:tcPr>
          <w:p>
            <w:pPr>
              <w:spacing w:after="0"/>
              <w:rPr>
                <w:sz w:val="12"/>
                <w:szCs w:val="12"/>
                <w:color w:val="auto"/>
              </w:rPr>
            </w:pPr>
          </w:p>
        </w:tc>
        <w:tc>
          <w:tcPr>
            <w:tcW w:w="1680" w:type="dxa"/>
            <w:vAlign w:val="bottom"/>
            <w:gridSpan w:val="3"/>
            <w:vMerge w:val="continue"/>
            <w:shd w:val="clear" w:color="auto" w:fill="CCEEFF"/>
          </w:tcPr>
          <w:p>
            <w:pPr>
              <w:spacing w:after="0"/>
              <w:rPr>
                <w:sz w:val="12"/>
                <w:szCs w:val="12"/>
                <w:color w:val="auto"/>
              </w:rPr>
            </w:pPr>
          </w:p>
        </w:tc>
        <w:tc>
          <w:tcPr>
            <w:tcW w:w="1820" w:type="dxa"/>
            <w:vAlign w:val="bottom"/>
            <w:gridSpan w:val="2"/>
            <w:vMerge w:val="continue"/>
            <w:shd w:val="clear" w:color="auto" w:fill="CCEEFF"/>
          </w:tcPr>
          <w:p>
            <w:pPr>
              <w:spacing w:after="0"/>
              <w:rPr>
                <w:sz w:val="12"/>
                <w:szCs w:val="12"/>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Stock</w:t>
            </w: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40" w:type="dxa"/>
            <w:vAlign w:val="bottom"/>
            <w:gridSpan w:val="2"/>
            <w:vMerge w:val="continue"/>
            <w:shd w:val="clear" w:color="auto" w:fill="CCEEFF"/>
          </w:tcPr>
          <w:p>
            <w:pPr>
              <w:spacing w:after="0"/>
              <w:rPr>
                <w:sz w:val="12"/>
                <w:szCs w:val="12"/>
                <w:color w:val="auto"/>
              </w:rPr>
            </w:pPr>
          </w:p>
        </w:tc>
        <w:tc>
          <w:tcPr>
            <w:tcW w:w="1820" w:type="dxa"/>
            <w:vAlign w:val="bottom"/>
            <w:gridSpan w:val="2"/>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520" w:firstLine="426"/>
        <w:spacing w:after="0" w:line="325" w:lineRule="auto"/>
        <w:tabs>
          <w:tab w:leader="none" w:pos="605" w:val="left"/>
        </w:tabs>
        <w:numPr>
          <w:ilvl w:val="0"/>
          <w:numId w:val="18"/>
        </w:numPr>
        <w:rPr>
          <w:rFonts w:ascii="Arial" w:cs="Arial" w:eastAsia="Arial" w:hAnsi="Arial"/>
          <w:sz w:val="11"/>
          <w:szCs w:val="11"/>
          <w:color w:val="auto"/>
        </w:rPr>
      </w:pPr>
      <w:r>
        <w:rPr>
          <w:rFonts w:ascii="Arial" w:cs="Arial" w:eastAsia="Arial" w:hAnsi="Arial"/>
          <w:sz w:val="11"/>
          <w:szCs w:val="11"/>
          <w:color w:val="auto"/>
        </w:rPr>
        <w:t>Dividend distributed on June 26, 2020 was paid $25.8 million in cash and $103.2 million in stock (2,697,946 shares at $38.2643). Dividend distributed on September 25, 2020 was paid $26.2 million in cash and $104.5 million in stock (2,767,704 shares at $37.7635). For accounting purposes since the Company was in an accumulated deficit position the value of the stock dividend was recorded at its par value.</w:t>
      </w:r>
    </w:p>
    <w:p>
      <w:pPr>
        <w:spacing w:after="0" w:line="101" w:lineRule="exact"/>
        <w:rPr>
          <w:sz w:val="20"/>
          <w:szCs w:val="20"/>
          <w:color w:val="auto"/>
        </w:rPr>
      </w:pPr>
    </w:p>
    <w:p>
      <w:pPr>
        <w:ind w:right="80" w:firstLine="434"/>
        <w:spacing w:after="0" w:line="235" w:lineRule="auto"/>
        <w:rPr>
          <w:sz w:val="20"/>
          <w:szCs w:val="20"/>
          <w:color w:val="auto"/>
        </w:rPr>
      </w:pPr>
      <w:r>
        <w:rPr>
          <w:rFonts w:ascii="Arial" w:cs="Arial" w:eastAsia="Arial" w:hAnsi="Arial"/>
          <w:sz w:val="12"/>
          <w:szCs w:val="12"/>
          <w:color w:val="auto"/>
        </w:rPr>
        <w:t>In addition, for both the three and nine months ended September 30, 2021 and 2020, dividend payments were made to GLPI restricted stock award holders in the amount of $0.2 million and $0.6 million, respectively. Dividends distributed to the Company's employees on June 26, 2020 were paid $33 thousand in cash and $153 thousand in stock (4,006 shares at $38.2643). Dividends distributed to the Company's employees on September 25, 2020 were paid $32 thousand in cash and $217 thousand in stock (5,746 shares at $37.7635).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60"/>
          </w:cols>
          <w:pgMar w:left="300" w:top="646" w:right="33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auto"/>
        </w:rPr>
        <w:t>14. Stock-Based Compensation</w:t>
      </w:r>
    </w:p>
    <w:p>
      <w:pPr>
        <w:spacing w:after="0" w:line="155" w:lineRule="exact"/>
        <w:rPr>
          <w:sz w:val="20"/>
          <w:szCs w:val="20"/>
          <w:color w:val="auto"/>
        </w:rPr>
      </w:pPr>
    </w:p>
    <w:p>
      <w:pPr>
        <w:ind w:right="320" w:firstLine="434"/>
        <w:spacing w:after="0" w:line="342" w:lineRule="auto"/>
        <w:rPr>
          <w:sz w:val="20"/>
          <w:szCs w:val="20"/>
          <w:color w:val="auto"/>
        </w:rPr>
      </w:pPr>
      <w:r>
        <w:rPr>
          <w:rFonts w:ascii="Arial" w:cs="Arial" w:eastAsia="Arial" w:hAnsi="Arial"/>
          <w:sz w:val="10"/>
          <w:szCs w:val="10"/>
          <w:color w:val="auto"/>
        </w:rPr>
        <w:t xml:space="preserve">The Company accounts for stock compensation under ASC 718 - </w:t>
      </w:r>
      <w:r>
        <w:rPr>
          <w:rFonts w:ascii="Arial" w:cs="Arial" w:eastAsia="Arial" w:hAnsi="Arial"/>
          <w:sz w:val="10"/>
          <w:szCs w:val="10"/>
          <w:i w:val="1"/>
          <w:iCs w:val="1"/>
          <w:color w:val="auto"/>
        </w:rPr>
        <w:t>Compensation - Stock Compensation,</w:t>
      </w:r>
      <w:r>
        <w:rPr>
          <w:rFonts w:ascii="Arial" w:cs="Arial" w:eastAsia="Arial" w:hAnsi="Arial"/>
          <w:sz w:val="10"/>
          <w:szCs w:val="10"/>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87" w:lineRule="exact"/>
        <w:rPr>
          <w:sz w:val="20"/>
          <w:szCs w:val="20"/>
          <w:color w:val="auto"/>
        </w:rPr>
      </w:pPr>
    </w:p>
    <w:p>
      <w:pPr>
        <w:ind w:right="120" w:firstLine="434"/>
        <w:spacing w:after="0" w:line="260" w:lineRule="auto"/>
        <w:rPr>
          <w:sz w:val="20"/>
          <w:szCs w:val="20"/>
          <w:color w:val="auto"/>
        </w:rPr>
      </w:pPr>
      <w:r>
        <w:rPr>
          <w:rFonts w:ascii="Arial" w:cs="Arial" w:eastAsia="Arial" w:hAnsi="Arial"/>
          <w:sz w:val="12"/>
          <w:szCs w:val="12"/>
          <w:color w:val="auto"/>
        </w:rPr>
        <w:t>As of September 30, 2021, there was $4.3 million of total unrecognized compensation cost for restricted stock awards that will be recognized over the grants' remaining weighted average vesting period of 1.66 years. For the three and nine months ended September 30, 2021, the Company recognized $1.4 million and $6.0 million of compensation expense associated with these awards, compared to $4.5 million and $8.0 million for the three and nine months ended September 30, 2020, within general and administrative expenses on the condensed consolidated statements of income. The reason for the decline was due to stock compensation acceleration charges associated with our previous chief financial officer.</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contains information on restricted stock award activity for the nine months ended September 30, 2021:</w:t>
      </w:r>
    </w:p>
    <w:p>
      <w:pPr>
        <w:spacing w:after="0" w:line="9" w:lineRule="exact"/>
        <w:rPr>
          <w:sz w:val="20"/>
          <w:szCs w:val="20"/>
          <w:color w:val="auto"/>
        </w:rPr>
      </w:pPr>
    </w:p>
    <w:tbl>
      <w:tblPr>
        <w:tblLayout w:type="fixed"/>
        <w:tblInd w:w="272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1860" w:type="dxa"/>
            <w:vAlign w:val="bottom"/>
          </w:tcPr>
          <w:p>
            <w:pPr>
              <w:jc w:val="right"/>
              <w:ind w:right="283"/>
              <w:spacing w:after="0"/>
              <w:rPr>
                <w:sz w:val="20"/>
                <w:szCs w:val="20"/>
                <w:color w:val="auto"/>
              </w:rPr>
            </w:pPr>
            <w:r>
              <w:rPr>
                <w:rFonts w:ascii="Arial" w:cs="Arial" w:eastAsia="Arial" w:hAnsi="Arial"/>
                <w:sz w:val="10"/>
                <w:szCs w:val="10"/>
                <w:b w:val="1"/>
                <w:bCs w:val="1"/>
                <w:color w:val="auto"/>
              </w:rPr>
              <w:t>Number of Award</w:t>
            </w:r>
          </w:p>
        </w:tc>
      </w:tr>
      <w:tr>
        <w:trPr>
          <w:trHeight w:val="124"/>
        </w:trPr>
        <w:tc>
          <w:tcPr>
            <w:tcW w:w="4680" w:type="dxa"/>
            <w:vAlign w:val="bottom"/>
          </w:tcPr>
          <w:p>
            <w:pPr>
              <w:spacing w:after="0"/>
              <w:rPr>
                <w:sz w:val="10"/>
                <w:szCs w:val="10"/>
                <w:color w:val="auto"/>
              </w:rPr>
            </w:pPr>
          </w:p>
        </w:tc>
        <w:tc>
          <w:tcPr>
            <w:tcW w:w="1860" w:type="dxa"/>
            <w:vAlign w:val="bottom"/>
            <w:tcBorders>
              <w:bottom w:val="single" w:sz="8" w:color="auto"/>
            </w:tcBorders>
          </w:tcPr>
          <w:p>
            <w:pPr>
              <w:jc w:val="right"/>
              <w:ind w:right="743"/>
              <w:spacing w:after="0"/>
              <w:rPr>
                <w:sz w:val="20"/>
                <w:szCs w:val="20"/>
                <w:color w:val="auto"/>
              </w:rPr>
            </w:pPr>
            <w:r>
              <w:rPr>
                <w:rFonts w:ascii="Arial" w:cs="Arial" w:eastAsia="Arial" w:hAnsi="Arial"/>
                <w:sz w:val="10"/>
                <w:szCs w:val="10"/>
                <w:b w:val="1"/>
                <w:bCs w:val="1"/>
                <w:color w:val="auto"/>
              </w:rPr>
              <w:t>Shares</w:t>
            </w:r>
          </w:p>
        </w:tc>
      </w:tr>
      <w:tr>
        <w:trPr>
          <w:trHeight w:val="145"/>
        </w:trPr>
        <w:tc>
          <w:tcPr>
            <w:tcW w:w="4680" w:type="dxa"/>
            <w:vAlign w:val="bottom"/>
          </w:tcPr>
          <w:p>
            <w:pPr>
              <w:ind w:left="440"/>
              <w:spacing w:after="0"/>
              <w:rPr>
                <w:sz w:val="20"/>
                <w:szCs w:val="20"/>
                <w:color w:val="auto"/>
              </w:rPr>
            </w:pPr>
            <w:r>
              <w:rPr>
                <w:rFonts w:ascii="Arial" w:cs="Arial" w:eastAsia="Arial" w:hAnsi="Arial"/>
                <w:sz w:val="12"/>
                <w:szCs w:val="12"/>
                <w:color w:val="auto"/>
              </w:rPr>
              <w:t>Outstanding at December 31, 2020</w:t>
            </w:r>
          </w:p>
        </w:tc>
        <w:tc>
          <w:tcPr>
            <w:tcW w:w="1860" w:type="dxa"/>
            <w:vAlign w:val="bottom"/>
          </w:tcPr>
          <w:p>
            <w:pPr>
              <w:jc w:val="right"/>
              <w:ind w:right="3"/>
              <w:spacing w:after="0"/>
              <w:rPr>
                <w:sz w:val="20"/>
                <w:szCs w:val="20"/>
                <w:color w:val="auto"/>
              </w:rPr>
            </w:pPr>
            <w:r>
              <w:rPr>
                <w:rFonts w:ascii="Arial" w:cs="Arial" w:eastAsia="Arial" w:hAnsi="Arial"/>
                <w:sz w:val="12"/>
                <w:szCs w:val="12"/>
                <w:color w:val="auto"/>
              </w:rPr>
              <w:t>252,560</w:t>
            </w:r>
          </w:p>
        </w:tc>
      </w:tr>
      <w:tr>
        <w:trPr>
          <w:trHeight w:val="154"/>
        </w:trPr>
        <w:tc>
          <w:tcPr>
            <w:tcW w:w="46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Granted</w:t>
            </w: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236,569</w:t>
            </w:r>
          </w:p>
        </w:tc>
      </w:tr>
      <w:tr>
        <w:trPr>
          <w:trHeight w:val="154"/>
        </w:trPr>
        <w:tc>
          <w:tcPr>
            <w:tcW w:w="4680" w:type="dxa"/>
            <w:vAlign w:val="bottom"/>
          </w:tcPr>
          <w:p>
            <w:pPr>
              <w:ind w:left="440"/>
              <w:spacing w:after="0"/>
              <w:rPr>
                <w:sz w:val="20"/>
                <w:szCs w:val="20"/>
                <w:color w:val="auto"/>
              </w:rPr>
            </w:pPr>
            <w:r>
              <w:rPr>
                <w:rFonts w:ascii="Arial" w:cs="Arial" w:eastAsia="Arial" w:hAnsi="Arial"/>
                <w:sz w:val="12"/>
                <w:szCs w:val="12"/>
                <w:color w:val="auto"/>
              </w:rPr>
              <w:t>Released</w:t>
            </w:r>
          </w:p>
        </w:tc>
        <w:tc>
          <w:tcPr>
            <w:tcW w:w="1860" w:type="dxa"/>
            <w:vAlign w:val="bottom"/>
          </w:tcPr>
          <w:p>
            <w:pPr>
              <w:jc w:val="right"/>
              <w:spacing w:after="0"/>
              <w:rPr>
                <w:sz w:val="20"/>
                <w:szCs w:val="20"/>
                <w:color w:val="auto"/>
              </w:rPr>
            </w:pPr>
            <w:r>
              <w:rPr>
                <w:rFonts w:ascii="Arial" w:cs="Arial" w:eastAsia="Arial" w:hAnsi="Arial"/>
                <w:sz w:val="12"/>
                <w:szCs w:val="12"/>
                <w:color w:val="auto"/>
              </w:rPr>
              <w:t>(223,322)</w:t>
            </w:r>
          </w:p>
        </w:tc>
      </w:tr>
      <w:tr>
        <w:trPr>
          <w:trHeight w:val="154"/>
        </w:trPr>
        <w:tc>
          <w:tcPr>
            <w:tcW w:w="46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Canceled</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(849)</w:t>
            </w:r>
          </w:p>
        </w:tc>
      </w:tr>
      <w:tr>
        <w:trPr>
          <w:trHeight w:val="143"/>
        </w:trPr>
        <w:tc>
          <w:tcPr>
            <w:tcW w:w="4680" w:type="dxa"/>
            <w:vAlign w:val="bottom"/>
          </w:tcPr>
          <w:p>
            <w:pPr>
              <w:ind w:left="440"/>
              <w:spacing w:after="0"/>
              <w:rPr>
                <w:sz w:val="20"/>
                <w:szCs w:val="20"/>
                <w:color w:val="auto"/>
              </w:rPr>
            </w:pPr>
            <w:r>
              <w:rPr>
                <w:rFonts w:ascii="Arial" w:cs="Arial" w:eastAsia="Arial" w:hAnsi="Arial"/>
                <w:sz w:val="12"/>
                <w:szCs w:val="12"/>
                <w:color w:val="auto"/>
              </w:rPr>
              <w:t>Outstanding at September 30, 2021</w:t>
            </w:r>
          </w:p>
        </w:tc>
        <w:tc>
          <w:tcPr>
            <w:tcW w:w="18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264,958</w:t>
            </w:r>
          </w:p>
        </w:tc>
      </w:tr>
      <w:tr>
        <w:trPr>
          <w:trHeight w:val="20"/>
        </w:trPr>
        <w:tc>
          <w:tcPr>
            <w:tcW w:w="46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firstLine="434"/>
        <w:spacing w:after="0" w:line="284" w:lineRule="auto"/>
        <w:rPr>
          <w:sz w:val="20"/>
          <w:szCs w:val="20"/>
          <w:color w:val="auto"/>
        </w:rPr>
      </w:pPr>
      <w:r>
        <w:rPr>
          <w:rFonts w:ascii="Arial" w:cs="Arial" w:eastAsia="Arial" w:hAnsi="Arial"/>
          <w:sz w:val="11"/>
          <w:szCs w:val="11"/>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As of September 30, 2021, there was $13.7 million of total unrecognized compensation cost, which will be recognized over the performance-based restricted stock awards' remaining weighted average vesting period of 1.87 years. For the three and nine months ended September 30, 2021, the Company recognized $2.4 million and $7.2 million of compensation expense associated with these awards within general and administrative expenses on the condensed consolidated statements of income compared to $3.9 million and $8.7 million for the corresponding periods in the prior year.</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contains information on performance-based restricted stock award activity for the nine months ended September 30, 2021:</w:t>
      </w:r>
    </w:p>
    <w:p>
      <w:pPr>
        <w:spacing w:after="0" w:line="191" w:lineRule="exact"/>
        <w:rPr>
          <w:sz w:val="20"/>
          <w:szCs w:val="20"/>
          <w:color w:val="auto"/>
        </w:rPr>
      </w:pPr>
    </w:p>
    <w:tbl>
      <w:tblPr>
        <w:tblLayout w:type="fixed"/>
        <w:tblInd w:w="860" w:type="dxa"/>
        <w:tblCellMar>
          <w:top w:w="0" w:type="dxa"/>
          <w:left w:w="0" w:type="dxa"/>
          <w:bottom w:w="0" w:type="dxa"/>
          <w:right w:w="0" w:type="dxa"/>
        </w:tblCellMar>
      </w:tblPr>
      <w:tr>
        <w:trPr>
          <w:trHeight w:val="124"/>
        </w:trPr>
        <w:tc>
          <w:tcPr>
            <w:tcW w:w="4340" w:type="dxa"/>
            <w:vAlign w:val="bottom"/>
          </w:tcPr>
          <w:p>
            <w:pPr>
              <w:spacing w:after="0"/>
              <w:rPr>
                <w:sz w:val="10"/>
                <w:szCs w:val="10"/>
                <w:color w:val="auto"/>
              </w:rPr>
            </w:pPr>
          </w:p>
        </w:tc>
        <w:tc>
          <w:tcPr>
            <w:tcW w:w="224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w w:val="94"/>
              </w:rPr>
              <w:t>Number of Performance-Based Award Shares</w:t>
            </w:r>
          </w:p>
        </w:tc>
      </w:tr>
      <w:tr>
        <w:trPr>
          <w:trHeight w:val="151"/>
        </w:trPr>
        <w:tc>
          <w:tcPr>
            <w:tcW w:w="4340" w:type="dxa"/>
            <w:vAlign w:val="bottom"/>
          </w:tcPr>
          <w:p>
            <w:pPr>
              <w:ind w:left="20"/>
              <w:spacing w:after="0"/>
              <w:rPr>
                <w:sz w:val="20"/>
                <w:szCs w:val="20"/>
                <w:color w:val="auto"/>
              </w:rPr>
            </w:pPr>
            <w:r>
              <w:rPr>
                <w:rFonts w:ascii="Arial" w:cs="Arial" w:eastAsia="Arial" w:hAnsi="Arial"/>
                <w:sz w:val="12"/>
                <w:szCs w:val="12"/>
                <w:color w:val="auto"/>
              </w:rPr>
              <w:t>Outstanding at December 31, 2020</w:t>
            </w:r>
          </w:p>
        </w:tc>
        <w:tc>
          <w:tcPr>
            <w:tcW w:w="2240" w:type="dxa"/>
            <w:vAlign w:val="bottom"/>
          </w:tcPr>
          <w:p>
            <w:pPr>
              <w:jc w:val="right"/>
              <w:ind w:right="2"/>
              <w:spacing w:after="0"/>
              <w:rPr>
                <w:sz w:val="20"/>
                <w:szCs w:val="20"/>
                <w:color w:val="auto"/>
              </w:rPr>
            </w:pPr>
            <w:r>
              <w:rPr>
                <w:rFonts w:ascii="Arial" w:cs="Arial" w:eastAsia="Arial" w:hAnsi="Arial"/>
                <w:sz w:val="12"/>
                <w:szCs w:val="12"/>
                <w:color w:val="auto"/>
              </w:rPr>
              <w:t>1,193,994</w:t>
            </w:r>
          </w:p>
        </w:tc>
      </w:tr>
      <w:tr>
        <w:trPr>
          <w:trHeight w:val="154"/>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Granted</w:t>
            </w:r>
          </w:p>
        </w:tc>
        <w:tc>
          <w:tcPr>
            <w:tcW w:w="2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478,000</w:t>
            </w:r>
          </w:p>
        </w:tc>
      </w:tr>
      <w:tr>
        <w:trPr>
          <w:trHeight w:val="154"/>
        </w:trPr>
        <w:tc>
          <w:tcPr>
            <w:tcW w:w="4340" w:type="dxa"/>
            <w:vAlign w:val="bottom"/>
          </w:tcPr>
          <w:p>
            <w:pPr>
              <w:ind w:left="20"/>
              <w:spacing w:after="0"/>
              <w:rPr>
                <w:sz w:val="20"/>
                <w:szCs w:val="20"/>
                <w:color w:val="auto"/>
              </w:rPr>
            </w:pPr>
            <w:r>
              <w:rPr>
                <w:rFonts w:ascii="Arial" w:cs="Arial" w:eastAsia="Arial" w:hAnsi="Arial"/>
                <w:sz w:val="12"/>
                <w:szCs w:val="12"/>
                <w:color w:val="auto"/>
              </w:rPr>
              <w:t>Released</w:t>
            </w:r>
          </w:p>
        </w:tc>
        <w:tc>
          <w:tcPr>
            <w:tcW w:w="2240" w:type="dxa"/>
            <w:vAlign w:val="bottom"/>
          </w:tcPr>
          <w:p>
            <w:pPr>
              <w:jc w:val="right"/>
              <w:spacing w:after="0"/>
              <w:rPr>
                <w:sz w:val="20"/>
                <w:szCs w:val="20"/>
                <w:color w:val="auto"/>
              </w:rPr>
            </w:pPr>
            <w:r>
              <w:rPr>
                <w:rFonts w:ascii="Arial" w:cs="Arial" w:eastAsia="Arial" w:hAnsi="Arial"/>
                <w:sz w:val="12"/>
                <w:szCs w:val="12"/>
                <w:color w:val="auto"/>
              </w:rPr>
              <w:t>(366,888)</w:t>
            </w:r>
          </w:p>
        </w:tc>
      </w:tr>
      <w:tr>
        <w:trPr>
          <w:trHeight w:val="154"/>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Canceled</w:t>
            </w:r>
          </w:p>
        </w:tc>
        <w:tc>
          <w:tcPr>
            <w:tcW w:w="2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43"/>
        </w:trPr>
        <w:tc>
          <w:tcPr>
            <w:tcW w:w="4340" w:type="dxa"/>
            <w:vAlign w:val="bottom"/>
          </w:tcPr>
          <w:p>
            <w:pPr>
              <w:ind w:left="20"/>
              <w:spacing w:after="0"/>
              <w:rPr>
                <w:sz w:val="20"/>
                <w:szCs w:val="20"/>
                <w:color w:val="auto"/>
              </w:rPr>
            </w:pPr>
            <w:r>
              <w:rPr>
                <w:rFonts w:ascii="Arial" w:cs="Arial" w:eastAsia="Arial" w:hAnsi="Arial"/>
                <w:sz w:val="12"/>
                <w:szCs w:val="12"/>
                <w:color w:val="auto"/>
              </w:rPr>
              <w:t>Outstanding at September 30, 2021</w:t>
            </w:r>
          </w:p>
        </w:tc>
        <w:tc>
          <w:tcPr>
            <w:tcW w:w="2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1,305,106</w:t>
            </w:r>
          </w:p>
        </w:tc>
      </w:tr>
      <w:tr>
        <w:trPr>
          <w:trHeight w:val="20"/>
        </w:trPr>
        <w:tc>
          <w:tcPr>
            <w:tcW w:w="43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2" w:right="29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color w:val="auto"/>
        </w:rPr>
        <w:t>15.  Segment Information</w:t>
      </w:r>
    </w:p>
    <w:p>
      <w:pPr>
        <w:spacing w:after="0" w:line="173" w:lineRule="exact"/>
        <w:rPr>
          <w:sz w:val="20"/>
          <w:szCs w:val="20"/>
          <w:color w:val="auto"/>
        </w:rPr>
      </w:pPr>
    </w:p>
    <w:p>
      <w:pPr>
        <w:ind w:firstLine="434"/>
        <w:spacing w:after="0" w:line="258" w:lineRule="auto"/>
        <w:rPr>
          <w:sz w:val="20"/>
          <w:szCs w:val="20"/>
          <w:color w:val="auto"/>
        </w:rPr>
      </w:pPr>
      <w:r>
        <w:rPr>
          <w:rFonts w:ascii="Arial" w:cs="Arial" w:eastAsia="Arial" w:hAnsi="Arial"/>
          <w:sz w:val="12"/>
          <w:szCs w:val="12"/>
          <w:color w:val="auto"/>
        </w:rPr>
        <w:t xml:space="preserve">Consistent with how the Company’s Chief Operating Decision Maker (as such term is defined in ASC 280 - </w:t>
      </w:r>
      <w:r>
        <w:rPr>
          <w:rFonts w:ascii="Arial" w:cs="Arial" w:eastAsia="Arial" w:hAnsi="Arial"/>
          <w:sz w:val="12"/>
          <w:szCs w:val="12"/>
          <w:i w:val="1"/>
          <w:iCs w:val="1"/>
          <w:color w:val="auto"/>
        </w:rPr>
        <w:t>Segment Reporting</w:t>
      </w:r>
      <w:r>
        <w:rPr>
          <w:rFonts w:ascii="Arial" w:cs="Arial" w:eastAsia="Arial" w:hAnsi="Arial"/>
          <w:sz w:val="12"/>
          <w:szCs w:val="12"/>
          <w:color w:val="auto"/>
        </w:rPr>
        <w:t>) reviews and assesses the Company’s financial performance, the Company has two reportable segments, GLP Capital, L.P. (a wholly-owned subsidiary of GLPI through which GLPI owns substantially all of its real estate assets) and the TRS Segment. The GLP Capital reportable segment consists of the leased real property and represents the majority of the Company’s business. The TRS Segment consists of Hollywood Casino Perryville (until July 1, 2021 and subsequent to this date includes rental income from the Perryville Lease) and Hollywood Casino Baton Rouge, as well as the real estate of Tropicana Las Vegas. As discussed in Note 6, the Company anticipates completing transactions in the near future related to its TRS Segment. Once completed, the Company will only have one reportable segment.</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following tables present certain information with respect to the Company’s segments.</w:t>
      </w:r>
    </w:p>
    <w:p>
      <w:pPr>
        <w:spacing w:after="0" w:line="28" w:lineRule="exact"/>
        <w:rPr>
          <w:sz w:val="20"/>
          <w:szCs w:val="20"/>
          <w:color w:val="auto"/>
        </w:rPr>
      </w:pPr>
    </w:p>
    <w:tbl>
      <w:tblPr>
        <w:tblLayout w:type="fixed"/>
        <w:tblInd w:w="160" w:type="dxa"/>
        <w:tblCellMar>
          <w:top w:w="0" w:type="dxa"/>
          <w:left w:w="0" w:type="dxa"/>
          <w:bottom w:w="0" w:type="dxa"/>
          <w:right w:w="0" w:type="dxa"/>
        </w:tblCellMar>
      </w:tblPr>
      <w:tr>
        <w:trPr>
          <w:trHeight w:val="128"/>
        </w:trPr>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9"/>
          </w:tcPr>
          <w:p>
            <w:pPr>
              <w:ind w:left="620"/>
              <w:spacing w:after="0"/>
              <w:rPr>
                <w:sz w:val="20"/>
                <w:szCs w:val="20"/>
                <w:color w:val="auto"/>
              </w:rPr>
            </w:pPr>
            <w:r>
              <w:rPr>
                <w:rFonts w:ascii="Arial" w:cs="Arial" w:eastAsia="Arial" w:hAnsi="Arial"/>
                <w:sz w:val="10"/>
                <w:szCs w:val="10"/>
                <w:b w:val="1"/>
                <w:bCs w:val="1"/>
                <w:color w:val="auto"/>
              </w:rPr>
              <w:t>Three Months Ended September 30, 2021</w:t>
            </w:r>
          </w:p>
        </w:tc>
        <w:tc>
          <w:tcPr>
            <w:tcW w:w="3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gridSpan w:val="8"/>
          </w:tcPr>
          <w:p>
            <w:pPr>
              <w:ind w:left="720"/>
              <w:spacing w:after="0"/>
              <w:rPr>
                <w:sz w:val="20"/>
                <w:szCs w:val="20"/>
                <w:color w:val="auto"/>
              </w:rPr>
            </w:pPr>
            <w:r>
              <w:rPr>
                <w:rFonts w:ascii="Arial" w:cs="Arial" w:eastAsia="Arial" w:hAnsi="Arial"/>
                <w:sz w:val="10"/>
                <w:szCs w:val="10"/>
                <w:b w:val="1"/>
                <w:bCs w:val="1"/>
                <w:color w:val="auto"/>
              </w:rPr>
              <w:t>Three Months Ended September 30, 2020</w:t>
            </w: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r>
      <w:tr>
        <w:trPr>
          <w:trHeight w:val="120"/>
        </w:trPr>
        <w:tc>
          <w:tcPr>
            <w:tcW w:w="2600" w:type="dxa"/>
            <w:vAlign w:val="bottom"/>
            <w:gridSpan w:val="2"/>
          </w:tcPr>
          <w:p>
            <w:pPr>
              <w:spacing w:after="0"/>
              <w:rPr>
                <w:sz w:val="20"/>
                <w:szCs w:val="20"/>
                <w:color w:val="auto"/>
              </w:rPr>
            </w:pPr>
            <w:r>
              <w:rPr>
                <w:rFonts w:ascii="Arial" w:cs="Arial" w:eastAsia="Arial" w:hAnsi="Arial"/>
                <w:sz w:val="7"/>
                <w:szCs w:val="7"/>
                <w:b w:val="1"/>
                <w:bCs w:val="1"/>
                <w:color w:val="auto"/>
              </w:rPr>
              <w:t>(in thousands)</w:t>
            </w:r>
          </w:p>
        </w:tc>
        <w:tc>
          <w:tcPr>
            <w:tcW w:w="300" w:type="dxa"/>
            <w:vAlign w:val="bottom"/>
          </w:tcPr>
          <w:p>
            <w:pPr>
              <w:spacing w:after="0"/>
              <w:rPr>
                <w:sz w:val="10"/>
                <w:szCs w:val="10"/>
                <w:color w:val="auto"/>
              </w:rPr>
            </w:pPr>
          </w:p>
        </w:tc>
        <w:tc>
          <w:tcPr>
            <w:tcW w:w="1080" w:type="dxa"/>
            <w:vAlign w:val="bottom"/>
            <w:gridSpan w:val="3"/>
          </w:tcPr>
          <w:p>
            <w:pPr>
              <w:ind w:left="40"/>
              <w:spacing w:after="0" w:line="120" w:lineRule="exact"/>
              <w:rPr>
                <w:sz w:val="20"/>
                <w:szCs w:val="20"/>
                <w:color w:val="auto"/>
              </w:rPr>
            </w:pPr>
            <w:r>
              <w:rPr>
                <w:rFonts w:ascii="Arial" w:cs="Arial" w:eastAsia="Arial" w:hAnsi="Arial"/>
                <w:sz w:val="10"/>
                <w:szCs w:val="10"/>
                <w:b w:val="1"/>
                <w:bCs w:val="1"/>
                <w:color w:val="auto"/>
              </w:rPr>
              <w:t xml:space="preserve">GLP Capital </w:t>
            </w:r>
            <w:r>
              <w:rPr>
                <w:rFonts w:ascii="Arial" w:cs="Arial" w:eastAsia="Arial" w:hAnsi="Arial"/>
                <w:sz w:val="12"/>
                <w:szCs w:val="12"/>
                <w:b w:val="1"/>
                <w:bCs w:val="1"/>
                <w:color w:val="auto"/>
                <w:vertAlign w:val="superscript"/>
              </w:rPr>
              <w:t>(1)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352"/>
              <w:spacing w:after="0"/>
              <w:rPr>
                <w:sz w:val="20"/>
                <w:szCs w:val="20"/>
                <w:color w:val="auto"/>
              </w:rPr>
            </w:pPr>
            <w:r>
              <w:rPr>
                <w:rFonts w:ascii="Arial" w:cs="Arial" w:eastAsia="Arial" w:hAnsi="Arial"/>
                <w:sz w:val="10"/>
                <w:szCs w:val="10"/>
                <w:b w:val="1"/>
                <w:bCs w:val="1"/>
                <w:color w:val="auto"/>
                <w:w w:val="89"/>
              </w:rPr>
              <w:t>TRS Segment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b w:val="1"/>
                <w:bCs w:val="1"/>
                <w:color w:val="auto"/>
              </w:rPr>
              <w:t>Total</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right"/>
              <w:ind w:right="292"/>
              <w:spacing w:after="0" w:line="120" w:lineRule="exact"/>
              <w:rPr>
                <w:sz w:val="20"/>
                <w:szCs w:val="20"/>
                <w:color w:val="auto"/>
              </w:rPr>
            </w:pPr>
            <w:r>
              <w:rPr>
                <w:rFonts w:ascii="Arial" w:cs="Arial" w:eastAsia="Arial" w:hAnsi="Arial"/>
                <w:sz w:val="10"/>
                <w:szCs w:val="10"/>
                <w:b w:val="1"/>
                <w:bCs w:val="1"/>
                <w:color w:val="auto"/>
                <w:w w:val="92"/>
              </w:rPr>
              <w:t xml:space="preserve">GLP Capital </w:t>
            </w:r>
            <w:r>
              <w:rPr>
                <w:rFonts w:ascii="Arial" w:cs="Arial" w:eastAsia="Arial" w:hAnsi="Arial"/>
                <w:sz w:val="12"/>
                <w:szCs w:val="12"/>
                <w:b w:val="1"/>
                <w:bCs w:val="1"/>
                <w:color w:val="auto"/>
                <w:w w:val="92"/>
                <w:vertAlign w:val="superscript"/>
              </w:rPr>
              <w:t>(1)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ind w:right="352"/>
              <w:spacing w:after="0"/>
              <w:rPr>
                <w:sz w:val="20"/>
                <w:szCs w:val="20"/>
                <w:color w:val="auto"/>
              </w:rPr>
            </w:pPr>
            <w:r>
              <w:rPr>
                <w:rFonts w:ascii="Arial" w:cs="Arial" w:eastAsia="Arial" w:hAnsi="Arial"/>
                <w:sz w:val="10"/>
                <w:szCs w:val="10"/>
                <w:b w:val="1"/>
                <w:bCs w:val="1"/>
                <w:color w:val="auto"/>
                <w:w w:val="89"/>
              </w:rPr>
              <w:t>TRS Segment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372"/>
              <w:spacing w:after="0"/>
              <w:rPr>
                <w:sz w:val="20"/>
                <w:szCs w:val="20"/>
                <w:color w:val="auto"/>
              </w:rPr>
            </w:pPr>
            <w:r>
              <w:rPr>
                <w:rFonts w:ascii="Arial" w:cs="Arial" w:eastAsia="Arial" w:hAnsi="Arial"/>
                <w:sz w:val="10"/>
                <w:szCs w:val="10"/>
                <w:b w:val="1"/>
                <w:bCs w:val="1"/>
                <w:color w:val="auto"/>
                <w:w w:val="91"/>
              </w:rPr>
              <w:t>Total</w:t>
            </w:r>
          </w:p>
        </w:tc>
        <w:tc>
          <w:tcPr>
            <w:tcW w:w="360" w:type="dxa"/>
            <w:vAlign w:val="bottom"/>
          </w:tcPr>
          <w:p>
            <w:pPr>
              <w:spacing w:after="0"/>
              <w:rPr>
                <w:sz w:val="10"/>
                <w:szCs w:val="10"/>
                <w:color w:val="auto"/>
              </w:rPr>
            </w:pPr>
          </w:p>
        </w:tc>
      </w:tr>
      <w:tr>
        <w:trPr>
          <w:trHeight w:val="116"/>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Total revenues</w:t>
            </w: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281,251</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17,461</w:t>
            </w: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3"/>
              </w:rPr>
              <w:t>298,712</w:t>
            </w: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273,129</w:t>
            </w: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34,425</w:t>
            </w: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307,554</w:t>
            </w:r>
          </w:p>
        </w:tc>
        <w:tc>
          <w:tcPr>
            <w:tcW w:w="360" w:type="dxa"/>
            <w:vAlign w:val="bottom"/>
          </w:tcPr>
          <w:p>
            <w:pPr>
              <w:spacing w:after="0"/>
              <w:rPr>
                <w:sz w:val="10"/>
                <w:szCs w:val="10"/>
                <w:color w:val="auto"/>
              </w:rPr>
            </w:pPr>
          </w:p>
        </w:tc>
      </w:tr>
      <w:tr>
        <w:trPr>
          <w:trHeight w:val="124"/>
        </w:trPr>
        <w:tc>
          <w:tcPr>
            <w:tcW w:w="2600" w:type="dxa"/>
            <w:vAlign w:val="bottom"/>
            <w:gridSpan w:val="2"/>
          </w:tcPr>
          <w:p>
            <w:pPr>
              <w:spacing w:after="0"/>
              <w:rPr>
                <w:sz w:val="20"/>
                <w:szCs w:val="20"/>
                <w:color w:val="auto"/>
              </w:rPr>
            </w:pPr>
            <w:r>
              <w:rPr>
                <w:rFonts w:ascii="Arial" w:cs="Arial" w:eastAsia="Arial" w:hAnsi="Arial"/>
                <w:sz w:val="10"/>
                <w:szCs w:val="10"/>
                <w:color w:val="auto"/>
              </w:rPr>
              <w:t>Income from operations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201,721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23,378</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w w:val="93"/>
              </w:rPr>
              <w:t>225,099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192,369</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8,332</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200,701</w:t>
            </w:r>
          </w:p>
        </w:tc>
        <w:tc>
          <w:tcPr>
            <w:tcW w:w="360" w:type="dxa"/>
            <w:vAlign w:val="bottom"/>
          </w:tcPr>
          <w:p>
            <w:pPr>
              <w:spacing w:after="0"/>
              <w:rPr>
                <w:sz w:val="10"/>
                <w:szCs w:val="10"/>
                <w:color w:val="auto"/>
              </w:rPr>
            </w:pPr>
          </w:p>
        </w:tc>
      </w:tr>
      <w:tr>
        <w:trPr>
          <w:trHeight w:val="129"/>
        </w:trPr>
        <w:tc>
          <w:tcPr>
            <w:tcW w:w="2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Interest expense</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65,972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4,460</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70,432</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65,720</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4,459</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70,179</w:t>
            </w:r>
          </w:p>
        </w:tc>
        <w:tc>
          <w:tcPr>
            <w:tcW w:w="360" w:type="dxa"/>
            <w:vAlign w:val="bottom"/>
          </w:tcPr>
          <w:p>
            <w:pPr>
              <w:spacing w:after="0"/>
              <w:rPr>
                <w:sz w:val="11"/>
                <w:szCs w:val="11"/>
                <w:color w:val="auto"/>
              </w:rPr>
            </w:pPr>
          </w:p>
        </w:tc>
      </w:tr>
      <w:tr>
        <w:trPr>
          <w:trHeight w:val="124"/>
        </w:trPr>
        <w:tc>
          <w:tcPr>
            <w:tcW w:w="2600" w:type="dxa"/>
            <w:vAlign w:val="bottom"/>
            <w:gridSpan w:val="2"/>
          </w:tcPr>
          <w:p>
            <w:pPr>
              <w:spacing w:after="0"/>
              <w:rPr>
                <w:sz w:val="20"/>
                <w:szCs w:val="20"/>
                <w:color w:val="auto"/>
              </w:rPr>
            </w:pPr>
            <w:r>
              <w:rPr>
                <w:rFonts w:ascii="Arial" w:cs="Arial" w:eastAsia="Arial" w:hAnsi="Arial"/>
                <w:sz w:val="10"/>
                <w:szCs w:val="10"/>
                <w:color w:val="auto"/>
              </w:rPr>
              <w:t>Income before income taxes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135,755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18,918</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w w:val="93"/>
              </w:rPr>
              <w:t>154,673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125,892</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3,873</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129,765</w:t>
            </w:r>
          </w:p>
        </w:tc>
        <w:tc>
          <w:tcPr>
            <w:tcW w:w="360" w:type="dxa"/>
            <w:vAlign w:val="bottom"/>
          </w:tcPr>
          <w:p>
            <w:pPr>
              <w:spacing w:after="0"/>
              <w:rPr>
                <w:sz w:val="10"/>
                <w:szCs w:val="10"/>
                <w:color w:val="auto"/>
              </w:rPr>
            </w:pPr>
          </w:p>
        </w:tc>
      </w:tr>
      <w:tr>
        <w:trPr>
          <w:trHeight w:val="129"/>
        </w:trPr>
        <w:tc>
          <w:tcPr>
            <w:tcW w:w="2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Income tax expense</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5,410</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5,614</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206</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2,433</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2,639</w:t>
            </w:r>
          </w:p>
        </w:tc>
        <w:tc>
          <w:tcPr>
            <w:tcW w:w="360" w:type="dxa"/>
            <w:vAlign w:val="bottom"/>
          </w:tcPr>
          <w:p>
            <w:pPr>
              <w:spacing w:after="0"/>
              <w:rPr>
                <w:sz w:val="11"/>
                <w:szCs w:val="11"/>
                <w:color w:val="auto"/>
              </w:rPr>
            </w:pPr>
          </w:p>
        </w:tc>
      </w:tr>
      <w:tr>
        <w:trPr>
          <w:trHeight w:val="124"/>
        </w:trPr>
        <w:tc>
          <w:tcPr>
            <w:tcW w:w="2600" w:type="dxa"/>
            <w:vAlign w:val="bottom"/>
            <w:gridSpan w:val="2"/>
          </w:tcPr>
          <w:p>
            <w:pPr>
              <w:spacing w:after="0"/>
              <w:rPr>
                <w:sz w:val="20"/>
                <w:szCs w:val="20"/>
                <w:color w:val="auto"/>
              </w:rPr>
            </w:pPr>
            <w:r>
              <w:rPr>
                <w:rFonts w:ascii="Arial" w:cs="Arial" w:eastAsia="Arial" w:hAnsi="Arial"/>
                <w:sz w:val="10"/>
                <w:szCs w:val="10"/>
                <w:color w:val="auto"/>
              </w:rPr>
              <w:t>Net income</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135,551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13,508</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w w:val="93"/>
              </w:rPr>
              <w:t>149,059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125,686</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1,440</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127,126</w:t>
            </w:r>
          </w:p>
        </w:tc>
        <w:tc>
          <w:tcPr>
            <w:tcW w:w="360" w:type="dxa"/>
            <w:vAlign w:val="bottom"/>
          </w:tcPr>
          <w:p>
            <w:pPr>
              <w:spacing w:after="0"/>
              <w:rPr>
                <w:sz w:val="10"/>
                <w:szCs w:val="10"/>
                <w:color w:val="auto"/>
              </w:rPr>
            </w:pPr>
          </w:p>
        </w:tc>
      </w:tr>
      <w:tr>
        <w:trPr>
          <w:trHeight w:val="129"/>
        </w:trPr>
        <w:tc>
          <w:tcPr>
            <w:tcW w:w="2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Depreciation</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59,311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60,182</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55,595</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2,485</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58,080</w:t>
            </w:r>
          </w:p>
        </w:tc>
        <w:tc>
          <w:tcPr>
            <w:tcW w:w="360" w:type="dxa"/>
            <w:vAlign w:val="bottom"/>
          </w:tcPr>
          <w:p>
            <w:pPr>
              <w:spacing w:after="0"/>
              <w:rPr>
                <w:sz w:val="11"/>
                <w:szCs w:val="11"/>
                <w:color w:val="auto"/>
              </w:rPr>
            </w:pPr>
          </w:p>
        </w:tc>
      </w:tr>
      <w:tr>
        <w:trPr>
          <w:trHeight w:val="124"/>
        </w:trPr>
        <w:tc>
          <w:tcPr>
            <w:tcW w:w="2600" w:type="dxa"/>
            <w:vAlign w:val="bottom"/>
            <w:gridSpan w:val="2"/>
          </w:tcPr>
          <w:p>
            <w:pPr>
              <w:spacing w:after="0"/>
              <w:rPr>
                <w:sz w:val="20"/>
                <w:szCs w:val="20"/>
                <w:color w:val="auto"/>
              </w:rPr>
            </w:pPr>
            <w:r>
              <w:rPr>
                <w:rFonts w:ascii="Arial" w:cs="Arial" w:eastAsia="Arial" w:hAnsi="Arial"/>
                <w:sz w:val="10"/>
                <w:szCs w:val="10"/>
                <w:color w:val="auto"/>
              </w:rPr>
              <w:t>Capital project expenditures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490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490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0"/>
                <w:szCs w:val="10"/>
                <w:color w:val="auto"/>
              </w:rPr>
            </w:pPr>
          </w:p>
        </w:tc>
      </w:tr>
      <w:tr>
        <w:trPr>
          <w:trHeight w:val="129"/>
        </w:trPr>
        <w:tc>
          <w:tcPr>
            <w:tcW w:w="2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Capital maintenance expenditures</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477</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488</w:t>
            </w:r>
          </w:p>
        </w:tc>
        <w:tc>
          <w:tcPr>
            <w:tcW w:w="360" w:type="dxa"/>
            <w:vAlign w:val="bottom"/>
          </w:tcPr>
          <w:p>
            <w:pPr>
              <w:spacing w:after="0"/>
              <w:rPr>
                <w:sz w:val="11"/>
                <w:szCs w:val="11"/>
                <w:color w:val="auto"/>
              </w:rPr>
            </w:pPr>
          </w:p>
        </w:tc>
      </w:tr>
      <w:tr>
        <w:trPr>
          <w:trHeight w:val="367"/>
        </w:trPr>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ind w:left="100"/>
              <w:spacing w:after="0"/>
              <w:rPr>
                <w:sz w:val="20"/>
                <w:szCs w:val="20"/>
                <w:color w:val="auto"/>
              </w:rPr>
            </w:pPr>
            <w:r>
              <w:rPr>
                <w:rFonts w:ascii="Arial" w:cs="Arial" w:eastAsia="Arial" w:hAnsi="Arial"/>
                <w:sz w:val="10"/>
                <w:szCs w:val="10"/>
                <w:b w:val="1"/>
                <w:bCs w:val="1"/>
                <w:color w:val="auto"/>
                <w:w w:val="89"/>
              </w:rPr>
              <w:t>Nine Months Ended September 30, 2021</w:t>
            </w: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ind w:left="140"/>
              <w:spacing w:after="0"/>
              <w:rPr>
                <w:sz w:val="20"/>
                <w:szCs w:val="20"/>
                <w:color w:val="auto"/>
              </w:rPr>
            </w:pPr>
            <w:r>
              <w:rPr>
                <w:rFonts w:ascii="Arial" w:cs="Arial" w:eastAsia="Arial" w:hAnsi="Arial"/>
                <w:sz w:val="10"/>
                <w:szCs w:val="10"/>
                <w:b w:val="1"/>
                <w:bCs w:val="1"/>
                <w:color w:val="auto"/>
                <w:w w:val="86"/>
              </w:rPr>
              <w:t>Nine Months Ended September 30, 2020</w:t>
            </w: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120"/>
        </w:trPr>
        <w:tc>
          <w:tcPr>
            <w:tcW w:w="2600" w:type="dxa"/>
            <w:vAlign w:val="bottom"/>
            <w:gridSpan w:val="2"/>
          </w:tcPr>
          <w:p>
            <w:pPr>
              <w:spacing w:after="0"/>
              <w:rPr>
                <w:sz w:val="20"/>
                <w:szCs w:val="20"/>
                <w:color w:val="auto"/>
              </w:rPr>
            </w:pPr>
            <w:r>
              <w:rPr>
                <w:rFonts w:ascii="Arial" w:cs="Arial" w:eastAsia="Arial" w:hAnsi="Arial"/>
                <w:sz w:val="7"/>
                <w:szCs w:val="7"/>
                <w:b w:val="1"/>
                <w:bCs w:val="1"/>
                <w:color w:val="auto"/>
              </w:rPr>
              <w:t>(in thousands)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ind w:left="120"/>
              <w:spacing w:after="0" w:line="120" w:lineRule="exact"/>
              <w:rPr>
                <w:sz w:val="20"/>
                <w:szCs w:val="20"/>
                <w:color w:val="auto"/>
              </w:rPr>
            </w:pPr>
            <w:r>
              <w:rPr>
                <w:rFonts w:ascii="Arial" w:cs="Arial" w:eastAsia="Arial" w:hAnsi="Arial"/>
                <w:sz w:val="10"/>
                <w:szCs w:val="10"/>
                <w:b w:val="1"/>
                <w:bCs w:val="1"/>
                <w:color w:val="auto"/>
              </w:rPr>
              <w:t xml:space="preserve">GLP Capital </w:t>
            </w:r>
            <w:r>
              <w:rPr>
                <w:rFonts w:ascii="Arial" w:cs="Arial" w:eastAsia="Arial" w:hAnsi="Arial"/>
                <w:sz w:val="12"/>
                <w:szCs w:val="12"/>
                <w:b w:val="1"/>
                <w:bCs w:val="1"/>
                <w:color w:val="auto"/>
                <w:vertAlign w:val="superscript"/>
              </w:rPr>
              <w:t>(1)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b w:val="1"/>
                <w:bCs w:val="1"/>
                <w:color w:val="auto"/>
              </w:rPr>
              <w:t>TRS Segment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4"/>
          </w:tcPr>
          <w:p>
            <w:pPr>
              <w:ind w:left="320"/>
              <w:spacing w:after="0" w:line="120" w:lineRule="exact"/>
              <w:rPr>
                <w:sz w:val="20"/>
                <w:szCs w:val="20"/>
                <w:color w:val="auto"/>
              </w:rPr>
            </w:pPr>
            <w:r>
              <w:rPr>
                <w:rFonts w:ascii="Arial" w:cs="Arial" w:eastAsia="Arial" w:hAnsi="Arial"/>
                <w:sz w:val="10"/>
                <w:szCs w:val="10"/>
                <w:b w:val="1"/>
                <w:bCs w:val="1"/>
                <w:color w:val="auto"/>
              </w:rPr>
              <w:t xml:space="preserve">GLP Capital </w:t>
            </w:r>
            <w:r>
              <w:rPr>
                <w:rFonts w:ascii="Arial" w:cs="Arial" w:eastAsia="Arial" w:hAnsi="Arial"/>
                <w:sz w:val="12"/>
                <w:szCs w:val="12"/>
                <w:b w:val="1"/>
                <w:bCs w:val="1"/>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TRS Segment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392"/>
              <w:spacing w:after="0"/>
              <w:rPr>
                <w:sz w:val="20"/>
                <w:szCs w:val="20"/>
                <w:color w:val="auto"/>
              </w:rPr>
            </w:pPr>
            <w:r>
              <w:rPr>
                <w:rFonts w:ascii="Arial" w:cs="Arial" w:eastAsia="Arial" w:hAnsi="Arial"/>
                <w:sz w:val="10"/>
                <w:szCs w:val="10"/>
                <w:b w:val="1"/>
                <w:bCs w:val="1"/>
                <w:color w:val="auto"/>
              </w:rPr>
              <w:t>Total</w:t>
            </w:r>
          </w:p>
        </w:tc>
      </w:tr>
      <w:tr>
        <w:trPr>
          <w:trHeight w:val="116"/>
        </w:trPr>
        <w:tc>
          <w:tcPr>
            <w:tcW w:w="2600" w:type="dxa"/>
            <w:vAlign w:val="bottom"/>
            <w:tcBorders>
              <w:top w:val="single" w:sz="8" w:color="CCEEFF"/>
            </w:tcBorders>
            <w:gridSpan w:val="2"/>
            <w:shd w:val="clear" w:color="auto" w:fill="CCEEFF"/>
          </w:tcPr>
          <w:p>
            <w:pPr>
              <w:spacing w:after="0" w:line="108" w:lineRule="exact"/>
              <w:rPr>
                <w:sz w:val="20"/>
                <w:szCs w:val="20"/>
                <w:color w:val="auto"/>
              </w:rPr>
            </w:pPr>
            <w:r>
              <w:rPr>
                <w:rFonts w:ascii="Arial" w:cs="Arial" w:eastAsia="Arial" w:hAnsi="Arial"/>
                <w:sz w:val="10"/>
                <w:szCs w:val="10"/>
                <w:color w:val="auto"/>
              </w:rPr>
              <w:t>Total revenues</w:t>
            </w:r>
          </w:p>
        </w:tc>
        <w:tc>
          <w:tcPr>
            <w:tcW w:w="3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0"/>
                <w:szCs w:val="10"/>
                <w:color w:val="auto"/>
              </w:rPr>
              <w:t>819,195</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98,821</w:t>
            </w:r>
          </w:p>
        </w:tc>
        <w:tc>
          <w:tcPr>
            <w:tcW w:w="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88"/>
              </w:rPr>
              <w:t>918,016</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88"/>
              </w:rPr>
              <w:t>781,841</w:t>
            </w:r>
          </w:p>
        </w:tc>
        <w:tc>
          <w:tcPr>
            <w:tcW w:w="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97"/>
              </w:rPr>
              <w:t>71,163</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853,004</w:t>
            </w:r>
          </w:p>
        </w:tc>
      </w:tr>
      <w:tr>
        <w:trPr>
          <w:trHeight w:val="124"/>
        </w:trPr>
        <w:tc>
          <w:tcPr>
            <w:tcW w:w="2600" w:type="dxa"/>
            <w:vAlign w:val="bottom"/>
            <w:gridSpan w:val="2"/>
          </w:tcPr>
          <w:p>
            <w:pPr>
              <w:spacing w:after="0"/>
              <w:rPr>
                <w:sz w:val="20"/>
                <w:szCs w:val="20"/>
                <w:color w:val="auto"/>
              </w:rPr>
            </w:pPr>
            <w:r>
              <w:rPr>
                <w:rFonts w:ascii="Arial" w:cs="Arial" w:eastAsia="Arial" w:hAnsi="Arial"/>
                <w:sz w:val="10"/>
                <w:szCs w:val="10"/>
                <w:color w:val="auto"/>
              </w:rPr>
              <w:t>Income from operations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tcPr>
          <w:p>
            <w:pPr>
              <w:jc w:val="right"/>
              <w:spacing w:after="0"/>
              <w:rPr>
                <w:sz w:val="20"/>
                <w:szCs w:val="20"/>
                <w:color w:val="auto"/>
              </w:rPr>
            </w:pPr>
            <w:r>
              <w:rPr>
                <w:rFonts w:ascii="Arial" w:cs="Arial" w:eastAsia="Arial" w:hAnsi="Arial"/>
                <w:sz w:val="10"/>
                <w:szCs w:val="10"/>
                <w:color w:val="auto"/>
              </w:rPr>
              <w:t>589,837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rPr>
              <w:t>47,487</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w w:val="88"/>
              </w:rPr>
              <w:t>637,324</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w w:val="88"/>
              </w:rPr>
              <w:t>557,751</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gridSpan w:val="2"/>
          </w:tcPr>
          <w:p>
            <w:pPr>
              <w:jc w:val="right"/>
              <w:spacing w:after="0"/>
              <w:rPr>
                <w:sz w:val="20"/>
                <w:szCs w:val="20"/>
                <w:color w:val="auto"/>
              </w:rPr>
            </w:pPr>
            <w:r>
              <w:rPr>
                <w:rFonts w:ascii="Arial" w:cs="Arial" w:eastAsia="Arial" w:hAnsi="Arial"/>
                <w:sz w:val="10"/>
                <w:szCs w:val="10"/>
                <w:color w:val="auto"/>
                <w:w w:val="97"/>
              </w:rPr>
              <w:t>10,016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567,767</w:t>
            </w:r>
          </w:p>
        </w:tc>
      </w:tr>
      <w:tr>
        <w:trPr>
          <w:trHeight w:val="129"/>
        </w:trPr>
        <w:tc>
          <w:tcPr>
            <w:tcW w:w="2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Interest expense</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197,880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13,378</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88"/>
              </w:rPr>
              <w:t>211,258</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88"/>
              </w:rPr>
              <w:t>200,137</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97"/>
              </w:rPr>
              <w:t>11,520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211,657</w:t>
            </w:r>
          </w:p>
        </w:tc>
      </w:tr>
      <w:tr>
        <w:trPr>
          <w:trHeight w:val="124"/>
        </w:trPr>
        <w:tc>
          <w:tcPr>
            <w:tcW w:w="2600" w:type="dxa"/>
            <w:vAlign w:val="bottom"/>
            <w:gridSpan w:val="2"/>
          </w:tcPr>
          <w:p>
            <w:pPr>
              <w:spacing w:after="0"/>
              <w:rPr>
                <w:sz w:val="20"/>
                <w:szCs w:val="20"/>
                <w:color w:val="auto"/>
              </w:rPr>
            </w:pPr>
            <w:r>
              <w:rPr>
                <w:rFonts w:ascii="Arial" w:cs="Arial" w:eastAsia="Arial" w:hAnsi="Arial"/>
                <w:sz w:val="10"/>
                <w:szCs w:val="10"/>
                <w:color w:val="auto"/>
              </w:rPr>
              <w:t>Income before income taxes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tcPr>
          <w:p>
            <w:pPr>
              <w:jc w:val="right"/>
              <w:spacing w:after="0"/>
              <w:rPr>
                <w:sz w:val="20"/>
                <w:szCs w:val="20"/>
                <w:color w:val="auto"/>
              </w:rPr>
            </w:pPr>
            <w:r>
              <w:rPr>
                <w:rFonts w:ascii="Arial" w:cs="Arial" w:eastAsia="Arial" w:hAnsi="Arial"/>
                <w:sz w:val="10"/>
                <w:szCs w:val="10"/>
                <w:color w:val="auto"/>
              </w:rPr>
              <w:t>392,140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rPr>
              <w:t>34,110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w w:val="88"/>
              </w:rPr>
              <w:t>426,250</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w w:val="88"/>
              </w:rPr>
              <w:t>339,990</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gridSpan w:val="2"/>
          </w:tcPr>
          <w:p>
            <w:pPr>
              <w:jc w:val="right"/>
              <w:spacing w:after="0"/>
              <w:rPr>
                <w:sz w:val="20"/>
                <w:szCs w:val="20"/>
                <w:color w:val="auto"/>
              </w:rPr>
            </w:pPr>
            <w:r>
              <w:rPr>
                <w:rFonts w:ascii="Arial" w:cs="Arial" w:eastAsia="Arial" w:hAnsi="Arial"/>
                <w:sz w:val="10"/>
                <w:szCs w:val="10"/>
                <w:color w:val="auto"/>
              </w:rPr>
              <w:t>(1,502)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338,488</w:t>
            </w:r>
          </w:p>
        </w:tc>
      </w:tr>
      <w:tr>
        <w:trPr>
          <w:trHeight w:val="129"/>
        </w:trPr>
        <w:tc>
          <w:tcPr>
            <w:tcW w:w="2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Income tax expense</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3"/>
              </w:rPr>
              <w:t>700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11,091</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11,791</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515</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1,603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2,118</w:t>
            </w:r>
          </w:p>
        </w:tc>
      </w:tr>
      <w:tr>
        <w:trPr>
          <w:trHeight w:val="124"/>
        </w:trPr>
        <w:tc>
          <w:tcPr>
            <w:tcW w:w="2600" w:type="dxa"/>
            <w:vAlign w:val="bottom"/>
            <w:gridSpan w:val="2"/>
          </w:tcPr>
          <w:p>
            <w:pPr>
              <w:spacing w:after="0"/>
              <w:rPr>
                <w:sz w:val="20"/>
                <w:szCs w:val="20"/>
                <w:color w:val="auto"/>
              </w:rPr>
            </w:pPr>
            <w:r>
              <w:rPr>
                <w:rFonts w:ascii="Arial" w:cs="Arial" w:eastAsia="Arial" w:hAnsi="Arial"/>
                <w:sz w:val="10"/>
                <w:szCs w:val="10"/>
                <w:color w:val="auto"/>
              </w:rPr>
              <w:t>Net income</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tcPr>
          <w:p>
            <w:pPr>
              <w:jc w:val="right"/>
              <w:spacing w:after="0"/>
              <w:rPr>
                <w:sz w:val="20"/>
                <w:szCs w:val="20"/>
                <w:color w:val="auto"/>
              </w:rPr>
            </w:pPr>
            <w:r>
              <w:rPr>
                <w:rFonts w:ascii="Arial" w:cs="Arial" w:eastAsia="Arial" w:hAnsi="Arial"/>
                <w:sz w:val="10"/>
                <w:szCs w:val="10"/>
                <w:color w:val="auto"/>
              </w:rPr>
              <w:t>391,440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rPr>
              <w:t>23,019</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w w:val="88"/>
              </w:rPr>
              <w:t>414,459</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w w:val="88"/>
              </w:rPr>
              <w:t>339,475</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gridSpan w:val="2"/>
          </w:tcPr>
          <w:p>
            <w:pPr>
              <w:jc w:val="right"/>
              <w:spacing w:after="0"/>
              <w:rPr>
                <w:sz w:val="20"/>
                <w:szCs w:val="20"/>
                <w:color w:val="auto"/>
              </w:rPr>
            </w:pPr>
            <w:r>
              <w:rPr>
                <w:rFonts w:ascii="Arial" w:cs="Arial" w:eastAsia="Arial" w:hAnsi="Arial"/>
                <w:sz w:val="10"/>
                <w:szCs w:val="10"/>
                <w:color w:val="auto"/>
              </w:rPr>
              <w:t>(3,105)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336,370</w:t>
            </w:r>
          </w:p>
        </w:tc>
      </w:tr>
      <w:tr>
        <w:trPr>
          <w:trHeight w:val="129"/>
        </w:trPr>
        <w:tc>
          <w:tcPr>
            <w:tcW w:w="2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Depreciation</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173,423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3,610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88"/>
              </w:rPr>
              <w:t>177,033</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88"/>
              </w:rPr>
              <w:t>165,420</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6,613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172,033</w:t>
            </w:r>
          </w:p>
        </w:tc>
      </w:tr>
      <w:tr>
        <w:trPr>
          <w:trHeight w:val="124"/>
        </w:trPr>
        <w:tc>
          <w:tcPr>
            <w:tcW w:w="2600" w:type="dxa"/>
            <w:vAlign w:val="bottom"/>
            <w:gridSpan w:val="2"/>
          </w:tcPr>
          <w:p>
            <w:pPr>
              <w:spacing w:after="0"/>
              <w:rPr>
                <w:sz w:val="20"/>
                <w:szCs w:val="20"/>
                <w:color w:val="auto"/>
              </w:rPr>
            </w:pPr>
            <w:r>
              <w:rPr>
                <w:rFonts w:ascii="Arial" w:cs="Arial" w:eastAsia="Arial" w:hAnsi="Arial"/>
                <w:sz w:val="10"/>
                <w:szCs w:val="10"/>
                <w:color w:val="auto"/>
              </w:rPr>
              <w:t>Capital project expenditures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rPr>
              <w:t>1,610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rPr>
              <w:t>1,610</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9"/>
        </w:trPr>
        <w:tc>
          <w:tcPr>
            <w:tcW w:w="2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Capital maintenance expenditures</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1,590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1,655</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155</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1,474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1,629</w:t>
            </w:r>
          </w:p>
        </w:tc>
      </w:tr>
      <w:tr>
        <w:trPr>
          <w:trHeight w:val="145"/>
        </w:trPr>
        <w:tc>
          <w:tcPr>
            <w:tcW w:w="260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27"/>
        </w:trPr>
        <w:tc>
          <w:tcPr>
            <w:tcW w:w="26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Balance sheet at September 30, 2021</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r>
      <w:tr>
        <w:trPr>
          <w:trHeight w:val="124"/>
        </w:trPr>
        <w:tc>
          <w:tcPr>
            <w:tcW w:w="2600" w:type="dxa"/>
            <w:vAlign w:val="bottom"/>
            <w:gridSpan w:val="2"/>
          </w:tcPr>
          <w:p>
            <w:pPr>
              <w:spacing w:after="0"/>
              <w:rPr>
                <w:sz w:val="20"/>
                <w:szCs w:val="20"/>
                <w:color w:val="auto"/>
              </w:rPr>
            </w:pPr>
            <w:r>
              <w:rPr>
                <w:rFonts w:ascii="Arial" w:cs="Arial" w:eastAsia="Arial" w:hAnsi="Arial"/>
                <w:sz w:val="10"/>
                <w:szCs w:val="10"/>
                <w:color w:val="auto"/>
              </w:rPr>
              <w:t>Total assets</w:t>
            </w:r>
          </w:p>
        </w:tc>
        <w:tc>
          <w:tcPr>
            <w:tcW w:w="500" w:type="dxa"/>
            <w:vAlign w:val="bottom"/>
            <w:gridSpan w:val="2"/>
          </w:tcPr>
          <w:p>
            <w:pPr>
              <w:jc w:val="right"/>
              <w:ind w:right="92"/>
              <w:spacing w:after="0"/>
              <w:rPr>
                <w:sz w:val="20"/>
                <w:szCs w:val="20"/>
                <w:color w:val="auto"/>
              </w:rPr>
            </w:pPr>
            <w:r>
              <w:rPr>
                <w:rFonts w:ascii="Arial" w:cs="Arial" w:eastAsia="Arial" w:hAnsi="Arial"/>
                <w:sz w:val="10"/>
                <w:szCs w:val="10"/>
                <w:color w:val="auto"/>
              </w:rPr>
              <w:t>$</w:t>
            </w:r>
          </w:p>
        </w:tc>
        <w:tc>
          <w:tcPr>
            <w:tcW w:w="1080" w:type="dxa"/>
            <w:vAlign w:val="bottom"/>
            <w:gridSpan w:val="3"/>
          </w:tcPr>
          <w:p>
            <w:pPr>
              <w:jc w:val="right"/>
              <w:spacing w:after="0"/>
              <w:rPr>
                <w:sz w:val="20"/>
                <w:szCs w:val="20"/>
                <w:color w:val="auto"/>
              </w:rPr>
            </w:pPr>
            <w:r>
              <w:rPr>
                <w:rFonts w:ascii="Arial" w:cs="Arial" w:eastAsia="Arial" w:hAnsi="Arial"/>
                <w:sz w:val="10"/>
                <w:szCs w:val="10"/>
                <w:color w:val="auto"/>
              </w:rPr>
              <w:t>8,867,397</w:t>
            </w:r>
          </w:p>
        </w:tc>
        <w:tc>
          <w:tcPr>
            <w:tcW w:w="6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w w:val="88"/>
              </w:rPr>
              <w:t>417,376</w:t>
            </w:r>
          </w:p>
        </w:tc>
        <w:tc>
          <w:tcPr>
            <w:tcW w:w="80" w:type="dxa"/>
            <w:vAlign w:val="bottom"/>
          </w:tcPr>
          <w:p>
            <w:pPr>
              <w:spacing w:after="0"/>
              <w:rPr>
                <w:sz w:val="10"/>
                <w:szCs w:val="10"/>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9,284,773</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47"/>
        </w:trPr>
        <w:tc>
          <w:tcPr>
            <w:tcW w:w="260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25"/>
        </w:trPr>
        <w:tc>
          <w:tcPr>
            <w:tcW w:w="2600" w:type="dxa"/>
            <w:vAlign w:val="bottom"/>
            <w:gridSpan w:val="2"/>
          </w:tcPr>
          <w:p>
            <w:pPr>
              <w:spacing w:after="0"/>
              <w:rPr>
                <w:sz w:val="20"/>
                <w:szCs w:val="20"/>
                <w:color w:val="auto"/>
              </w:rPr>
            </w:pPr>
            <w:r>
              <w:rPr>
                <w:rFonts w:ascii="Arial" w:cs="Arial" w:eastAsia="Arial" w:hAnsi="Arial"/>
                <w:sz w:val="10"/>
                <w:szCs w:val="10"/>
                <w:b w:val="1"/>
                <w:bCs w:val="1"/>
                <w:color w:val="auto"/>
              </w:rPr>
              <w:t>Balance sheet at December 31, 2020</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28"/>
        </w:trPr>
        <w:tc>
          <w:tcPr>
            <w:tcW w:w="26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Total assets</w:t>
            </w:r>
          </w:p>
        </w:tc>
        <w:tc>
          <w:tcPr>
            <w:tcW w:w="500" w:type="dxa"/>
            <w:vAlign w:val="bottom"/>
            <w:gridSpan w:val="2"/>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8,590,190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88"/>
              </w:rPr>
              <w:t>444,178</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9,034,368</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r>
    </w:tbl>
    <w:p>
      <w:pPr>
        <w:spacing w:after="0" w:line="221" w:lineRule="exact"/>
        <w:rPr>
          <w:sz w:val="20"/>
          <w:szCs w:val="20"/>
          <w:color w:val="auto"/>
        </w:rPr>
      </w:pPr>
    </w:p>
    <w:p>
      <w:pPr>
        <w:ind w:left="160" w:right="5200" w:firstLine="25"/>
        <w:spacing w:after="0" w:line="328" w:lineRule="auto"/>
        <w:tabs>
          <w:tab w:leader="none" w:pos="422" w:val="left"/>
        </w:tabs>
        <w:numPr>
          <w:ilvl w:val="0"/>
          <w:numId w:val="19"/>
        </w:numPr>
        <w:rPr>
          <w:rFonts w:ascii="Arial" w:cs="Arial" w:eastAsia="Arial" w:hAnsi="Arial"/>
          <w:sz w:val="7"/>
          <w:szCs w:val="7"/>
          <w:color w:val="auto"/>
        </w:rPr>
      </w:pPr>
      <w:r>
        <w:rPr>
          <w:rFonts w:ascii="Arial" w:cs="Arial" w:eastAsia="Arial" w:hAnsi="Arial"/>
          <w:sz w:val="10"/>
          <w:szCs w:val="10"/>
          <w:color w:val="auto"/>
        </w:rPr>
        <w:t>Interest expense is net of intercompany interest eliminations of $4.5 million and $13.4 million for the three and nine months ended September 30, 2021, respectively, compared to $4.5 million and $11.5 million for the corresponding periods in the prior year.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28" w:name="page29"/>
    <w:bookmarkEnd w:id="28"/>
    <w:p>
      <w:pPr>
        <w:ind w:left="428" w:right="7160" w:hanging="428"/>
        <w:spacing w:after="0" w:line="453" w:lineRule="auto"/>
        <w:tabs>
          <w:tab w:leader="none" w:pos="229" w:val="left"/>
        </w:tabs>
        <w:numPr>
          <w:ilvl w:val="0"/>
          <w:numId w:val="20"/>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Supplemental Disclosures of Cash Flow Information and Noncash Activities </w:t>
      </w:r>
      <w:r>
        <w:rPr>
          <w:rFonts w:ascii="Arial" w:cs="Arial" w:eastAsia="Arial" w:hAnsi="Arial"/>
          <w:sz w:val="11"/>
          <w:szCs w:val="11"/>
          <w:color w:val="auto"/>
        </w:rPr>
        <w:t>Supplemental disclosures of cash flow information are as follows:</w:t>
      </w:r>
    </w:p>
    <w:tbl>
      <w:tblPr>
        <w:tblLayout w:type="fixed"/>
        <w:tblInd w:w="8" w:type="dxa"/>
        <w:tblCellMar>
          <w:top w:w="0" w:type="dxa"/>
          <w:left w:w="0" w:type="dxa"/>
          <w:bottom w:w="0" w:type="dxa"/>
          <w:right w:w="0" w:type="dxa"/>
        </w:tblCellMar>
      </w:tblPr>
      <w:tr>
        <w:trPr>
          <w:trHeight w:val="128"/>
        </w:trPr>
        <w:tc>
          <w:tcPr>
            <w:tcW w:w="42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88"/>
              </w:rPr>
              <w:t>Three Months Ended September 30,</w:t>
            </w: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Nine Months Ended September 30,</w:t>
            </w:r>
          </w:p>
        </w:tc>
        <w:tc>
          <w:tcPr>
            <w:tcW w:w="760" w:type="dxa"/>
            <w:vAlign w:val="bottom"/>
            <w:tcBorders>
              <w:bottom w:val="single" w:sz="8" w:color="auto"/>
            </w:tcBorders>
          </w:tcPr>
          <w:p>
            <w:pPr>
              <w:spacing w:after="0"/>
              <w:rPr>
                <w:sz w:val="11"/>
                <w:szCs w:val="11"/>
                <w:color w:val="auto"/>
              </w:rPr>
            </w:pPr>
          </w:p>
        </w:tc>
      </w:tr>
      <w:tr>
        <w:trPr>
          <w:trHeight w:val="118"/>
        </w:trPr>
        <w:tc>
          <w:tcPr>
            <w:tcW w:w="4200" w:type="dxa"/>
            <w:vAlign w:val="bottom"/>
          </w:tcPr>
          <w:p>
            <w:pPr>
              <w:spacing w:after="0"/>
              <w:rPr>
                <w:sz w:val="10"/>
                <w:szCs w:val="1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7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w w:val="89"/>
              </w:rPr>
              <w:t>2020</w:t>
            </w: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6"/>
              <w:spacing w:after="0"/>
              <w:rPr>
                <w:sz w:val="20"/>
                <w:szCs w:val="20"/>
                <w:color w:val="auto"/>
              </w:rPr>
            </w:pPr>
            <w:r>
              <w:rPr>
                <w:rFonts w:ascii="Arial" w:cs="Arial" w:eastAsia="Arial" w:hAnsi="Arial"/>
                <w:sz w:val="10"/>
                <w:szCs w:val="10"/>
                <w:b w:val="1"/>
                <w:bCs w:val="1"/>
                <w:color w:val="auto"/>
              </w:rPr>
              <w:t>2021</w:t>
            </w:r>
          </w:p>
        </w:tc>
        <w:tc>
          <w:tcPr>
            <w:tcW w:w="7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w w:val="98"/>
              </w:rPr>
              <w:t>2020</w:t>
            </w:r>
          </w:p>
        </w:tc>
      </w:tr>
      <w:tr>
        <w:trPr>
          <w:trHeight w:val="116"/>
        </w:trPr>
        <w:tc>
          <w:tcPr>
            <w:tcW w:w="4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w w:val="84"/>
              </w:rPr>
              <w:t>(in thousands)</w:t>
            </w:r>
          </w:p>
        </w:tc>
        <w:tc>
          <w:tcPr>
            <w:tcW w:w="1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55"/>
        </w:trPr>
        <w:tc>
          <w:tcPr>
            <w:tcW w:w="4200" w:type="dxa"/>
            <w:vAlign w:val="bottom"/>
            <w:shd w:val="clear" w:color="auto" w:fill="CCEEFF"/>
          </w:tcPr>
          <w:p>
            <w:pPr>
              <w:ind w:left="120"/>
              <w:spacing w:after="0" w:line="155" w:lineRule="exact"/>
              <w:rPr>
                <w:sz w:val="20"/>
                <w:szCs w:val="20"/>
                <w:color w:val="auto"/>
              </w:rPr>
            </w:pPr>
            <w:r>
              <w:rPr>
                <w:rFonts w:ascii="Arial" w:cs="Arial" w:eastAsia="Arial" w:hAnsi="Arial"/>
                <w:sz w:val="12"/>
                <w:szCs w:val="12"/>
                <w:color w:val="auto"/>
              </w:rPr>
              <w:t xml:space="preserve">Cash paid for income taxes, net of refunds received </w:t>
            </w:r>
            <w:r>
              <w:rPr>
                <w:rFonts w:ascii="Arial" w:cs="Arial" w:eastAsia="Arial" w:hAnsi="Arial"/>
                <w:sz w:val="15"/>
                <w:szCs w:val="15"/>
                <w:color w:val="auto"/>
                <w:vertAlign w:val="superscript"/>
              </w:rPr>
              <w:t>(1)</w:t>
            </w:r>
          </w:p>
        </w:tc>
        <w:tc>
          <w:tcPr>
            <w:tcW w:w="1180" w:type="dxa"/>
            <w:vAlign w:val="bottom"/>
            <w:shd w:val="clear" w:color="auto" w:fill="CCEEFF"/>
          </w:tcPr>
          <w:p>
            <w:pPr>
              <w:jc w:val="right"/>
              <w:ind w:right="624"/>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44"/>
              <w:spacing w:after="0"/>
              <w:rPr>
                <w:sz w:val="20"/>
                <w:szCs w:val="20"/>
                <w:color w:val="auto"/>
              </w:rPr>
            </w:pPr>
            <w:r>
              <w:rPr>
                <w:rFonts w:ascii="Arial" w:cs="Arial" w:eastAsia="Arial" w:hAnsi="Arial"/>
                <w:sz w:val="12"/>
                <w:szCs w:val="12"/>
                <w:color w:val="auto"/>
              </w:rPr>
              <w:t>6,440</w:t>
            </w:r>
          </w:p>
        </w:tc>
        <w:tc>
          <w:tcPr>
            <w:tcW w:w="78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1,945</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246"/>
              <w:spacing w:after="0"/>
              <w:rPr>
                <w:sz w:val="20"/>
                <w:szCs w:val="20"/>
                <w:color w:val="auto"/>
              </w:rPr>
            </w:pPr>
            <w:r>
              <w:rPr>
                <w:rFonts w:ascii="Arial" w:cs="Arial" w:eastAsia="Arial" w:hAnsi="Arial"/>
                <w:sz w:val="12"/>
                <w:szCs w:val="12"/>
                <w:color w:val="auto"/>
              </w:rPr>
              <w:t>13,004</w:t>
            </w:r>
          </w:p>
        </w:tc>
        <w:tc>
          <w:tcPr>
            <w:tcW w:w="76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1,054</w:t>
            </w:r>
          </w:p>
        </w:tc>
      </w:tr>
      <w:tr>
        <w:trPr>
          <w:trHeight w:val="154"/>
        </w:trPr>
        <w:tc>
          <w:tcPr>
            <w:tcW w:w="4200" w:type="dxa"/>
            <w:vAlign w:val="bottom"/>
          </w:tcPr>
          <w:p>
            <w:pPr>
              <w:ind w:left="120"/>
              <w:spacing w:after="0"/>
              <w:rPr>
                <w:sz w:val="20"/>
                <w:szCs w:val="20"/>
                <w:color w:val="auto"/>
              </w:rPr>
            </w:pPr>
            <w:r>
              <w:rPr>
                <w:rFonts w:ascii="Arial" w:cs="Arial" w:eastAsia="Arial" w:hAnsi="Arial"/>
                <w:sz w:val="12"/>
                <w:szCs w:val="12"/>
                <w:color w:val="auto"/>
              </w:rPr>
              <w:t>Cash paid for interest</w:t>
            </w:r>
          </w:p>
        </w:tc>
        <w:tc>
          <w:tcPr>
            <w:tcW w:w="1180" w:type="dxa"/>
            <w:vAlign w:val="bottom"/>
          </w:tcPr>
          <w:p>
            <w:pPr>
              <w:jc w:val="right"/>
              <w:ind w:right="624"/>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44"/>
              <w:spacing w:after="0"/>
              <w:rPr>
                <w:sz w:val="20"/>
                <w:szCs w:val="20"/>
                <w:color w:val="auto"/>
              </w:rPr>
            </w:pPr>
            <w:r>
              <w:rPr>
                <w:rFonts w:ascii="Arial" w:cs="Arial" w:eastAsia="Arial" w:hAnsi="Arial"/>
                <w:sz w:val="12"/>
                <w:szCs w:val="12"/>
                <w:color w:val="auto"/>
              </w:rPr>
              <w:t>57,095</w:t>
            </w:r>
          </w:p>
        </w:tc>
        <w:tc>
          <w:tcPr>
            <w:tcW w:w="78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43,647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246"/>
              <w:spacing w:after="0"/>
              <w:rPr>
                <w:sz w:val="20"/>
                <w:szCs w:val="20"/>
                <w:color w:val="auto"/>
              </w:rPr>
            </w:pPr>
            <w:r>
              <w:rPr>
                <w:rFonts w:ascii="Arial" w:cs="Arial" w:eastAsia="Arial" w:hAnsi="Arial"/>
                <w:sz w:val="12"/>
                <w:szCs w:val="12"/>
                <w:color w:val="auto"/>
              </w:rPr>
              <w:t>194,618</w:t>
            </w:r>
          </w:p>
        </w:tc>
        <w:tc>
          <w:tcPr>
            <w:tcW w:w="7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182,257</w:t>
            </w:r>
          </w:p>
        </w:tc>
      </w:tr>
    </w:tbl>
    <w:p>
      <w:pPr>
        <w:spacing w:after="0" w:line="221" w:lineRule="exact"/>
        <w:rPr>
          <w:sz w:val="20"/>
          <w:szCs w:val="20"/>
          <w:color w:val="auto"/>
        </w:rPr>
      </w:pPr>
    </w:p>
    <w:p>
      <w:pPr>
        <w:ind w:left="8" w:right="120" w:hanging="8"/>
        <w:spacing w:after="0" w:line="263" w:lineRule="auto"/>
        <w:tabs>
          <w:tab w:leader="none" w:pos="118" w:val="left"/>
        </w:tabs>
        <w:numPr>
          <w:ilvl w:val="0"/>
          <w:numId w:val="21"/>
        </w:numPr>
        <w:rPr>
          <w:rFonts w:ascii="Arial" w:cs="Arial" w:eastAsia="Arial" w:hAnsi="Arial"/>
          <w:sz w:val="13"/>
          <w:szCs w:val="13"/>
          <w:color w:val="auto"/>
          <w:vertAlign w:val="superscript"/>
        </w:rPr>
      </w:pPr>
      <w:r>
        <w:rPr>
          <w:rFonts w:ascii="Arial" w:cs="Arial" w:eastAsia="Arial" w:hAnsi="Arial"/>
          <w:sz w:val="9"/>
          <w:szCs w:val="9"/>
          <w:color w:val="auto"/>
        </w:rPr>
        <w:t>Cash paid for income taxes, net of refunds received increased for the three and nine months ended September 30, 2021 as compared to the corresponding periods in the prior year, primarily due to the gain on the sale of the operations of Hollywood Casino Perryville, improved performance at the TRS Segment due to strong results in the current periods as well as the impact of temporary closures related to COVID-19 in the prior year.</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Noncash Investing and Financing Activities</w:t>
      </w:r>
    </w:p>
    <w:p>
      <w:pPr>
        <w:spacing w:after="0" w:line="173" w:lineRule="exact"/>
        <w:rPr>
          <w:sz w:val="20"/>
          <w:szCs w:val="20"/>
          <w:color w:val="auto"/>
        </w:rPr>
      </w:pPr>
    </w:p>
    <w:p>
      <w:pPr>
        <w:ind w:left="8" w:right="480" w:firstLine="434"/>
        <w:spacing w:after="0" w:line="278" w:lineRule="auto"/>
        <w:rPr>
          <w:sz w:val="20"/>
          <w:szCs w:val="20"/>
          <w:color w:val="auto"/>
        </w:rPr>
      </w:pPr>
      <w:r>
        <w:rPr>
          <w:rFonts w:ascii="Arial" w:cs="Arial" w:eastAsia="Arial" w:hAnsi="Arial"/>
          <w:sz w:val="12"/>
          <w:szCs w:val="12"/>
          <w:color w:val="auto"/>
        </w:rPr>
        <w:t>The Company did not engage in any noncash investing or noncash financing activities during the nine months ended September 30, 2021 other than a $38.6 million reclassification of Property and equipment, used in operations, net, to Real estate investments, net that occurred on July 1, 2021 for the real estate of Hollywood Casino Perryville that is now being leased to Penn.</w:t>
      </w:r>
    </w:p>
    <w:p>
      <w:pPr>
        <w:spacing w:after="0" w:line="160" w:lineRule="exact"/>
        <w:rPr>
          <w:sz w:val="20"/>
          <w:szCs w:val="20"/>
          <w:color w:val="auto"/>
        </w:rPr>
      </w:pPr>
    </w:p>
    <w:p>
      <w:pPr>
        <w:jc w:val="both"/>
        <w:ind w:left="8" w:right="100" w:firstLine="434"/>
        <w:spacing w:after="0" w:line="265" w:lineRule="auto"/>
        <w:rPr>
          <w:sz w:val="20"/>
          <w:szCs w:val="20"/>
          <w:color w:val="auto"/>
        </w:rPr>
      </w:pPr>
      <w:r>
        <w:rPr>
          <w:rFonts w:ascii="Arial" w:cs="Arial" w:eastAsia="Arial" w:hAnsi="Arial"/>
          <w:sz w:val="12"/>
          <w:szCs w:val="12"/>
          <w:color w:val="auto"/>
        </w:rPr>
        <w:t>On April 16, 2020, the Company acquired from Penn the real property associated with the Tropicana Las Vegas in exchange for rent credits of $307.5 million. Additionally, in the nine months ended September 30, 2020, the Company acquired the real property of Belterra Park in satisfaction of the real estate loan of $57.7 million held on the property, subject to the Belterra Park Lease and acquired the real property of Lumière Place in satisfaction of the $246.0 million loan subject to the</w:t>
      </w:r>
    </w:p>
    <w:p>
      <w:pPr>
        <w:spacing w:after="0" w:line="4" w:lineRule="exact"/>
        <w:rPr>
          <w:sz w:val="20"/>
          <w:szCs w:val="20"/>
          <w:color w:val="auto"/>
        </w:rPr>
      </w:pPr>
    </w:p>
    <w:p>
      <w:pPr>
        <w:ind w:left="8" w:right="200"/>
        <w:spacing w:after="0" w:line="278" w:lineRule="auto"/>
        <w:rPr>
          <w:sz w:val="20"/>
          <w:szCs w:val="20"/>
          <w:color w:val="auto"/>
        </w:rPr>
      </w:pPr>
      <w:r>
        <w:rPr>
          <w:rFonts w:ascii="Arial" w:cs="Arial" w:eastAsia="Arial" w:hAnsi="Arial"/>
          <w:sz w:val="12"/>
          <w:szCs w:val="12"/>
          <w:color w:val="auto"/>
        </w:rPr>
        <w:t>Lumière Place Lease. Additionally, see Note 13 for a description of the stock dividends that were distributed during 2020. The Company did not engage in any other noncash investing or any noncash financing activities during the nine months ended September 30, 2020.</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17. Acquisitions</w:t>
      </w:r>
    </w:p>
    <w:p>
      <w:pPr>
        <w:spacing w:after="0" w:line="173" w:lineRule="exact"/>
        <w:rPr>
          <w:sz w:val="20"/>
          <w:szCs w:val="20"/>
          <w:color w:val="auto"/>
        </w:rPr>
      </w:pPr>
    </w:p>
    <w:p>
      <w:pPr>
        <w:jc w:val="both"/>
        <w:ind w:left="8" w:firstLine="434"/>
        <w:spacing w:after="0" w:line="262" w:lineRule="auto"/>
        <w:rPr>
          <w:sz w:val="20"/>
          <w:szCs w:val="20"/>
          <w:color w:val="auto"/>
        </w:rPr>
      </w:pPr>
      <w:r>
        <w:rPr>
          <w:rFonts w:ascii="Arial" w:cs="Arial" w:eastAsia="Arial" w:hAnsi="Arial"/>
          <w:sz w:val="12"/>
          <w:szCs w:val="12"/>
          <w:color w:val="auto"/>
        </w:rPr>
        <w:t xml:space="preserve">The Company accounts for its acquisitions of real estate assets as asset acquisitions under ASC 805 - </w:t>
      </w:r>
      <w:r>
        <w:rPr>
          <w:rFonts w:ascii="Arial" w:cs="Arial" w:eastAsia="Arial" w:hAnsi="Arial"/>
          <w:sz w:val="12"/>
          <w:szCs w:val="12"/>
          <w:i w:val="1"/>
          <w:iCs w:val="1"/>
          <w:color w:val="auto"/>
        </w:rPr>
        <w:t>Business Combinations</w:t>
      </w:r>
      <w:r>
        <w:rPr>
          <w:rFonts w:ascii="Arial" w:cs="Arial" w:eastAsia="Arial" w:hAnsi="Arial"/>
          <w:sz w:val="12"/>
          <w:szCs w:val="12"/>
          <w:color w:val="auto"/>
        </w:rPr>
        <w:t>. Under asset acquisition accounting, transaction costs incurred to acquire the purchased assets are also included as part of the asset cost.</w:t>
      </w:r>
    </w:p>
    <w:p>
      <w:pPr>
        <w:spacing w:after="0" w:line="129"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Current year acquisitions</w:t>
      </w:r>
    </w:p>
    <w:p>
      <w:pPr>
        <w:spacing w:after="0" w:line="173" w:lineRule="exact"/>
        <w:rPr>
          <w:sz w:val="20"/>
          <w:szCs w:val="20"/>
          <w:color w:val="auto"/>
        </w:rPr>
      </w:pPr>
    </w:p>
    <w:p>
      <w:pPr>
        <w:jc w:val="both"/>
        <w:ind w:left="8" w:firstLine="434"/>
        <w:spacing w:after="0" w:line="262" w:lineRule="auto"/>
        <w:rPr>
          <w:sz w:val="20"/>
          <w:szCs w:val="20"/>
          <w:color w:val="auto"/>
        </w:rPr>
      </w:pPr>
      <w:r>
        <w:rPr>
          <w:rFonts w:ascii="Arial" w:cs="Arial" w:eastAsia="Arial" w:hAnsi="Arial"/>
          <w:sz w:val="12"/>
          <w:szCs w:val="12"/>
          <w:color w:val="auto"/>
        </w:rPr>
        <w:t>As previously discussed in Note 1, on June 3, 2021, the Company completed its previously announced transaction with Bally's in which the real estate assets of Tropicana Evansville and Dover Downs Hotel &amp; Casino were acquired. The final purchase price allocation of these assets based on their fair values at the acquisition date are summarized below (in thousands).</w:t>
      </w:r>
    </w:p>
    <w:p>
      <w:pPr>
        <w:spacing w:after="0" w:line="341" w:lineRule="exact"/>
        <w:rPr>
          <w:sz w:val="20"/>
          <w:szCs w:val="20"/>
          <w:color w:val="auto"/>
        </w:rPr>
      </w:pPr>
    </w:p>
    <w:tbl>
      <w:tblPr>
        <w:tblLayout w:type="fixed"/>
        <w:tblInd w:w="1728" w:type="dxa"/>
        <w:tblCellMar>
          <w:top w:w="0" w:type="dxa"/>
          <w:left w:w="0" w:type="dxa"/>
          <w:bottom w:w="0" w:type="dxa"/>
          <w:right w:w="0" w:type="dxa"/>
        </w:tblCellMar>
      </w:tblPr>
      <w:tr>
        <w:trPr>
          <w:trHeight w:val="154"/>
        </w:trPr>
        <w:tc>
          <w:tcPr>
            <w:tcW w:w="30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Real estate investments, net</w:t>
            </w:r>
          </w:p>
        </w:tc>
        <w:tc>
          <w:tcPr>
            <w:tcW w:w="112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421,009</w:t>
            </w:r>
          </w:p>
        </w:tc>
      </w:tr>
      <w:tr>
        <w:trPr>
          <w:trHeight w:val="154"/>
        </w:trPr>
        <w:tc>
          <w:tcPr>
            <w:tcW w:w="3020" w:type="dxa"/>
            <w:vAlign w:val="bottom"/>
          </w:tcPr>
          <w:p>
            <w:pPr>
              <w:ind w:left="460"/>
              <w:spacing w:after="0"/>
              <w:rPr>
                <w:sz w:val="20"/>
                <w:szCs w:val="20"/>
                <w:color w:val="auto"/>
              </w:rPr>
            </w:pPr>
            <w:r>
              <w:rPr>
                <w:rFonts w:ascii="Arial" w:cs="Arial" w:eastAsia="Arial" w:hAnsi="Arial"/>
                <w:sz w:val="12"/>
                <w:szCs w:val="12"/>
                <w:color w:val="auto"/>
              </w:rPr>
              <w:t>Right-of-use assets and land rights, net</w:t>
            </w:r>
          </w:p>
        </w:tc>
        <w:tc>
          <w:tcPr>
            <w:tcW w:w="1120" w:type="dxa"/>
            <w:vAlign w:val="bottom"/>
          </w:tcPr>
          <w:p>
            <w:pPr>
              <w:jc w:val="right"/>
              <w:ind w:right="560"/>
              <w:spacing w:after="0"/>
              <w:rPr>
                <w:sz w:val="20"/>
                <w:szCs w:val="20"/>
                <w:color w:val="auto"/>
              </w:rPr>
            </w:pPr>
            <w:r>
              <w:rPr>
                <w:rFonts w:ascii="Arial" w:cs="Arial" w:eastAsia="Arial" w:hAnsi="Arial"/>
                <w:sz w:val="12"/>
                <w:szCs w:val="12"/>
                <w:color w:val="auto"/>
              </w:rPr>
              <w:t>$</w:t>
            </w:r>
          </w:p>
        </w:tc>
        <w:tc>
          <w:tcPr>
            <w:tcW w:w="1060" w:type="dxa"/>
            <w:vAlign w:val="bottom"/>
          </w:tcPr>
          <w:p>
            <w:pPr>
              <w:ind w:left="620"/>
              <w:spacing w:after="0"/>
              <w:rPr>
                <w:sz w:val="20"/>
                <w:szCs w:val="20"/>
                <w:color w:val="auto"/>
              </w:rPr>
            </w:pPr>
            <w:r>
              <w:rPr>
                <w:rFonts w:ascii="Arial" w:cs="Arial" w:eastAsia="Arial" w:hAnsi="Arial"/>
                <w:sz w:val="12"/>
                <w:szCs w:val="12"/>
                <w:color w:val="auto"/>
                <w:w w:val="96"/>
              </w:rPr>
              <w:t>101,813</w:t>
            </w:r>
          </w:p>
        </w:tc>
      </w:tr>
      <w:tr>
        <w:trPr>
          <w:trHeight w:val="154"/>
        </w:trPr>
        <w:tc>
          <w:tcPr>
            <w:tcW w:w="30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Lease liabilities</w:t>
            </w:r>
          </w:p>
        </w:tc>
        <w:tc>
          <w:tcPr>
            <w:tcW w:w="112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w w:val="89"/>
              </w:rPr>
              <w:t>(35,372)</w:t>
            </w:r>
          </w:p>
        </w:tc>
      </w:tr>
      <w:tr>
        <w:trPr>
          <w:trHeight w:val="143"/>
        </w:trPr>
        <w:tc>
          <w:tcPr>
            <w:tcW w:w="3020" w:type="dxa"/>
            <w:vAlign w:val="bottom"/>
          </w:tcPr>
          <w:p>
            <w:pPr>
              <w:ind w:left="460"/>
              <w:spacing w:after="0"/>
              <w:rPr>
                <w:sz w:val="20"/>
                <w:szCs w:val="20"/>
                <w:color w:val="auto"/>
              </w:rPr>
            </w:pPr>
            <w:r>
              <w:rPr>
                <w:rFonts w:ascii="Arial" w:cs="Arial" w:eastAsia="Arial" w:hAnsi="Arial"/>
                <w:sz w:val="12"/>
                <w:szCs w:val="12"/>
                <w:color w:val="auto"/>
              </w:rPr>
              <w:t>Total purchase price</w:t>
            </w:r>
          </w:p>
        </w:tc>
        <w:tc>
          <w:tcPr>
            <w:tcW w:w="11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w w:val="96"/>
              </w:rPr>
              <w:t>487,450</w:t>
            </w:r>
          </w:p>
        </w:tc>
      </w:tr>
      <w:tr>
        <w:trPr>
          <w:trHeight w:val="20"/>
        </w:trPr>
        <w:tc>
          <w:tcPr>
            <w:tcW w:w="3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Pending acquisitions</w:t>
      </w:r>
    </w:p>
    <w:p>
      <w:pPr>
        <w:spacing w:after="0" w:line="164" w:lineRule="exact"/>
        <w:rPr>
          <w:sz w:val="20"/>
          <w:szCs w:val="20"/>
          <w:color w:val="auto"/>
        </w:rPr>
      </w:pPr>
    </w:p>
    <w:p>
      <w:pPr>
        <w:jc w:val="both"/>
        <w:ind w:left="8" w:firstLine="434"/>
        <w:spacing w:after="0" w:line="249" w:lineRule="auto"/>
        <w:rPr>
          <w:sz w:val="20"/>
          <w:szCs w:val="20"/>
          <w:color w:val="auto"/>
        </w:rPr>
      </w:pPr>
      <w:r>
        <w:rPr>
          <w:rFonts w:ascii="Arial" w:cs="Arial" w:eastAsia="Arial" w:hAnsi="Arial"/>
          <w:sz w:val="12"/>
          <w:szCs w:val="12"/>
          <w:color w:val="auto"/>
        </w:rPr>
        <w:t>On April 13, 2021, the Company announced that it had entered into a binding term sheet with Bally's to acquire the real estate of Bally’s casino property in Black Hawk, CO and its recently acquired property in Rock Island, IL, in a transaction that is subject to regulatory approval. Total consideration for the acquisition is $150 million and the parties expect to add the properties to the Bally's Master Lease for incremental rent of $12 million. This transaction is expected to close in early 2022.</w:t>
      </w:r>
    </w:p>
    <w:p>
      <w:pPr>
        <w:spacing w:after="0" w:line="200" w:lineRule="exact"/>
        <w:rPr>
          <w:sz w:val="20"/>
          <w:szCs w:val="20"/>
          <w:color w:val="auto"/>
        </w:rPr>
      </w:pPr>
    </w:p>
    <w:p>
      <w:pPr>
        <w:spacing w:after="0" w:line="31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8"/>
          </w:cols>
          <w:pgMar w:left="292" w:top="642" w:right="319" w:bottom="1440" w:gutter="0" w:footer="0" w:header="0"/>
        </w:sectPr>
      </w:pPr>
    </w:p>
    <w:bookmarkStart w:id="29" w:name="page30"/>
    <w:bookmarkEnd w:id="29"/>
    <w:p>
      <w:pPr>
        <w:ind w:right="100" w:firstLine="434"/>
        <w:spacing w:after="0" w:line="278" w:lineRule="auto"/>
        <w:rPr>
          <w:sz w:val="20"/>
          <w:szCs w:val="20"/>
          <w:color w:val="auto"/>
        </w:rPr>
      </w:pPr>
      <w:r>
        <w:rPr>
          <w:rFonts w:ascii="Arial" w:cs="Arial" w:eastAsia="Arial" w:hAnsi="Arial"/>
          <w:sz w:val="12"/>
          <w:szCs w:val="12"/>
          <w:color w:val="auto"/>
        </w:rPr>
        <w:t>In addition, Bally’s has granted GLPI a right of first refusal to fund the real property acquisition or development project costs associated with any and all potential future transactions in Michigan, Maryland, New York and Virginia through one or more sale-leaseback or similar transactions for a term of seven years.</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On April 13, 2021, Bally’s also agreed to acquire both GLPI’s non-land real estate assets and Penn's outstanding equity interests in Tropicana Las Vegas Hotel and Casino, Inc. for an aggregate cash acquisition price of</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$150 million. GLPI would retain ownership of the land and will concurrently enter into a ground lease for 50 years with initial annual rent of $10.5 million. The ground lease will be supported by a Bally’s corporate guarantee and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cross-defaulted with the Bally's Master Lease. This transaction is expected to close in early 2022.</w:t>
      </w:r>
    </w:p>
    <w:p>
      <w:pPr>
        <w:spacing w:after="0" w:line="161" w:lineRule="exact"/>
        <w:rPr>
          <w:sz w:val="20"/>
          <w:szCs w:val="20"/>
          <w:color w:val="auto"/>
        </w:rPr>
      </w:pPr>
    </w:p>
    <w:p>
      <w:pPr>
        <w:ind w:firstLine="434"/>
        <w:spacing w:after="0" w:line="260" w:lineRule="auto"/>
        <w:rPr>
          <w:sz w:val="20"/>
          <w:szCs w:val="20"/>
          <w:color w:val="auto"/>
        </w:rPr>
      </w:pPr>
      <w:r>
        <w:rPr>
          <w:rFonts w:ascii="Arial" w:cs="Arial" w:eastAsia="Arial" w:hAnsi="Arial"/>
          <w:sz w:val="12"/>
          <w:szCs w:val="12"/>
          <w:color w:val="auto"/>
        </w:rPr>
        <w:t>Both GLPI and Bally’s have committed to a structure in which GLPI has the potential to acquire additional assets in sale-leaseback transactions to the extent Bally’s elects to utilize GLPI’s capital as a funding source for its proposed acquisition of Gamesys Group plc ("Gamesys"). The $500 million commitment provides Bally’s alternative financing which, in GLPI’s sole discretion, may be funded in the form of equity, additional prepaid sale-leaseback transactions or secured loans. However, on July 26, 2021, Bally's announced that as a result of better than expected operating performance at its land-based retail casinos and interactive businesses, it does not plan to draw on this commitment to fund the Gamesys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180"/>
          </w:cols>
          <w:pgMar w:left="300" w:top="646" w:right="41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Operations</w:t>
      </w:r>
    </w:p>
    <w:p>
      <w:pPr>
        <w:spacing w:after="0" w:line="173" w:lineRule="exact"/>
        <w:rPr>
          <w:sz w:val="20"/>
          <w:szCs w:val="20"/>
          <w:color w:val="auto"/>
        </w:rPr>
      </w:pPr>
    </w:p>
    <w:p>
      <w:pPr>
        <w:ind w:right="60" w:firstLine="434"/>
        <w:spacing w:after="0" w:line="241" w:lineRule="auto"/>
        <w:rPr>
          <w:sz w:val="20"/>
          <w:szCs w:val="20"/>
          <w:color w:val="auto"/>
        </w:rPr>
      </w:pPr>
      <w:r>
        <w:rPr>
          <w:rFonts w:ascii="Arial" w:cs="Arial" w:eastAsia="Arial" w:hAnsi="Arial"/>
          <w:sz w:val="12"/>
          <w:szCs w:val="12"/>
          <w:color w:val="auto"/>
        </w:rPr>
        <w:t>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Louisiana Casino Cruises, Inc. (d/b/a Hollywood Casino Baton Rouge) and Penn Cecil Maryland, Inc. (d/b/a Hollywood Casino Perryville) (which are referred to herein as the "TRS Properties") and then spun-off GLPI to holders of Penn's common and preferred stock in a tax-free distribution (the "Spin-Off"). In addition, during 2020, the Company and Tropicana LV, LLC, a wholly owned subsidiary of the Company which holds the real estate of the Tropicana Las Vegas Casino Hotel Resort ("Tropicana Las Vegas"), elected to treat Tropicana LV, LLC as a “taxable REIT subsidiary,” which together with the TRS Properties and GLP Holdings, Inc. is the Company's TRS segment (the "TRS Segment").</w:t>
      </w:r>
    </w:p>
    <w:p>
      <w:pPr>
        <w:spacing w:after="0" w:line="82" w:lineRule="exact"/>
        <w:rPr>
          <w:sz w:val="20"/>
          <w:szCs w:val="20"/>
          <w:color w:val="auto"/>
        </w:rPr>
      </w:pPr>
    </w:p>
    <w:p>
      <w:pPr>
        <w:ind w:right="120" w:firstLine="434"/>
        <w:spacing w:after="0" w:line="244" w:lineRule="auto"/>
        <w:rPr>
          <w:sz w:val="20"/>
          <w:szCs w:val="20"/>
          <w:color w:val="auto"/>
        </w:rPr>
      </w:pPr>
      <w:r>
        <w:rPr>
          <w:rFonts w:ascii="Arial" w:cs="Arial" w:eastAsia="Arial" w:hAnsi="Arial"/>
          <w:sz w:val="12"/>
          <w:szCs w:val="12"/>
          <w:color w:val="auto"/>
        </w:rPr>
        <w:t>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for the year ended December 31, 2014,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The assets and liabilities of GLPI were recorded at their respective historical carrying values at the time of the Spin-Off.</w:t>
      </w:r>
    </w:p>
    <w:p>
      <w:pPr>
        <w:spacing w:after="0" w:line="72" w:lineRule="exact"/>
        <w:rPr>
          <w:sz w:val="20"/>
          <w:szCs w:val="20"/>
          <w:color w:val="auto"/>
        </w:rPr>
      </w:pPr>
    </w:p>
    <w:p>
      <w:pPr>
        <w:jc w:val="both"/>
        <w:ind w:firstLine="434"/>
        <w:spacing w:after="0" w:line="256" w:lineRule="auto"/>
        <w:rPr>
          <w:sz w:val="20"/>
          <w:szCs w:val="20"/>
          <w:color w:val="auto"/>
        </w:rPr>
      </w:pPr>
      <w:r>
        <w:rPr>
          <w:rFonts w:ascii="Arial" w:cs="Arial" w:eastAsia="Arial" w:hAnsi="Arial"/>
          <w:sz w:val="12"/>
          <w:szCs w:val="12"/>
          <w:color w:val="auto"/>
        </w:rPr>
        <w:t>GLPI's primary business consists of acquiring, financing, and owning real estate property to be leased to gaming operators in triple-net lease arrangements. As of September 30, 2021, GLPI's portfolio consisted of interests in 50 gaming and related facilities, including the TRS Segment, the real property associated with 34 gaming and related facilities operated by Penn, the real property associated with 7 gaming and related facilities operated by Caesars Entertainment Corporation ("Caesars"), the real property associated with 4 gaming and related facilities operated by Boyd Gaming Corporation ("Boyd"), the real property associated with 2 gaming and related facilities operated by Bally's Corporation ("Bally's) and the real property associated with the Casino Queen Holding Company Inc. ("Casino Queen") in East St. Louis, Illinois. These facilities, including our corporate headquarters building, are geographically diversified across 17 states and contain approximately 25.3 million square feet. As of September 30, 2021, our properties were 100% occupied. We expect to continue growing our portfolio by pursuing opportunities to acquire additional gaming facilities to lease to gaming operators under prudent terms.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Penn Master Lease and Casino Queen Lease</w:t>
      </w:r>
    </w:p>
    <w:p>
      <w:pPr>
        <w:spacing w:after="0" w:line="169" w:lineRule="exact"/>
        <w:rPr>
          <w:sz w:val="20"/>
          <w:szCs w:val="20"/>
          <w:color w:val="auto"/>
        </w:rPr>
      </w:pPr>
    </w:p>
    <w:p>
      <w:pPr>
        <w:ind w:right="160" w:firstLine="434"/>
        <w:spacing w:after="0" w:line="260" w:lineRule="auto"/>
        <w:rPr>
          <w:sz w:val="20"/>
          <w:szCs w:val="20"/>
          <w:color w:val="auto"/>
        </w:rPr>
      </w:pPr>
      <w:r>
        <w:rPr>
          <w:rFonts w:ascii="Arial" w:cs="Arial" w:eastAsia="Arial" w:hAnsi="Arial"/>
          <w:sz w:val="12"/>
          <w:szCs w:val="12"/>
          <w:color w:val="auto"/>
        </w:rPr>
        <w:t>As a result of the Spin-Off, GLPI owns substantially all of Penn’s former real property assets (as of the consummation of the Spin-Off) and leases back most of those assets to Penn for use by its subsidiaries, under a unitary master lease (the "Penn Master Lease"). The Penn Master Lease is a triple-net operating lease, the current term of which expires October 31, 2033, with no purchase option, followed by three remaining 5-year renewal options (exercisable by the tenant) on the same terms and conditions. GLPI leases the Casino Queen property in East St. Louis back to its operators on a triple-net basis on terms similar to those in the Penn Master Lease (the "Casino Queen Lease").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Amended Pinnacle Master Lease, Boyd Master Lease and Belterra Park Lease</w:t>
      </w:r>
    </w:p>
    <w:p>
      <w:pPr>
        <w:spacing w:after="0" w:line="169" w:lineRule="exact"/>
        <w:rPr>
          <w:sz w:val="20"/>
          <w:szCs w:val="20"/>
          <w:color w:val="auto"/>
        </w:rPr>
      </w:pPr>
    </w:p>
    <w:p>
      <w:pPr>
        <w:ind w:right="40" w:firstLine="434"/>
        <w:spacing w:after="0" w:line="281" w:lineRule="auto"/>
        <w:rPr>
          <w:sz w:val="20"/>
          <w:szCs w:val="20"/>
          <w:color w:val="auto"/>
        </w:rPr>
      </w:pPr>
      <w:r>
        <w:rPr>
          <w:rFonts w:ascii="Arial" w:cs="Arial" w:eastAsia="Arial" w:hAnsi="Arial"/>
          <w:sz w:val="11"/>
          <w:szCs w:val="11"/>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the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2" w:right="299" w:bottom="1440" w:gutter="0" w:footer="0" w:header="0"/>
        </w:sectPr>
      </w:pPr>
    </w:p>
    <w:bookmarkStart w:id="31" w:name="page32"/>
    <w:bookmarkEnd w:id="31"/>
    <w:p>
      <w:pPr>
        <w:ind w:right="200"/>
        <w:spacing w:after="0" w:line="330" w:lineRule="auto"/>
        <w:rPr>
          <w:sz w:val="20"/>
          <w:szCs w:val="20"/>
          <w:color w:val="auto"/>
        </w:rPr>
      </w:pPr>
      <w:r>
        <w:rPr>
          <w:rFonts w:ascii="Arial" w:cs="Arial" w:eastAsia="Arial" w:hAnsi="Arial"/>
          <w:sz w:val="10"/>
          <w:szCs w:val="10"/>
          <w:color w:val="auto"/>
        </w:rPr>
        <w:t>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("Belterra Park") whereby the Company loaned Boyd $57.7 million (the "Belterra Park Loan"). In May 2020, the Company</w:t>
      </w:r>
    </w:p>
    <w:p>
      <w:pPr>
        <w:ind w:right="60"/>
        <w:spacing w:after="0" w:line="342" w:lineRule="auto"/>
        <w:rPr>
          <w:sz w:val="20"/>
          <w:szCs w:val="20"/>
          <w:color w:val="auto"/>
        </w:rPr>
      </w:pPr>
      <w:r>
        <w:rPr>
          <w:rFonts w:ascii="Arial" w:cs="Arial" w:eastAsia="Arial" w:hAnsi="Arial"/>
          <w:sz w:val="10"/>
          <w:szCs w:val="10"/>
          <w:color w:val="auto"/>
        </w:rPr>
        <w:t>acquired the real estate of Belterra Park in satisfaction of the Belterra Park Loan, subject to a long-term lease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Meadows Lease</w:t>
      </w:r>
    </w:p>
    <w:p>
      <w:pPr>
        <w:spacing w:after="0" w:line="169" w:lineRule="exact"/>
        <w:rPr>
          <w:sz w:val="20"/>
          <w:szCs w:val="20"/>
          <w:color w:val="auto"/>
        </w:rPr>
      </w:pPr>
    </w:p>
    <w:p>
      <w:pPr>
        <w:jc w:val="both"/>
        <w:ind w:firstLine="434"/>
        <w:spacing w:after="0" w:line="242" w:lineRule="auto"/>
        <w:rPr>
          <w:sz w:val="20"/>
          <w:szCs w:val="20"/>
          <w:color w:val="auto"/>
        </w:rPr>
      </w:pPr>
      <w:r>
        <w:rPr>
          <w:rFonts w:ascii="Arial" w:cs="Arial" w:eastAsia="Arial" w:hAnsi="Arial"/>
          <w:sz w:val="12"/>
          <w:szCs w:val="12"/>
          <w:color w:val="auto"/>
        </w:rPr>
        <w:t>The real estate assets of the Meadows Racetrack and Casino are leased to Penn pursuant to single property triple-net lease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Amended and Restated Caesars Master Lease</w:t>
      </w:r>
    </w:p>
    <w:p>
      <w:pPr>
        <w:spacing w:after="0" w:line="169" w:lineRule="exact"/>
        <w:rPr>
          <w:sz w:val="20"/>
          <w:szCs w:val="20"/>
          <w:color w:val="auto"/>
        </w:rPr>
      </w:pPr>
    </w:p>
    <w:p>
      <w:pPr>
        <w:jc w:val="both"/>
        <w:ind w:firstLine="434"/>
        <w:spacing w:after="0" w:line="277" w:lineRule="auto"/>
        <w:rPr>
          <w:sz w:val="20"/>
          <w:szCs w:val="20"/>
          <w:color w:val="auto"/>
        </w:rPr>
      </w:pPr>
      <w:r>
        <w:rPr>
          <w:rFonts w:ascii="Arial" w:cs="Arial" w:eastAsia="Arial" w:hAnsi="Arial"/>
          <w:sz w:val="11"/>
          <w:szCs w:val="11"/>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L.P, ("GLP Capital"), the operating partnership of GLPI,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of certain gaming regulatory agencies and the expiration of applicable gaming regulatory advance notice periods which were received on July 23, 2020. On December 18, 2020, the Company and Caesars completed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This resulted in a non-cash gain of $41.4 million in the fourth quarter of 2020, which represented the difference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6" w:right="299" w:bottom="1440" w:gutter="0" w:footer="0" w:header="0"/>
        </w:sectPr>
      </w:pPr>
    </w:p>
    <w:bookmarkStart w:id="32" w:name="page33"/>
    <w:bookmarkEnd w:id="32"/>
    <w:p>
      <w:pPr>
        <w:jc w:val="both"/>
        <w:ind w:right="20"/>
        <w:spacing w:after="0" w:line="278" w:lineRule="auto"/>
        <w:rPr>
          <w:sz w:val="20"/>
          <w:szCs w:val="20"/>
          <w:color w:val="auto"/>
        </w:rPr>
      </w:pPr>
      <w:r>
        <w:rPr>
          <w:rFonts w:ascii="Arial" w:cs="Arial" w:eastAsia="Arial" w:hAnsi="Arial"/>
          <w:sz w:val="12"/>
          <w:szCs w:val="12"/>
          <w:color w:val="auto"/>
        </w:rPr>
        <w:t>between the fair value of the properties received compared to the carrying value of Tropicana Evansville and the cash payment made. In connection with the Exchange Agreement, the annual building base rent was increased to $62.5 million and the annual land component was increased to $23.7 million.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Lumière Place Lease</w:t>
      </w:r>
    </w:p>
    <w:p>
      <w:pPr>
        <w:spacing w:after="0" w:line="169"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1"/>
          <w:szCs w:val="11"/>
          <w:color w:val="auto"/>
        </w:rPr>
        <w:t>On October 1, 2018, the Company entered into a loan agreement with Caesars in connection with Caesars’s acquisition of Lumière Place Casino ("Lumière Place"), whereby the Company loaned Caesars $246.0 million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 own the Lumière Place property in satisfaction of the CZR loan. On September 29, 2020, the transaction closed and we entered into a new triple net lease with Caesars (the "Lumière Place Lease") the initial term of which expires on October 31, 2033, with 4 separate renewal options of five years each, exercisable at the tenant's option. The Lumière Place Lease's rent is subject to an annual escalator of up to 2% if certain rent coverage ratio thresholds are met.</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Bally's Master Lease</w:t>
      </w:r>
    </w:p>
    <w:p>
      <w:pPr>
        <w:spacing w:after="0" w:line="169" w:lineRule="exact"/>
        <w:rPr>
          <w:sz w:val="20"/>
          <w:szCs w:val="20"/>
          <w:color w:val="auto"/>
        </w:rPr>
      </w:pPr>
    </w:p>
    <w:p>
      <w:pPr>
        <w:jc w:val="both"/>
        <w:ind w:firstLine="434"/>
        <w:spacing w:after="0" w:line="258" w:lineRule="auto"/>
        <w:rPr>
          <w:sz w:val="20"/>
          <w:szCs w:val="20"/>
          <w:color w:val="auto"/>
        </w:rPr>
      </w:pPr>
      <w:r>
        <w:rPr>
          <w:rFonts w:ascii="Arial" w:cs="Arial" w:eastAsia="Arial" w:hAnsi="Arial"/>
          <w:sz w:val="12"/>
          <w:szCs w:val="12"/>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(the "Bally's Master Lease") which has an initial term of 15 years, with no purchase option, followed by four five-year renewal options (exercisable by the tenant) on the same terms and conditions. Rent under the Bally's Master Lease is $40 million annually and is subject to an annual escalator of up to 2% determined in relation to the annual increase in Consumer Price Index ("CPI").</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Tropicana Las Vegas</w:t>
      </w:r>
    </w:p>
    <w:p>
      <w:pPr>
        <w:spacing w:after="0" w:line="106"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On April 16, 2020, the Company and certain of its subsidiaries closed on its previously announced transaction to acquire the real property associated with the Tropicana Las Vegas from Penn in exchange for rent credits of $307.5 million, which were applied against future rent obligations due under the parties' existing leases during 2020. An affiliate of Penn will continue to operate the casino and hotel business of the Tropicana Las Vegas pursuant to a triple net lease with GLPI for nominal rent for the earlier of two years (subject to three one-year extensions at the Company's option) or until the Tropicana Las Vegas is sold.</w:t>
      </w:r>
    </w:p>
    <w:p>
      <w:pPr>
        <w:spacing w:after="0" w:line="67"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On April 13, 2021, Bally's agreed to acquire the Company's non-land real estate assets and Penn's outstanding equity interests in Tropicana Las Vegas for $150.0 million. The Company will retain ownership of the land and concurrently enter into a 50 year ground lease with an initial annual rent of $10.5 million. The ground lease will be supported by a Bally's corporate guarantee and cross-defaulted with the Bally's Master Lease. This transaction is expected to close in early 2022.</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Morgantown Lease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On October 1, 2020, the Company and Penn closed on their previously announced transaction whereby GLPI acquired the land under Penn's gaming facility under construction in Morgantown, Pennsylvania in exchange for</w:t>
      </w:r>
    </w:p>
    <w:p>
      <w:pPr>
        <w:spacing w:after="0" w:line="45" w:lineRule="exact"/>
        <w:rPr>
          <w:sz w:val="20"/>
          <w:szCs w:val="20"/>
          <w:color w:val="auto"/>
        </w:rPr>
      </w:pPr>
    </w:p>
    <w:p>
      <w:pPr>
        <w:jc w:val="both"/>
        <w:spacing w:after="0" w:line="328" w:lineRule="auto"/>
        <w:rPr>
          <w:sz w:val="20"/>
          <w:szCs w:val="20"/>
          <w:color w:val="auto"/>
        </w:rPr>
      </w:pPr>
      <w:r>
        <w:rPr>
          <w:rFonts w:ascii="Arial" w:cs="Arial" w:eastAsia="Arial" w:hAnsi="Arial"/>
          <w:sz w:val="10"/>
          <w:szCs w:val="10"/>
          <w:color w:val="auto"/>
        </w:rPr>
        <w:t>$30.0 million in rent credits that were utilized by Penn in the fourth quarter of 2020. The Company is leasing the land back to an affiliate of Penn for an initial annual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subject to escalation provisions following the opening of the property (the "Morgantown Lease").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Hollywood Casino Baton Rouge</w:t>
      </w:r>
    </w:p>
    <w:p>
      <w:pPr>
        <w:spacing w:after="0" w:line="169"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2"/>
          <w:szCs w:val="12"/>
          <w:color w:val="auto"/>
        </w:rPr>
        <w:t>On November 25, 2020, the Company entered into a definitive agreement to sell the operations of our Hollywood Casino Baton Rouge to Casino Queen for $28.2 million (the "HCBR transaction"). The Company will retain ownership of all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6" w:right="299" w:bottom="1440" w:gutter="0" w:footer="0" w:header="0"/>
        </w:sectPr>
      </w:pPr>
    </w:p>
    <w:bookmarkStart w:id="33" w:name="page34"/>
    <w:bookmarkEnd w:id="33"/>
    <w:p>
      <w:pPr>
        <w:jc w:val="both"/>
        <w:spacing w:after="0" w:line="283" w:lineRule="auto"/>
        <w:rPr>
          <w:sz w:val="20"/>
          <w:szCs w:val="20"/>
          <w:color w:val="auto"/>
        </w:rPr>
      </w:pPr>
      <w:r>
        <w:rPr>
          <w:rFonts w:ascii="Arial" w:cs="Arial" w:eastAsia="Arial" w:hAnsi="Arial"/>
          <w:sz w:val="11"/>
          <w:szCs w:val="11"/>
          <w:color w:val="auto"/>
        </w:rPr>
        <w:t>real estate assets at Hollywood Casino Baton Rouge and will simultaneously enter into a triple net master lease with Casino Queen, which will include the Casino Queen property in East St. Louis that is currently leased by us to them and the Hollywood Casino Baton Rouge facility. The initial annual cash rent will be approximately $21.4 million and the lease will have an initial term of 15 years with four 5 year renewal options exercisable by the tenant. This rental amount will be increased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 will complete the current landside development project that is in process and the rent under the master lease will be adjusted upon delivery to reflect a yield of 8.25% on GLPI's project costs. The Company will also have a right of first refusal with Casino Queen for other sale leaseback transactions up to $50 million over the next 2 years. Finally, upon the closing of the transaction, which is anticipated to occur by year-end, subject to regulatory approvals and customary closing conditions, GLPI will forgive the unsecured $13.0 million, 5.5 year term loan made to CQ Holding Company, Inc., an affiliate of Casino Queen, which has been previously written off in return for a one-time cash payment of $4 million.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Hollywood Casino Perryville</w:t>
      </w:r>
    </w:p>
    <w:p>
      <w:pPr>
        <w:spacing w:after="0" w:line="169" w:lineRule="exact"/>
        <w:rPr>
          <w:sz w:val="20"/>
          <w:szCs w:val="20"/>
          <w:color w:val="auto"/>
        </w:rPr>
      </w:pPr>
    </w:p>
    <w:p>
      <w:pPr>
        <w:jc w:val="both"/>
        <w:ind w:firstLine="434"/>
        <w:spacing w:after="0" w:line="258" w:lineRule="auto"/>
        <w:rPr>
          <w:sz w:val="20"/>
          <w:szCs w:val="20"/>
          <w:color w:val="auto"/>
        </w:rPr>
      </w:pPr>
      <w:r>
        <w:rPr>
          <w:rFonts w:ascii="Arial" w:cs="Arial" w:eastAsia="Arial" w:hAnsi="Arial"/>
          <w:sz w:val="12"/>
          <w:szCs w:val="12"/>
          <w:color w:val="auto"/>
        </w:rPr>
        <w:t>On December 15, 2020, the Company announced that Penn exercised its option to purchase from the Company the operations of our Hollywood Casino Perryville, located in Perryville, Maryland, for $31.1 million. The transaction closed on July 1, 2021 and the real estate assets of the Hollywood Casino Perryville are being leased to Penn on a triple net basis for an initial annual rent of $7.77 million, $5.83 million of which will be subject to escalation provisions beginning in the second lease year through the fourth lease year and increasing by 1.50% during such period and then increasing by 1.25% for the remaining lease term. The escalation provisions beginning in the fifth lease year are subject to the CPI being at least 0.5% for the preceding lease year (the "Perryville Lease"). A pre-tax gain of $15.6 million ($11.3 million after tax) was recorded during the three month period ended September 30, 2021 in connection with the sale of the operating assets to Penn.</w:t>
      </w:r>
    </w:p>
    <w:p>
      <w:pPr>
        <w:spacing w:after="0" w:line="81"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1"/>
          <w:szCs w:val="11"/>
          <w:color w:val="auto"/>
        </w:rPr>
        <w:t>As of September 30, 2021, the majority of our earnings are the result of the rental revenues we receive from our triple-net master leases with Penn, Boyd, Caesars and Bally's. Additionally, we have rental revenue from the Casino Queen property which is leased back to a third-party operator on a triple-net basis pursuant to the Casino Queen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56" w:lineRule="exact"/>
        <w:rPr>
          <w:sz w:val="20"/>
          <w:szCs w:val="20"/>
          <w:color w:val="auto"/>
        </w:rPr>
      </w:pPr>
    </w:p>
    <w:p>
      <w:pPr>
        <w:jc w:val="both"/>
        <w:ind w:right="60" w:firstLine="434"/>
        <w:spacing w:after="0" w:line="265" w:lineRule="auto"/>
        <w:rPr>
          <w:sz w:val="20"/>
          <w:szCs w:val="20"/>
          <w:color w:val="auto"/>
        </w:rPr>
      </w:pPr>
      <w:r>
        <w:rPr>
          <w:rFonts w:ascii="Arial" w:cs="Arial" w:eastAsia="Arial" w:hAnsi="Arial"/>
          <w:sz w:val="12"/>
          <w:szCs w:val="12"/>
          <w:color w:val="auto"/>
        </w:rPr>
        <w:t>Additionally, in accordance with Accounting Standards Codification ("ASC") 842, we record revenue for the ground lease rent paid by our tenants with an offsetting expense in land rights and ground lease expense within the Condensed Consolidated Statement of Income as we have concluded that as the lessee we are the primary obligor under the ground leases. We sublease these ground leases back to our tenants, who are responsible for payment directly to the landlord.</w:t>
      </w:r>
    </w:p>
    <w:p>
      <w:pPr>
        <w:spacing w:after="0" w:line="140" w:lineRule="exact"/>
        <w:rPr>
          <w:sz w:val="20"/>
          <w:szCs w:val="20"/>
          <w:color w:val="auto"/>
        </w:rPr>
      </w:pPr>
    </w:p>
    <w:p>
      <w:pPr>
        <w:ind w:right="120" w:firstLine="434"/>
        <w:spacing w:after="0" w:line="278" w:lineRule="auto"/>
        <w:rPr>
          <w:sz w:val="20"/>
          <w:szCs w:val="20"/>
          <w:color w:val="auto"/>
        </w:rPr>
      </w:pPr>
      <w:r>
        <w:rPr>
          <w:rFonts w:ascii="Arial" w:cs="Arial" w:eastAsia="Arial" w:hAnsi="Arial"/>
          <w:sz w:val="12"/>
          <w:szCs w:val="12"/>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Developments and Business Outlook</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w:t>
      </w:r>
    </w:p>
    <w:p>
      <w:pPr>
        <w:spacing w:after="0" w:line="173" w:lineRule="exact"/>
        <w:rPr>
          <w:sz w:val="20"/>
          <w:szCs w:val="20"/>
          <w:color w:val="auto"/>
        </w:rPr>
      </w:pPr>
    </w:p>
    <w:p>
      <w:pPr>
        <w:ind w:right="20" w:firstLine="434"/>
        <w:spacing w:after="0" w:line="260" w:lineRule="auto"/>
        <w:rPr>
          <w:sz w:val="20"/>
          <w:szCs w:val="20"/>
          <w:color w:val="auto"/>
        </w:rPr>
      </w:pPr>
      <w:r>
        <w:rPr>
          <w:rFonts w:ascii="Arial" w:cs="Arial" w:eastAsia="Arial" w:hAnsi="Arial"/>
          <w:sz w:val="12"/>
          <w:szCs w:val="12"/>
          <w:color w:val="auto"/>
        </w:rPr>
        <w:t>The spread of the novel coronavirus (COVID-19) and the recent developments surrounding the global pandemic had material negative impacts on the global and United States economies that resulted in an unprecedented drop in economic activity in 2020. In mid-March 2020, many businesses in the United States were forced to close by state governments in an effort to limit the spread of COVID-19, which resulted in record unemployment claims. As the U.S. economy began to reopen in the second quarter of 2020, the unemployment rate, which was approximately 3.5% at the beginning of 2020, declined from its April 2020 peak of 14.7% and steadily improved to approximately 4.8% as of September 2021. Additional impacts and recent developments include:</w:t>
      </w:r>
    </w:p>
    <w:p>
      <w:pPr>
        <w:spacing w:after="0" w:line="144" w:lineRule="exact"/>
        <w:rPr>
          <w:sz w:val="20"/>
          <w:szCs w:val="20"/>
          <w:color w:val="auto"/>
        </w:rPr>
      </w:pPr>
    </w:p>
    <w:p>
      <w:pPr>
        <w:ind w:left="420" w:right="40" w:hanging="211"/>
        <w:spacing w:after="0" w:line="265" w:lineRule="auto"/>
        <w:tabs>
          <w:tab w:leader="none" w:pos="417" w:val="left"/>
        </w:tabs>
        <w:numPr>
          <w:ilvl w:val="0"/>
          <w:numId w:val="22"/>
        </w:numPr>
        <w:rPr>
          <w:rFonts w:ascii="Arial" w:cs="Arial" w:eastAsia="Arial" w:hAnsi="Arial"/>
          <w:sz w:val="12"/>
          <w:szCs w:val="12"/>
          <w:color w:val="auto"/>
        </w:rPr>
      </w:pPr>
      <w:r>
        <w:rPr>
          <w:rFonts w:ascii="Arial" w:cs="Arial" w:eastAsia="Arial" w:hAnsi="Arial"/>
          <w:sz w:val="12"/>
          <w:szCs w:val="12"/>
          <w:color w:val="auto"/>
        </w:rPr>
        <w:t>During the initial stages of the COVID-19 outbreak, federal, state and local government officials took steps to require various non-essential businesses to close to slow the spread of COVID-19. In mid-March 2020, all casinos closed across the country, which in turn had a significant negative impact on our tenants' and our own operating results. Although the majority of casinos have reopened throughout the country, it is possible that individual jurisdictions may elect to close them again (which has occurred in certain instances) to mitigate the spread of COVID-19.</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6" w:right="299" w:bottom="1440" w:gutter="0" w:footer="0" w:header="0"/>
        </w:sectPr>
      </w:pPr>
    </w:p>
    <w:bookmarkStart w:id="34" w:name="page35"/>
    <w:bookmarkEnd w:id="34"/>
    <w:p>
      <w:pPr>
        <w:ind w:left="420" w:right="60" w:hanging="211"/>
        <w:spacing w:after="0" w:line="291" w:lineRule="auto"/>
        <w:tabs>
          <w:tab w:leader="none" w:pos="417"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Company's wholly-owned and operated TRS Properties closed in mid-March 2020 due to the COVID-19 outbreak. Our property in Baton Rouge reopened on May 18, 2020 and our property in Perryville, Maryland reopened on June 19, 2020 with enhanced safety protocols and capacity restrictions. Both properties have performed well as results for 2021 have exceeded comparable 2019 levels (prior to the COVID-19 outbreak). Current year results have benefited from pent up demand, reduced competition from non-gaming leisure related activities and federal stimulus. On July 1, 2021, the Company completed its sale of the operations of Hollywood Casino Perryville, located in Perryville, Maryland, to Penn for $31.1 million. The Company is leasing the real estate of the Perryville facility to Penn pursuant to the Perryville Lease.</w:t>
      </w:r>
    </w:p>
    <w:p>
      <w:pPr>
        <w:spacing w:after="0" w:line="128" w:lineRule="exact"/>
        <w:rPr>
          <w:rFonts w:ascii="Arial" w:cs="Arial" w:eastAsia="Arial" w:hAnsi="Arial"/>
          <w:sz w:val="11"/>
          <w:szCs w:val="11"/>
          <w:color w:val="auto"/>
        </w:rPr>
      </w:pPr>
    </w:p>
    <w:p>
      <w:pPr>
        <w:ind w:left="420" w:hanging="211"/>
        <w:spacing w:after="0" w:line="243" w:lineRule="auto"/>
        <w:tabs>
          <w:tab w:leader="none" w:pos="411" w:val="left"/>
        </w:tabs>
        <w:numPr>
          <w:ilvl w:val="0"/>
          <w:numId w:val="23"/>
        </w:numPr>
        <w:rPr>
          <w:rFonts w:ascii="Arial" w:cs="Arial" w:eastAsia="Arial" w:hAnsi="Arial"/>
          <w:sz w:val="16"/>
          <w:szCs w:val="16"/>
          <w:i w:val="1"/>
          <w:iCs w:val="1"/>
          <w:color w:val="auto"/>
          <w:vertAlign w:val="superscript"/>
        </w:rPr>
      </w:pPr>
      <w:r>
        <w:rPr>
          <w:rFonts w:ascii="Arial" w:cs="Arial" w:eastAsia="Arial" w:hAnsi="Arial"/>
          <w:sz w:val="12"/>
          <w:szCs w:val="12"/>
          <w:color w:val="auto"/>
        </w:rPr>
        <w:t>On October 27, 2020, the Company entered into a series of definitive agreements pursuant to which a subsidiary of Bally's acquired 100% of the equity interests in the Caesars subsidiary that operated Tropicana Evansville and the Company reacquired the real property assets of Tropicana Evansville from Caesars for a cash purchase price of approximately $340.0 million. In addition, the Company entered into a real estate purchase agreement with Bally's pursuant to which the Company purchased the real estate assets of the Dover Downs Hotel &amp; Casino, located in Dover, Delaware, which is currently operated by Bally's, for a cash purchase price of approximately $144.0 million. On November 6, 2020, the Company issued 9.2 million common shares at $36.25 to partially finance the funding required for this transaction. These transactions closed on June 3, 2021, and the real estate assets are being leased pursuant to the Bally's Master Lease. The Bally's Master Lease has an initial term of 15 years, with no purchase option, followed by four five-year renewal options (exercisable by the tenant) on the same terms and conditions. The initial rent under the Bally's Master Lease is $40.0 million annually, subject to escalations tied to the CPI. If the CPI increase is at least 0.5% for any lease year, then the rent under the Bally's Master Lease shall increase by the greater of 1% of the rent as of the immediately preceding lease year or the actual CPI increase for such lease year, capped at 2%. If the CPI is less than 0.5% for such lease year, then the rent shall not increase for such lease year.</w:t>
      </w:r>
    </w:p>
    <w:p>
      <w:pPr>
        <w:spacing w:after="0" w:line="155" w:lineRule="exact"/>
        <w:rPr>
          <w:rFonts w:ascii="Arial" w:cs="Arial" w:eastAsia="Arial" w:hAnsi="Arial"/>
          <w:sz w:val="16"/>
          <w:szCs w:val="16"/>
          <w:i w:val="1"/>
          <w:iCs w:val="1"/>
          <w:color w:val="auto"/>
          <w:vertAlign w:val="superscript"/>
        </w:rPr>
      </w:pPr>
    </w:p>
    <w:p>
      <w:pPr>
        <w:jc w:val="both"/>
        <w:ind w:left="420" w:right="60" w:hanging="211"/>
        <w:spacing w:after="0" w:line="300" w:lineRule="auto"/>
        <w:tabs>
          <w:tab w:leader="none" w:pos="417" w:val="left"/>
        </w:tabs>
        <w:numPr>
          <w:ilvl w:val="0"/>
          <w:numId w:val="23"/>
        </w:numPr>
        <w:rPr>
          <w:rFonts w:ascii="Arial" w:cs="Arial" w:eastAsia="Arial" w:hAnsi="Arial"/>
          <w:sz w:val="11"/>
          <w:szCs w:val="11"/>
          <w:color w:val="auto"/>
        </w:rPr>
      </w:pPr>
      <w:r>
        <w:rPr>
          <w:rFonts w:ascii="Arial" w:cs="Arial" w:eastAsia="Arial" w:hAnsi="Arial"/>
          <w:sz w:val="11"/>
          <w:szCs w:val="11"/>
          <w:color w:val="auto"/>
        </w:rPr>
        <w:t>On April 13, 2021, the Company announced that it entered into a binding term sheet with Bally's to acquire the real estate of Bally’s casino property in Black Hawk, CO and Rock Island, IL which Bally's recently acquired in June 2021. Total consideration for the acquisition is $150 million. The parties expect to add the properties to the Bally's Master Lease, for incremental rent of $12.0 million. Normalized rent coverage on the assets is expected to be 2.25x in the first calendar year post-acquisition. The acquisitions of the real estate assets of Bally’s properties in Rock Island and Black Hawk are expected to close in early 2022.</w:t>
      </w:r>
    </w:p>
    <w:p>
      <w:pPr>
        <w:spacing w:after="0" w:line="122" w:lineRule="exact"/>
        <w:rPr>
          <w:rFonts w:ascii="Arial" w:cs="Arial" w:eastAsia="Arial" w:hAnsi="Arial"/>
          <w:sz w:val="11"/>
          <w:szCs w:val="11"/>
          <w:color w:val="auto"/>
        </w:rPr>
      </w:pPr>
    </w:p>
    <w:p>
      <w:pPr>
        <w:ind w:left="420" w:right="200" w:hanging="211"/>
        <w:spacing w:after="0" w:line="278" w:lineRule="auto"/>
        <w:tabs>
          <w:tab w:leader="none" w:pos="417"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 addition, Bally’s has granted GLPI a right of first refusal to fund the real property acquisition or development project costs associated with any and all potential future transactions in Michigan, Maryland, New York and Virginia through one or more sale-leaseback or similar transactions for a term of seven years.</w:t>
      </w:r>
    </w:p>
    <w:p>
      <w:pPr>
        <w:spacing w:after="0" w:line="132" w:lineRule="exact"/>
        <w:rPr>
          <w:rFonts w:ascii="Arial" w:cs="Arial" w:eastAsia="Arial" w:hAnsi="Arial"/>
          <w:sz w:val="12"/>
          <w:szCs w:val="12"/>
          <w:color w:val="auto"/>
        </w:rPr>
      </w:pPr>
    </w:p>
    <w:p>
      <w:pPr>
        <w:jc w:val="both"/>
        <w:ind w:left="420" w:right="100" w:hanging="211"/>
        <w:spacing w:after="0" w:line="265" w:lineRule="auto"/>
        <w:tabs>
          <w:tab w:leader="none" w:pos="417" w:val="left"/>
        </w:tabs>
        <w:numPr>
          <w:ilvl w:val="0"/>
          <w:numId w:val="23"/>
        </w:numPr>
        <w:rPr>
          <w:rFonts w:ascii="Arial" w:cs="Arial" w:eastAsia="Arial" w:hAnsi="Arial"/>
          <w:sz w:val="12"/>
          <w:szCs w:val="12"/>
          <w:color w:val="auto"/>
        </w:rPr>
      </w:pPr>
      <w:r>
        <w:rPr>
          <w:rFonts w:ascii="Arial" w:cs="Arial" w:eastAsia="Arial" w:hAnsi="Arial"/>
          <w:sz w:val="12"/>
          <w:szCs w:val="12"/>
          <w:color w:val="auto"/>
        </w:rPr>
        <w:t>On April 13, 2021, Bally’s also agreed to acquire both GLPI’s non-land real estate assets and Penn's outstanding equity interests in Tropicana Las Vegas Hotel and Casino, Inc. for an aggregate cash acquisition price of $150 million. GLPI will retain ownership of the land and will concurrently enter into a 50-year ground lease with initial annual rent of $10.5 million. The ground lease will be supported by a Bally’s corporate guarantee and cross-defaulted with the Bally's Master Lease. This transaction is expected to close in early 2022.</w:t>
      </w:r>
    </w:p>
    <w:p>
      <w:pPr>
        <w:spacing w:after="0" w:line="139" w:lineRule="exact"/>
        <w:rPr>
          <w:rFonts w:ascii="Arial" w:cs="Arial" w:eastAsia="Arial" w:hAnsi="Arial"/>
          <w:sz w:val="12"/>
          <w:szCs w:val="12"/>
          <w:color w:val="auto"/>
        </w:rPr>
      </w:pPr>
    </w:p>
    <w:p>
      <w:pPr>
        <w:ind w:left="420" w:right="60" w:hanging="211"/>
        <w:spacing w:after="0" w:line="260" w:lineRule="auto"/>
        <w:tabs>
          <w:tab w:leader="none" w:pos="417" w:val="left"/>
        </w:tabs>
        <w:numPr>
          <w:ilvl w:val="0"/>
          <w:numId w:val="23"/>
        </w:numPr>
        <w:rPr>
          <w:rFonts w:ascii="Arial" w:cs="Arial" w:eastAsia="Arial" w:hAnsi="Arial"/>
          <w:sz w:val="12"/>
          <w:szCs w:val="12"/>
          <w:color w:val="auto"/>
        </w:rPr>
      </w:pPr>
      <w:r>
        <w:rPr>
          <w:rFonts w:ascii="Arial" w:cs="Arial" w:eastAsia="Arial" w:hAnsi="Arial"/>
          <w:sz w:val="12"/>
          <w:szCs w:val="12"/>
          <w:color w:val="auto"/>
        </w:rPr>
        <w:t>Both GLPI and Bally’s have committed to a structure in which GLPI has the potential to acquire additional assets in sale-leaseback transactions to the extent Bally’s elects to utilize GLPI’s capital as a funding source for their proposed acquisition of Gamesys Group plc ("Gamesys"). The $500 million commitment provides Bally’s an alternative financing commitment that in GLPI’s sole discretion, may be funded in the form of equity, additional prepaid sale-leaseback transactions or secured loans. However, on July 26, 2021, Bally's announced that as a result of better than expected operating performance at its land-based retail casinos and interactive businesses, it does not plan to draw on the previously disclosed commitment to fund the Gamesys acquisition.</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Information</w:t>
      </w:r>
    </w:p>
    <w:p>
      <w:pPr>
        <w:spacing w:after="0" w:line="155" w:lineRule="exact"/>
        <w:rPr>
          <w:sz w:val="20"/>
          <w:szCs w:val="20"/>
          <w:color w:val="auto"/>
        </w:rPr>
      </w:pPr>
    </w:p>
    <w:p>
      <w:pPr>
        <w:ind w:right="80" w:firstLine="434"/>
        <w:spacing w:after="0" w:line="260" w:lineRule="auto"/>
        <w:rPr>
          <w:sz w:val="20"/>
          <w:szCs w:val="20"/>
          <w:color w:val="auto"/>
        </w:rPr>
      </w:pPr>
      <w:r>
        <w:rPr>
          <w:rFonts w:ascii="Arial" w:cs="Arial" w:eastAsia="Arial" w:hAnsi="Arial"/>
          <w:sz w:val="12"/>
          <w:szCs w:val="12"/>
          <w:color w:val="auto"/>
        </w:rPr>
        <w:t xml:space="preserve">Consistent with how our Chief Operating Decision Maker (as such term is defined in ASC 280 - </w:t>
      </w:r>
      <w:r>
        <w:rPr>
          <w:rFonts w:ascii="Arial" w:cs="Arial" w:eastAsia="Arial" w:hAnsi="Arial"/>
          <w:sz w:val="12"/>
          <w:szCs w:val="12"/>
          <w:i w:val="1"/>
          <w:iCs w:val="1"/>
          <w:color w:val="auto"/>
        </w:rPr>
        <w:t>Segment Reporting</w:t>
      </w:r>
      <w:r>
        <w:rPr>
          <w:rFonts w:ascii="Arial" w:cs="Arial" w:eastAsia="Arial" w:hAnsi="Arial"/>
          <w:sz w:val="12"/>
          <w:szCs w:val="12"/>
          <w:color w:val="auto"/>
        </w:rPr>
        <w:t>) reviews and assesses our financial performance, we have two reportable segments, GLP Capital and the TRS Segment. The GLP Capital reportable segment consists of the leased real property and represents the majority of our business. The TRS Segment consists of our operations at Hollywood Casino Perryville (until July 1, 2021 and subsequent to this date includes rental income from the Perryville Lease) and Hollywood Casino Baton Rouge, as well as the real estate of Tropicana Las Vegas we acquired in 2020. See Note 6 for a discussion of the plans related to the sale of the operations of Hollywood Casino Baton Rouge and the anticipated lease of the real estate of Tropicana Las Vegas.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35" w:name="page36"/>
    <w:bookmarkEnd w:id="35"/>
    <w:p>
      <w:pPr>
        <w:ind w:left="420"/>
        <w:spacing w:after="0"/>
        <w:rPr>
          <w:sz w:val="20"/>
          <w:szCs w:val="20"/>
          <w:color w:val="auto"/>
        </w:rPr>
      </w:pPr>
      <w:r>
        <w:rPr>
          <w:rFonts w:ascii="Arial" w:cs="Arial" w:eastAsia="Arial" w:hAnsi="Arial"/>
          <w:sz w:val="12"/>
          <w:szCs w:val="12"/>
          <w:b w:val="1"/>
          <w:bCs w:val="1"/>
          <w:color w:val="auto"/>
        </w:rPr>
        <w:t>Executive Summary</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Financial Highlights</w:t>
      </w:r>
    </w:p>
    <w:p>
      <w:pPr>
        <w:spacing w:after="0" w:line="151" w:lineRule="exact"/>
        <w:rPr>
          <w:sz w:val="20"/>
          <w:szCs w:val="20"/>
          <w:color w:val="auto"/>
        </w:rPr>
      </w:pPr>
    </w:p>
    <w:p>
      <w:pPr>
        <w:ind w:right="20" w:firstLine="434"/>
        <w:spacing w:after="0" w:line="265" w:lineRule="auto"/>
        <w:rPr>
          <w:sz w:val="20"/>
          <w:szCs w:val="20"/>
          <w:color w:val="auto"/>
        </w:rPr>
      </w:pPr>
      <w:r>
        <w:rPr>
          <w:rFonts w:ascii="Arial" w:cs="Arial" w:eastAsia="Arial" w:hAnsi="Arial"/>
          <w:sz w:val="12"/>
          <w:szCs w:val="12"/>
          <w:color w:val="auto"/>
        </w:rPr>
        <w:t>We reported total revenues and income from operations of $298.7 million and $225.1 million, respectively, for the three months ended September 30, 2021, compared to $307.6 million and $200.7 million, respectively, for the corresponding period in the prior year. We reported total revenues and income from operations of $918.0 million and $637.3 million, respectively, for the nine months ended September 30, 2021, compared to $853.0 million and $567.8, respectively, for the corresponding period in the prior year.</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major factors affecting our results for the three and nine months ended September 30, 2021, as compared to the three and nine months ended September 30, 2020, were as follows:</w:t>
      </w:r>
    </w:p>
    <w:p>
      <w:pPr>
        <w:spacing w:after="0" w:line="151" w:lineRule="exact"/>
        <w:rPr>
          <w:sz w:val="20"/>
          <w:szCs w:val="20"/>
          <w:color w:val="auto"/>
        </w:rPr>
      </w:pPr>
    </w:p>
    <w:p>
      <w:pPr>
        <w:ind w:left="420" w:hanging="211"/>
        <w:spacing w:after="0" w:line="275" w:lineRule="auto"/>
        <w:tabs>
          <w:tab w:leader="none" w:pos="417" w:val="left"/>
        </w:tabs>
        <w:numPr>
          <w:ilvl w:val="0"/>
          <w:numId w:val="24"/>
        </w:numPr>
        <w:rPr>
          <w:rFonts w:ascii="Arial" w:cs="Arial" w:eastAsia="Arial" w:hAnsi="Arial"/>
          <w:sz w:val="11"/>
          <w:szCs w:val="11"/>
          <w:color w:val="auto"/>
        </w:rPr>
      </w:pPr>
      <w:r>
        <w:rPr>
          <w:rFonts w:ascii="Arial" w:cs="Arial" w:eastAsia="Arial" w:hAnsi="Arial"/>
          <w:sz w:val="11"/>
          <w:szCs w:val="11"/>
          <w:color w:val="auto"/>
        </w:rPr>
        <w:t>Total income from real estate was $283.3 million and $821.2 million for the three and nine months ended September 30, 2021, and $273.1 million and $781.8 million for the three and nine months ended September 30, 2020, respectively. Total income from real estate increased by $10.1 million and $39.4 million for the three and nine months ended September 30, 2021, as compared to the corresponding period in the prior year. Results for the three months ended September 30, 2021 benefited from the additions of the Bally's Master Lease, the Perryville Lease, and the Morgantown Lease which in the aggregate increased cash rental income by $12.7 million. The Company also recognized higher rent of $2.1 million on the Casino Queen Lease due to the negative impact from COVID-19 closures in the prior year that resulted in rent deferrals in the second quarter of 2020 that were subsequently collected in the fourth quarter of 2020. Additionally, in accordance with the rent deferral agreement that was signed in 2020 with Casino Queen, $2.1 million of rent was deferred due to the property's temporary closure in the first quarter of 2021. Approximately $0.9 million of this amount was collected in the three months ended September 30, 2021 and GLPI anticipates the remaining amount will be collected at the closing of the HCBR transaction. Finally, the three month period ended September 30, 2021 benefited from full escalations being incurred on the Amended Pinnacle Master Lease, the Boyd Master Lease and the Belterra Park Lease effective May 1, 2021 which increased building base rents by $1.5 million during the period. Partially offsetting these increases were lower straight line rent adjustments of $4.0 million, lower percentage rent from the Penn Master Lease and the Meadows Lease of $2.2 million. Additionally, we had lower cash rental income of $0.7 million for the three months ended September 30, 2021 from the Amended and Restated Caesars Master Lease that became effective in July 2020. Results for the nine months ended September 30, 2021 benefited from the additions of the Bally's Master Lease, the Perryville Lease, and the Morgantown Lease which in the aggregate increased cash rental income by $17.3 million. The Company also recognized higher percentage rent of $12.6 million on the Penn Master Lease due to the impact of the COVID-19 closures in 2020 and higher rent of $3.3 million on the Casino Queen Lease due to the reasons mentioned above. The Company also had favorable straight line rent adjustments of $7.9 million. Finally, the nine month period ended September 30, 2021 benefited from full escalations being incurred on the Amended Pinnacle Master Lease, the Boyd Master Lease and the Belterra Park Lease effective May 1, 2021 which increased income from real estate by $2.5 million during the period. Partially offsetting these favorable variances were lower percentage rents of $3.7 million from the 2020 resets on the Amended Pinnacle Master Lease, the Boyd Master Lease and the Meadows Lease. Additionally, we had lower cash rental income of $2.0 million for the nine months ended September 30, 2021 from the Amended and Restated Caesars Master Lease that became effective in July 2020.</w:t>
      </w:r>
    </w:p>
    <w:p>
      <w:pPr>
        <w:spacing w:after="0" w:line="5" w:lineRule="exact"/>
        <w:rPr>
          <w:rFonts w:ascii="Arial" w:cs="Arial" w:eastAsia="Arial" w:hAnsi="Arial"/>
          <w:sz w:val="11"/>
          <w:szCs w:val="11"/>
          <w:color w:val="auto"/>
        </w:rPr>
      </w:pPr>
    </w:p>
    <w:p>
      <w:pPr>
        <w:jc w:val="both"/>
        <w:ind w:left="420" w:right="60" w:hanging="211"/>
        <w:spacing w:after="0" w:line="291" w:lineRule="auto"/>
        <w:tabs>
          <w:tab w:leader="none" w:pos="417" w:val="left"/>
        </w:tabs>
        <w:numPr>
          <w:ilvl w:val="0"/>
          <w:numId w:val="24"/>
        </w:numPr>
        <w:rPr>
          <w:rFonts w:ascii="Arial" w:cs="Arial" w:eastAsia="Arial" w:hAnsi="Arial"/>
          <w:sz w:val="11"/>
          <w:szCs w:val="11"/>
          <w:color w:val="auto"/>
        </w:rPr>
      </w:pPr>
      <w:r>
        <w:rPr>
          <w:rFonts w:ascii="Arial" w:cs="Arial" w:eastAsia="Arial" w:hAnsi="Arial"/>
          <w:sz w:val="11"/>
          <w:szCs w:val="11"/>
          <w:color w:val="auto"/>
        </w:rPr>
        <w:t>Gaming, food, beverage and other revenue decreased by $19.0 million and increased by $25.7 million for the three and nine months ended September 30, 2021, as compared to the corresponding periods in the prior year. The decline for the three months ended September 30, 2021 was primarily due to the sale of the operations of Hollywood Casino Perryville on July 1, 2021. The increase for the nine-months ended September 30, 2021 was due to the impact of COVID-19 on the prior year which, as previously discussed, closed both of these properties in mid-March 2020. Both properties reopened to strong results since recommencing operations.</w:t>
      </w:r>
    </w:p>
    <w:p>
      <w:pPr>
        <w:spacing w:after="0" w:line="118" w:lineRule="exact"/>
        <w:rPr>
          <w:rFonts w:ascii="Arial" w:cs="Arial" w:eastAsia="Arial" w:hAnsi="Arial"/>
          <w:sz w:val="11"/>
          <w:szCs w:val="11"/>
          <w:color w:val="auto"/>
        </w:rPr>
      </w:pPr>
    </w:p>
    <w:p>
      <w:pPr>
        <w:ind w:left="420" w:right="80" w:hanging="211"/>
        <w:spacing w:after="0" w:line="271" w:lineRule="auto"/>
        <w:tabs>
          <w:tab w:leader="none" w:pos="394" w:val="left"/>
        </w:tabs>
        <w:numPr>
          <w:ilvl w:val="0"/>
          <w:numId w:val="24"/>
        </w:numPr>
        <w:rPr>
          <w:rFonts w:ascii="Arial" w:cs="Arial" w:eastAsia="Arial" w:hAnsi="Arial"/>
          <w:sz w:val="12"/>
          <w:szCs w:val="12"/>
          <w:b w:val="1"/>
          <w:bCs w:val="1"/>
          <w:color w:val="auto"/>
        </w:rPr>
      </w:pPr>
      <w:r>
        <w:rPr>
          <w:rFonts w:ascii="Arial" w:cs="Arial" w:eastAsia="Arial" w:hAnsi="Arial"/>
          <w:sz w:val="11"/>
          <w:szCs w:val="11"/>
          <w:color w:val="auto"/>
        </w:rPr>
        <w:t>Total operating expenses decreased by $33.2 million and $4.5 million for the three and nine months ended September 30, 2021, as compared to the corresponding periods in the prior year. The decrease in operating expenses for the three and nine months ended September 30, 2021 was primarily driven by the sale of the operations of Hollywood Casino Perryville on July 1, 2021 which resulted in a pre-tax gain of $15.6 million, partially offset by TRS Properties being closed in mid-March 2020 from COVID-19, which resulted in lower expenses in our TRS Segment of $32.0 million and $9.8 million for the three and nine months ended September 30, 2021.</w:t>
      </w:r>
    </w:p>
    <w:p>
      <w:pPr>
        <w:spacing w:after="0" w:line="1" w:lineRule="exact"/>
        <w:rPr>
          <w:rFonts w:ascii="Arial" w:cs="Arial" w:eastAsia="Arial" w:hAnsi="Arial"/>
          <w:sz w:val="12"/>
          <w:szCs w:val="12"/>
          <w:b w:val="1"/>
          <w:bCs w:val="1"/>
          <w:color w:val="auto"/>
        </w:rPr>
      </w:pPr>
    </w:p>
    <w:p>
      <w:pPr>
        <w:ind w:left="420" w:right="40"/>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Additionally, the Company's REIT segment had higher depreciation expense of $3.7 million and $8.1 million for the three and nine months ended September 30, 2021 due to its recent acquisitions. Additionally, the Company had higher land rights and ground lease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36" w:name="page37"/>
    <w:bookmarkEnd w:id="36"/>
    <w:p>
      <w:pPr>
        <w:ind w:left="420"/>
        <w:spacing w:after="0" w:line="260" w:lineRule="auto"/>
        <w:rPr>
          <w:sz w:val="20"/>
          <w:szCs w:val="20"/>
          <w:color w:val="auto"/>
        </w:rPr>
      </w:pPr>
      <w:r>
        <w:rPr>
          <w:rFonts w:ascii="Arial" w:cs="Arial" w:eastAsia="Arial" w:hAnsi="Arial"/>
          <w:sz w:val="12"/>
          <w:szCs w:val="12"/>
          <w:color w:val="auto"/>
        </w:rPr>
        <w:t>expense of $1.3 million and $2.4 million for the three and nine months ended September 30, 2021 due primarily from the impact of COVID-19 closures in 2020. Finally, the Company incurred lower general and administrative expenses in its REIT segment for the three and nine months ended September 30, 2021 of $7.1 million and $6.0 million, respectively, due to severance and stock acceleration charges of $6.8 million for the departure of our former chief financial officer in the third quarter of 2020. The Company has recorded higher bonus accruals in the current year as a result of improved financial performance relative to the prior year which has been mainly offset by lower legal costs in the current year.</w:t>
      </w:r>
    </w:p>
    <w:p>
      <w:pPr>
        <w:spacing w:after="0" w:line="144" w:lineRule="exact"/>
        <w:rPr>
          <w:sz w:val="20"/>
          <w:szCs w:val="20"/>
          <w:color w:val="auto"/>
        </w:rPr>
      </w:pPr>
    </w:p>
    <w:p>
      <w:pPr>
        <w:ind w:left="420" w:right="20" w:hanging="211"/>
        <w:spacing w:after="0" w:line="278" w:lineRule="auto"/>
        <w:tabs>
          <w:tab w:leader="none" w:pos="417" w:val="left"/>
        </w:tabs>
        <w:numPr>
          <w:ilvl w:val="0"/>
          <w:numId w:val="25"/>
        </w:numPr>
        <w:rPr>
          <w:rFonts w:ascii="Arial" w:cs="Arial" w:eastAsia="Arial" w:hAnsi="Arial"/>
          <w:sz w:val="12"/>
          <w:szCs w:val="12"/>
          <w:color w:val="auto"/>
        </w:rPr>
      </w:pPr>
      <w:r>
        <w:rPr>
          <w:rFonts w:ascii="Arial" w:cs="Arial" w:eastAsia="Arial" w:hAnsi="Arial"/>
          <w:sz w:val="12"/>
          <w:szCs w:val="12"/>
          <w:color w:val="auto"/>
        </w:rPr>
        <w:t>Other expenses decreased by $0.5 million and $18.2 million for the three and nine months ended September 30, 2021, due to debt extinguishment charges of $0.8 million and $18.1 million incurred in the three month and nine months ended September 30, 2020, respectively. See Note 8 for further details.</w:t>
      </w:r>
    </w:p>
    <w:p>
      <w:pPr>
        <w:spacing w:after="0" w:line="132" w:lineRule="exact"/>
        <w:rPr>
          <w:rFonts w:ascii="Arial" w:cs="Arial" w:eastAsia="Arial" w:hAnsi="Arial"/>
          <w:sz w:val="12"/>
          <w:szCs w:val="12"/>
          <w:color w:val="auto"/>
        </w:rPr>
      </w:pPr>
    </w:p>
    <w:p>
      <w:pPr>
        <w:ind w:left="420" w:right="60" w:hanging="211"/>
        <w:spacing w:after="0" w:line="325" w:lineRule="auto"/>
        <w:tabs>
          <w:tab w:leader="none" w:pos="417"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Income tax expense increased by $3.0 million and $9.7 million for the three and nine months ended September 30, 2021, as compared to the corresponding periods in the prior year due to the gain on the sale of the operations of Hollywood Casino Perryville, improved performance at the TRS Segment due to strong results in the current periods as well as the impact of temporary closures related to COVID-19 in the prior year.</w:t>
      </w:r>
    </w:p>
    <w:p>
      <w:pPr>
        <w:spacing w:after="0" w:line="109" w:lineRule="exact"/>
        <w:rPr>
          <w:rFonts w:ascii="Arial" w:cs="Arial" w:eastAsia="Arial" w:hAnsi="Arial"/>
          <w:sz w:val="11"/>
          <w:szCs w:val="11"/>
          <w:color w:val="auto"/>
        </w:rPr>
      </w:pPr>
    </w:p>
    <w:p>
      <w:pPr>
        <w:ind w:left="420" w:hanging="211"/>
        <w:spacing w:after="0"/>
        <w:tabs>
          <w:tab w:leader="none" w:pos="4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Net income increased by $21.9 million and $78.1 million for the three and nine months ended September 30, 2021, as compared to the corresponding periods in the prior year, primarily due to the variances explained above.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155" w:lineRule="exact"/>
        <w:rPr>
          <w:sz w:val="20"/>
          <w:szCs w:val="20"/>
          <w:color w:val="auto"/>
        </w:rPr>
      </w:pPr>
    </w:p>
    <w:p>
      <w:pPr>
        <w:ind w:right="20" w:firstLine="434"/>
        <w:spacing w:after="0" w:line="265" w:lineRule="auto"/>
        <w:rPr>
          <w:sz w:val="20"/>
          <w:szCs w:val="20"/>
          <w:color w:val="auto"/>
        </w:rPr>
      </w:pPr>
      <w:r>
        <w:rPr>
          <w:rFonts w:ascii="Arial" w:cs="Arial" w:eastAsia="Arial" w:hAnsi="Arial"/>
          <w:sz w:val="12"/>
          <w:szCs w:val="12"/>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income taxes, and real estate investments as critical accounting estimates, as they are the most important to our financial statement presentation and require difficult, subjective and complex judgments.</w:t>
      </w:r>
    </w:p>
    <w:p>
      <w:pPr>
        <w:spacing w:after="0" w:line="122" w:lineRule="exact"/>
        <w:rPr>
          <w:sz w:val="20"/>
          <w:szCs w:val="20"/>
          <w:color w:val="auto"/>
        </w:rPr>
      </w:pPr>
    </w:p>
    <w:p>
      <w:pPr>
        <w:ind w:firstLine="434"/>
        <w:spacing w:after="0" w:line="265" w:lineRule="auto"/>
        <w:rPr>
          <w:sz w:val="20"/>
          <w:szCs w:val="20"/>
          <w:color w:val="auto"/>
        </w:rPr>
      </w:pPr>
      <w:r>
        <w:rPr>
          <w:rFonts w:ascii="Arial" w:cs="Arial" w:eastAsia="Arial" w:hAnsi="Arial"/>
          <w:sz w:val="12"/>
          <w:szCs w:val="12"/>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22" w:lineRule="exact"/>
        <w:rPr>
          <w:sz w:val="20"/>
          <w:szCs w:val="20"/>
          <w:color w:val="auto"/>
        </w:rPr>
      </w:pPr>
    </w:p>
    <w:p>
      <w:pPr>
        <w:ind w:right="460" w:firstLine="434"/>
        <w:spacing w:after="0" w:line="278" w:lineRule="auto"/>
        <w:rPr>
          <w:sz w:val="20"/>
          <w:szCs w:val="20"/>
          <w:color w:val="auto"/>
        </w:rPr>
      </w:pPr>
      <w:r>
        <w:rPr>
          <w:rFonts w:ascii="Arial" w:cs="Arial" w:eastAsia="Arial" w:hAnsi="Arial"/>
          <w:sz w:val="12"/>
          <w:szCs w:val="12"/>
          <w:color w:val="auto"/>
        </w:rPr>
        <w:t>For further information on our critical accounting estimates, see Item 7. "Management’s Discussion and Analysis of Financial Condition and Results of Operations" and the Notes to our audited consolidated financial statements included in our most recent Annual Report. There has been no material change to these estimates for the three and nine months ended September 30, 2021.</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are the most important factors and trends that contribute or may contribute to our operating performance:</w:t>
      </w:r>
    </w:p>
    <w:p>
      <w:pPr>
        <w:spacing w:after="0" w:line="169" w:lineRule="exact"/>
        <w:rPr>
          <w:sz w:val="20"/>
          <w:szCs w:val="20"/>
          <w:color w:val="auto"/>
        </w:rPr>
      </w:pPr>
    </w:p>
    <w:p>
      <w:pPr>
        <w:ind w:left="420" w:hanging="211"/>
        <w:spacing w:after="0" w:line="284" w:lineRule="auto"/>
        <w:tabs>
          <w:tab w:leader="none" w:pos="417" w:val="left"/>
        </w:tabs>
        <w:numPr>
          <w:ilvl w:val="0"/>
          <w:numId w:val="26"/>
        </w:numPr>
        <w:rPr>
          <w:rFonts w:ascii="Arial" w:cs="Arial" w:eastAsia="Arial" w:hAnsi="Arial"/>
          <w:sz w:val="11"/>
          <w:szCs w:val="11"/>
          <w:color w:val="auto"/>
        </w:rPr>
      </w:pPr>
      <w:r>
        <w:rPr>
          <w:rFonts w:ascii="Arial" w:cs="Arial" w:eastAsia="Arial" w:hAnsi="Arial"/>
          <w:sz w:val="11"/>
          <w:szCs w:val="11"/>
          <w:color w:val="auto"/>
        </w:rPr>
        <w:t>As discussed previously, the impact of the COVID-19 outbreak resulted in the nationwide closures of all casino operations throughout the United States in mid-March 2020 that extended in many jurisdictions where our properties were located through the summer of 2020. The Company has significant leases that have components of rent based on a percentage of the net revenues generated by the properties in the applicable leases as well as escalation clauses based on the applicable leases' adjusted revenues to rent ratios exceeding certain levels. Our tenants have reopened their facilities and generated strong operating performance. On May 1, 2021, full escalators were achieved on the Amended Pinnacle Master Lease, the Boyd Master Lease and the Belterra Park Lease that increased annualized rent by $6.1 million. We anticipate that the Penn Master Lease adjusted revenue to rent ratio at November 1, 2021 will result in a full escalation resulting in a $5.6 million increase to annualized rent. We believe results at our tenants' operations since they have reopened are benefiting from significant levels of pent up demand, implementation of cost savings initiatives, federal stimulus and reduced competitive entertainment offerings.</w:t>
      </w:r>
    </w:p>
    <w:p>
      <w:pPr>
        <w:spacing w:after="0" w:line="132" w:lineRule="exact"/>
        <w:rPr>
          <w:rFonts w:ascii="Arial" w:cs="Arial" w:eastAsia="Arial" w:hAnsi="Arial"/>
          <w:sz w:val="11"/>
          <w:szCs w:val="11"/>
          <w:color w:val="auto"/>
        </w:rPr>
      </w:pPr>
    </w:p>
    <w:p>
      <w:pPr>
        <w:ind w:left="420" w:right="300" w:hanging="211"/>
        <w:spacing w:after="0" w:line="278" w:lineRule="auto"/>
        <w:tabs>
          <w:tab w:leader="none" w:pos="417"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have announced or closed numerous transactions in the past two years and expect to continue to grow our portfolio by pursuing opportunities to acquire additional gaming facilities to lease to gaming operators under prudent terms.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37" w:name="page38"/>
    <w:bookmarkEnd w:id="37"/>
    <w:p>
      <w:pPr>
        <w:ind w:left="420" w:hanging="211"/>
        <w:spacing w:after="0"/>
        <w:tabs>
          <w:tab w:leader="none" w:pos="4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The fact that several wholly-owned subsidiaries of Penn lease a substantial number of our properties, pursuant to two master leases and three single property leases and account for a significant portion of our revenue.</w:t>
      </w:r>
    </w:p>
    <w:p>
      <w:pPr>
        <w:spacing w:after="0" w:line="180" w:lineRule="exact"/>
        <w:rPr>
          <w:rFonts w:ascii="Arial" w:cs="Arial" w:eastAsia="Arial" w:hAnsi="Arial"/>
          <w:sz w:val="11"/>
          <w:szCs w:val="11"/>
          <w:color w:val="auto"/>
        </w:rPr>
      </w:pPr>
    </w:p>
    <w:p>
      <w:pPr>
        <w:ind w:left="420" w:hanging="211"/>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ability to refinance our significant levels of debt at attractive terms and obtain favorable funding in connection with future business opportunities.</w:t>
      </w:r>
    </w:p>
    <w:p>
      <w:pPr>
        <w:spacing w:after="0" w:line="151" w:lineRule="exact"/>
        <w:rPr>
          <w:rFonts w:ascii="Arial" w:cs="Arial" w:eastAsia="Arial" w:hAnsi="Arial"/>
          <w:sz w:val="12"/>
          <w:szCs w:val="12"/>
          <w:color w:val="auto"/>
        </w:rPr>
      </w:pPr>
    </w:p>
    <w:p>
      <w:pPr>
        <w:ind w:left="420" w:right="680" w:hanging="211"/>
        <w:spacing w:after="0" w:line="325" w:lineRule="auto"/>
        <w:tabs>
          <w:tab w:leader="none" w:pos="417"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The fact that the rules and regulations of U.S. federal income taxation are constantly under review by legislators, the Internal Revenue Service and the U.S. Department of the Treasury. Changes to the tax laws or interpretations thereof, including any changes proposed and implemented by the new administration, with or without retroactive application, could materially and adversely affect GLPI and its investors.</w:t>
      </w:r>
    </w:p>
    <w:p>
      <w:pPr>
        <w:spacing w:after="0" w:line="109"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2"/>
          <w:szCs w:val="12"/>
          <w:color w:val="auto"/>
        </w:rPr>
        <w:t>The consolidated results of operations for the three and nine months ended September 30, 2021 and 2020 are summarized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260" w:type="dxa"/>
            <w:vAlign w:val="bottom"/>
          </w:tcPr>
          <w:p>
            <w:pPr>
              <w:spacing w:after="0"/>
              <w:rPr>
                <w:sz w:val="11"/>
                <w:szCs w:val="11"/>
                <w:color w:val="auto"/>
              </w:rPr>
            </w:pPr>
          </w:p>
        </w:tc>
        <w:tc>
          <w:tcPr>
            <w:tcW w:w="24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0"/>
                <w:szCs w:val="10"/>
                <w:b w:val="1"/>
                <w:bCs w:val="1"/>
                <w:color w:val="auto"/>
              </w:rPr>
              <w:t>Three Months Ended September 30,</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4"/>
          </w:tcPr>
          <w:p>
            <w:pPr>
              <w:jc w:val="right"/>
              <w:ind w:right="701"/>
              <w:spacing w:after="0"/>
              <w:rPr>
                <w:sz w:val="20"/>
                <w:szCs w:val="20"/>
                <w:color w:val="auto"/>
              </w:rPr>
            </w:pPr>
            <w:r>
              <w:rPr>
                <w:rFonts w:ascii="Arial" w:cs="Arial" w:eastAsia="Arial" w:hAnsi="Arial"/>
                <w:sz w:val="10"/>
                <w:szCs w:val="10"/>
                <w:b w:val="1"/>
                <w:bCs w:val="1"/>
                <w:color w:val="auto"/>
              </w:rPr>
              <w:t>Nine Months Ended September 30,</w:t>
            </w:r>
          </w:p>
        </w:tc>
      </w:tr>
      <w:tr>
        <w:trPr>
          <w:trHeight w:val="118"/>
        </w:trPr>
        <w:tc>
          <w:tcPr>
            <w:tcW w:w="5260" w:type="dxa"/>
            <w:vAlign w:val="bottom"/>
          </w:tcPr>
          <w:p>
            <w:pPr>
              <w:spacing w:after="0"/>
              <w:rPr>
                <w:sz w:val="10"/>
                <w:szCs w:val="10"/>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2020</w:t>
            </w:r>
          </w:p>
        </w:tc>
      </w:tr>
      <w:tr>
        <w:trPr>
          <w:trHeight w:val="116"/>
        </w:trPr>
        <w:tc>
          <w:tcPr>
            <w:tcW w:w="5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(in thousands)</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55"/>
        </w:trPr>
        <w:tc>
          <w:tcPr>
            <w:tcW w:w="5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revenues</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298,712</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307,554</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918,016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853,004</w:t>
            </w:r>
          </w:p>
        </w:tc>
      </w:tr>
      <w:tr>
        <w:trPr>
          <w:trHeight w:val="154"/>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operating expenses</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73,613</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106,853</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280,692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285,237</w:t>
            </w:r>
          </w:p>
        </w:tc>
      </w:tr>
      <w:tr>
        <w:trPr>
          <w:trHeight w:val="143"/>
        </w:trPr>
        <w:tc>
          <w:tcPr>
            <w:tcW w:w="5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from operations</w:t>
            </w: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225,099</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200,701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637,324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567,767</w:t>
            </w:r>
          </w:p>
        </w:tc>
      </w:tr>
      <w:tr>
        <w:trPr>
          <w:trHeight w:val="154"/>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other expenses</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(70,426)</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(70,936)</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(211,074)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(229,279)</w:t>
            </w:r>
          </w:p>
        </w:tc>
      </w:tr>
      <w:tr>
        <w:trPr>
          <w:trHeight w:val="143"/>
        </w:trPr>
        <w:tc>
          <w:tcPr>
            <w:tcW w:w="5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before income taxes</w:t>
            </w: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154,673</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129,765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426,250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338,488</w:t>
            </w:r>
          </w:p>
        </w:tc>
      </w:tr>
      <w:tr>
        <w:trPr>
          <w:trHeight w:val="154"/>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expense (benefit)</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5,614</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2,639</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11,791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2,118</w:t>
            </w:r>
          </w:p>
        </w:tc>
      </w:tr>
      <w:tr>
        <w:trPr>
          <w:trHeight w:val="159"/>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149,059</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127,126</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414,459</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336,370</w:t>
            </w:r>
          </w:p>
        </w:tc>
      </w:tr>
    </w:tbl>
    <w:p>
      <w:pPr>
        <w:spacing w:after="0" w:line="19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Certain information regarding our results of operations by segment for the three and nine months ended September 30, 2021 and 2020 is summarized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1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Three Months Ended September 30,</w:t>
            </w: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118"/>
        </w:trPr>
        <w:tc>
          <w:tcPr>
            <w:tcW w:w="412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505"/>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45"/>
              <w:spacing w:after="0"/>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2020</w:t>
            </w:r>
          </w:p>
        </w:tc>
      </w:tr>
      <w:tr>
        <w:trPr>
          <w:trHeight w:val="116"/>
        </w:trPr>
        <w:tc>
          <w:tcPr>
            <w:tcW w:w="412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0"/>
                <w:szCs w:val="10"/>
                <w:b w:val="1"/>
                <w:bCs w:val="1"/>
                <w:color w:val="auto"/>
              </w:rPr>
              <w:t>Total Revenues</w:t>
            </w:r>
          </w:p>
        </w:tc>
        <w:tc>
          <w:tcPr>
            <w:tcW w:w="9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Income from Operations</w:t>
            </w:r>
          </w:p>
        </w:tc>
        <w:tc>
          <w:tcPr>
            <w:tcW w:w="900" w:type="dxa"/>
            <w:vAlign w:val="bottom"/>
            <w:tcBorders>
              <w:bottom w:val="single" w:sz="8" w:color="auto"/>
            </w:tcBorders>
          </w:tcPr>
          <w:p>
            <w:pPr>
              <w:spacing w:after="0"/>
              <w:rPr>
                <w:sz w:val="10"/>
                <w:szCs w:val="10"/>
                <w:color w:val="auto"/>
              </w:rPr>
            </w:pPr>
          </w:p>
        </w:tc>
      </w:tr>
      <w:tr>
        <w:trPr>
          <w:trHeight w:val="116"/>
        </w:trPr>
        <w:tc>
          <w:tcPr>
            <w:tcW w:w="4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0"/>
                <w:szCs w:val="10"/>
                <w:b w:val="1"/>
                <w:bCs w:val="1"/>
                <w:color w:val="auto"/>
                <w:w w:val="84"/>
              </w:rPr>
              <w:t>(in thousands)</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55"/>
        </w:trPr>
        <w:tc>
          <w:tcPr>
            <w:tcW w:w="41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GLP Capital</w:t>
            </w:r>
          </w:p>
        </w:tc>
        <w:tc>
          <w:tcPr>
            <w:tcW w:w="7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281,251</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273,129</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201,721</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192,369</w:t>
            </w:r>
          </w:p>
        </w:tc>
      </w:tr>
      <w:tr>
        <w:trPr>
          <w:trHeight w:val="154"/>
        </w:trPr>
        <w:tc>
          <w:tcPr>
            <w:tcW w:w="412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TRS Segment</w:t>
            </w:r>
          </w:p>
        </w:tc>
        <w:tc>
          <w:tcPr>
            <w:tcW w:w="7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17,461</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34,425</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23,378</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8,332</w:t>
            </w:r>
          </w:p>
        </w:tc>
      </w:tr>
      <w:tr>
        <w:trPr>
          <w:trHeight w:val="159"/>
        </w:trPr>
        <w:tc>
          <w:tcPr>
            <w:tcW w:w="4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Total</w:t>
            </w:r>
          </w:p>
        </w:tc>
        <w:tc>
          <w:tcPr>
            <w:tcW w:w="7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298,712</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307,554</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225,099</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200,701</w:t>
            </w:r>
          </w:p>
        </w:tc>
      </w:tr>
    </w:tbl>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2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0"/>
                <w:szCs w:val="10"/>
                <w:b w:val="1"/>
                <w:bCs w:val="1"/>
                <w:color w:val="auto"/>
                <w:w w:val="96"/>
              </w:rPr>
              <w:t>Nine Months Ended September 30, 2021</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118"/>
        </w:trPr>
        <w:tc>
          <w:tcPr>
            <w:tcW w:w="52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65"/>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66"/>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2020</w:t>
            </w:r>
          </w:p>
        </w:tc>
      </w:tr>
      <w:tr>
        <w:trPr>
          <w:trHeight w:val="116"/>
        </w:trPr>
        <w:tc>
          <w:tcPr>
            <w:tcW w:w="52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Total Revenues</w:t>
            </w: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w w:val="93"/>
              </w:rPr>
              <w:t>Income from Operations</w:t>
            </w:r>
          </w:p>
        </w:tc>
        <w:tc>
          <w:tcPr>
            <w:tcW w:w="900" w:type="dxa"/>
            <w:vAlign w:val="bottom"/>
            <w:tcBorders>
              <w:bottom w:val="single" w:sz="8" w:color="auto"/>
            </w:tcBorders>
          </w:tcPr>
          <w:p>
            <w:pPr>
              <w:spacing w:after="0"/>
              <w:rPr>
                <w:sz w:val="10"/>
                <w:szCs w:val="10"/>
                <w:color w:val="auto"/>
              </w:rPr>
            </w:pPr>
          </w:p>
        </w:tc>
      </w:tr>
      <w:tr>
        <w:trPr>
          <w:trHeight w:val="116"/>
        </w:trPr>
        <w:tc>
          <w:tcPr>
            <w:tcW w:w="5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40" w:type="dxa"/>
            <w:vAlign w:val="bottom"/>
            <w:gridSpan w:val="3"/>
          </w:tcPr>
          <w:p>
            <w:pPr>
              <w:jc w:val="right"/>
              <w:ind w:right="570"/>
              <w:spacing w:after="0"/>
              <w:rPr>
                <w:sz w:val="20"/>
                <w:szCs w:val="20"/>
                <w:color w:val="auto"/>
              </w:rPr>
            </w:pPr>
            <w:r>
              <w:rPr>
                <w:rFonts w:ascii="Arial" w:cs="Arial" w:eastAsia="Arial" w:hAnsi="Arial"/>
                <w:sz w:val="10"/>
                <w:szCs w:val="10"/>
                <w:b w:val="1"/>
                <w:bCs w:val="1"/>
                <w:color w:val="auto"/>
              </w:rPr>
              <w:t>(in thousands)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55"/>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GLP Capital</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819,195</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781,841</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589,837</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557,751</w:t>
            </w:r>
          </w:p>
        </w:tc>
      </w:tr>
      <w:tr>
        <w:trPr>
          <w:trHeight w:val="154"/>
        </w:trPr>
        <w:tc>
          <w:tcPr>
            <w:tcW w:w="52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TRS Segment</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98,821</w:t>
            </w:r>
          </w:p>
        </w:tc>
        <w:tc>
          <w:tcPr>
            <w:tcW w:w="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71,163</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47,487</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10,016</w:t>
            </w:r>
          </w:p>
        </w:tc>
      </w:tr>
      <w:tr>
        <w:trPr>
          <w:trHeight w:val="159"/>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918,016</w:t>
            </w: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853,004</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637,324</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567,767</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FFO, AFFO and Adjusted EBITDA</w:t>
      </w:r>
    </w:p>
    <w:p>
      <w:pPr>
        <w:spacing w:after="0" w:line="155" w:lineRule="exact"/>
        <w:rPr>
          <w:sz w:val="20"/>
          <w:szCs w:val="20"/>
          <w:color w:val="auto"/>
        </w:rPr>
      </w:pPr>
    </w:p>
    <w:p>
      <w:pPr>
        <w:ind w:firstLine="434"/>
        <w:spacing w:after="0" w:line="260" w:lineRule="auto"/>
        <w:rPr>
          <w:sz w:val="20"/>
          <w:szCs w:val="20"/>
          <w:color w:val="auto"/>
        </w:rPr>
      </w:pPr>
      <w:r>
        <w:rPr>
          <w:rFonts w:ascii="Arial" w:cs="Arial" w:eastAsia="Arial" w:hAnsi="Arial"/>
          <w:sz w:val="12"/>
          <w:szCs w:val="12"/>
          <w:color w:val="auto"/>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38" w:name="page39"/>
    <w:bookmarkEnd w:id="38"/>
    <w:p>
      <w:pPr>
        <w:ind w:firstLine="434"/>
        <w:spacing w:after="0" w:line="287" w:lineRule="auto"/>
        <w:rPr>
          <w:sz w:val="20"/>
          <w:szCs w:val="20"/>
          <w:color w:val="auto"/>
        </w:rPr>
      </w:pPr>
      <w:r>
        <w:rPr>
          <w:rFonts w:ascii="Arial" w:cs="Arial" w:eastAsia="Arial" w:hAnsi="Arial"/>
          <w:sz w:val="11"/>
          <w:szCs w:val="11"/>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the amortization of debt issuance costs, bond premiums and original issuance discounts, other depreciation, the amortization of land rights, straight-line rent adjustments, gains on sale of operations, net of tax, and losses on debt extinguishment, reduced by maintenance capital expenditures. Finally, we define Adjusted EBITDA as net income excluding interest, taxes on income, depreciation, gains or losses from sales of property and operations, net of tax, stock based compensation expense, straight-line rent adjustments, the amortization of land rights, and losses on debt extinguishment.</w:t>
      </w:r>
    </w:p>
    <w:p>
      <w:pPr>
        <w:spacing w:after="0" w:line="130" w:lineRule="exact"/>
        <w:rPr>
          <w:sz w:val="20"/>
          <w:szCs w:val="20"/>
          <w:color w:val="auto"/>
        </w:rPr>
      </w:pPr>
    </w:p>
    <w:p>
      <w:pPr>
        <w:ind w:firstLine="434"/>
        <w:spacing w:after="0" w:line="287" w:lineRule="auto"/>
        <w:rPr>
          <w:sz w:val="20"/>
          <w:szCs w:val="20"/>
          <w:color w:val="auto"/>
        </w:rPr>
      </w:pPr>
      <w:r>
        <w:rPr>
          <w:rFonts w:ascii="Arial" w:cs="Arial" w:eastAsia="Arial" w:hAnsi="Arial"/>
          <w:sz w:val="11"/>
          <w:szCs w:val="11"/>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reconciliation of the Company’s net income per GAAP to FFO, AFFO, and Adjusted EBITDA for the three and nine months ended September 30, 2021 and 2020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gridSpan w:val="4"/>
          </w:tcPr>
          <w:p>
            <w:pPr>
              <w:jc w:val="right"/>
              <w:ind w:right="100"/>
              <w:spacing w:after="0"/>
              <w:rPr>
                <w:sz w:val="20"/>
                <w:szCs w:val="20"/>
                <w:color w:val="auto"/>
              </w:rPr>
            </w:pPr>
            <w:r>
              <w:rPr>
                <w:rFonts w:ascii="Arial" w:cs="Arial" w:eastAsia="Arial" w:hAnsi="Arial"/>
                <w:sz w:val="10"/>
                <w:szCs w:val="10"/>
                <w:b w:val="1"/>
                <w:bCs w:val="1"/>
                <w:color w:val="auto"/>
              </w:rPr>
              <w:t>Three Months Ended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rPr>
              <w:t>Nine Months Ended</w:t>
            </w:r>
          </w:p>
        </w:tc>
        <w:tc>
          <w:tcPr>
            <w:tcW w:w="880" w:type="dxa"/>
            <w:vAlign w:val="bottom"/>
          </w:tcPr>
          <w:p>
            <w:pPr>
              <w:spacing w:after="0"/>
              <w:rPr>
                <w:sz w:val="10"/>
                <w:szCs w:val="10"/>
                <w:color w:val="auto"/>
              </w:rPr>
            </w:pPr>
          </w:p>
        </w:tc>
      </w:tr>
      <w:tr>
        <w:trPr>
          <w:trHeight w:val="185"/>
        </w:trPr>
        <w:tc>
          <w:tcPr>
            <w:tcW w:w="44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660"/>
              <w:spacing w:after="0"/>
              <w:rPr>
                <w:sz w:val="20"/>
                <w:szCs w:val="20"/>
                <w:color w:val="auto"/>
              </w:rPr>
            </w:pPr>
            <w:r>
              <w:rPr>
                <w:rFonts w:ascii="Arial" w:cs="Arial" w:eastAsia="Arial" w:hAnsi="Arial"/>
                <w:sz w:val="10"/>
                <w:szCs w:val="10"/>
                <w:b w:val="1"/>
                <w:bCs w:val="1"/>
                <w:color w:val="auto"/>
                <w:w w:val="96"/>
              </w:rPr>
              <w:t>September 30,</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0"/>
                <w:szCs w:val="10"/>
                <w:b w:val="1"/>
                <w:bCs w:val="1"/>
                <w:color w:val="auto"/>
                <w:w w:val="99"/>
              </w:rPr>
              <w:t>September 30,</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18"/>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2020</w:t>
            </w:r>
          </w:p>
        </w:tc>
      </w:tr>
      <w:tr>
        <w:trPr>
          <w:trHeight w:val="116"/>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rPr>
              <w:t>(in thousands)</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55"/>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Net income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149,059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127,126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414,459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336,370</w:t>
            </w:r>
          </w:p>
        </w:tc>
      </w:tr>
      <w:tr>
        <w:trPr>
          <w:trHeight w:val="154"/>
        </w:trPr>
        <w:tc>
          <w:tcPr>
            <w:tcW w:w="4420" w:type="dxa"/>
            <w:vAlign w:val="bottom"/>
          </w:tcPr>
          <w:p>
            <w:pPr>
              <w:ind w:left="440"/>
              <w:spacing w:after="0"/>
              <w:rPr>
                <w:sz w:val="20"/>
                <w:szCs w:val="20"/>
                <w:color w:val="auto"/>
              </w:rPr>
            </w:pPr>
            <w:r>
              <w:rPr>
                <w:rFonts w:ascii="Arial" w:cs="Arial" w:eastAsia="Arial" w:hAnsi="Arial"/>
                <w:sz w:val="12"/>
                <w:szCs w:val="12"/>
                <w:color w:val="auto"/>
              </w:rPr>
              <w:t>Losses (gains) from dispositions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824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917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54"/>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Real estate depreciation</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59,205</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55,098</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172,377</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163,928</w:t>
            </w:r>
          </w:p>
        </w:tc>
      </w:tr>
      <w:tr>
        <w:trPr>
          <w:trHeight w:val="143"/>
        </w:trPr>
        <w:tc>
          <w:tcPr>
            <w:tcW w:w="4420" w:type="dxa"/>
            <w:vAlign w:val="bottom"/>
          </w:tcPr>
          <w:p>
            <w:pPr>
              <w:ind w:left="440"/>
              <w:spacing w:after="0"/>
              <w:rPr>
                <w:sz w:val="20"/>
                <w:szCs w:val="20"/>
                <w:color w:val="auto"/>
              </w:rPr>
            </w:pPr>
            <w:r>
              <w:rPr>
                <w:rFonts w:ascii="Arial" w:cs="Arial" w:eastAsia="Arial" w:hAnsi="Arial"/>
                <w:sz w:val="12"/>
                <w:szCs w:val="12"/>
                <w:b w:val="1"/>
                <w:bCs w:val="1"/>
                <w:color w:val="auto"/>
              </w:rPr>
              <w:t>Funds from operations</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ind w:right="1"/>
              <w:spacing w:after="0"/>
              <w:rPr>
                <w:sz w:val="20"/>
                <w:szCs w:val="20"/>
                <w:color w:val="auto"/>
              </w:rPr>
            </w:pPr>
            <w:r>
              <w:rPr>
                <w:rFonts w:ascii="Arial" w:cs="Arial" w:eastAsia="Arial" w:hAnsi="Arial"/>
                <w:sz w:val="12"/>
                <w:szCs w:val="12"/>
                <w:b w:val="1"/>
                <w:bCs w:val="1"/>
                <w:color w:val="auto"/>
              </w:rPr>
              <w:t>209,088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jc w:val="right"/>
              <w:ind w:right="200"/>
              <w:spacing w:after="0"/>
              <w:rPr>
                <w:sz w:val="20"/>
                <w:szCs w:val="20"/>
                <w:color w:val="auto"/>
              </w:rPr>
            </w:pPr>
            <w:r>
              <w:rPr>
                <w:rFonts w:ascii="Arial" w:cs="Arial" w:eastAsia="Arial" w:hAnsi="Arial"/>
                <w:sz w:val="12"/>
                <w:szCs w:val="12"/>
                <w:b w:val="1"/>
                <w:bCs w:val="1"/>
                <w:color w:val="auto"/>
              </w:rPr>
              <w:t>$</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182,228</w:t>
            </w:r>
          </w:p>
        </w:tc>
        <w:tc>
          <w:tcPr>
            <w:tcW w:w="80" w:type="dxa"/>
            <w:vAlign w:val="bottom"/>
          </w:tcPr>
          <w:p>
            <w:pPr>
              <w:spacing w:after="0"/>
              <w:rPr>
                <w:sz w:val="12"/>
                <w:szCs w:val="12"/>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587,753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jc w:val="right"/>
              <w:ind w:right="200"/>
              <w:spacing w:after="0"/>
              <w:rPr>
                <w:sz w:val="20"/>
                <w:szCs w:val="20"/>
                <w:color w:val="auto"/>
              </w:rPr>
            </w:pPr>
            <w:r>
              <w:rPr>
                <w:rFonts w:ascii="Arial" w:cs="Arial" w:eastAsia="Arial" w:hAnsi="Arial"/>
                <w:sz w:val="12"/>
                <w:szCs w:val="12"/>
                <w:b w:val="1"/>
                <w:bCs w:val="1"/>
                <w:color w:val="auto"/>
              </w:rPr>
              <w:t>$</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500,295</w:t>
            </w:r>
          </w:p>
        </w:tc>
      </w:tr>
      <w:tr>
        <w:trPr>
          <w:trHeight w:val="154"/>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Straight-line rent adjustments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(4,928)</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5,394</w:t>
            </w:r>
          </w:p>
        </w:tc>
      </w:tr>
      <w:tr>
        <w:trPr>
          <w:trHeight w:val="154"/>
        </w:trPr>
        <w:tc>
          <w:tcPr>
            <w:tcW w:w="4420" w:type="dxa"/>
            <w:vAlign w:val="bottom"/>
          </w:tcPr>
          <w:p>
            <w:pPr>
              <w:ind w:left="440"/>
              <w:spacing w:after="0"/>
              <w:rPr>
                <w:sz w:val="20"/>
                <w:szCs w:val="20"/>
                <w:color w:val="auto"/>
              </w:rPr>
            </w:pPr>
            <w:r>
              <w:rPr>
                <w:rFonts w:ascii="Arial" w:cs="Arial" w:eastAsia="Arial" w:hAnsi="Arial"/>
                <w:sz w:val="12"/>
                <w:szCs w:val="12"/>
                <w:color w:val="auto"/>
              </w:rPr>
              <w:t>Other depreciation</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977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2,982</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4,656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8,105</w:t>
            </w:r>
          </w:p>
        </w:tc>
      </w:tr>
      <w:tr>
        <w:trPr>
          <w:trHeight w:val="154"/>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Amortization of land rights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3,322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3,021</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9,171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9,061</w:t>
            </w: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w w:val="98"/>
              </w:rPr>
              <w:t>Amortization of debt issuance costs, bond premiums and original issuance discounts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2,470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2,669</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7,410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8,032</w:t>
            </w:r>
          </w:p>
        </w:tc>
      </w:tr>
      <w:tr>
        <w:trPr>
          <w:trHeight w:val="154"/>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Stock based compensation</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3,786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8,353</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13,186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16,652</w:t>
            </w:r>
          </w:p>
        </w:tc>
      </w:tr>
      <w:tr>
        <w:trPr>
          <w:trHeight w:val="154"/>
        </w:trPr>
        <w:tc>
          <w:tcPr>
            <w:tcW w:w="4420" w:type="dxa"/>
            <w:vAlign w:val="bottom"/>
          </w:tcPr>
          <w:p>
            <w:pPr>
              <w:ind w:left="440"/>
              <w:spacing w:after="0"/>
              <w:rPr>
                <w:sz w:val="20"/>
                <w:szCs w:val="20"/>
                <w:color w:val="auto"/>
              </w:rPr>
            </w:pPr>
            <w:r>
              <w:rPr>
                <w:rFonts w:ascii="Arial" w:cs="Arial" w:eastAsia="Arial" w:hAnsi="Arial"/>
                <w:sz w:val="12"/>
                <w:szCs w:val="12"/>
                <w:color w:val="auto"/>
              </w:rPr>
              <w:t>Gain on sale of operations, net of tax of $4.3 million</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(11,290)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(11,290)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Losses on debt extinguishment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18,113</w:t>
            </w:r>
          </w:p>
        </w:tc>
      </w:tr>
      <w:tr>
        <w:trPr>
          <w:trHeight w:val="154"/>
        </w:trPr>
        <w:tc>
          <w:tcPr>
            <w:tcW w:w="442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Capital maintenance expenditures</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(488)</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(1,629)</w:t>
            </w:r>
          </w:p>
        </w:tc>
      </w:tr>
      <w:tr>
        <w:trPr>
          <w:trHeight w:val="143"/>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Adjusted funds from operations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207,162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194,616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606,687</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564,023</w:t>
            </w:r>
          </w:p>
        </w:tc>
      </w:tr>
      <w:tr>
        <w:trPr>
          <w:trHeight w:val="154"/>
        </w:trPr>
        <w:tc>
          <w:tcPr>
            <w:tcW w:w="4420" w:type="dxa"/>
            <w:vAlign w:val="bottom"/>
          </w:tcPr>
          <w:p>
            <w:pPr>
              <w:ind w:left="440"/>
              <w:spacing w:after="0"/>
              <w:rPr>
                <w:sz w:val="20"/>
                <w:szCs w:val="20"/>
                <w:color w:val="auto"/>
              </w:rPr>
            </w:pPr>
            <w:r>
              <w:rPr>
                <w:rFonts w:ascii="Arial" w:cs="Arial" w:eastAsia="Arial" w:hAnsi="Arial"/>
                <w:sz w:val="12"/>
                <w:szCs w:val="12"/>
                <w:color w:val="auto"/>
              </w:rPr>
              <w:t>Interest, net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70,426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70,157</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211,074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211,166</w:t>
            </w:r>
          </w:p>
        </w:tc>
      </w:tr>
      <w:tr>
        <w:trPr>
          <w:trHeight w:val="154"/>
        </w:trPr>
        <w:tc>
          <w:tcPr>
            <w:tcW w:w="44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Income tax expense</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1,265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2,639</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7,442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2,118</w:t>
            </w:r>
          </w:p>
        </w:tc>
      </w:tr>
      <w:tr>
        <w:trPr>
          <w:trHeight w:val="154"/>
        </w:trPr>
        <w:tc>
          <w:tcPr>
            <w:tcW w:w="4420" w:type="dxa"/>
            <w:vAlign w:val="bottom"/>
          </w:tcPr>
          <w:p>
            <w:pPr>
              <w:ind w:left="440"/>
              <w:spacing w:after="0"/>
              <w:rPr>
                <w:sz w:val="20"/>
                <w:szCs w:val="20"/>
                <w:color w:val="auto"/>
              </w:rPr>
            </w:pPr>
            <w:r>
              <w:rPr>
                <w:rFonts w:ascii="Arial" w:cs="Arial" w:eastAsia="Arial" w:hAnsi="Arial"/>
                <w:sz w:val="12"/>
                <w:szCs w:val="12"/>
                <w:color w:val="auto"/>
              </w:rPr>
              <w:t>Capital maintenance expenditures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303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488</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1,655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1,629</w:t>
            </w:r>
          </w:p>
        </w:tc>
      </w:tr>
      <w:tr>
        <w:trPr>
          <w:trHeight w:val="154"/>
        </w:trPr>
        <w:tc>
          <w:tcPr>
            <w:tcW w:w="4420" w:type="dxa"/>
            <w:vAlign w:val="bottom"/>
            <w:shd w:val="clear" w:color="auto" w:fill="CCEEFF"/>
          </w:tcPr>
          <w:p>
            <w:pPr>
              <w:spacing w:after="0"/>
              <w:rPr>
                <w:sz w:val="20"/>
                <w:szCs w:val="20"/>
                <w:color w:val="auto"/>
              </w:rPr>
            </w:pPr>
            <w:r>
              <w:rPr>
                <w:rFonts w:ascii="Arial" w:cs="Arial" w:eastAsia="Arial" w:hAnsi="Arial"/>
                <w:sz w:val="12"/>
                <w:szCs w:val="12"/>
                <w:color w:val="auto"/>
                <w:w w:val="98"/>
              </w:rPr>
              <w:t>Amortization of debt issuance costs, bond premiums and original issuance discounts</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(2,470)</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(2,669)</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(7,410)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(8,032)</w:t>
            </w:r>
          </w:p>
        </w:tc>
      </w:tr>
      <w:tr>
        <w:trPr>
          <w:trHeight w:val="143"/>
        </w:trPr>
        <w:tc>
          <w:tcPr>
            <w:tcW w:w="4420" w:type="dxa"/>
            <w:vAlign w:val="bottom"/>
          </w:tcPr>
          <w:p>
            <w:pPr>
              <w:ind w:left="440"/>
              <w:spacing w:after="0"/>
              <w:rPr>
                <w:sz w:val="20"/>
                <w:szCs w:val="20"/>
                <w:color w:val="auto"/>
              </w:rPr>
            </w:pPr>
            <w:r>
              <w:rPr>
                <w:rFonts w:ascii="Arial" w:cs="Arial" w:eastAsia="Arial" w:hAnsi="Arial"/>
                <w:sz w:val="12"/>
                <w:szCs w:val="12"/>
                <w:b w:val="1"/>
                <w:bCs w:val="1"/>
                <w:color w:val="auto"/>
              </w:rPr>
              <w:t>Adjusted EBITDA</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276,686</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265,231</w:t>
            </w: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819,448</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770,904</w:t>
            </w:r>
          </w:p>
        </w:tc>
      </w:tr>
      <w:tr>
        <w:trPr>
          <w:trHeight w:val="20"/>
        </w:trPr>
        <w:tc>
          <w:tcPr>
            <w:tcW w:w="4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39" w:name="page40"/>
    <w:bookmarkEnd w:id="39"/>
    <w:p>
      <w:pPr>
        <w:ind w:left="420"/>
        <w:spacing w:after="0"/>
        <w:rPr>
          <w:sz w:val="20"/>
          <w:szCs w:val="20"/>
          <w:color w:val="auto"/>
        </w:rPr>
      </w:pPr>
      <w:r>
        <w:rPr>
          <w:rFonts w:ascii="Arial" w:cs="Arial" w:eastAsia="Arial" w:hAnsi="Arial"/>
          <w:sz w:val="12"/>
          <w:szCs w:val="12"/>
          <w:color w:val="auto"/>
        </w:rPr>
        <w:t>The reconciliation of each segment’s net income per GAAP to FFO, AFFO, and Adjusted EBITDA for the three and nine months ended September 30, 2021 and 2020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7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5"/>
              </w:rPr>
              <w:t>GLP Capital</w:t>
            </w: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0"/>
                <w:szCs w:val="10"/>
                <w:b w:val="1"/>
                <w:bCs w:val="1"/>
                <w:color w:val="auto"/>
                <w:w w:val="89"/>
              </w:rPr>
              <w:t>TRS Segment</w:t>
            </w:r>
          </w:p>
        </w:tc>
        <w:tc>
          <w:tcPr>
            <w:tcW w:w="860" w:type="dxa"/>
            <w:vAlign w:val="bottom"/>
            <w:tcBorders>
              <w:bottom w:val="single" w:sz="8" w:color="auto"/>
            </w:tcBorders>
          </w:tcPr>
          <w:p>
            <w:pPr>
              <w:spacing w:after="0"/>
              <w:rPr>
                <w:sz w:val="11"/>
                <w:szCs w:val="11"/>
                <w:color w:val="auto"/>
              </w:rPr>
            </w:pPr>
          </w:p>
        </w:tc>
      </w:tr>
      <w:tr>
        <w:trPr>
          <w:trHeight w:val="117"/>
        </w:trPr>
        <w:tc>
          <w:tcPr>
            <w:tcW w:w="5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gridSpan w:val="3"/>
          </w:tcPr>
          <w:p>
            <w:pPr>
              <w:jc w:val="center"/>
              <w:spacing w:after="0"/>
              <w:rPr>
                <w:sz w:val="20"/>
                <w:szCs w:val="20"/>
                <w:color w:val="auto"/>
              </w:rPr>
            </w:pPr>
            <w:r>
              <w:rPr>
                <w:rFonts w:ascii="Arial" w:cs="Arial" w:eastAsia="Arial" w:hAnsi="Arial"/>
                <w:sz w:val="10"/>
                <w:szCs w:val="10"/>
                <w:b w:val="1"/>
                <w:bCs w:val="1"/>
                <w:color w:val="auto"/>
                <w:w w:val="88"/>
              </w:rPr>
              <w:t>Three Months Ended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60" w:type="dxa"/>
            <w:vAlign w:val="bottom"/>
            <w:gridSpan w:val="3"/>
          </w:tcPr>
          <w:p>
            <w:pPr>
              <w:jc w:val="center"/>
              <w:ind w:left="362"/>
              <w:spacing w:after="0"/>
              <w:rPr>
                <w:sz w:val="20"/>
                <w:szCs w:val="20"/>
                <w:color w:val="auto"/>
              </w:rPr>
            </w:pPr>
            <w:r>
              <w:rPr>
                <w:rFonts w:ascii="Arial" w:cs="Arial" w:eastAsia="Arial" w:hAnsi="Arial"/>
                <w:sz w:val="10"/>
                <w:szCs w:val="10"/>
                <w:b w:val="1"/>
                <w:bCs w:val="1"/>
                <w:color w:val="auto"/>
                <w:w w:val="88"/>
              </w:rPr>
              <w:t>Three Months Ended</w:t>
            </w:r>
          </w:p>
        </w:tc>
        <w:tc>
          <w:tcPr>
            <w:tcW w:w="860" w:type="dxa"/>
            <w:vAlign w:val="bottom"/>
          </w:tcPr>
          <w:p>
            <w:pPr>
              <w:spacing w:after="0"/>
              <w:rPr>
                <w:sz w:val="10"/>
                <w:szCs w:val="10"/>
                <w:color w:val="auto"/>
              </w:rPr>
            </w:pPr>
          </w:p>
        </w:tc>
      </w:tr>
      <w:tr>
        <w:trPr>
          <w:trHeight w:val="179"/>
        </w:trPr>
        <w:tc>
          <w:tcPr>
            <w:tcW w:w="57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4"/>
              </w:rPr>
              <w:t>September 30,</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0"/>
                <w:szCs w:val="10"/>
                <w:b w:val="1"/>
                <w:bCs w:val="1"/>
                <w:color w:val="auto"/>
                <w:w w:val="84"/>
              </w:rPr>
              <w:t>September 30,</w:t>
            </w:r>
          </w:p>
        </w:tc>
        <w:tc>
          <w:tcPr>
            <w:tcW w:w="860" w:type="dxa"/>
            <w:vAlign w:val="bottom"/>
            <w:tcBorders>
              <w:bottom w:val="single" w:sz="8" w:color="auto"/>
            </w:tcBorders>
          </w:tcPr>
          <w:p>
            <w:pPr>
              <w:spacing w:after="0"/>
              <w:rPr>
                <w:sz w:val="15"/>
                <w:szCs w:val="15"/>
                <w:color w:val="auto"/>
              </w:rPr>
            </w:pPr>
          </w:p>
        </w:tc>
      </w:tr>
      <w:tr>
        <w:trPr>
          <w:trHeight w:val="118"/>
        </w:trPr>
        <w:tc>
          <w:tcPr>
            <w:tcW w:w="5720" w:type="dxa"/>
            <w:vAlign w:val="bottom"/>
          </w:tcPr>
          <w:p>
            <w:pPr>
              <w:spacing w:after="0"/>
              <w:rPr>
                <w:sz w:val="10"/>
                <w:szCs w:val="1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00"/>
              <w:spacing w:after="0"/>
              <w:rPr>
                <w:sz w:val="20"/>
                <w:szCs w:val="20"/>
                <w:color w:val="auto"/>
              </w:rPr>
            </w:pPr>
            <w:r>
              <w:rPr>
                <w:rFonts w:ascii="Arial" w:cs="Arial" w:eastAsia="Arial" w:hAnsi="Arial"/>
                <w:sz w:val="10"/>
                <w:szCs w:val="10"/>
                <w:b w:val="1"/>
                <w:bCs w:val="1"/>
                <w:color w:val="auto"/>
              </w:rPr>
              <w:t>2020</w:t>
            </w:r>
          </w:p>
        </w:tc>
      </w:tr>
      <w:tr>
        <w:trPr>
          <w:trHeight w:val="113"/>
        </w:trPr>
        <w:tc>
          <w:tcPr>
            <w:tcW w:w="5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60" w:type="dxa"/>
            <w:vAlign w:val="bottom"/>
            <w:gridSpan w:val="3"/>
          </w:tcPr>
          <w:p>
            <w:pPr>
              <w:jc w:val="right"/>
              <w:ind w:right="100"/>
              <w:spacing w:after="0" w:line="114" w:lineRule="exact"/>
              <w:rPr>
                <w:sz w:val="20"/>
                <w:szCs w:val="20"/>
                <w:color w:val="auto"/>
              </w:rPr>
            </w:pPr>
            <w:r>
              <w:rPr>
                <w:rFonts w:ascii="Arial" w:cs="Arial" w:eastAsia="Arial" w:hAnsi="Arial"/>
                <w:sz w:val="10"/>
                <w:szCs w:val="10"/>
                <w:b w:val="1"/>
                <w:bCs w:val="1"/>
                <w:color w:val="auto"/>
              </w:rPr>
              <w:t>(in thousands)</w:t>
            </w: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57"/>
        </w:trPr>
        <w:tc>
          <w:tcPr>
            <w:tcW w:w="5720" w:type="dxa"/>
            <w:vAlign w:val="bottom"/>
          </w:tcPr>
          <w:p>
            <w:pPr>
              <w:spacing w:after="0"/>
              <w:rPr>
                <w:sz w:val="20"/>
                <w:szCs w:val="20"/>
                <w:color w:val="auto"/>
              </w:rPr>
            </w:pPr>
            <w:r>
              <w:rPr>
                <w:rFonts w:ascii="Arial" w:cs="Arial" w:eastAsia="Arial" w:hAnsi="Arial"/>
                <w:sz w:val="12"/>
                <w:szCs w:val="12"/>
                <w:b w:val="1"/>
                <w:bCs w:val="1"/>
                <w:color w:val="auto"/>
              </w:rPr>
              <w:t>Net income</w:t>
            </w:r>
          </w:p>
        </w:tc>
        <w:tc>
          <w:tcPr>
            <w:tcW w:w="820" w:type="dxa"/>
            <w:vAlign w:val="bottom"/>
          </w:tcPr>
          <w:p>
            <w:pPr>
              <w:jc w:val="right"/>
              <w:ind w:right="682"/>
              <w:spacing w:after="0"/>
              <w:rPr>
                <w:sz w:val="20"/>
                <w:szCs w:val="20"/>
                <w:color w:val="auto"/>
              </w:rPr>
            </w:pPr>
            <w:r>
              <w:rPr>
                <w:rFonts w:ascii="Arial" w:cs="Arial" w:eastAsia="Arial" w:hAnsi="Arial"/>
                <w:sz w:val="12"/>
                <w:szCs w:val="12"/>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135,551</w:t>
            </w:r>
          </w:p>
        </w:tc>
        <w:tc>
          <w:tcPr>
            <w:tcW w:w="100" w:type="dxa"/>
            <w:vAlign w:val="bottom"/>
          </w:tcPr>
          <w:p>
            <w:pPr>
              <w:spacing w:after="0"/>
              <w:rPr>
                <w:sz w:val="13"/>
                <w:szCs w:val="13"/>
                <w:color w:val="auto"/>
              </w:rPr>
            </w:pPr>
          </w:p>
        </w:tc>
        <w:tc>
          <w:tcPr>
            <w:tcW w:w="460" w:type="dxa"/>
            <w:vAlign w:val="bottom"/>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ind w:right="1"/>
              <w:spacing w:after="0"/>
              <w:rPr>
                <w:sz w:val="20"/>
                <w:szCs w:val="20"/>
                <w:color w:val="auto"/>
              </w:rPr>
            </w:pPr>
            <w:r>
              <w:rPr>
                <w:rFonts w:ascii="Arial" w:cs="Arial" w:eastAsia="Arial" w:hAnsi="Arial"/>
                <w:sz w:val="12"/>
                <w:szCs w:val="12"/>
                <w:b w:val="1"/>
                <w:bCs w:val="1"/>
                <w:color w:val="auto"/>
              </w:rPr>
              <w:t>125,686</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13,508</w:t>
            </w:r>
          </w:p>
        </w:tc>
        <w:tc>
          <w:tcPr>
            <w:tcW w:w="100" w:type="dxa"/>
            <w:vAlign w:val="bottom"/>
          </w:tcPr>
          <w:p>
            <w:pPr>
              <w:spacing w:after="0"/>
              <w:rPr>
                <w:sz w:val="13"/>
                <w:szCs w:val="13"/>
                <w:color w:val="auto"/>
              </w:rPr>
            </w:pPr>
          </w:p>
        </w:tc>
        <w:tc>
          <w:tcPr>
            <w:tcW w:w="460" w:type="dxa"/>
            <w:vAlign w:val="bottom"/>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1,440</w:t>
            </w:r>
          </w:p>
        </w:tc>
      </w:tr>
      <w:tr>
        <w:trPr>
          <w:trHeight w:val="15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Losses (gains) from dispositions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829</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r>
      <w:tr>
        <w:trPr>
          <w:trHeight w:val="154"/>
        </w:trPr>
        <w:tc>
          <w:tcPr>
            <w:tcW w:w="5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Real estate depreciation</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58,840</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55,098</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365</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Funds from operations</w:t>
            </w:r>
          </w:p>
        </w:tc>
        <w:tc>
          <w:tcPr>
            <w:tcW w:w="820" w:type="dxa"/>
            <w:vAlign w:val="bottom"/>
            <w:shd w:val="clear" w:color="auto" w:fill="CCEEFF"/>
          </w:tcPr>
          <w:p>
            <w:pPr>
              <w:jc w:val="right"/>
              <w:ind w:right="682"/>
              <w:spacing w:after="0"/>
              <w:rPr>
                <w:sz w:val="20"/>
                <w:szCs w:val="20"/>
                <w:color w:val="auto"/>
              </w:rPr>
            </w:pPr>
            <w:r>
              <w:rPr>
                <w:rFonts w:ascii="Arial" w:cs="Arial" w:eastAsia="Arial" w:hAnsi="Arial"/>
                <w:sz w:val="12"/>
                <w:szCs w:val="12"/>
                <w:b w:val="1"/>
                <w:bCs w:val="1"/>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195,220</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180,784</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13,868</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1,444</w:t>
            </w:r>
          </w:p>
        </w:tc>
      </w:tr>
      <w:tr>
        <w:trPr>
          <w:trHeight w:val="154"/>
        </w:trPr>
        <w:tc>
          <w:tcPr>
            <w:tcW w:w="5720" w:type="dxa"/>
            <w:vAlign w:val="bottom"/>
          </w:tcPr>
          <w:p>
            <w:pPr>
              <w:spacing w:after="0"/>
              <w:rPr>
                <w:sz w:val="20"/>
                <w:szCs w:val="20"/>
                <w:color w:val="auto"/>
              </w:rPr>
            </w:pPr>
            <w:r>
              <w:rPr>
                <w:rFonts w:ascii="Arial" w:cs="Arial" w:eastAsia="Arial" w:hAnsi="Arial"/>
                <w:sz w:val="12"/>
                <w:szCs w:val="12"/>
                <w:color w:val="auto"/>
              </w:rPr>
              <w:t>Straight-line rent adjustments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(828)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(4,928)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Other depreciation</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497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2,485</w:t>
            </w:r>
          </w:p>
        </w:tc>
      </w:tr>
      <w:tr>
        <w:trPr>
          <w:trHeight w:val="154"/>
        </w:trPr>
        <w:tc>
          <w:tcPr>
            <w:tcW w:w="5720" w:type="dxa"/>
            <w:vAlign w:val="bottom"/>
          </w:tcPr>
          <w:p>
            <w:pPr>
              <w:spacing w:after="0"/>
              <w:rPr>
                <w:sz w:val="20"/>
                <w:szCs w:val="20"/>
                <w:color w:val="auto"/>
              </w:rPr>
            </w:pPr>
            <w:r>
              <w:rPr>
                <w:rFonts w:ascii="Arial" w:cs="Arial" w:eastAsia="Arial" w:hAnsi="Arial"/>
                <w:sz w:val="12"/>
                <w:szCs w:val="12"/>
                <w:color w:val="auto"/>
              </w:rPr>
              <w:t>Amortization of land rights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3,322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3,021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debt issuance costs, bond premiums and original issuance discounts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2,669</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tcPr>
          <w:p>
            <w:pPr>
              <w:spacing w:after="0"/>
              <w:rPr>
                <w:sz w:val="20"/>
                <w:szCs w:val="20"/>
                <w:color w:val="auto"/>
              </w:rPr>
            </w:pPr>
            <w:r>
              <w:rPr>
                <w:rFonts w:ascii="Arial" w:cs="Arial" w:eastAsia="Arial" w:hAnsi="Arial"/>
                <w:sz w:val="12"/>
                <w:szCs w:val="12"/>
                <w:color w:val="auto"/>
              </w:rPr>
              <w:t>Stock based compensation</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3,786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8,353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Gain on sale of operations, net of tax of $4.3 million</w:t>
            </w:r>
          </w:p>
        </w:tc>
        <w:tc>
          <w:tcPr>
            <w:tcW w:w="8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(11,290)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tcPr>
          <w:p>
            <w:pPr>
              <w:spacing w:after="0"/>
              <w:rPr>
                <w:sz w:val="20"/>
                <w:szCs w:val="20"/>
                <w:color w:val="auto"/>
              </w:rPr>
            </w:pPr>
            <w:r>
              <w:rPr>
                <w:rFonts w:ascii="Arial" w:cs="Arial" w:eastAsia="Arial" w:hAnsi="Arial"/>
                <w:sz w:val="12"/>
                <w:szCs w:val="12"/>
                <w:color w:val="auto"/>
              </w:rPr>
              <w:t>Losses on debt extinguishment</w:t>
            </w:r>
          </w:p>
        </w:tc>
        <w:tc>
          <w:tcPr>
            <w:tcW w:w="8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779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Capital maintenance expenditures</w:t>
            </w:r>
          </w:p>
        </w:tc>
        <w:tc>
          <w:tcPr>
            <w:tcW w:w="8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w:t>
            </w:r>
          </w:p>
        </w:tc>
      </w:tr>
      <w:tr>
        <w:trPr>
          <w:trHeight w:val="143"/>
        </w:trPr>
        <w:tc>
          <w:tcPr>
            <w:tcW w:w="5720" w:type="dxa"/>
            <w:vAlign w:val="bottom"/>
          </w:tcPr>
          <w:p>
            <w:pPr>
              <w:spacing w:after="0"/>
              <w:rPr>
                <w:sz w:val="20"/>
                <w:szCs w:val="20"/>
                <w:color w:val="auto"/>
              </w:rPr>
            </w:pPr>
            <w:r>
              <w:rPr>
                <w:rFonts w:ascii="Arial" w:cs="Arial" w:eastAsia="Arial" w:hAnsi="Arial"/>
                <w:sz w:val="12"/>
                <w:szCs w:val="12"/>
                <w:b w:val="1"/>
                <w:bCs w:val="1"/>
                <w:color w:val="auto"/>
              </w:rPr>
              <w:t>Adjusted funds from operations</w:t>
            </w:r>
          </w:p>
        </w:tc>
        <w:tc>
          <w:tcPr>
            <w:tcW w:w="820" w:type="dxa"/>
            <w:vAlign w:val="bottom"/>
            <w:tcBorders>
              <w:top w:val="single" w:sz="8" w:color="auto"/>
            </w:tcBorders>
          </w:tcPr>
          <w:p>
            <w:pPr>
              <w:jc w:val="right"/>
              <w:ind w:right="682"/>
              <w:spacing w:after="0"/>
              <w:rPr>
                <w:sz w:val="20"/>
                <w:szCs w:val="20"/>
                <w:color w:val="auto"/>
              </w:rPr>
            </w:pPr>
            <w:r>
              <w:rPr>
                <w:rFonts w:ascii="Arial" w:cs="Arial" w:eastAsia="Arial" w:hAnsi="Arial"/>
                <w:sz w:val="12"/>
                <w:szCs w:val="12"/>
                <w:b w:val="1"/>
                <w:bCs w:val="1"/>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204,441</w:t>
            </w:r>
          </w:p>
        </w:tc>
        <w:tc>
          <w:tcPr>
            <w:tcW w:w="100" w:type="dxa"/>
            <w:vAlign w:val="bottom"/>
          </w:tcPr>
          <w:p>
            <w:pPr>
              <w:spacing w:after="0"/>
              <w:rPr>
                <w:sz w:val="12"/>
                <w:szCs w:val="12"/>
                <w:color w:val="auto"/>
              </w:rPr>
            </w:pPr>
          </w:p>
        </w:tc>
        <w:tc>
          <w:tcPr>
            <w:tcW w:w="460" w:type="dxa"/>
            <w:vAlign w:val="bottom"/>
            <w:tcBorders>
              <w:top w:val="single" w:sz="8" w:color="auto"/>
            </w:tcBorders>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191,164</w:t>
            </w: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2,721</w:t>
            </w:r>
          </w:p>
        </w:tc>
        <w:tc>
          <w:tcPr>
            <w:tcW w:w="100" w:type="dxa"/>
            <w:vAlign w:val="bottom"/>
          </w:tcPr>
          <w:p>
            <w:pPr>
              <w:spacing w:after="0"/>
              <w:rPr>
                <w:sz w:val="12"/>
                <w:szCs w:val="12"/>
                <w:color w:val="auto"/>
              </w:rPr>
            </w:pPr>
          </w:p>
        </w:tc>
        <w:tc>
          <w:tcPr>
            <w:tcW w:w="460" w:type="dxa"/>
            <w:vAlign w:val="bottom"/>
            <w:tcBorders>
              <w:top w:val="single" w:sz="8" w:color="auto"/>
            </w:tcBorders>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3,452</w:t>
            </w:r>
          </w:p>
        </w:tc>
      </w:tr>
      <w:tr>
        <w:trPr>
          <w:trHeight w:val="154"/>
        </w:trPr>
        <w:tc>
          <w:tcPr>
            <w:tcW w:w="5720" w:type="dxa"/>
            <w:vAlign w:val="bottom"/>
            <w:shd w:val="clear" w:color="auto" w:fill="CCEEFF"/>
          </w:tcPr>
          <w:p>
            <w:pPr>
              <w:spacing w:after="0" w:line="154" w:lineRule="exact"/>
              <w:rPr>
                <w:sz w:val="20"/>
                <w:szCs w:val="20"/>
                <w:color w:val="auto"/>
              </w:rPr>
            </w:pPr>
            <w:r>
              <w:rPr>
                <w:rFonts w:ascii="Arial" w:cs="Arial" w:eastAsia="Arial" w:hAnsi="Arial"/>
                <w:sz w:val="12"/>
                <w:szCs w:val="12"/>
                <w:color w:val="auto"/>
              </w:rPr>
              <w:t xml:space="preserve">Interest, net </w:t>
            </w:r>
            <w:r>
              <w:rPr>
                <w:rFonts w:ascii="Arial" w:cs="Arial" w:eastAsia="Arial" w:hAnsi="Arial"/>
                <w:sz w:val="15"/>
                <w:szCs w:val="15"/>
                <w:color w:val="auto"/>
                <w:vertAlign w:val="superscript"/>
              </w:rPr>
              <w:t>(1)</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65,966</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65,698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4,459</w:t>
            </w:r>
          </w:p>
        </w:tc>
      </w:tr>
      <w:tr>
        <w:trPr>
          <w:trHeight w:val="154"/>
        </w:trPr>
        <w:tc>
          <w:tcPr>
            <w:tcW w:w="5720" w:type="dxa"/>
            <w:vAlign w:val="bottom"/>
          </w:tcPr>
          <w:p>
            <w:pPr>
              <w:spacing w:after="0"/>
              <w:rPr>
                <w:sz w:val="20"/>
                <w:szCs w:val="20"/>
                <w:color w:val="auto"/>
              </w:rPr>
            </w:pPr>
            <w:r>
              <w:rPr>
                <w:rFonts w:ascii="Arial" w:cs="Arial" w:eastAsia="Arial" w:hAnsi="Arial"/>
                <w:sz w:val="12"/>
                <w:szCs w:val="12"/>
                <w:color w:val="auto"/>
              </w:rPr>
              <w:t>Income tax expense</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204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206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1,061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2,433</w:t>
            </w:r>
          </w:p>
        </w:tc>
      </w:tr>
      <w:tr>
        <w:trPr>
          <w:trHeight w:val="15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Capital maintenance expenditures</w:t>
            </w:r>
          </w:p>
        </w:tc>
        <w:tc>
          <w:tcPr>
            <w:tcW w:w="8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w:t>
            </w:r>
          </w:p>
        </w:tc>
      </w:tr>
      <w:tr>
        <w:trPr>
          <w:trHeight w:val="154"/>
        </w:trPr>
        <w:tc>
          <w:tcPr>
            <w:tcW w:w="5720" w:type="dxa"/>
            <w:vAlign w:val="bottom"/>
          </w:tcPr>
          <w:p>
            <w:pPr>
              <w:spacing w:after="0"/>
              <w:rPr>
                <w:sz w:val="20"/>
                <w:szCs w:val="20"/>
                <w:color w:val="auto"/>
              </w:rPr>
            </w:pPr>
            <w:r>
              <w:rPr>
                <w:rFonts w:ascii="Arial" w:cs="Arial" w:eastAsia="Arial" w:hAnsi="Arial"/>
                <w:sz w:val="12"/>
                <w:szCs w:val="12"/>
                <w:color w:val="auto"/>
              </w:rPr>
              <w:t>Amortization of debt issuance costs, bond premiums and original issuance discounts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(2,470)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(2,669)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9"/>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Adjusted EBITDA</w:t>
            </w:r>
          </w:p>
        </w:tc>
        <w:tc>
          <w:tcPr>
            <w:tcW w:w="82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Arial" w:cs="Arial" w:eastAsia="Arial" w:hAnsi="Arial"/>
                <w:sz w:val="12"/>
                <w:szCs w:val="12"/>
                <w:b w:val="1"/>
                <w:bCs w:val="1"/>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268,141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254,410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8,545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28"/>
        </w:trPr>
        <w:tc>
          <w:tcPr>
            <w:tcW w:w="4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5"/>
              </w:rPr>
              <w:t>GLP Capital</w:t>
            </w: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0"/>
                <w:szCs w:val="10"/>
                <w:b w:val="1"/>
                <w:bCs w:val="1"/>
                <w:color w:val="auto"/>
                <w:w w:val="89"/>
              </w:rPr>
              <w:t>TRS Segment</w:t>
            </w:r>
          </w:p>
        </w:tc>
        <w:tc>
          <w:tcPr>
            <w:tcW w:w="860" w:type="dxa"/>
            <w:vAlign w:val="bottom"/>
            <w:tcBorders>
              <w:bottom w:val="single" w:sz="8" w:color="auto"/>
            </w:tcBorders>
          </w:tcPr>
          <w:p>
            <w:pPr>
              <w:spacing w:after="0"/>
              <w:rPr>
                <w:sz w:val="11"/>
                <w:szCs w:val="11"/>
                <w:color w:val="auto"/>
              </w:rPr>
            </w:pPr>
          </w:p>
        </w:tc>
      </w:tr>
      <w:tr>
        <w:trPr>
          <w:trHeight w:val="117"/>
        </w:trPr>
        <w:tc>
          <w:tcPr>
            <w:tcW w:w="4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gridSpan w:val="3"/>
          </w:tcPr>
          <w:p>
            <w:pPr>
              <w:jc w:val="center"/>
              <w:spacing w:after="0"/>
              <w:rPr>
                <w:sz w:val="20"/>
                <w:szCs w:val="20"/>
                <w:color w:val="auto"/>
              </w:rPr>
            </w:pPr>
            <w:r>
              <w:rPr>
                <w:rFonts w:ascii="Arial" w:cs="Arial" w:eastAsia="Arial" w:hAnsi="Arial"/>
                <w:sz w:val="10"/>
                <w:szCs w:val="10"/>
                <w:b w:val="1"/>
                <w:bCs w:val="1"/>
                <w:color w:val="auto"/>
                <w:w w:val="89"/>
              </w:rPr>
              <w:t>Nine Months Ended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60" w:type="dxa"/>
            <w:vAlign w:val="bottom"/>
            <w:gridSpan w:val="3"/>
          </w:tcPr>
          <w:p>
            <w:pPr>
              <w:jc w:val="center"/>
              <w:ind w:left="362"/>
              <w:spacing w:after="0"/>
              <w:rPr>
                <w:sz w:val="20"/>
                <w:szCs w:val="20"/>
                <w:color w:val="auto"/>
              </w:rPr>
            </w:pPr>
            <w:r>
              <w:rPr>
                <w:rFonts w:ascii="Arial" w:cs="Arial" w:eastAsia="Arial" w:hAnsi="Arial"/>
                <w:sz w:val="10"/>
                <w:szCs w:val="10"/>
                <w:b w:val="1"/>
                <w:bCs w:val="1"/>
                <w:color w:val="auto"/>
                <w:w w:val="89"/>
              </w:rPr>
              <w:t>Nine Months Ended</w:t>
            </w:r>
          </w:p>
        </w:tc>
        <w:tc>
          <w:tcPr>
            <w:tcW w:w="860" w:type="dxa"/>
            <w:vAlign w:val="bottom"/>
          </w:tcPr>
          <w:p>
            <w:pPr>
              <w:spacing w:after="0"/>
              <w:rPr>
                <w:sz w:val="10"/>
                <w:szCs w:val="10"/>
                <w:color w:val="auto"/>
              </w:rPr>
            </w:pPr>
          </w:p>
        </w:tc>
      </w:tr>
      <w:tr>
        <w:trPr>
          <w:trHeight w:val="179"/>
        </w:trPr>
        <w:tc>
          <w:tcPr>
            <w:tcW w:w="4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4"/>
              </w:rPr>
              <w:t>September 30,</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0"/>
                <w:szCs w:val="10"/>
                <w:b w:val="1"/>
                <w:bCs w:val="1"/>
                <w:color w:val="auto"/>
                <w:w w:val="84"/>
              </w:rPr>
              <w:t>September 30,</w:t>
            </w:r>
          </w:p>
        </w:tc>
        <w:tc>
          <w:tcPr>
            <w:tcW w:w="860" w:type="dxa"/>
            <w:vAlign w:val="bottom"/>
            <w:tcBorders>
              <w:bottom w:val="single" w:sz="8" w:color="auto"/>
            </w:tcBorders>
          </w:tcPr>
          <w:p>
            <w:pPr>
              <w:spacing w:after="0"/>
              <w:rPr>
                <w:sz w:val="15"/>
                <w:szCs w:val="15"/>
                <w:color w:val="auto"/>
              </w:rPr>
            </w:pPr>
          </w:p>
        </w:tc>
      </w:tr>
      <w:tr>
        <w:trPr>
          <w:trHeight w:val="118"/>
        </w:trPr>
        <w:tc>
          <w:tcPr>
            <w:tcW w:w="4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00"/>
              <w:spacing w:after="0"/>
              <w:rPr>
                <w:sz w:val="20"/>
                <w:szCs w:val="20"/>
                <w:color w:val="auto"/>
              </w:rPr>
            </w:pPr>
            <w:r>
              <w:rPr>
                <w:rFonts w:ascii="Arial" w:cs="Arial" w:eastAsia="Arial" w:hAnsi="Arial"/>
                <w:sz w:val="10"/>
                <w:szCs w:val="10"/>
                <w:b w:val="1"/>
                <w:bCs w:val="1"/>
                <w:color w:val="auto"/>
              </w:rPr>
              <w:t>2020</w:t>
            </w:r>
          </w:p>
        </w:tc>
      </w:tr>
      <w:tr>
        <w:trPr>
          <w:trHeight w:val="113"/>
        </w:trPr>
        <w:tc>
          <w:tcPr>
            <w:tcW w:w="4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60" w:type="dxa"/>
            <w:vAlign w:val="bottom"/>
            <w:gridSpan w:val="3"/>
          </w:tcPr>
          <w:p>
            <w:pPr>
              <w:jc w:val="right"/>
              <w:ind w:right="100"/>
              <w:spacing w:after="0" w:line="114" w:lineRule="exact"/>
              <w:rPr>
                <w:sz w:val="20"/>
                <w:szCs w:val="20"/>
                <w:color w:val="auto"/>
              </w:rPr>
            </w:pPr>
            <w:r>
              <w:rPr>
                <w:rFonts w:ascii="Arial" w:cs="Arial" w:eastAsia="Arial" w:hAnsi="Arial"/>
                <w:sz w:val="10"/>
                <w:szCs w:val="10"/>
                <w:b w:val="1"/>
                <w:bCs w:val="1"/>
                <w:color w:val="auto"/>
              </w:rPr>
              <w:t>(in thousands)</w:t>
            </w: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57"/>
        </w:trPr>
        <w:tc>
          <w:tcPr>
            <w:tcW w:w="5720" w:type="dxa"/>
            <w:vAlign w:val="bottom"/>
            <w:gridSpan w:val="3"/>
          </w:tcPr>
          <w:p>
            <w:pPr>
              <w:spacing w:after="0"/>
              <w:rPr>
                <w:sz w:val="20"/>
                <w:szCs w:val="20"/>
                <w:color w:val="auto"/>
              </w:rPr>
            </w:pPr>
            <w:r>
              <w:rPr>
                <w:rFonts w:ascii="Arial" w:cs="Arial" w:eastAsia="Arial" w:hAnsi="Arial"/>
                <w:sz w:val="12"/>
                <w:szCs w:val="12"/>
                <w:b w:val="1"/>
                <w:bCs w:val="1"/>
                <w:color w:val="auto"/>
              </w:rPr>
              <w:t>Net income</w:t>
            </w:r>
          </w:p>
        </w:tc>
        <w:tc>
          <w:tcPr>
            <w:tcW w:w="820" w:type="dxa"/>
            <w:vAlign w:val="bottom"/>
          </w:tcPr>
          <w:p>
            <w:pPr>
              <w:jc w:val="right"/>
              <w:ind w:right="682"/>
              <w:spacing w:after="0"/>
              <w:rPr>
                <w:sz w:val="20"/>
                <w:szCs w:val="20"/>
                <w:color w:val="auto"/>
              </w:rPr>
            </w:pPr>
            <w:r>
              <w:rPr>
                <w:rFonts w:ascii="Arial" w:cs="Arial" w:eastAsia="Arial" w:hAnsi="Arial"/>
                <w:sz w:val="12"/>
                <w:szCs w:val="12"/>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391,440</w:t>
            </w:r>
          </w:p>
        </w:tc>
        <w:tc>
          <w:tcPr>
            <w:tcW w:w="100" w:type="dxa"/>
            <w:vAlign w:val="bottom"/>
          </w:tcPr>
          <w:p>
            <w:pPr>
              <w:spacing w:after="0"/>
              <w:rPr>
                <w:sz w:val="13"/>
                <w:szCs w:val="13"/>
                <w:color w:val="auto"/>
              </w:rPr>
            </w:pPr>
          </w:p>
        </w:tc>
        <w:tc>
          <w:tcPr>
            <w:tcW w:w="460" w:type="dxa"/>
            <w:vAlign w:val="bottom"/>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ind w:right="1"/>
              <w:spacing w:after="0"/>
              <w:rPr>
                <w:sz w:val="20"/>
                <w:szCs w:val="20"/>
                <w:color w:val="auto"/>
              </w:rPr>
            </w:pPr>
            <w:r>
              <w:rPr>
                <w:rFonts w:ascii="Arial" w:cs="Arial" w:eastAsia="Arial" w:hAnsi="Arial"/>
                <w:sz w:val="12"/>
                <w:szCs w:val="12"/>
                <w:b w:val="1"/>
                <w:bCs w:val="1"/>
                <w:color w:val="auto"/>
              </w:rPr>
              <w:t>339,475</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23,019</w:t>
            </w:r>
          </w:p>
        </w:tc>
        <w:tc>
          <w:tcPr>
            <w:tcW w:w="100" w:type="dxa"/>
            <w:vAlign w:val="bottom"/>
          </w:tcPr>
          <w:p>
            <w:pPr>
              <w:spacing w:after="0"/>
              <w:rPr>
                <w:sz w:val="13"/>
                <w:szCs w:val="13"/>
                <w:color w:val="auto"/>
              </w:rPr>
            </w:pPr>
          </w:p>
        </w:tc>
        <w:tc>
          <w:tcPr>
            <w:tcW w:w="460" w:type="dxa"/>
            <w:vAlign w:val="bottom"/>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(3,105)</w:t>
            </w:r>
          </w:p>
        </w:tc>
      </w:tr>
      <w:tr>
        <w:trPr>
          <w:trHeight w:val="154"/>
        </w:trPr>
        <w:tc>
          <w:tcPr>
            <w:tcW w:w="57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Losses (gains) from dispositions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829</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54"/>
        </w:trPr>
        <w:tc>
          <w:tcPr>
            <w:tcW w:w="572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Real estate depreciation</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172,012</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163,928</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365</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72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Funds from operations</w:t>
            </w:r>
          </w:p>
        </w:tc>
        <w:tc>
          <w:tcPr>
            <w:tcW w:w="820" w:type="dxa"/>
            <w:vAlign w:val="bottom"/>
            <w:shd w:val="clear" w:color="auto" w:fill="CCEEFF"/>
          </w:tcPr>
          <w:p>
            <w:pPr>
              <w:jc w:val="right"/>
              <w:ind w:right="682"/>
              <w:spacing w:after="0"/>
              <w:rPr>
                <w:sz w:val="20"/>
                <w:szCs w:val="20"/>
                <w:color w:val="auto"/>
              </w:rPr>
            </w:pPr>
            <w:r>
              <w:rPr>
                <w:rFonts w:ascii="Arial" w:cs="Arial" w:eastAsia="Arial" w:hAnsi="Arial"/>
                <w:sz w:val="12"/>
                <w:szCs w:val="12"/>
                <w:b w:val="1"/>
                <w:bCs w:val="1"/>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564,281</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503,403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23,472</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(3,108)</w:t>
            </w:r>
          </w:p>
        </w:tc>
      </w:tr>
      <w:tr>
        <w:trPr>
          <w:trHeight w:val="154"/>
        </w:trPr>
        <w:tc>
          <w:tcPr>
            <w:tcW w:w="5720" w:type="dxa"/>
            <w:vAlign w:val="bottom"/>
            <w:gridSpan w:val="3"/>
          </w:tcPr>
          <w:p>
            <w:pPr>
              <w:spacing w:after="0"/>
              <w:rPr>
                <w:sz w:val="20"/>
                <w:szCs w:val="20"/>
                <w:color w:val="auto"/>
              </w:rPr>
            </w:pPr>
            <w:r>
              <w:rPr>
                <w:rFonts w:ascii="Arial" w:cs="Arial" w:eastAsia="Arial" w:hAnsi="Arial"/>
                <w:sz w:val="12"/>
                <w:szCs w:val="12"/>
                <w:color w:val="auto"/>
              </w:rPr>
              <w:t>Straight-line rent adjustments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(2,484)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5,394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 depreciation</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1,492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3,245</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6,613</w:t>
            </w:r>
          </w:p>
        </w:tc>
      </w:tr>
      <w:tr>
        <w:trPr>
          <w:trHeight w:val="154"/>
        </w:trPr>
        <w:tc>
          <w:tcPr>
            <w:tcW w:w="5720" w:type="dxa"/>
            <w:vAlign w:val="bottom"/>
            <w:gridSpan w:val="3"/>
          </w:tcPr>
          <w:p>
            <w:pPr>
              <w:spacing w:after="0"/>
              <w:rPr>
                <w:sz w:val="20"/>
                <w:szCs w:val="20"/>
                <w:color w:val="auto"/>
              </w:rPr>
            </w:pPr>
            <w:r>
              <w:rPr>
                <w:rFonts w:ascii="Arial" w:cs="Arial" w:eastAsia="Arial" w:hAnsi="Arial"/>
                <w:sz w:val="12"/>
                <w:szCs w:val="12"/>
                <w:color w:val="auto"/>
              </w:rPr>
              <w:t>Amortization of land rights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9,171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9,061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Amortization of debt issuance costs, bond premiums and original issuance discounts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8,032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gridSpan w:val="3"/>
          </w:tcPr>
          <w:p>
            <w:pPr>
              <w:spacing w:after="0"/>
              <w:rPr>
                <w:sz w:val="20"/>
                <w:szCs w:val="20"/>
                <w:color w:val="auto"/>
              </w:rPr>
            </w:pPr>
            <w:r>
              <w:rPr>
                <w:rFonts w:ascii="Arial" w:cs="Arial" w:eastAsia="Arial" w:hAnsi="Arial"/>
                <w:sz w:val="12"/>
                <w:szCs w:val="12"/>
                <w:color w:val="auto"/>
              </w:rPr>
              <w:t>Stock based compensation</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13,186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16,652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Gain on sale of operations, net of tax of $4.3 million</w:t>
            </w:r>
          </w:p>
        </w:tc>
        <w:tc>
          <w:tcPr>
            <w:tcW w:w="8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(11,290)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gridSpan w:val="3"/>
          </w:tcPr>
          <w:p>
            <w:pPr>
              <w:spacing w:after="0"/>
              <w:rPr>
                <w:sz w:val="20"/>
                <w:szCs w:val="20"/>
                <w:color w:val="auto"/>
              </w:rPr>
            </w:pPr>
            <w:r>
              <w:rPr>
                <w:rFonts w:ascii="Arial" w:cs="Arial" w:eastAsia="Arial" w:hAnsi="Arial"/>
                <w:sz w:val="12"/>
                <w:szCs w:val="12"/>
                <w:color w:val="auto"/>
              </w:rPr>
              <w:t>Losses on debt extinguishment</w:t>
            </w:r>
          </w:p>
        </w:tc>
        <w:tc>
          <w:tcPr>
            <w:tcW w:w="8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18,113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72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Capital maintenance expenditures</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(1,590)</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(1,474)</w:t>
            </w:r>
          </w:p>
        </w:tc>
      </w:tr>
      <w:tr>
        <w:trPr>
          <w:trHeight w:val="143"/>
        </w:trPr>
        <w:tc>
          <w:tcPr>
            <w:tcW w:w="572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Adjusted funds from operations</w:t>
            </w:r>
          </w:p>
        </w:tc>
        <w:tc>
          <w:tcPr>
            <w:tcW w:w="820" w:type="dxa"/>
            <w:vAlign w:val="bottom"/>
            <w:shd w:val="clear" w:color="auto" w:fill="CCEEFF"/>
          </w:tcPr>
          <w:p>
            <w:pPr>
              <w:jc w:val="right"/>
              <w:ind w:right="682"/>
              <w:spacing w:after="0"/>
              <w:rPr>
                <w:sz w:val="20"/>
                <w:szCs w:val="20"/>
                <w:color w:val="auto"/>
              </w:rPr>
            </w:pPr>
            <w:r>
              <w:rPr>
                <w:rFonts w:ascii="Arial" w:cs="Arial" w:eastAsia="Arial" w:hAnsi="Arial"/>
                <w:sz w:val="12"/>
                <w:szCs w:val="12"/>
                <w:b w:val="1"/>
                <w:bCs w:val="1"/>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592,910</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561,992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13,777</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2,031</w:t>
            </w:r>
          </w:p>
        </w:tc>
      </w:tr>
      <w:tr>
        <w:trPr>
          <w:trHeight w:val="154"/>
        </w:trPr>
        <w:tc>
          <w:tcPr>
            <w:tcW w:w="5720" w:type="dxa"/>
            <w:vAlign w:val="bottom"/>
            <w:gridSpan w:val="3"/>
          </w:tcPr>
          <w:p>
            <w:pPr>
              <w:spacing w:after="0" w:line="154" w:lineRule="exact"/>
              <w:rPr>
                <w:sz w:val="20"/>
                <w:szCs w:val="20"/>
                <w:color w:val="auto"/>
              </w:rPr>
            </w:pPr>
            <w:r>
              <w:rPr>
                <w:rFonts w:ascii="Arial" w:cs="Arial" w:eastAsia="Arial" w:hAnsi="Arial"/>
                <w:sz w:val="12"/>
                <w:szCs w:val="12"/>
                <w:color w:val="auto"/>
              </w:rPr>
              <w:t xml:space="preserve">Interest, net </w:t>
            </w:r>
            <w:r>
              <w:rPr>
                <w:rFonts w:ascii="Arial" w:cs="Arial" w:eastAsia="Arial" w:hAnsi="Arial"/>
                <w:sz w:val="15"/>
                <w:szCs w:val="15"/>
                <w:color w:val="auto"/>
                <w:vertAlign w:val="superscript"/>
              </w:rPr>
              <w:t>(1)</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197,697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199,648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13,377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11,518</w:t>
            </w:r>
          </w:p>
        </w:tc>
      </w:tr>
      <w:tr>
        <w:trPr>
          <w:trHeight w:val="154"/>
        </w:trPr>
        <w:tc>
          <w:tcPr>
            <w:tcW w:w="57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6,742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1,603</w:t>
            </w:r>
          </w:p>
        </w:tc>
      </w:tr>
      <w:tr>
        <w:trPr>
          <w:trHeight w:val="154"/>
        </w:trPr>
        <w:tc>
          <w:tcPr>
            <w:tcW w:w="5720" w:type="dxa"/>
            <w:vAlign w:val="bottom"/>
            <w:gridSpan w:val="3"/>
          </w:tcPr>
          <w:p>
            <w:pPr>
              <w:spacing w:after="0"/>
              <w:rPr>
                <w:sz w:val="20"/>
                <w:szCs w:val="20"/>
                <w:color w:val="auto"/>
              </w:rPr>
            </w:pPr>
            <w:r>
              <w:rPr>
                <w:rFonts w:ascii="Arial" w:cs="Arial" w:eastAsia="Arial" w:hAnsi="Arial"/>
                <w:sz w:val="12"/>
                <w:szCs w:val="12"/>
                <w:color w:val="auto"/>
              </w:rPr>
              <w:t>Capital maintenance expenditures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155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1,590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1,474</w:t>
            </w:r>
          </w:p>
        </w:tc>
      </w:tr>
      <w:tr>
        <w:trPr>
          <w:trHeight w:val="154"/>
        </w:trPr>
        <w:tc>
          <w:tcPr>
            <w:tcW w:w="57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Amortization of debt issuance costs, bond premiums and original issuance discounts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(8,032)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720" w:type="dxa"/>
            <w:vAlign w:val="bottom"/>
            <w:gridSpan w:val="3"/>
          </w:tcPr>
          <w:p>
            <w:pPr>
              <w:spacing w:after="0"/>
              <w:rPr>
                <w:sz w:val="20"/>
                <w:szCs w:val="20"/>
                <w:color w:val="auto"/>
              </w:rPr>
            </w:pPr>
            <w:r>
              <w:rPr>
                <w:rFonts w:ascii="Arial" w:cs="Arial" w:eastAsia="Arial" w:hAnsi="Arial"/>
                <w:sz w:val="12"/>
                <w:szCs w:val="12"/>
                <w:b w:val="1"/>
                <w:bCs w:val="1"/>
                <w:color w:val="auto"/>
              </w:rPr>
              <w:t>Adjusted EBITDA</w:t>
            </w:r>
          </w:p>
        </w:tc>
        <w:tc>
          <w:tcPr>
            <w:tcW w:w="82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2"/>
                <w:szCs w:val="12"/>
                <w:b w:val="1"/>
                <w:bCs w:val="1"/>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783,962</w:t>
            </w:r>
          </w:p>
        </w:tc>
        <w:tc>
          <w:tcPr>
            <w:tcW w:w="1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754,278</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35,486</w:t>
            </w:r>
          </w:p>
        </w:tc>
        <w:tc>
          <w:tcPr>
            <w:tcW w:w="1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16,626</w:t>
            </w:r>
          </w:p>
        </w:tc>
      </w:tr>
      <w:tr>
        <w:trPr>
          <w:trHeight w:val="20"/>
        </w:trPr>
        <w:tc>
          <w:tcPr>
            <w:tcW w:w="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94"/>
        </w:trPr>
        <w:tc>
          <w:tcPr>
            <w:tcW w:w="460" w:type="dxa"/>
            <w:vAlign w:val="bottom"/>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r>
    </w:tbl>
    <w:p>
      <w:pPr>
        <w:spacing w:after="0" w:line="63" w:lineRule="exact"/>
        <w:rPr>
          <w:sz w:val="20"/>
          <w:szCs w:val="20"/>
          <w:color w:val="auto"/>
        </w:rPr>
      </w:pPr>
    </w:p>
    <w:p>
      <w:pPr>
        <w:ind w:left="640" w:right="280" w:hanging="431"/>
        <w:spacing w:after="0" w:line="222" w:lineRule="auto"/>
        <w:tabs>
          <w:tab w:leader="none" w:pos="632" w:val="left"/>
        </w:tabs>
        <w:numPr>
          <w:ilvl w:val="0"/>
          <w:numId w:val="28"/>
        </w:numPr>
        <w:rPr>
          <w:rFonts w:ascii="Arial" w:cs="Arial" w:eastAsia="Arial" w:hAnsi="Arial"/>
          <w:sz w:val="16"/>
          <w:szCs w:val="16"/>
          <w:color w:val="auto"/>
          <w:vertAlign w:val="superscript"/>
        </w:rPr>
      </w:pPr>
      <w:r>
        <w:rPr>
          <w:rFonts w:ascii="Arial" w:cs="Arial" w:eastAsia="Arial" w:hAnsi="Arial"/>
          <w:sz w:val="12"/>
          <w:szCs w:val="12"/>
          <w:color w:val="auto"/>
        </w:rPr>
        <w:t>Interest expense, net for the GLP Capital segment is net of intercompany interest eliminations of $4.5 million and $13.4 million for the three and nine months ended September 30, 2021 compared to $4.5 million and $11.5 million for the corresponding periods in the prior year.</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Net income for our GLP Capital segment was $135.6 million for the three months ended September 30, 2021 and $125.7 million for the three months ended September 30, 2020. FFO, AFFO, and Adjusted EBITDA for our</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GLP Capital segment were $195.2 million, $204.4 million and $268.1 million for the three months ended September 30, 2021, respectively. FFO, AFFO, and Adjusted EBITDA for our GLP Capital segment were $180.8 million,</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$191.2 million and $254.4 million for the three months ended September 30, 2020, respectively. The increase in net income for our GLP Capital segment for the three months ended September 30, 2021 of $9.9 million, was primarily</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driven by higher income from real estate of $8.1 million and lower general and administrative expenses of $7.1 million due to charges associated with departure of the Company's previous chief financial officer partially offset by</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higher land rights and ground lease expense of $1.3 million, higher depreciation expense of $3.7 million associated with our recent acquisitions and higher net interest expense of $0.3 million.</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Net income for our GLP Capital segment was $391.4 million for the nine months ended September 30, 2021 and $339.5 million for the nine months ended September 30, 2020. FFO, AFFO, and Adjusted EBITDA for our</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GLP Capital segment were $564.3 million, $592.9 million and $784.0 million for the nine months ended September 30, 2021, respectively. FFO, AFFO, and Adjusted EBITDA for our GLP Capital segment were $503.4 million,</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$562.0 million and $754.3 million for the nine months ended September 30, 2020, respectively. The increase in net income for our GLP Capital segment for the nine months ended September 30, 2021 of $52.0 million, was primarily</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driven by higher income from real estate of $37.4 million, the lack of debt extinguishment charges in 2021 as the nine months ended September 30, 2020 included charges of $18.1 million primarily related to the redemption of certain</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senior unsecured notes ("Senior Notes") in the first quarter of 2020, lower general and administrative expenses of $6.0 million primarily related to the aforementioned charges associated with the Company's previous chief financial</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officer as well as lower net interest expense of $2.0 million. These benefits were partially offset by higher depreciation expense of $8.0 million due to our recent acquisitions, increased land rights and ground lease expense of $2.4</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million, and a loss on the disposition of assets of $0.8 million.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68" w:right="319" w:bottom="1440" w:gutter="0" w:footer="0" w:header="0"/>
        </w:sectPr>
      </w:pPr>
    </w:p>
    <w:bookmarkStart w:id="41" w:name="page42"/>
    <w:bookmarkEnd w:id="41"/>
    <w:p>
      <w:pPr>
        <w:ind w:right="60" w:firstLine="434"/>
        <w:spacing w:after="0" w:line="258" w:lineRule="auto"/>
        <w:rPr>
          <w:sz w:val="20"/>
          <w:szCs w:val="20"/>
          <w:color w:val="auto"/>
        </w:rPr>
      </w:pPr>
      <w:r>
        <w:rPr>
          <w:rFonts w:ascii="Arial" w:cs="Arial" w:eastAsia="Arial" w:hAnsi="Arial"/>
          <w:sz w:val="12"/>
          <w:szCs w:val="12"/>
          <w:color w:val="auto"/>
        </w:rPr>
        <w:t>The increase in FFO in our GLP Capital segment for the three and nine months ended September 30, 2021, as compared to the corresponding periods in the prior year, was driven by the explanations above, including an add-back for real estate depreciation expense. The increase in AFFO for our GLP Capital segment for the three and nine months ended September 30, 2021, as compared to the corresponding periods in the prior year was primarily driven by the changes described above, less the adjustments mentioned in the table above, primarily amortization expenses, stock based compensation costs and losses on debt extinguishment. Adjusted EBITDA for our GLP Capital segment for the three and nine months ended September 30, 2021, as compared to the corresponding period in the prior year, also increased, driven by the explanations above, as well as adjustments mentioned in the table above, primarily related to interest expense.</w:t>
      </w:r>
    </w:p>
    <w:p>
      <w:pPr>
        <w:spacing w:after="0" w:line="144" w:lineRule="exact"/>
        <w:rPr>
          <w:sz w:val="20"/>
          <w:szCs w:val="20"/>
          <w:color w:val="auto"/>
        </w:rPr>
      </w:pPr>
    </w:p>
    <w:p>
      <w:pPr>
        <w:ind w:right="40" w:firstLine="434"/>
        <w:spacing w:after="0" w:line="258" w:lineRule="auto"/>
        <w:rPr>
          <w:sz w:val="20"/>
          <w:szCs w:val="20"/>
          <w:color w:val="auto"/>
        </w:rPr>
      </w:pPr>
      <w:r>
        <w:rPr>
          <w:rFonts w:ascii="Arial" w:cs="Arial" w:eastAsia="Arial" w:hAnsi="Arial"/>
          <w:sz w:val="12"/>
          <w:szCs w:val="12"/>
          <w:color w:val="auto"/>
        </w:rPr>
        <w:t>Net income, FFO, AFFO and Adjusted EBITDA for our TRS Segment were impacted by the sale of the operations of Hollywood Casino Perryville on July 1, 2021 to Penn. The Company is now leasing the real estate to Penn subject to the Perryville Lease. Additionally, in 2020 both properties were forced to close in mid-March 2020 due to COVID-19. Hollywood Casino Baton Rouge reopened to the public on May 18, 2020 and Hollywood Casino Perryville reopened on June 19, 2020 with various restrictions to limit capacity in accordance with regulatory requirements. The performance of our TRS Properties has exceeded the corresponding periods in the prior years as spend per visit has increased coupled with reductions in marketing and payroll costs on various amenities that have been curtailed in light of the capacity restrictions. We also believe results have benefited since being reopened from pent up demand, federal stimulus efforts and reduced competition from other entertainment offerings.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Revenues for the three and nine months ended September 30, 2021 and 2020 were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tcBorders>
              <w:bottom w:val="single" w:sz="8" w:color="auto"/>
            </w:tcBorders>
            <w:gridSpan w:val="5"/>
          </w:tcPr>
          <w:p>
            <w:pPr>
              <w:jc w:val="center"/>
              <w:ind w:left="532"/>
              <w:spacing w:after="0"/>
              <w:rPr>
                <w:sz w:val="20"/>
                <w:szCs w:val="20"/>
                <w:color w:val="auto"/>
              </w:rPr>
            </w:pPr>
            <w:r>
              <w:rPr>
                <w:rFonts w:ascii="Arial" w:cs="Arial" w:eastAsia="Arial" w:hAnsi="Arial"/>
                <w:sz w:val="10"/>
                <w:szCs w:val="10"/>
                <w:b w:val="1"/>
                <w:bCs w:val="1"/>
                <w:color w:val="auto"/>
                <w:w w:val="87"/>
              </w:rPr>
              <w:t>Three Months Ended September 30,</w:t>
            </w: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Percentage</w:t>
            </w:r>
          </w:p>
        </w:tc>
      </w:tr>
      <w:tr>
        <w:trPr>
          <w:trHeight w:val="122"/>
        </w:trPr>
        <w:tc>
          <w:tcPr>
            <w:tcW w:w="51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rPr>
              <w:t>Variance</w:t>
            </w:r>
          </w:p>
        </w:tc>
        <w:tc>
          <w:tcPr>
            <w:tcW w:w="80" w:type="dxa"/>
            <w:vAlign w:val="bottom"/>
            <w:tcBorders>
              <w:bottom w:val="single" w:sz="8" w:color="CCEEFF"/>
            </w:tcBorders>
          </w:tcPr>
          <w:p>
            <w:pPr>
              <w:spacing w:after="0"/>
              <w:rPr>
                <w:sz w:val="10"/>
                <w:szCs w:val="10"/>
                <w:color w:val="auto"/>
              </w:rPr>
            </w:pPr>
          </w:p>
        </w:tc>
        <w:tc>
          <w:tcPr>
            <w:tcW w:w="15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0"/>
                <w:szCs w:val="10"/>
                <w:b w:val="1"/>
                <w:bCs w:val="1"/>
                <w:color w:val="auto"/>
              </w:rPr>
              <w:t>Variance</w:t>
            </w:r>
          </w:p>
        </w:tc>
      </w:tr>
      <w:tr>
        <w:trPr>
          <w:trHeight w:val="144"/>
        </w:trPr>
        <w:tc>
          <w:tcPr>
            <w:tcW w:w="5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Rental income</w:t>
            </w:r>
          </w:p>
        </w:tc>
        <w:tc>
          <w:tcPr>
            <w:tcW w:w="940" w:type="dxa"/>
            <w:vAlign w:val="bottom"/>
            <w:gridSpan w:val="2"/>
            <w:shd w:val="clear" w:color="auto" w:fill="CCEEFF"/>
          </w:tcPr>
          <w:p>
            <w:pPr>
              <w:jc w:val="right"/>
              <w:ind w:right="732"/>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283,253</w:t>
            </w:r>
          </w:p>
        </w:tc>
        <w:tc>
          <w:tcPr>
            <w:tcW w:w="940" w:type="dxa"/>
            <w:vAlign w:val="bottom"/>
            <w:gridSpan w:val="2"/>
            <w:shd w:val="clear" w:color="auto" w:fill="CCEEFF"/>
          </w:tcPr>
          <w:p>
            <w:pPr>
              <w:jc w:val="right"/>
              <w:ind w:right="732"/>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267,555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15,698</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5.9 %</w:t>
            </w:r>
          </w:p>
        </w:tc>
      </w:tr>
      <w:tr>
        <w:trPr>
          <w:trHeight w:val="154"/>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Interest income from real estate</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5,574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(5,574)</w:t>
            </w:r>
          </w:p>
        </w:tc>
        <w:tc>
          <w:tcPr>
            <w:tcW w:w="80" w:type="dxa"/>
            <w:vAlign w:val="bottom"/>
            <w:tcBorders>
              <w:bottom w:val="single" w:sz="8" w:color="CCEEFF"/>
            </w:tcBorders>
          </w:tcPr>
          <w:p>
            <w:pPr>
              <w:spacing w:after="0"/>
              <w:rPr>
                <w:sz w:val="13"/>
                <w:szCs w:val="13"/>
                <w:color w:val="auto"/>
              </w:rPr>
            </w:pPr>
          </w:p>
        </w:tc>
        <w:tc>
          <w:tcPr>
            <w:tcW w:w="15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2"/>
                <w:szCs w:val="12"/>
                <w:color w:val="auto"/>
              </w:rPr>
              <w:t>N/A</w:t>
            </w:r>
          </w:p>
        </w:tc>
      </w:tr>
      <w:tr>
        <w:trPr>
          <w:trHeight w:val="143"/>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Total income from real estate</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283,253</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273,129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10,124</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3.7 %</w:t>
            </w:r>
          </w:p>
        </w:tc>
      </w:tr>
      <w:tr>
        <w:trPr>
          <w:trHeight w:val="154"/>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Gaming, food, beverage and other</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15,459</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34,425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(18,966)</w:t>
            </w:r>
          </w:p>
        </w:tc>
        <w:tc>
          <w:tcPr>
            <w:tcW w:w="162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2"/>
                <w:szCs w:val="12"/>
                <w:color w:val="auto"/>
              </w:rPr>
              <w:t>(55.1)%</w:t>
            </w:r>
          </w:p>
        </w:tc>
      </w:tr>
      <w:tr>
        <w:trPr>
          <w:trHeight w:val="159"/>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940" w:type="dxa"/>
            <w:vAlign w:val="bottom"/>
            <w:gridSpan w:val="2"/>
            <w:shd w:val="clear" w:color="auto" w:fill="CCEEFF"/>
          </w:tcPr>
          <w:p>
            <w:pPr>
              <w:jc w:val="right"/>
              <w:ind w:right="732"/>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298,712</w:t>
            </w:r>
          </w:p>
        </w:tc>
        <w:tc>
          <w:tcPr>
            <w:tcW w:w="940" w:type="dxa"/>
            <w:vAlign w:val="bottom"/>
            <w:gridSpan w:val="2"/>
            <w:shd w:val="clear" w:color="auto" w:fill="CCEEFF"/>
          </w:tcPr>
          <w:p>
            <w:pPr>
              <w:jc w:val="right"/>
              <w:ind w:right="732"/>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307,554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(8,842)</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(2.9)%</w:t>
            </w:r>
          </w:p>
        </w:tc>
      </w:tr>
      <w:tr>
        <w:trPr>
          <w:trHeight w:val="851"/>
        </w:trPr>
        <w:tc>
          <w:tcPr>
            <w:tcW w:w="5120" w:type="dxa"/>
            <w:vAlign w:val="bottom"/>
            <w:tcBorders>
              <w:top w:val="single" w:sz="8" w:color="CCEEFF"/>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380" w:type="dxa"/>
            <w:vAlign w:val="bottom"/>
            <w:tcBorders>
              <w:top w:val="single" w:sz="8" w:color="auto"/>
              <w:bottom w:val="single" w:sz="8" w:color="auto"/>
            </w:tcBorders>
            <w:gridSpan w:val="5"/>
          </w:tcPr>
          <w:p>
            <w:pPr>
              <w:jc w:val="right"/>
              <w:ind w:right="212"/>
              <w:spacing w:after="0"/>
              <w:rPr>
                <w:sz w:val="20"/>
                <w:szCs w:val="20"/>
                <w:color w:val="auto"/>
              </w:rPr>
            </w:pPr>
            <w:r>
              <w:rPr>
                <w:rFonts w:ascii="Arial" w:cs="Arial" w:eastAsia="Arial" w:hAnsi="Arial"/>
                <w:sz w:val="10"/>
                <w:szCs w:val="10"/>
                <w:b w:val="1"/>
                <w:bCs w:val="1"/>
                <w:color w:val="auto"/>
              </w:rPr>
              <w:t>Nine Months Ended September 30,</w:t>
            </w:r>
          </w:p>
        </w:tc>
        <w:tc>
          <w:tcPr>
            <w:tcW w:w="4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gridSpan w:val="2"/>
          </w:tcPr>
          <w:p>
            <w:pPr>
              <w:jc w:val="right"/>
              <w:ind w:right="640"/>
              <w:spacing w:after="0"/>
              <w:rPr>
                <w:sz w:val="20"/>
                <w:szCs w:val="20"/>
                <w:color w:val="auto"/>
              </w:rPr>
            </w:pPr>
            <w:r>
              <w:rPr>
                <w:rFonts w:ascii="Arial" w:cs="Arial" w:eastAsia="Arial" w:hAnsi="Arial"/>
                <w:sz w:val="10"/>
                <w:szCs w:val="10"/>
                <w:b w:val="1"/>
                <w:bCs w:val="1"/>
                <w:color w:val="auto"/>
              </w:rPr>
              <w:t>Percentage</w:t>
            </w:r>
          </w:p>
        </w:tc>
      </w:tr>
      <w:tr>
        <w:trPr>
          <w:trHeight w:val="122"/>
        </w:trPr>
        <w:tc>
          <w:tcPr>
            <w:tcW w:w="5120" w:type="dxa"/>
            <w:vAlign w:val="bottom"/>
          </w:tcPr>
          <w:p>
            <w:pPr>
              <w:spacing w:after="0"/>
              <w:rPr>
                <w:sz w:val="10"/>
                <w:szCs w:val="10"/>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2021</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2020</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Variance</w:t>
            </w:r>
          </w:p>
        </w:tc>
        <w:tc>
          <w:tcPr>
            <w:tcW w:w="80" w:type="dxa"/>
            <w:vAlign w:val="bottom"/>
          </w:tcPr>
          <w:p>
            <w:pPr>
              <w:spacing w:after="0"/>
              <w:rPr>
                <w:sz w:val="10"/>
                <w:szCs w:val="10"/>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Variance</w:t>
            </w:r>
          </w:p>
        </w:tc>
      </w:tr>
      <w:tr>
        <w:trPr>
          <w:trHeight w:val="144"/>
        </w:trPr>
        <w:tc>
          <w:tcPr>
            <w:tcW w:w="51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Rental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821,197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762,711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center"/>
              <w:ind w:left="602"/>
              <w:spacing w:after="0"/>
              <w:rPr>
                <w:sz w:val="20"/>
                <w:szCs w:val="20"/>
                <w:color w:val="auto"/>
              </w:rPr>
            </w:pPr>
            <w:r>
              <w:rPr>
                <w:rFonts w:ascii="Arial" w:cs="Arial" w:eastAsia="Arial" w:hAnsi="Arial"/>
                <w:sz w:val="12"/>
                <w:szCs w:val="12"/>
                <w:color w:val="auto"/>
                <w:w w:val="92"/>
              </w:rPr>
              <w:t>58,486</w:t>
            </w:r>
          </w:p>
        </w:tc>
        <w:tc>
          <w:tcPr>
            <w:tcW w:w="10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7.7 %</w:t>
            </w:r>
          </w:p>
        </w:tc>
        <w:tc>
          <w:tcPr>
            <w:tcW w:w="100" w:type="dxa"/>
            <w:vAlign w:val="bottom"/>
          </w:tcPr>
          <w:p>
            <w:pPr>
              <w:spacing w:after="0"/>
              <w:rPr>
                <w:sz w:val="12"/>
                <w:szCs w:val="12"/>
                <w:color w:val="auto"/>
              </w:rPr>
            </w:pPr>
          </w:p>
        </w:tc>
      </w:tr>
      <w:tr>
        <w:trPr>
          <w:trHeight w:val="154"/>
        </w:trPr>
        <w:tc>
          <w:tcPr>
            <w:tcW w:w="5120" w:type="dxa"/>
            <w:vAlign w:val="bottom"/>
          </w:tcPr>
          <w:p>
            <w:pPr>
              <w:ind w:left="120"/>
              <w:spacing w:after="0"/>
              <w:rPr>
                <w:sz w:val="20"/>
                <w:szCs w:val="20"/>
                <w:color w:val="auto"/>
              </w:rPr>
            </w:pPr>
            <w:r>
              <w:rPr>
                <w:rFonts w:ascii="Arial" w:cs="Arial" w:eastAsia="Arial" w:hAnsi="Arial"/>
                <w:sz w:val="12"/>
                <w:szCs w:val="12"/>
                <w:color w:val="auto"/>
              </w:rPr>
              <w:t>Interest income from real estate</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19,130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ind w:left="582"/>
              <w:spacing w:after="0"/>
              <w:rPr>
                <w:sz w:val="20"/>
                <w:szCs w:val="20"/>
                <w:color w:val="auto"/>
              </w:rPr>
            </w:pPr>
            <w:r>
              <w:rPr>
                <w:rFonts w:ascii="Arial" w:cs="Arial" w:eastAsia="Arial" w:hAnsi="Arial"/>
                <w:sz w:val="12"/>
                <w:szCs w:val="12"/>
                <w:color w:val="auto"/>
                <w:w w:val="89"/>
              </w:rPr>
              <w:t>(19,130)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r>
      <w:tr>
        <w:trPr>
          <w:trHeight w:val="143"/>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income from real estate</w:t>
            </w: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821,197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781,841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center"/>
              <w:ind w:left="602"/>
              <w:spacing w:after="0"/>
              <w:rPr>
                <w:sz w:val="20"/>
                <w:szCs w:val="20"/>
                <w:color w:val="auto"/>
              </w:rPr>
            </w:pPr>
            <w:r>
              <w:rPr>
                <w:rFonts w:ascii="Arial" w:cs="Arial" w:eastAsia="Arial" w:hAnsi="Arial"/>
                <w:sz w:val="12"/>
                <w:szCs w:val="12"/>
                <w:color w:val="auto"/>
                <w:w w:val="92"/>
              </w:rPr>
              <w:t>39,356</w:t>
            </w:r>
          </w:p>
        </w:tc>
        <w:tc>
          <w:tcPr>
            <w:tcW w:w="10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5.0 %</w:t>
            </w:r>
          </w:p>
        </w:tc>
        <w:tc>
          <w:tcPr>
            <w:tcW w:w="100" w:type="dxa"/>
            <w:vAlign w:val="bottom"/>
          </w:tcPr>
          <w:p>
            <w:pPr>
              <w:spacing w:after="0"/>
              <w:rPr>
                <w:sz w:val="12"/>
                <w:szCs w:val="12"/>
                <w:color w:val="auto"/>
              </w:rPr>
            </w:pPr>
          </w:p>
        </w:tc>
      </w:tr>
      <w:tr>
        <w:trPr>
          <w:trHeight w:val="154"/>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Gaming, food, beverage and other</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96,819</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71,163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left="602"/>
              <w:spacing w:after="0"/>
              <w:rPr>
                <w:sz w:val="20"/>
                <w:szCs w:val="20"/>
                <w:color w:val="auto"/>
              </w:rPr>
            </w:pPr>
            <w:r>
              <w:rPr>
                <w:rFonts w:ascii="Arial" w:cs="Arial" w:eastAsia="Arial" w:hAnsi="Arial"/>
                <w:sz w:val="12"/>
                <w:szCs w:val="12"/>
                <w:color w:val="auto"/>
                <w:w w:val="92"/>
              </w:rPr>
              <w:t>25,656</w:t>
            </w:r>
          </w:p>
        </w:tc>
        <w:tc>
          <w:tcPr>
            <w:tcW w:w="10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36.1 %</w:t>
            </w:r>
          </w:p>
        </w:tc>
        <w:tc>
          <w:tcPr>
            <w:tcW w:w="100" w:type="dxa"/>
            <w:vAlign w:val="bottom"/>
          </w:tcPr>
          <w:p>
            <w:pPr>
              <w:spacing w:after="0"/>
              <w:rPr>
                <w:sz w:val="13"/>
                <w:szCs w:val="13"/>
                <w:color w:val="auto"/>
              </w:rPr>
            </w:pPr>
          </w:p>
        </w:tc>
      </w:tr>
      <w:tr>
        <w:trPr>
          <w:trHeight w:val="159"/>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918,016</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853,004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center"/>
              <w:ind w:left="602"/>
              <w:spacing w:after="0"/>
              <w:rPr>
                <w:sz w:val="20"/>
                <w:szCs w:val="20"/>
                <w:color w:val="auto"/>
              </w:rPr>
            </w:pPr>
            <w:r>
              <w:rPr>
                <w:rFonts w:ascii="Arial" w:cs="Arial" w:eastAsia="Arial" w:hAnsi="Arial"/>
                <w:sz w:val="12"/>
                <w:szCs w:val="12"/>
                <w:color w:val="auto"/>
                <w:w w:val="92"/>
              </w:rPr>
              <w:t>65,012</w:t>
            </w:r>
          </w:p>
        </w:tc>
        <w:tc>
          <w:tcPr>
            <w:tcW w:w="10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7.6 %</w:t>
            </w:r>
          </w:p>
        </w:tc>
        <w:tc>
          <w:tcPr>
            <w:tcW w:w="100" w:type="dxa"/>
            <w:vAlign w:val="bottom"/>
          </w:tcPr>
          <w:p>
            <w:pPr>
              <w:spacing w:after="0"/>
              <w:rPr>
                <w:sz w:val="13"/>
                <w:szCs w:val="13"/>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income from real estate</w:t>
      </w:r>
    </w:p>
    <w:p>
      <w:pPr>
        <w:spacing w:after="0" w:line="155" w:lineRule="exact"/>
        <w:rPr>
          <w:sz w:val="20"/>
          <w:szCs w:val="20"/>
          <w:color w:val="auto"/>
        </w:rPr>
      </w:pPr>
    </w:p>
    <w:p>
      <w:pPr>
        <w:jc w:val="both"/>
        <w:ind w:right="20" w:firstLine="434"/>
        <w:spacing w:after="0" w:line="291" w:lineRule="auto"/>
        <w:rPr>
          <w:sz w:val="20"/>
          <w:szCs w:val="20"/>
          <w:color w:val="auto"/>
        </w:rPr>
      </w:pPr>
      <w:r>
        <w:rPr>
          <w:rFonts w:ascii="Arial" w:cs="Arial" w:eastAsia="Arial" w:hAnsi="Arial"/>
          <w:sz w:val="11"/>
          <w:szCs w:val="11"/>
          <w:color w:val="auto"/>
        </w:rPr>
        <w:t>For the three months and nine months ended September 30, 2021 and 2020, total income from real estate was $283.3 million and $821.2 million compared to $273.1 million and $781.8 million for the corresponding periods in the prior year. In accordance with ASC 842, the Company records revenue for the ground lease rent paid by its tenants with an offsetting expense in land rights and ground lease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 These amounts increased by $0.8 million and $1.4 million for the three months and nine months ended September 30, 2021 compared to the corresponding periods in the prior year due to COVID-19 closures in 2020.</w:t>
      </w:r>
    </w:p>
    <w:p>
      <w:pPr>
        <w:spacing w:after="0" w:line="128" w:lineRule="exact"/>
        <w:rPr>
          <w:sz w:val="20"/>
          <w:szCs w:val="20"/>
          <w:color w:val="auto"/>
        </w:rPr>
      </w:pPr>
    </w:p>
    <w:p>
      <w:pPr>
        <w:ind w:right="200" w:firstLine="434"/>
        <w:spacing w:after="0" w:line="278" w:lineRule="auto"/>
        <w:rPr>
          <w:sz w:val="20"/>
          <w:szCs w:val="20"/>
          <w:color w:val="auto"/>
        </w:rPr>
      </w:pPr>
      <w:r>
        <w:rPr>
          <w:rFonts w:ascii="Arial" w:cs="Arial" w:eastAsia="Arial" w:hAnsi="Arial"/>
          <w:sz w:val="12"/>
          <w:szCs w:val="12"/>
          <w:color w:val="auto"/>
        </w:rPr>
        <w:t>Total income from real estate increased $10.1 million, or 3.7%, for the three months ended September 30, 2021 and $39.4 million or 5.0%, for the nine months ended September 30, 2021, as compared to the corresponding periods in the prior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6" w:right="299" w:bottom="1440" w:gutter="0" w:footer="0" w:header="0"/>
        </w:sectPr>
      </w:pPr>
    </w:p>
    <w:bookmarkStart w:id="42" w:name="page43"/>
    <w:bookmarkEnd w:id="42"/>
    <w:p>
      <w:pPr>
        <w:ind w:right="80"/>
        <w:spacing w:after="0" w:line="278" w:lineRule="auto"/>
        <w:rPr>
          <w:sz w:val="20"/>
          <w:szCs w:val="20"/>
          <w:color w:val="auto"/>
        </w:rPr>
      </w:pPr>
      <w:r>
        <w:rPr>
          <w:rFonts w:ascii="Arial" w:cs="Arial" w:eastAsia="Arial" w:hAnsi="Arial"/>
          <w:sz w:val="11"/>
          <w:szCs w:val="11"/>
          <w:color w:val="auto"/>
        </w:rPr>
        <w:t>year. Results for the three months ended September 30, 2021 benefited from the additions of the Bally's Master Lease, the Perryville Lease, and the Morgantown Lease which in the aggregate increased cash rental income by $12.7 million. The Company also recognized higher rent of $2.1 million on the Casino Queen Lease due to the negative impact from COVID-19 closures in the prior year that resulted in rent deferrals in the second quarter of 2020 that were subsequently collected in the fourth quarter of 2020. Additionally, in accordance with the rent deferral agreement that was signed in 2020 with Casino Queen, $2.1 million of rent was deferred due to the property's temporary closure in the first quarter of 2021. Approximately $0.9 million of this amount was collected in the three months ended September 30, 2021 and GLPI anticipates the remaining amount will be collected at the closing of the HCBR transaction. Finally, the three month period ended September 30, 2021 benefited from full escalations being incurred on the Amended Pinnacle Master Lease, the Boyd Master Lease and the Belterra Park Lease effective May 1, 2021 which increased building base rents by $1.5 million during the period. Partially offsetting these increases were lower straight line rent adjustments of $4.0 million, lower percentage rent from the Penn Master Lease and the Meadows Lease of $2.2 million. Additionally, we had lower cash rental income of $0.7 million for the three months ended September 30, 2021 from the Amended and Restated Caesars Master Lease that became effective in July 2020. Results for the nine months September 30, 2021 benefited from the additions of the Bally's Master Lease, the Perryville Lease, and the Morgantown Lease which in the aggregate increased cash rental income by $17.3 million. The Company also recognized higher percentage rent of $12.6 million on the Penn Master Lease due to the impact of the COVID-19 closures in 2020 and higher rent of $3.3 million on the Casino Queen Lease due to the reasons mentioned above. The Company also had favorable straight line rent adjustments of $7.9 million. Finally, the nine month period ended September 30, 2021 benefited from full escalations being incurred on the Amended Pinnacle Master Lease, the Boyd Master Lease and the Belterra Park Lease effective May 1, 2021 which increased income from real estate by $2.5 million during the period. Partially offsetting these favorable variances were lower percentage rents of $3.7 million from the 2020 resets on the Amended Pinnacle Master Lease, the Boyd Master Lease and the Meadows Lease. Additionally, we had lower cash rental income of $2.0 million for the nine months ended September 30, 2021 from the Amended and Restated Caesars Master Lease that became effective in July 2020 which lowered rent initially but removed variable rents going forward and provided for fixed escalation increases as previously described.</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Details of the Company's income from real estate for the three and nine months ended September 30, 2021 was as follows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0" w:type="dxa"/>
            <w:vAlign w:val="bottom"/>
          </w:tcPr>
          <w:p>
            <w:pPr>
              <w:spacing w:after="0"/>
              <w:rPr>
                <w:sz w:val="10"/>
                <w:szCs w:val="10"/>
                <w:color w:val="auto"/>
              </w:rPr>
            </w:pPr>
          </w:p>
        </w:tc>
        <w:tc>
          <w:tcPr>
            <w:tcW w:w="500" w:type="dxa"/>
            <w:vAlign w:val="bottom"/>
            <w:gridSpan w:val="3"/>
          </w:tcPr>
          <w:p>
            <w:pPr>
              <w:spacing w:after="0"/>
              <w:rPr>
                <w:sz w:val="20"/>
                <w:szCs w:val="20"/>
                <w:color w:val="auto"/>
              </w:rPr>
            </w:pPr>
            <w:r>
              <w:rPr>
                <w:rFonts w:ascii="Arial" w:cs="Arial" w:eastAsia="Arial" w:hAnsi="Arial"/>
                <w:sz w:val="10"/>
                <w:szCs w:val="10"/>
                <w:b w:val="1"/>
                <w:bCs w:val="1"/>
                <w:color w:val="auto"/>
              </w:rPr>
              <w:t>Three</w:t>
            </w:r>
          </w:p>
        </w:tc>
        <w:tc>
          <w:tcPr>
            <w:tcW w:w="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242"/>
              <w:spacing w:after="0"/>
              <w:rPr>
                <w:sz w:val="20"/>
                <w:szCs w:val="20"/>
                <w:color w:val="auto"/>
              </w:rPr>
            </w:pPr>
            <w:r>
              <w:rPr>
                <w:rFonts w:ascii="Arial" w:cs="Arial" w:eastAsia="Arial" w:hAnsi="Arial"/>
                <w:sz w:val="10"/>
                <w:szCs w:val="10"/>
                <w:b w:val="1"/>
                <w:bCs w:val="1"/>
                <w:color w:val="auto"/>
                <w:w w:val="88"/>
              </w:rPr>
              <w:t>Total cash rental</w:t>
            </w: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Straight-line rent</w:t>
            </w:r>
          </w:p>
        </w:tc>
        <w:tc>
          <w:tcPr>
            <w:tcW w:w="300" w:type="dxa"/>
            <w:vAlign w:val="bottom"/>
          </w:tcPr>
          <w:p>
            <w:pPr>
              <w:spacing w:after="0"/>
              <w:rPr>
                <w:sz w:val="10"/>
                <w:szCs w:val="10"/>
                <w:color w:val="auto"/>
              </w:rPr>
            </w:pPr>
          </w:p>
        </w:tc>
        <w:tc>
          <w:tcPr>
            <w:tcW w:w="920" w:type="dxa"/>
            <w:vAlign w:val="bottom"/>
            <w:vMerge w:val="restart"/>
          </w:tcPr>
          <w:p>
            <w:pPr>
              <w:jc w:val="right"/>
              <w:ind w:right="221"/>
              <w:spacing w:after="0"/>
              <w:rPr>
                <w:sz w:val="20"/>
                <w:szCs w:val="20"/>
                <w:color w:val="auto"/>
              </w:rPr>
            </w:pPr>
            <w:r>
              <w:rPr>
                <w:rFonts w:ascii="Arial" w:cs="Arial" w:eastAsia="Arial" w:hAnsi="Arial"/>
                <w:sz w:val="10"/>
                <w:szCs w:val="10"/>
                <w:b w:val="1"/>
                <w:bCs w:val="1"/>
                <w:color w:val="auto"/>
                <w:w w:val="89"/>
              </w:rPr>
              <w:t>Ground rent in</w:t>
            </w:r>
          </w:p>
        </w:tc>
        <w:tc>
          <w:tcPr>
            <w:tcW w:w="340" w:type="dxa"/>
            <w:vAlign w:val="bottom"/>
          </w:tcPr>
          <w:p>
            <w:pPr>
              <w:spacing w:after="0"/>
              <w:rPr>
                <w:sz w:val="10"/>
                <w:szCs w:val="10"/>
                <w:color w:val="auto"/>
              </w:rPr>
            </w:pPr>
          </w:p>
        </w:tc>
        <w:tc>
          <w:tcPr>
            <w:tcW w:w="800" w:type="dxa"/>
            <w:vAlign w:val="bottom"/>
            <w:vMerge w:val="restart"/>
          </w:tcPr>
          <w:p>
            <w:pPr>
              <w:spacing w:after="0"/>
              <w:rPr>
                <w:sz w:val="20"/>
                <w:szCs w:val="20"/>
                <w:color w:val="auto"/>
              </w:rPr>
            </w:pPr>
            <w:r>
              <w:rPr>
                <w:rFonts w:ascii="Arial" w:cs="Arial" w:eastAsia="Arial" w:hAnsi="Arial"/>
                <w:sz w:val="10"/>
                <w:szCs w:val="10"/>
                <w:b w:val="1"/>
                <w:bCs w:val="1"/>
                <w:color w:val="auto"/>
              </w:rPr>
              <w:t>Other rental</w:t>
            </w: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680" w:type="dxa"/>
            <w:vAlign w:val="bottom"/>
            <w:gridSpan w:val="2"/>
          </w:tcPr>
          <w:p>
            <w:pPr>
              <w:spacing w:after="0" w:line="62" w:lineRule="exact"/>
              <w:rPr>
                <w:sz w:val="20"/>
                <w:szCs w:val="20"/>
                <w:color w:val="auto"/>
              </w:rPr>
            </w:pPr>
            <w:r>
              <w:rPr>
                <w:rFonts w:ascii="Arial" w:cs="Arial" w:eastAsia="Arial" w:hAnsi="Arial"/>
                <w:sz w:val="7"/>
                <w:szCs w:val="7"/>
                <w:b w:val="1"/>
                <w:bCs w:val="1"/>
                <w:color w:val="auto"/>
              </w:rPr>
              <w:t>Months Ended</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80" w:type="dxa"/>
            <w:vAlign w:val="bottom"/>
            <w:tcBorders>
              <w:top w:val="single" w:sz="8" w:color="auto"/>
            </w:tcBorders>
            <w:gridSpan w:val="2"/>
          </w:tcPr>
          <w:p>
            <w:pPr>
              <w:spacing w:after="0" w:line="80" w:lineRule="exact"/>
              <w:rPr>
                <w:sz w:val="20"/>
                <w:szCs w:val="20"/>
                <w:color w:val="auto"/>
              </w:rPr>
            </w:pPr>
            <w:r>
              <w:rPr>
                <w:rFonts w:ascii="Arial" w:cs="Arial" w:eastAsia="Arial" w:hAnsi="Arial"/>
                <w:sz w:val="8"/>
                <w:szCs w:val="8"/>
                <w:b w:val="1"/>
                <w:bCs w:val="1"/>
                <w:color w:val="auto"/>
              </w:rPr>
              <w:t>September 30,</w:t>
            </w:r>
          </w:p>
        </w:tc>
        <w:tc>
          <w:tcPr>
            <w:tcW w:w="260" w:type="dxa"/>
            <w:vAlign w:val="bottom"/>
            <w:gridSpan w:val="2"/>
          </w:tcPr>
          <w:p>
            <w:pPr>
              <w:jc w:val="right"/>
              <w:ind w:right="120"/>
              <w:spacing w:after="0" w:line="80" w:lineRule="exact"/>
              <w:rPr>
                <w:sz w:val="20"/>
                <w:szCs w:val="20"/>
                <w:color w:val="auto"/>
              </w:rPr>
            </w:pPr>
            <w:r>
              <w:rPr>
                <w:rFonts w:ascii="Arial" w:cs="Arial" w:eastAsia="Arial" w:hAnsi="Arial"/>
                <w:sz w:val="7"/>
                <w:szCs w:val="7"/>
                <w:b w:val="1"/>
                <w:bCs w:val="1"/>
                <w:color w:val="auto"/>
                <w:w w:val="76"/>
              </w:rPr>
              <w:t>2021</w:t>
            </w:r>
          </w:p>
        </w:tc>
        <w:tc>
          <w:tcPr>
            <w:tcW w:w="520" w:type="dxa"/>
            <w:vAlign w:val="bottom"/>
          </w:tcPr>
          <w:p>
            <w:pPr>
              <w:spacing w:after="0"/>
              <w:rPr>
                <w:sz w:val="6"/>
                <w:szCs w:val="6"/>
                <w:color w:val="auto"/>
              </w:rPr>
            </w:pPr>
          </w:p>
        </w:tc>
        <w:tc>
          <w:tcPr>
            <w:tcW w:w="1060" w:type="dxa"/>
            <w:vAlign w:val="bottom"/>
          </w:tcPr>
          <w:p>
            <w:pPr>
              <w:jc w:val="right"/>
              <w:ind w:right="241"/>
              <w:spacing w:after="0" w:line="80" w:lineRule="exact"/>
              <w:rPr>
                <w:sz w:val="20"/>
                <w:szCs w:val="20"/>
                <w:color w:val="auto"/>
              </w:rPr>
            </w:pPr>
            <w:r>
              <w:rPr>
                <w:rFonts w:ascii="Arial" w:cs="Arial" w:eastAsia="Arial" w:hAnsi="Arial"/>
                <w:sz w:val="8"/>
                <w:szCs w:val="8"/>
                <w:b w:val="1"/>
                <w:bCs w:val="1"/>
                <w:color w:val="auto"/>
              </w:rPr>
              <w:t>Building base rent</w:t>
            </w:r>
          </w:p>
        </w:tc>
        <w:tc>
          <w:tcPr>
            <w:tcW w:w="340" w:type="dxa"/>
            <w:vAlign w:val="bottom"/>
          </w:tcPr>
          <w:p>
            <w:pPr>
              <w:spacing w:after="0"/>
              <w:rPr>
                <w:sz w:val="6"/>
                <w:szCs w:val="6"/>
                <w:color w:val="auto"/>
              </w:rPr>
            </w:pPr>
          </w:p>
        </w:tc>
        <w:tc>
          <w:tcPr>
            <w:tcW w:w="980" w:type="dxa"/>
            <w:vAlign w:val="bottom"/>
          </w:tcPr>
          <w:p>
            <w:pPr>
              <w:jc w:val="right"/>
              <w:ind w:right="281"/>
              <w:spacing w:after="0" w:line="80" w:lineRule="exact"/>
              <w:rPr>
                <w:sz w:val="20"/>
                <w:szCs w:val="20"/>
                <w:color w:val="auto"/>
              </w:rPr>
            </w:pPr>
            <w:r>
              <w:rPr>
                <w:rFonts w:ascii="Arial" w:cs="Arial" w:eastAsia="Arial" w:hAnsi="Arial"/>
                <w:sz w:val="8"/>
                <w:szCs w:val="8"/>
                <w:b w:val="1"/>
                <w:bCs w:val="1"/>
                <w:color w:val="auto"/>
              </w:rPr>
              <w:t>Land base rent</w:t>
            </w:r>
          </w:p>
        </w:tc>
        <w:tc>
          <w:tcPr>
            <w:tcW w:w="320" w:type="dxa"/>
            <w:vAlign w:val="bottom"/>
          </w:tcPr>
          <w:p>
            <w:pPr>
              <w:spacing w:after="0"/>
              <w:rPr>
                <w:sz w:val="6"/>
                <w:szCs w:val="6"/>
                <w:color w:val="auto"/>
              </w:rPr>
            </w:pPr>
          </w:p>
        </w:tc>
        <w:tc>
          <w:tcPr>
            <w:tcW w:w="1000" w:type="dxa"/>
            <w:vAlign w:val="bottom"/>
          </w:tcPr>
          <w:p>
            <w:pPr>
              <w:jc w:val="right"/>
              <w:ind w:right="261"/>
              <w:spacing w:after="0" w:line="80" w:lineRule="exact"/>
              <w:rPr>
                <w:sz w:val="20"/>
                <w:szCs w:val="20"/>
                <w:color w:val="auto"/>
              </w:rPr>
            </w:pPr>
            <w:r>
              <w:rPr>
                <w:rFonts w:ascii="Arial" w:cs="Arial" w:eastAsia="Arial" w:hAnsi="Arial"/>
                <w:sz w:val="8"/>
                <w:szCs w:val="8"/>
                <w:b w:val="1"/>
                <w:bCs w:val="1"/>
                <w:color w:val="auto"/>
              </w:rPr>
              <w:t>Percentage rent</w:t>
            </w:r>
          </w:p>
        </w:tc>
        <w:tc>
          <w:tcPr>
            <w:tcW w:w="320" w:type="dxa"/>
            <w:vAlign w:val="bottom"/>
          </w:tcPr>
          <w:p>
            <w:pPr>
              <w:spacing w:after="0"/>
              <w:rPr>
                <w:sz w:val="6"/>
                <w:szCs w:val="6"/>
                <w:color w:val="auto"/>
              </w:rPr>
            </w:pPr>
          </w:p>
        </w:tc>
        <w:tc>
          <w:tcPr>
            <w:tcW w:w="1020" w:type="dxa"/>
            <w:vAlign w:val="bottom"/>
          </w:tcPr>
          <w:p>
            <w:pPr>
              <w:jc w:val="right"/>
              <w:ind w:right="642"/>
              <w:spacing w:after="0" w:line="80" w:lineRule="exact"/>
              <w:rPr>
                <w:sz w:val="20"/>
                <w:szCs w:val="20"/>
                <w:color w:val="auto"/>
              </w:rPr>
            </w:pPr>
            <w:r>
              <w:rPr>
                <w:rFonts w:ascii="Arial" w:cs="Arial" w:eastAsia="Arial" w:hAnsi="Arial"/>
                <w:sz w:val="8"/>
                <w:szCs w:val="8"/>
                <w:b w:val="1"/>
                <w:bCs w:val="1"/>
                <w:color w:val="auto"/>
              </w:rPr>
              <w:t>income</w:t>
            </w:r>
          </w:p>
        </w:tc>
        <w:tc>
          <w:tcPr>
            <w:tcW w:w="740" w:type="dxa"/>
            <w:vAlign w:val="bottom"/>
          </w:tcPr>
          <w:p>
            <w:pPr>
              <w:jc w:val="right"/>
              <w:spacing w:after="0" w:line="80" w:lineRule="exact"/>
              <w:rPr>
                <w:sz w:val="20"/>
                <w:szCs w:val="20"/>
                <w:color w:val="auto"/>
              </w:rPr>
            </w:pPr>
            <w:r>
              <w:rPr>
                <w:rFonts w:ascii="Arial" w:cs="Arial" w:eastAsia="Arial" w:hAnsi="Arial"/>
                <w:sz w:val="8"/>
                <w:szCs w:val="8"/>
                <w:b w:val="1"/>
                <w:bCs w:val="1"/>
                <w:color w:val="auto"/>
              </w:rPr>
              <w:t>adjustments</w:t>
            </w:r>
          </w:p>
        </w:tc>
        <w:tc>
          <w:tcPr>
            <w:tcW w:w="580" w:type="dxa"/>
            <w:vAlign w:val="bottom"/>
          </w:tcPr>
          <w:p>
            <w:pPr>
              <w:spacing w:after="0"/>
              <w:rPr>
                <w:sz w:val="6"/>
                <w:szCs w:val="6"/>
                <w:color w:val="auto"/>
              </w:rPr>
            </w:pPr>
          </w:p>
        </w:tc>
        <w:tc>
          <w:tcPr>
            <w:tcW w:w="1220" w:type="dxa"/>
            <w:vAlign w:val="bottom"/>
            <w:gridSpan w:val="2"/>
          </w:tcPr>
          <w:p>
            <w:pPr>
              <w:jc w:val="right"/>
              <w:ind w:right="581"/>
              <w:spacing w:after="0" w:line="80" w:lineRule="exact"/>
              <w:rPr>
                <w:sz w:val="20"/>
                <w:szCs w:val="20"/>
                <w:color w:val="auto"/>
              </w:rPr>
            </w:pPr>
            <w:r>
              <w:rPr>
                <w:rFonts w:ascii="Arial" w:cs="Arial" w:eastAsia="Arial" w:hAnsi="Arial"/>
                <w:sz w:val="8"/>
                <w:szCs w:val="8"/>
                <w:b w:val="1"/>
                <w:bCs w:val="1"/>
                <w:color w:val="auto"/>
              </w:rPr>
              <w:t>revenue</w:t>
            </w:r>
          </w:p>
        </w:tc>
        <w:tc>
          <w:tcPr>
            <w:tcW w:w="1140" w:type="dxa"/>
            <w:vAlign w:val="bottom"/>
            <w:gridSpan w:val="2"/>
          </w:tcPr>
          <w:p>
            <w:pPr>
              <w:ind w:left="220"/>
              <w:spacing w:after="0" w:line="80" w:lineRule="exact"/>
              <w:rPr>
                <w:sz w:val="20"/>
                <w:szCs w:val="20"/>
                <w:color w:val="auto"/>
              </w:rPr>
            </w:pPr>
            <w:r>
              <w:rPr>
                <w:rFonts w:ascii="Arial" w:cs="Arial" w:eastAsia="Arial" w:hAnsi="Arial"/>
                <w:sz w:val="8"/>
                <w:szCs w:val="8"/>
                <w:b w:val="1"/>
                <w:bCs w:val="1"/>
                <w:color w:val="auto"/>
              </w:rPr>
              <w:t>revenue</w:t>
            </w:r>
          </w:p>
        </w:tc>
        <w:tc>
          <w:tcPr>
            <w:tcW w:w="320" w:type="dxa"/>
            <w:vAlign w:val="bottom"/>
          </w:tcPr>
          <w:p>
            <w:pPr>
              <w:spacing w:after="0"/>
              <w:rPr>
                <w:sz w:val="6"/>
                <w:szCs w:val="6"/>
                <w:color w:val="auto"/>
              </w:rPr>
            </w:pPr>
          </w:p>
        </w:tc>
        <w:tc>
          <w:tcPr>
            <w:tcW w:w="860" w:type="dxa"/>
            <w:vAlign w:val="bottom"/>
          </w:tcPr>
          <w:p>
            <w:pPr>
              <w:jc w:val="right"/>
              <w:ind w:right="1"/>
              <w:spacing w:after="0" w:line="80" w:lineRule="exact"/>
              <w:rPr>
                <w:sz w:val="20"/>
                <w:szCs w:val="20"/>
                <w:color w:val="auto"/>
              </w:rPr>
            </w:pPr>
            <w:r>
              <w:rPr>
                <w:rFonts w:ascii="Arial" w:cs="Arial" w:eastAsia="Arial" w:hAnsi="Arial"/>
                <w:sz w:val="8"/>
                <w:szCs w:val="8"/>
                <w:b w:val="1"/>
                <w:bCs w:val="1"/>
                <w:color w:val="auto"/>
              </w:rPr>
              <w:t>Total rental income</w:t>
            </w:r>
          </w:p>
        </w:tc>
        <w:tc>
          <w:tcPr>
            <w:tcW w:w="0" w:type="dxa"/>
            <w:vAlign w:val="bottom"/>
          </w:tcPr>
          <w:p>
            <w:pPr>
              <w:spacing w:after="0"/>
              <w:rPr>
                <w:sz w:val="1"/>
                <w:szCs w:val="1"/>
                <w:color w:val="auto"/>
              </w:rPr>
            </w:pPr>
          </w:p>
        </w:tc>
      </w:tr>
      <w:tr>
        <w:trPr>
          <w:trHeight w:val="20"/>
        </w:trPr>
        <w:tc>
          <w:tcPr>
            <w:tcW w:w="4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vMerge w:val="restart"/>
          </w:tcPr>
          <w:p>
            <w:pPr>
              <w:spacing w:after="0" w:line="125" w:lineRule="exact"/>
              <w:rPr>
                <w:sz w:val="20"/>
                <w:szCs w:val="20"/>
                <w:color w:val="auto"/>
              </w:rPr>
            </w:pPr>
            <w:r>
              <w:rPr>
                <w:rFonts w:ascii="Arial" w:cs="Arial" w:eastAsia="Arial" w:hAnsi="Arial"/>
                <w:sz w:val="12"/>
                <w:szCs w:val="12"/>
                <w:color w:val="auto"/>
              </w:rPr>
              <w:t>Penn</w:t>
            </w:r>
          </w:p>
        </w:tc>
        <w:tc>
          <w:tcPr>
            <w:tcW w:w="14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4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60" w:type="dxa"/>
            <w:vAlign w:val="bottom"/>
            <w:vMerge w:val="restart"/>
          </w:tcPr>
          <w:p>
            <w:pPr>
              <w:jc w:val="right"/>
              <w:ind w:right="201"/>
              <w:spacing w:after="0"/>
              <w:rPr>
                <w:sz w:val="20"/>
                <w:szCs w:val="20"/>
                <w:color w:val="auto"/>
              </w:rPr>
            </w:pPr>
            <w:r>
              <w:rPr>
                <w:rFonts w:ascii="Arial" w:cs="Arial" w:eastAsia="Arial" w:hAnsi="Arial"/>
                <w:sz w:val="12"/>
                <w:szCs w:val="12"/>
                <w:color w:val="auto"/>
              </w:rPr>
              <w:t>69,852</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80" w:type="dxa"/>
            <w:vAlign w:val="bottom"/>
            <w:vMerge w:val="restart"/>
          </w:tcPr>
          <w:p>
            <w:pPr>
              <w:jc w:val="right"/>
              <w:ind w:right="201"/>
              <w:spacing w:after="0"/>
              <w:rPr>
                <w:sz w:val="20"/>
                <w:szCs w:val="20"/>
                <w:color w:val="auto"/>
              </w:rPr>
            </w:pPr>
            <w:r>
              <w:rPr>
                <w:rFonts w:ascii="Arial" w:cs="Arial" w:eastAsia="Arial" w:hAnsi="Arial"/>
                <w:sz w:val="12"/>
                <w:szCs w:val="12"/>
                <w:color w:val="auto"/>
              </w:rPr>
              <w:t>23,493</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0" w:type="dxa"/>
            <w:vAlign w:val="bottom"/>
            <w:vMerge w:val="restart"/>
          </w:tcPr>
          <w:p>
            <w:pPr>
              <w:jc w:val="right"/>
              <w:ind w:right="201"/>
              <w:spacing w:after="0"/>
              <w:rPr>
                <w:sz w:val="20"/>
                <w:szCs w:val="20"/>
                <w:color w:val="auto"/>
              </w:rPr>
            </w:pPr>
            <w:r>
              <w:rPr>
                <w:rFonts w:ascii="Arial" w:cs="Arial" w:eastAsia="Arial" w:hAnsi="Arial"/>
                <w:sz w:val="12"/>
                <w:szCs w:val="12"/>
                <w:color w:val="auto"/>
              </w:rPr>
              <w:t>24,328</w:t>
            </w:r>
          </w:p>
        </w:tc>
        <w:tc>
          <w:tcPr>
            <w:tcW w:w="3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1020" w:type="dxa"/>
            <w:vAlign w:val="bottom"/>
            <w:vMerge w:val="restart"/>
          </w:tcPr>
          <w:p>
            <w:pPr>
              <w:jc w:val="right"/>
              <w:ind w:right="142"/>
              <w:spacing w:after="0"/>
              <w:rPr>
                <w:sz w:val="20"/>
                <w:szCs w:val="20"/>
                <w:color w:val="auto"/>
              </w:rPr>
            </w:pPr>
            <w:r>
              <w:rPr>
                <w:rFonts w:ascii="Arial" w:cs="Arial" w:eastAsia="Arial" w:hAnsi="Arial"/>
                <w:sz w:val="12"/>
                <w:szCs w:val="12"/>
                <w:b w:val="1"/>
                <w:bCs w:val="1"/>
                <w:color w:val="auto"/>
              </w:rPr>
              <w:t>117,673</w:t>
            </w:r>
          </w:p>
        </w:tc>
        <w:tc>
          <w:tcPr>
            <w:tcW w:w="740" w:type="dxa"/>
            <w:vAlign w:val="bottom"/>
            <w:vMerge w:val="restart"/>
          </w:tcPr>
          <w:p>
            <w:pPr>
              <w:jc w:val="right"/>
              <w:ind w:right="346"/>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ind w:right="200"/>
              <w:spacing w:after="0"/>
              <w:rPr>
                <w:sz w:val="20"/>
                <w:szCs w:val="20"/>
                <w:color w:val="auto"/>
              </w:rPr>
            </w:pPr>
            <w:r>
              <w:rPr>
                <w:rFonts w:ascii="Arial" w:cs="Arial" w:eastAsia="Arial" w:hAnsi="Arial"/>
                <w:sz w:val="12"/>
                <w:szCs w:val="12"/>
                <w:color w:val="auto"/>
                <w:w w:val="99"/>
              </w:rPr>
              <w:t>2,232</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920" w:type="dxa"/>
            <w:vAlign w:val="bottom"/>
            <w:vMerge w:val="restart"/>
          </w:tcPr>
          <w:p>
            <w:pPr>
              <w:jc w:val="right"/>
              <w:ind w:right="161"/>
              <w:spacing w:after="0"/>
              <w:rPr>
                <w:sz w:val="20"/>
                <w:szCs w:val="20"/>
                <w:color w:val="auto"/>
              </w:rPr>
            </w:pPr>
            <w:r>
              <w:rPr>
                <w:rFonts w:ascii="Arial" w:cs="Arial" w:eastAsia="Arial" w:hAnsi="Arial"/>
                <w:sz w:val="12"/>
                <w:szCs w:val="12"/>
                <w:color w:val="auto"/>
              </w:rPr>
              <w:t>736</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ind w:left="440"/>
              <w:spacing w:after="0"/>
              <w:rPr>
                <w:sz w:val="20"/>
                <w:szCs w:val="20"/>
                <w:color w:val="auto"/>
              </w:rPr>
            </w:pPr>
            <w:r>
              <w:rPr>
                <w:rFonts w:ascii="Arial" w:cs="Arial" w:eastAsia="Arial" w:hAnsi="Arial"/>
                <w:sz w:val="12"/>
                <w:szCs w:val="12"/>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120,641</w:t>
            </w:r>
          </w:p>
        </w:tc>
        <w:tc>
          <w:tcPr>
            <w:tcW w:w="0" w:type="dxa"/>
            <w:vAlign w:val="bottom"/>
          </w:tcPr>
          <w:p>
            <w:pPr>
              <w:spacing w:after="0"/>
              <w:rPr>
                <w:sz w:val="1"/>
                <w:szCs w:val="1"/>
                <w:color w:val="auto"/>
              </w:rPr>
            </w:pPr>
          </w:p>
        </w:tc>
      </w:tr>
      <w:tr>
        <w:trPr>
          <w:trHeight w:val="153"/>
        </w:trPr>
        <w:tc>
          <w:tcPr>
            <w:tcW w:w="940" w:type="dxa"/>
            <w:vAlign w:val="bottom"/>
            <w:gridSpan w:val="4"/>
          </w:tcPr>
          <w:p>
            <w:pPr>
              <w:spacing w:after="0"/>
              <w:rPr>
                <w:sz w:val="20"/>
                <w:szCs w:val="20"/>
                <w:color w:val="auto"/>
              </w:rPr>
            </w:pPr>
            <w:r>
              <w:rPr>
                <w:rFonts w:ascii="Arial" w:cs="Arial" w:eastAsia="Arial" w:hAnsi="Arial"/>
                <w:sz w:val="12"/>
                <w:szCs w:val="12"/>
                <w:color w:val="auto"/>
              </w:rPr>
              <w:t>Master Lease</w:t>
            </w:r>
          </w:p>
        </w:tc>
        <w:tc>
          <w:tcPr>
            <w:tcW w:w="5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40" w:type="dxa"/>
            <w:vAlign w:val="bottom"/>
            <w:shd w:val="clear" w:color="auto" w:fill="CCEEFF"/>
          </w:tcPr>
          <w:p>
            <w:pPr>
              <w:spacing w:after="0"/>
              <w:rPr>
                <w:sz w:val="10"/>
                <w:szCs w:val="10"/>
                <w:color w:val="auto"/>
              </w:rPr>
            </w:pPr>
          </w:p>
        </w:tc>
        <w:tc>
          <w:tcPr>
            <w:tcW w:w="500" w:type="dxa"/>
            <w:vAlign w:val="bottom"/>
            <w:gridSpan w:val="3"/>
            <w:shd w:val="clear" w:color="auto" w:fill="CCEEFF"/>
          </w:tcPr>
          <w:p>
            <w:pPr>
              <w:spacing w:after="0" w:line="118" w:lineRule="exact"/>
              <w:rPr>
                <w:sz w:val="20"/>
                <w:szCs w:val="20"/>
                <w:color w:val="auto"/>
              </w:rPr>
            </w:pPr>
            <w:r>
              <w:rPr>
                <w:rFonts w:ascii="Arial" w:cs="Arial" w:eastAsia="Arial" w:hAnsi="Arial"/>
                <w:sz w:val="12"/>
                <w:szCs w:val="12"/>
                <w:color w:val="auto"/>
                <w:w w:val="93"/>
              </w:rPr>
              <w:t>Amended</w:t>
            </w:r>
          </w:p>
        </w:tc>
        <w:tc>
          <w:tcPr>
            <w:tcW w:w="5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gridSpan w:val="4"/>
            <w:shd w:val="clear" w:color="auto" w:fill="CCEEFF"/>
          </w:tcPr>
          <w:p>
            <w:pPr>
              <w:spacing w:after="0" w:line="118" w:lineRule="exact"/>
              <w:rPr>
                <w:sz w:val="20"/>
                <w:szCs w:val="20"/>
                <w:color w:val="auto"/>
              </w:rPr>
            </w:pPr>
            <w:r>
              <w:rPr>
                <w:rFonts w:ascii="Arial" w:cs="Arial" w:eastAsia="Arial" w:hAnsi="Arial"/>
                <w:sz w:val="12"/>
                <w:szCs w:val="12"/>
                <w:color w:val="auto"/>
              </w:rPr>
              <w:t>Pinnacle Master</w:t>
            </w:r>
          </w:p>
        </w:tc>
        <w:tc>
          <w:tcPr>
            <w:tcW w:w="52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57,936</w:t>
            </w:r>
          </w:p>
        </w:tc>
        <w:tc>
          <w:tcPr>
            <w:tcW w:w="3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17,814</w:t>
            </w:r>
          </w:p>
        </w:tc>
        <w:tc>
          <w:tcPr>
            <w:tcW w:w="3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6,695</w:t>
            </w:r>
          </w:p>
        </w:tc>
        <w:tc>
          <w:tcPr>
            <w:tcW w:w="3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b w:val="1"/>
                <w:bCs w:val="1"/>
                <w:color w:val="auto"/>
              </w:rPr>
              <w:t>82,445</w:t>
            </w:r>
          </w:p>
        </w:tc>
        <w:tc>
          <w:tcPr>
            <w:tcW w:w="7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80"/>
              <w:spacing w:after="0"/>
              <w:rPr>
                <w:sz w:val="20"/>
                <w:szCs w:val="20"/>
                <w:color w:val="auto"/>
              </w:rPr>
            </w:pPr>
            <w:r>
              <w:rPr>
                <w:rFonts w:ascii="Arial" w:cs="Arial" w:eastAsia="Arial" w:hAnsi="Arial"/>
                <w:sz w:val="12"/>
                <w:szCs w:val="12"/>
                <w:color w:val="auto"/>
                <w:w w:val="84"/>
              </w:rPr>
              <w:t>(4,837)</w:t>
            </w:r>
          </w:p>
        </w:tc>
        <w:tc>
          <w:tcPr>
            <w:tcW w:w="3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1,916</w:t>
            </w: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79,524</w:t>
            </w:r>
          </w:p>
        </w:tc>
        <w:tc>
          <w:tcPr>
            <w:tcW w:w="0" w:type="dxa"/>
            <w:vAlign w:val="bottom"/>
          </w:tcPr>
          <w:p>
            <w:pPr>
              <w:spacing w:after="0"/>
              <w:rPr>
                <w:sz w:val="1"/>
                <w:szCs w:val="1"/>
                <w:color w:val="auto"/>
              </w:rPr>
            </w:pPr>
          </w:p>
        </w:tc>
      </w:tr>
      <w:tr>
        <w:trPr>
          <w:trHeight w:val="154"/>
        </w:trPr>
        <w:tc>
          <w:tcPr>
            <w:tcW w:w="94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Lease</w:t>
            </w:r>
          </w:p>
        </w:tc>
        <w:tc>
          <w:tcPr>
            <w:tcW w:w="52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40" w:type="dxa"/>
            <w:vAlign w:val="bottom"/>
          </w:tcPr>
          <w:p>
            <w:pPr>
              <w:spacing w:after="0"/>
              <w:rPr>
                <w:sz w:val="10"/>
                <w:szCs w:val="10"/>
                <w:color w:val="auto"/>
              </w:rPr>
            </w:pPr>
          </w:p>
        </w:tc>
        <w:tc>
          <w:tcPr>
            <w:tcW w:w="500" w:type="dxa"/>
            <w:vAlign w:val="bottom"/>
            <w:gridSpan w:val="3"/>
          </w:tcPr>
          <w:p>
            <w:pPr>
              <w:spacing w:after="0" w:line="118" w:lineRule="exact"/>
              <w:rPr>
                <w:sz w:val="20"/>
                <w:szCs w:val="20"/>
                <w:color w:val="auto"/>
              </w:rPr>
            </w:pPr>
            <w:r>
              <w:rPr>
                <w:rFonts w:ascii="Arial" w:cs="Arial" w:eastAsia="Arial" w:hAnsi="Arial"/>
                <w:sz w:val="12"/>
                <w:szCs w:val="12"/>
                <w:color w:val="auto"/>
              </w:rPr>
              <w:t>Penn -</w:t>
            </w:r>
          </w:p>
        </w:tc>
        <w:tc>
          <w:tcPr>
            <w:tcW w:w="520" w:type="dxa"/>
            <w:vAlign w:val="bottom"/>
          </w:tcPr>
          <w:p>
            <w:pPr>
              <w:spacing w:after="0"/>
              <w:rPr>
                <w:sz w:val="10"/>
                <w:szCs w:val="10"/>
                <w:color w:val="auto"/>
              </w:rPr>
            </w:pPr>
          </w:p>
        </w:tc>
        <w:tc>
          <w:tcPr>
            <w:tcW w:w="1060" w:type="dxa"/>
            <w:vAlign w:val="bottom"/>
            <w:vMerge w:val="restart"/>
          </w:tcPr>
          <w:p>
            <w:pPr>
              <w:jc w:val="right"/>
              <w:ind w:right="201"/>
              <w:spacing w:after="0"/>
              <w:rPr>
                <w:sz w:val="20"/>
                <w:szCs w:val="20"/>
                <w:color w:val="auto"/>
              </w:rPr>
            </w:pPr>
            <w:r>
              <w:rPr>
                <w:rFonts w:ascii="Arial" w:cs="Arial" w:eastAsia="Arial" w:hAnsi="Arial"/>
                <w:sz w:val="12"/>
                <w:szCs w:val="12"/>
                <w:color w:val="auto"/>
              </w:rPr>
              <w:t>3,953</w:t>
            </w:r>
          </w:p>
        </w:tc>
        <w:tc>
          <w:tcPr>
            <w:tcW w:w="340" w:type="dxa"/>
            <w:vAlign w:val="bottom"/>
          </w:tcPr>
          <w:p>
            <w:pPr>
              <w:spacing w:after="0"/>
              <w:rPr>
                <w:sz w:val="10"/>
                <w:szCs w:val="10"/>
                <w:color w:val="auto"/>
              </w:rPr>
            </w:pPr>
          </w:p>
        </w:tc>
        <w:tc>
          <w:tcPr>
            <w:tcW w:w="98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1000" w:type="dxa"/>
            <w:vAlign w:val="bottom"/>
            <w:vMerge w:val="restart"/>
          </w:tcPr>
          <w:p>
            <w:pPr>
              <w:jc w:val="right"/>
              <w:ind w:right="201"/>
              <w:spacing w:after="0"/>
              <w:rPr>
                <w:sz w:val="20"/>
                <w:szCs w:val="20"/>
                <w:color w:val="auto"/>
              </w:rPr>
            </w:pPr>
            <w:r>
              <w:rPr>
                <w:rFonts w:ascii="Arial" w:cs="Arial" w:eastAsia="Arial" w:hAnsi="Arial"/>
                <w:sz w:val="12"/>
                <w:szCs w:val="12"/>
                <w:color w:val="auto"/>
              </w:rPr>
              <w:t>2,261</w:t>
            </w:r>
          </w:p>
        </w:tc>
        <w:tc>
          <w:tcPr>
            <w:tcW w:w="320" w:type="dxa"/>
            <w:vAlign w:val="bottom"/>
          </w:tcPr>
          <w:p>
            <w:pPr>
              <w:spacing w:after="0"/>
              <w:rPr>
                <w:sz w:val="10"/>
                <w:szCs w:val="10"/>
                <w:color w:val="auto"/>
              </w:rPr>
            </w:pPr>
          </w:p>
        </w:tc>
        <w:tc>
          <w:tcPr>
            <w:tcW w:w="1020" w:type="dxa"/>
            <w:vAlign w:val="bottom"/>
            <w:vMerge w:val="restart"/>
          </w:tcPr>
          <w:p>
            <w:pPr>
              <w:jc w:val="right"/>
              <w:ind w:right="142"/>
              <w:spacing w:after="0"/>
              <w:rPr>
                <w:sz w:val="20"/>
                <w:szCs w:val="20"/>
                <w:color w:val="auto"/>
              </w:rPr>
            </w:pPr>
            <w:r>
              <w:rPr>
                <w:rFonts w:ascii="Arial" w:cs="Arial" w:eastAsia="Arial" w:hAnsi="Arial"/>
                <w:sz w:val="12"/>
                <w:szCs w:val="12"/>
                <w:b w:val="1"/>
                <w:bCs w:val="1"/>
                <w:color w:val="auto"/>
              </w:rPr>
              <w:t>6,214</w:t>
            </w:r>
          </w:p>
        </w:tc>
        <w:tc>
          <w:tcPr>
            <w:tcW w:w="740" w:type="dxa"/>
            <w:vAlign w:val="bottom"/>
          </w:tcPr>
          <w:p>
            <w:pPr>
              <w:spacing w:after="0"/>
              <w:rPr>
                <w:sz w:val="10"/>
                <w:szCs w:val="10"/>
                <w:color w:val="auto"/>
              </w:rPr>
            </w:pPr>
          </w:p>
        </w:tc>
        <w:tc>
          <w:tcPr>
            <w:tcW w:w="580" w:type="dxa"/>
            <w:vAlign w:val="bottom"/>
            <w:vMerge w:val="restart"/>
          </w:tcPr>
          <w:p>
            <w:pPr>
              <w:jc w:val="right"/>
              <w:ind w:right="200"/>
              <w:spacing w:after="0"/>
              <w:rPr>
                <w:sz w:val="20"/>
                <w:szCs w:val="20"/>
                <w:color w:val="auto"/>
              </w:rPr>
            </w:pPr>
            <w:r>
              <w:rPr>
                <w:rFonts w:ascii="Arial" w:cs="Arial" w:eastAsia="Arial" w:hAnsi="Arial"/>
                <w:sz w:val="12"/>
                <w:szCs w:val="12"/>
                <w:color w:val="auto"/>
              </w:rPr>
              <w:t>573</w:t>
            </w:r>
          </w:p>
        </w:tc>
        <w:tc>
          <w:tcPr>
            <w:tcW w:w="300" w:type="dxa"/>
            <w:vAlign w:val="bottom"/>
          </w:tcPr>
          <w:p>
            <w:pPr>
              <w:spacing w:after="0"/>
              <w:rPr>
                <w:sz w:val="10"/>
                <w:szCs w:val="10"/>
                <w:color w:val="auto"/>
              </w:rPr>
            </w:pPr>
          </w:p>
        </w:tc>
        <w:tc>
          <w:tcPr>
            <w:tcW w:w="920" w:type="dxa"/>
            <w:vAlign w:val="bottom"/>
            <w:vMerge w:val="restart"/>
          </w:tcPr>
          <w:p>
            <w:pPr>
              <w:jc w:val="right"/>
              <w:ind w:right="161"/>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800" w:type="dxa"/>
            <w:vAlign w:val="bottom"/>
            <w:vMerge w:val="restart"/>
          </w:tcPr>
          <w:p>
            <w:pPr>
              <w:ind w:left="440"/>
              <w:spacing w:after="0"/>
              <w:rPr>
                <w:sz w:val="20"/>
                <w:szCs w:val="20"/>
                <w:color w:val="auto"/>
              </w:rPr>
            </w:pPr>
            <w:r>
              <w:rPr>
                <w:rFonts w:ascii="Arial" w:cs="Arial" w:eastAsia="Arial" w:hAnsi="Arial"/>
                <w:sz w:val="12"/>
                <w:szCs w:val="12"/>
                <w:color w:val="auto"/>
              </w:rPr>
              <w:t>22</w:t>
            </w:r>
          </w:p>
        </w:tc>
        <w:tc>
          <w:tcPr>
            <w:tcW w:w="3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6,809</w:t>
            </w:r>
          </w:p>
        </w:tc>
        <w:tc>
          <w:tcPr>
            <w:tcW w:w="0" w:type="dxa"/>
            <w:vAlign w:val="bottom"/>
          </w:tcPr>
          <w:p>
            <w:pPr>
              <w:spacing w:after="0"/>
              <w:rPr>
                <w:sz w:val="1"/>
                <w:szCs w:val="1"/>
                <w:color w:val="auto"/>
              </w:rPr>
            </w:pPr>
          </w:p>
        </w:tc>
      </w:tr>
      <w:tr>
        <w:trPr>
          <w:trHeight w:val="153"/>
        </w:trPr>
        <w:tc>
          <w:tcPr>
            <w:tcW w:w="940" w:type="dxa"/>
            <w:vAlign w:val="bottom"/>
            <w:gridSpan w:val="4"/>
          </w:tcPr>
          <w:p>
            <w:pPr>
              <w:spacing w:after="0"/>
              <w:rPr>
                <w:sz w:val="20"/>
                <w:szCs w:val="20"/>
                <w:color w:val="auto"/>
              </w:rPr>
            </w:pPr>
            <w:r>
              <w:rPr>
                <w:rFonts w:ascii="Arial" w:cs="Arial" w:eastAsia="Arial" w:hAnsi="Arial"/>
                <w:sz w:val="12"/>
                <w:szCs w:val="12"/>
                <w:color w:val="auto"/>
              </w:rPr>
              <w:t>Meadows Lease</w:t>
            </w:r>
          </w:p>
        </w:tc>
        <w:tc>
          <w:tcPr>
            <w:tcW w:w="5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40" w:type="dxa"/>
            <w:vAlign w:val="bottom"/>
            <w:shd w:val="clear" w:color="auto" w:fill="CCEEFF"/>
          </w:tcPr>
          <w:p>
            <w:pPr>
              <w:spacing w:after="0"/>
              <w:rPr>
                <w:sz w:val="10"/>
                <w:szCs w:val="10"/>
                <w:color w:val="auto"/>
              </w:rPr>
            </w:pPr>
          </w:p>
        </w:tc>
        <w:tc>
          <w:tcPr>
            <w:tcW w:w="500" w:type="dxa"/>
            <w:vAlign w:val="bottom"/>
            <w:gridSpan w:val="3"/>
            <w:shd w:val="clear" w:color="auto" w:fill="CCEEFF"/>
          </w:tcPr>
          <w:p>
            <w:pPr>
              <w:spacing w:after="0" w:line="118" w:lineRule="exact"/>
              <w:rPr>
                <w:sz w:val="20"/>
                <w:szCs w:val="20"/>
                <w:color w:val="auto"/>
              </w:rPr>
            </w:pPr>
            <w:r>
              <w:rPr>
                <w:rFonts w:ascii="Arial" w:cs="Arial" w:eastAsia="Arial" w:hAnsi="Arial"/>
                <w:sz w:val="12"/>
                <w:szCs w:val="12"/>
                <w:color w:val="auto"/>
              </w:rPr>
              <w:t>Penn</w:t>
            </w:r>
          </w:p>
        </w:tc>
        <w:tc>
          <w:tcPr>
            <w:tcW w:w="5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gridSpan w:val="4"/>
            <w:shd w:val="clear" w:color="auto" w:fill="CCEEFF"/>
          </w:tcPr>
          <w:p>
            <w:pPr>
              <w:spacing w:after="0" w:line="118" w:lineRule="exact"/>
              <w:rPr>
                <w:sz w:val="20"/>
                <w:szCs w:val="20"/>
                <w:color w:val="auto"/>
              </w:rPr>
            </w:pPr>
            <w:r>
              <w:rPr>
                <w:rFonts w:ascii="Arial" w:cs="Arial" w:eastAsia="Arial" w:hAnsi="Arial"/>
                <w:sz w:val="12"/>
                <w:szCs w:val="12"/>
                <w:color w:val="auto"/>
              </w:rPr>
              <w:t>Morgantown</w:t>
            </w:r>
          </w:p>
        </w:tc>
        <w:tc>
          <w:tcPr>
            <w:tcW w:w="52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750</w:t>
            </w:r>
          </w:p>
        </w:tc>
        <w:tc>
          <w:tcPr>
            <w:tcW w:w="3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b w:val="1"/>
                <w:bCs w:val="1"/>
                <w:color w:val="auto"/>
              </w:rPr>
              <w:t>750</w:t>
            </w:r>
          </w:p>
        </w:tc>
        <w:tc>
          <w:tcPr>
            <w:tcW w:w="7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750</w:t>
            </w:r>
          </w:p>
        </w:tc>
        <w:tc>
          <w:tcPr>
            <w:tcW w:w="0" w:type="dxa"/>
            <w:vAlign w:val="bottom"/>
          </w:tcPr>
          <w:p>
            <w:pPr>
              <w:spacing w:after="0"/>
              <w:rPr>
                <w:sz w:val="1"/>
                <w:szCs w:val="1"/>
                <w:color w:val="auto"/>
              </w:rPr>
            </w:pPr>
          </w:p>
        </w:tc>
      </w:tr>
      <w:tr>
        <w:trPr>
          <w:trHeight w:val="154"/>
        </w:trPr>
        <w:tc>
          <w:tcPr>
            <w:tcW w:w="94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Lease</w:t>
            </w:r>
          </w:p>
        </w:tc>
        <w:tc>
          <w:tcPr>
            <w:tcW w:w="52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40" w:type="dxa"/>
            <w:vAlign w:val="bottom"/>
          </w:tcPr>
          <w:p>
            <w:pPr>
              <w:spacing w:after="0"/>
              <w:rPr>
                <w:sz w:val="10"/>
                <w:szCs w:val="10"/>
                <w:color w:val="auto"/>
              </w:rPr>
            </w:pPr>
          </w:p>
        </w:tc>
        <w:tc>
          <w:tcPr>
            <w:tcW w:w="500" w:type="dxa"/>
            <w:vAlign w:val="bottom"/>
            <w:gridSpan w:val="3"/>
          </w:tcPr>
          <w:p>
            <w:pPr>
              <w:spacing w:after="0" w:line="118" w:lineRule="exact"/>
              <w:rPr>
                <w:sz w:val="20"/>
                <w:szCs w:val="20"/>
                <w:color w:val="auto"/>
              </w:rPr>
            </w:pPr>
            <w:r>
              <w:rPr>
                <w:rFonts w:ascii="Arial" w:cs="Arial" w:eastAsia="Arial" w:hAnsi="Arial"/>
                <w:sz w:val="12"/>
                <w:szCs w:val="12"/>
                <w:color w:val="auto"/>
              </w:rPr>
              <w:t>Penn</w:t>
            </w:r>
          </w:p>
        </w:tc>
        <w:tc>
          <w:tcPr>
            <w:tcW w:w="520" w:type="dxa"/>
            <w:vAlign w:val="bottom"/>
          </w:tcPr>
          <w:p>
            <w:pPr>
              <w:spacing w:after="0"/>
              <w:rPr>
                <w:sz w:val="10"/>
                <w:szCs w:val="10"/>
                <w:color w:val="auto"/>
              </w:rPr>
            </w:pPr>
          </w:p>
        </w:tc>
        <w:tc>
          <w:tcPr>
            <w:tcW w:w="1060" w:type="dxa"/>
            <w:vAlign w:val="bottom"/>
            <w:vMerge w:val="restart"/>
          </w:tcPr>
          <w:p>
            <w:pPr>
              <w:jc w:val="right"/>
              <w:ind w:right="201"/>
              <w:spacing w:after="0"/>
              <w:rPr>
                <w:sz w:val="20"/>
                <w:szCs w:val="20"/>
                <w:color w:val="auto"/>
              </w:rPr>
            </w:pPr>
            <w:r>
              <w:rPr>
                <w:rFonts w:ascii="Arial" w:cs="Arial" w:eastAsia="Arial" w:hAnsi="Arial"/>
                <w:sz w:val="12"/>
                <w:szCs w:val="12"/>
                <w:color w:val="auto"/>
              </w:rPr>
              <w:t>1,457</w:t>
            </w:r>
          </w:p>
        </w:tc>
        <w:tc>
          <w:tcPr>
            <w:tcW w:w="340" w:type="dxa"/>
            <w:vAlign w:val="bottom"/>
          </w:tcPr>
          <w:p>
            <w:pPr>
              <w:spacing w:after="0"/>
              <w:rPr>
                <w:sz w:val="10"/>
                <w:szCs w:val="10"/>
                <w:color w:val="auto"/>
              </w:rPr>
            </w:pPr>
          </w:p>
        </w:tc>
        <w:tc>
          <w:tcPr>
            <w:tcW w:w="980" w:type="dxa"/>
            <w:vAlign w:val="bottom"/>
            <w:vMerge w:val="restart"/>
          </w:tcPr>
          <w:p>
            <w:pPr>
              <w:jc w:val="right"/>
              <w:ind w:right="201"/>
              <w:spacing w:after="0"/>
              <w:rPr>
                <w:sz w:val="20"/>
                <w:szCs w:val="20"/>
                <w:color w:val="auto"/>
              </w:rPr>
            </w:pPr>
            <w:r>
              <w:rPr>
                <w:rFonts w:ascii="Arial" w:cs="Arial" w:eastAsia="Arial" w:hAnsi="Arial"/>
                <w:sz w:val="12"/>
                <w:szCs w:val="12"/>
                <w:color w:val="auto"/>
              </w:rPr>
              <w:t>486</w:t>
            </w:r>
          </w:p>
        </w:tc>
        <w:tc>
          <w:tcPr>
            <w:tcW w:w="320" w:type="dxa"/>
            <w:vAlign w:val="bottom"/>
          </w:tcPr>
          <w:p>
            <w:pPr>
              <w:spacing w:after="0"/>
              <w:rPr>
                <w:sz w:val="10"/>
                <w:szCs w:val="10"/>
                <w:color w:val="auto"/>
              </w:rPr>
            </w:pPr>
          </w:p>
        </w:tc>
        <w:tc>
          <w:tcPr>
            <w:tcW w:w="100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1020" w:type="dxa"/>
            <w:vAlign w:val="bottom"/>
            <w:vMerge w:val="restart"/>
          </w:tcPr>
          <w:p>
            <w:pPr>
              <w:jc w:val="right"/>
              <w:ind w:right="142"/>
              <w:spacing w:after="0"/>
              <w:rPr>
                <w:sz w:val="20"/>
                <w:szCs w:val="20"/>
                <w:color w:val="auto"/>
              </w:rPr>
            </w:pPr>
            <w:r>
              <w:rPr>
                <w:rFonts w:ascii="Arial" w:cs="Arial" w:eastAsia="Arial" w:hAnsi="Arial"/>
                <w:sz w:val="12"/>
                <w:szCs w:val="12"/>
                <w:b w:val="1"/>
                <w:bCs w:val="1"/>
                <w:color w:val="auto"/>
              </w:rPr>
              <w:t>1,943</w:t>
            </w:r>
          </w:p>
        </w:tc>
        <w:tc>
          <w:tcPr>
            <w:tcW w:w="740" w:type="dxa"/>
            <w:vAlign w:val="bottom"/>
          </w:tcPr>
          <w:p>
            <w:pPr>
              <w:spacing w:after="0"/>
              <w:rPr>
                <w:sz w:val="10"/>
                <w:szCs w:val="10"/>
                <w:color w:val="auto"/>
              </w:rPr>
            </w:pPr>
          </w:p>
        </w:tc>
        <w:tc>
          <w:tcPr>
            <w:tcW w:w="580" w:type="dxa"/>
            <w:vAlign w:val="bottom"/>
            <w:vMerge w:val="restart"/>
          </w:tcPr>
          <w:p>
            <w:pPr>
              <w:jc w:val="right"/>
              <w:ind w:right="200"/>
              <w:spacing w:after="0"/>
              <w:rPr>
                <w:sz w:val="20"/>
                <w:szCs w:val="20"/>
                <w:color w:val="auto"/>
              </w:rPr>
            </w:pPr>
            <w:r>
              <w:rPr>
                <w:rFonts w:ascii="Arial" w:cs="Arial" w:eastAsia="Arial" w:hAnsi="Arial"/>
                <w:sz w:val="12"/>
                <w:szCs w:val="12"/>
                <w:color w:val="auto"/>
              </w:rPr>
              <w:t>60</w:t>
            </w:r>
          </w:p>
        </w:tc>
        <w:tc>
          <w:tcPr>
            <w:tcW w:w="300" w:type="dxa"/>
            <w:vAlign w:val="bottom"/>
          </w:tcPr>
          <w:p>
            <w:pPr>
              <w:spacing w:after="0"/>
              <w:rPr>
                <w:sz w:val="10"/>
                <w:szCs w:val="10"/>
                <w:color w:val="auto"/>
              </w:rPr>
            </w:pPr>
          </w:p>
        </w:tc>
        <w:tc>
          <w:tcPr>
            <w:tcW w:w="920" w:type="dxa"/>
            <w:vAlign w:val="bottom"/>
            <w:vMerge w:val="restart"/>
          </w:tcPr>
          <w:p>
            <w:pPr>
              <w:jc w:val="right"/>
              <w:ind w:right="161"/>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800" w:type="dxa"/>
            <w:vAlign w:val="bottom"/>
            <w:vMerge w:val="restart"/>
          </w:tcPr>
          <w:p>
            <w:pPr>
              <w:ind w:left="4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2,003</w:t>
            </w:r>
          </w:p>
        </w:tc>
        <w:tc>
          <w:tcPr>
            <w:tcW w:w="0" w:type="dxa"/>
            <w:vAlign w:val="bottom"/>
          </w:tcPr>
          <w:p>
            <w:pPr>
              <w:spacing w:after="0"/>
              <w:rPr>
                <w:sz w:val="1"/>
                <w:szCs w:val="1"/>
                <w:color w:val="auto"/>
              </w:rPr>
            </w:pPr>
          </w:p>
        </w:tc>
      </w:tr>
      <w:tr>
        <w:trPr>
          <w:trHeight w:val="153"/>
        </w:trPr>
        <w:tc>
          <w:tcPr>
            <w:tcW w:w="940" w:type="dxa"/>
            <w:vAlign w:val="bottom"/>
            <w:gridSpan w:val="4"/>
          </w:tcPr>
          <w:p>
            <w:pPr>
              <w:spacing w:after="0"/>
              <w:rPr>
                <w:sz w:val="20"/>
                <w:szCs w:val="20"/>
                <w:color w:val="auto"/>
              </w:rPr>
            </w:pPr>
            <w:r>
              <w:rPr>
                <w:rFonts w:ascii="Arial" w:cs="Arial" w:eastAsia="Arial" w:hAnsi="Arial"/>
                <w:sz w:val="12"/>
                <w:szCs w:val="12"/>
                <w:color w:val="auto"/>
              </w:rPr>
              <w:t>Perryville Lease</w:t>
            </w:r>
          </w:p>
        </w:tc>
        <w:tc>
          <w:tcPr>
            <w:tcW w:w="5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40" w:type="dxa"/>
            <w:vAlign w:val="bottom"/>
            <w:shd w:val="clear" w:color="auto" w:fill="CCEEFF"/>
          </w:tcPr>
          <w:p>
            <w:pPr>
              <w:spacing w:after="0"/>
              <w:rPr>
                <w:sz w:val="10"/>
                <w:szCs w:val="10"/>
                <w:color w:val="auto"/>
              </w:rPr>
            </w:pPr>
          </w:p>
        </w:tc>
        <w:tc>
          <w:tcPr>
            <w:tcW w:w="500" w:type="dxa"/>
            <w:vAlign w:val="bottom"/>
            <w:gridSpan w:val="3"/>
            <w:shd w:val="clear" w:color="auto" w:fill="CCEEFF"/>
          </w:tcPr>
          <w:p>
            <w:pPr>
              <w:spacing w:after="0" w:line="118" w:lineRule="exact"/>
              <w:rPr>
                <w:sz w:val="20"/>
                <w:szCs w:val="20"/>
                <w:color w:val="auto"/>
              </w:rPr>
            </w:pPr>
            <w:r>
              <w:rPr>
                <w:rFonts w:ascii="Arial" w:cs="Arial" w:eastAsia="Arial" w:hAnsi="Arial"/>
                <w:sz w:val="12"/>
                <w:szCs w:val="12"/>
                <w:color w:val="auto"/>
              </w:rPr>
              <w:t>Caesars</w:t>
            </w:r>
          </w:p>
        </w:tc>
        <w:tc>
          <w:tcPr>
            <w:tcW w:w="52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15,629</w:t>
            </w:r>
          </w:p>
        </w:tc>
        <w:tc>
          <w:tcPr>
            <w:tcW w:w="3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5,932</w:t>
            </w:r>
          </w:p>
        </w:tc>
        <w:tc>
          <w:tcPr>
            <w:tcW w:w="3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b w:val="1"/>
                <w:bCs w:val="1"/>
                <w:color w:val="auto"/>
              </w:rPr>
              <w:t>21,561</w:t>
            </w:r>
          </w:p>
        </w:tc>
        <w:tc>
          <w:tcPr>
            <w:tcW w:w="7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w w:val="99"/>
              </w:rPr>
              <w:t>2,589</w:t>
            </w:r>
          </w:p>
        </w:tc>
        <w:tc>
          <w:tcPr>
            <w:tcW w:w="3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403</w:t>
            </w: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24,553</w:t>
            </w:r>
          </w:p>
        </w:tc>
        <w:tc>
          <w:tcPr>
            <w:tcW w:w="0" w:type="dxa"/>
            <w:vAlign w:val="bottom"/>
          </w:tcPr>
          <w:p>
            <w:pPr>
              <w:spacing w:after="0"/>
              <w:rPr>
                <w:sz w:val="1"/>
                <w:szCs w:val="1"/>
                <w:color w:val="auto"/>
              </w:rPr>
            </w:pPr>
          </w:p>
        </w:tc>
      </w:tr>
      <w:tr>
        <w:trPr>
          <w:trHeight w:val="154"/>
        </w:trPr>
        <w:tc>
          <w:tcPr>
            <w:tcW w:w="94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Master Lease</w:t>
            </w:r>
          </w:p>
        </w:tc>
        <w:tc>
          <w:tcPr>
            <w:tcW w:w="52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40" w:type="dxa"/>
            <w:vAlign w:val="bottom"/>
          </w:tcPr>
          <w:p>
            <w:pPr>
              <w:spacing w:after="0"/>
              <w:rPr>
                <w:sz w:val="10"/>
                <w:szCs w:val="10"/>
                <w:color w:val="auto"/>
              </w:rPr>
            </w:pPr>
          </w:p>
        </w:tc>
        <w:tc>
          <w:tcPr>
            <w:tcW w:w="500" w:type="dxa"/>
            <w:vAlign w:val="bottom"/>
            <w:gridSpan w:val="3"/>
          </w:tcPr>
          <w:p>
            <w:pPr>
              <w:spacing w:after="0" w:line="118" w:lineRule="exact"/>
              <w:rPr>
                <w:sz w:val="20"/>
                <w:szCs w:val="20"/>
                <w:color w:val="auto"/>
              </w:rPr>
            </w:pPr>
            <w:r>
              <w:rPr>
                <w:rFonts w:ascii="Arial" w:cs="Arial" w:eastAsia="Arial" w:hAnsi="Arial"/>
                <w:sz w:val="12"/>
                <w:szCs w:val="12"/>
                <w:color w:val="auto"/>
              </w:rPr>
              <w:t>Lumiere</w:t>
            </w:r>
          </w:p>
        </w:tc>
        <w:tc>
          <w:tcPr>
            <w:tcW w:w="520" w:type="dxa"/>
            <w:vAlign w:val="bottom"/>
          </w:tcPr>
          <w:p>
            <w:pPr>
              <w:spacing w:after="0"/>
              <w:rPr>
                <w:sz w:val="10"/>
                <w:szCs w:val="10"/>
                <w:color w:val="auto"/>
              </w:rPr>
            </w:pPr>
          </w:p>
        </w:tc>
        <w:tc>
          <w:tcPr>
            <w:tcW w:w="1060" w:type="dxa"/>
            <w:vAlign w:val="bottom"/>
            <w:vMerge w:val="restart"/>
          </w:tcPr>
          <w:p>
            <w:pPr>
              <w:jc w:val="right"/>
              <w:ind w:right="201"/>
              <w:spacing w:after="0"/>
              <w:rPr>
                <w:sz w:val="20"/>
                <w:szCs w:val="20"/>
                <w:color w:val="auto"/>
              </w:rPr>
            </w:pPr>
            <w:r>
              <w:rPr>
                <w:rFonts w:ascii="Arial" w:cs="Arial" w:eastAsia="Arial" w:hAnsi="Arial"/>
                <w:sz w:val="12"/>
                <w:szCs w:val="12"/>
                <w:color w:val="auto"/>
              </w:rPr>
              <w:t>5,701</w:t>
            </w:r>
          </w:p>
        </w:tc>
        <w:tc>
          <w:tcPr>
            <w:tcW w:w="340" w:type="dxa"/>
            <w:vAlign w:val="bottom"/>
          </w:tcPr>
          <w:p>
            <w:pPr>
              <w:spacing w:after="0"/>
              <w:rPr>
                <w:sz w:val="10"/>
                <w:szCs w:val="10"/>
                <w:color w:val="auto"/>
              </w:rPr>
            </w:pPr>
          </w:p>
        </w:tc>
        <w:tc>
          <w:tcPr>
            <w:tcW w:w="98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100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1020" w:type="dxa"/>
            <w:vAlign w:val="bottom"/>
            <w:vMerge w:val="restart"/>
          </w:tcPr>
          <w:p>
            <w:pPr>
              <w:jc w:val="right"/>
              <w:ind w:right="142"/>
              <w:spacing w:after="0"/>
              <w:rPr>
                <w:sz w:val="20"/>
                <w:szCs w:val="20"/>
                <w:color w:val="auto"/>
              </w:rPr>
            </w:pPr>
            <w:r>
              <w:rPr>
                <w:rFonts w:ascii="Arial" w:cs="Arial" w:eastAsia="Arial" w:hAnsi="Arial"/>
                <w:sz w:val="12"/>
                <w:szCs w:val="12"/>
                <w:b w:val="1"/>
                <w:bCs w:val="1"/>
                <w:color w:val="auto"/>
              </w:rPr>
              <w:t>5,701</w:t>
            </w:r>
          </w:p>
        </w:tc>
        <w:tc>
          <w:tcPr>
            <w:tcW w:w="740" w:type="dxa"/>
            <w:vAlign w:val="bottom"/>
          </w:tcPr>
          <w:p>
            <w:pPr>
              <w:spacing w:after="0"/>
              <w:rPr>
                <w:sz w:val="10"/>
                <w:szCs w:val="10"/>
                <w:color w:val="auto"/>
              </w:rPr>
            </w:pPr>
          </w:p>
        </w:tc>
        <w:tc>
          <w:tcPr>
            <w:tcW w:w="580" w:type="dxa"/>
            <w:vAlign w:val="bottom"/>
            <w:vMerge w:val="restart"/>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920" w:type="dxa"/>
            <w:vAlign w:val="bottom"/>
            <w:vMerge w:val="restart"/>
          </w:tcPr>
          <w:p>
            <w:pPr>
              <w:jc w:val="right"/>
              <w:ind w:right="161"/>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800" w:type="dxa"/>
            <w:vAlign w:val="bottom"/>
            <w:vMerge w:val="restart"/>
          </w:tcPr>
          <w:p>
            <w:pPr>
              <w:ind w:left="4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5,701</w:t>
            </w:r>
          </w:p>
        </w:tc>
        <w:tc>
          <w:tcPr>
            <w:tcW w:w="0" w:type="dxa"/>
            <w:vAlign w:val="bottom"/>
          </w:tcPr>
          <w:p>
            <w:pPr>
              <w:spacing w:after="0"/>
              <w:rPr>
                <w:sz w:val="1"/>
                <w:szCs w:val="1"/>
                <w:color w:val="auto"/>
              </w:rPr>
            </w:pPr>
          </w:p>
        </w:tc>
      </w:tr>
      <w:tr>
        <w:trPr>
          <w:trHeight w:val="153"/>
        </w:trPr>
        <w:tc>
          <w:tcPr>
            <w:tcW w:w="940" w:type="dxa"/>
            <w:vAlign w:val="bottom"/>
            <w:gridSpan w:val="4"/>
          </w:tcPr>
          <w:p>
            <w:pPr>
              <w:spacing w:after="0"/>
              <w:rPr>
                <w:sz w:val="20"/>
                <w:szCs w:val="20"/>
                <w:color w:val="auto"/>
              </w:rPr>
            </w:pPr>
            <w:r>
              <w:rPr>
                <w:rFonts w:ascii="Arial" w:cs="Arial" w:eastAsia="Arial" w:hAnsi="Arial"/>
                <w:sz w:val="12"/>
                <w:szCs w:val="12"/>
                <w:color w:val="auto"/>
              </w:rPr>
              <w:t>Place Lease</w:t>
            </w:r>
          </w:p>
        </w:tc>
        <w:tc>
          <w:tcPr>
            <w:tcW w:w="5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40" w:type="dxa"/>
            <w:vAlign w:val="bottom"/>
            <w:shd w:val="clear" w:color="auto" w:fill="CCEEFF"/>
          </w:tcPr>
          <w:p>
            <w:pPr>
              <w:spacing w:after="0"/>
              <w:rPr>
                <w:sz w:val="10"/>
                <w:szCs w:val="10"/>
                <w:color w:val="auto"/>
              </w:rPr>
            </w:pPr>
          </w:p>
        </w:tc>
        <w:tc>
          <w:tcPr>
            <w:tcW w:w="500" w:type="dxa"/>
            <w:vAlign w:val="bottom"/>
            <w:gridSpan w:val="3"/>
            <w:shd w:val="clear" w:color="auto" w:fill="CCEEFF"/>
          </w:tcPr>
          <w:p>
            <w:pPr>
              <w:spacing w:after="0" w:line="118" w:lineRule="exact"/>
              <w:rPr>
                <w:sz w:val="20"/>
                <w:szCs w:val="20"/>
                <w:color w:val="auto"/>
              </w:rPr>
            </w:pPr>
            <w:r>
              <w:rPr>
                <w:rFonts w:ascii="Arial" w:cs="Arial" w:eastAsia="Arial" w:hAnsi="Arial"/>
                <w:sz w:val="12"/>
                <w:szCs w:val="12"/>
                <w:color w:val="auto"/>
              </w:rPr>
              <w:t>BYD</w:t>
            </w:r>
          </w:p>
        </w:tc>
        <w:tc>
          <w:tcPr>
            <w:tcW w:w="52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19,289</w:t>
            </w:r>
          </w:p>
        </w:tc>
        <w:tc>
          <w:tcPr>
            <w:tcW w:w="3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2,946</w:t>
            </w:r>
          </w:p>
        </w:tc>
        <w:tc>
          <w:tcPr>
            <w:tcW w:w="3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2,461</w:t>
            </w:r>
          </w:p>
        </w:tc>
        <w:tc>
          <w:tcPr>
            <w:tcW w:w="3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b w:val="1"/>
                <w:bCs w:val="1"/>
                <w:color w:val="auto"/>
              </w:rPr>
              <w:t>24,696</w:t>
            </w:r>
          </w:p>
        </w:tc>
        <w:tc>
          <w:tcPr>
            <w:tcW w:w="7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574</w:t>
            </w:r>
          </w:p>
        </w:tc>
        <w:tc>
          <w:tcPr>
            <w:tcW w:w="3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400</w:t>
            </w: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25,670</w:t>
            </w:r>
          </w:p>
        </w:tc>
        <w:tc>
          <w:tcPr>
            <w:tcW w:w="0" w:type="dxa"/>
            <w:vAlign w:val="bottom"/>
          </w:tcPr>
          <w:p>
            <w:pPr>
              <w:spacing w:after="0"/>
              <w:rPr>
                <w:sz w:val="1"/>
                <w:szCs w:val="1"/>
                <w:color w:val="auto"/>
              </w:rPr>
            </w:pPr>
          </w:p>
        </w:tc>
      </w:tr>
      <w:tr>
        <w:trPr>
          <w:trHeight w:val="154"/>
        </w:trPr>
        <w:tc>
          <w:tcPr>
            <w:tcW w:w="94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Master Lease</w:t>
            </w:r>
          </w:p>
        </w:tc>
        <w:tc>
          <w:tcPr>
            <w:tcW w:w="52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40" w:type="dxa"/>
            <w:vAlign w:val="bottom"/>
          </w:tcPr>
          <w:p>
            <w:pPr>
              <w:spacing w:after="0"/>
              <w:rPr>
                <w:sz w:val="10"/>
                <w:szCs w:val="10"/>
                <w:color w:val="auto"/>
              </w:rPr>
            </w:pPr>
          </w:p>
        </w:tc>
        <w:tc>
          <w:tcPr>
            <w:tcW w:w="500" w:type="dxa"/>
            <w:vAlign w:val="bottom"/>
            <w:gridSpan w:val="3"/>
          </w:tcPr>
          <w:p>
            <w:pPr>
              <w:spacing w:after="0" w:line="118" w:lineRule="exact"/>
              <w:rPr>
                <w:sz w:val="20"/>
                <w:szCs w:val="20"/>
                <w:color w:val="auto"/>
              </w:rPr>
            </w:pPr>
            <w:r>
              <w:rPr>
                <w:rFonts w:ascii="Arial" w:cs="Arial" w:eastAsia="Arial" w:hAnsi="Arial"/>
                <w:sz w:val="12"/>
                <w:szCs w:val="12"/>
                <w:color w:val="auto"/>
              </w:rPr>
              <w:t>BYD</w:t>
            </w:r>
          </w:p>
        </w:tc>
        <w:tc>
          <w:tcPr>
            <w:tcW w:w="520" w:type="dxa"/>
            <w:vAlign w:val="bottom"/>
          </w:tcPr>
          <w:p>
            <w:pPr>
              <w:spacing w:after="0"/>
              <w:rPr>
                <w:sz w:val="10"/>
                <w:szCs w:val="10"/>
                <w:color w:val="auto"/>
              </w:rPr>
            </w:pPr>
          </w:p>
        </w:tc>
        <w:tc>
          <w:tcPr>
            <w:tcW w:w="1060" w:type="dxa"/>
            <w:vAlign w:val="bottom"/>
            <w:vMerge w:val="restart"/>
          </w:tcPr>
          <w:p>
            <w:pPr>
              <w:jc w:val="right"/>
              <w:ind w:right="201"/>
              <w:spacing w:after="0"/>
              <w:rPr>
                <w:sz w:val="20"/>
                <w:szCs w:val="20"/>
                <w:color w:val="auto"/>
              </w:rPr>
            </w:pPr>
            <w:r>
              <w:rPr>
                <w:rFonts w:ascii="Arial" w:cs="Arial" w:eastAsia="Arial" w:hAnsi="Arial"/>
                <w:sz w:val="12"/>
                <w:szCs w:val="12"/>
                <w:color w:val="auto"/>
              </w:rPr>
              <w:t>682</w:t>
            </w:r>
          </w:p>
        </w:tc>
        <w:tc>
          <w:tcPr>
            <w:tcW w:w="340" w:type="dxa"/>
            <w:vAlign w:val="bottom"/>
          </w:tcPr>
          <w:p>
            <w:pPr>
              <w:spacing w:after="0"/>
              <w:rPr>
                <w:sz w:val="10"/>
                <w:szCs w:val="10"/>
                <w:color w:val="auto"/>
              </w:rPr>
            </w:pPr>
          </w:p>
        </w:tc>
        <w:tc>
          <w:tcPr>
            <w:tcW w:w="980" w:type="dxa"/>
            <w:vAlign w:val="bottom"/>
            <w:vMerge w:val="restart"/>
          </w:tcPr>
          <w:p>
            <w:pPr>
              <w:jc w:val="right"/>
              <w:ind w:right="201"/>
              <w:spacing w:after="0"/>
              <w:rPr>
                <w:sz w:val="20"/>
                <w:szCs w:val="20"/>
                <w:color w:val="auto"/>
              </w:rPr>
            </w:pPr>
            <w:r>
              <w:rPr>
                <w:rFonts w:ascii="Arial" w:cs="Arial" w:eastAsia="Arial" w:hAnsi="Arial"/>
                <w:sz w:val="12"/>
                <w:szCs w:val="12"/>
                <w:color w:val="auto"/>
              </w:rPr>
              <w:t>473</w:t>
            </w:r>
          </w:p>
        </w:tc>
        <w:tc>
          <w:tcPr>
            <w:tcW w:w="320" w:type="dxa"/>
            <w:vAlign w:val="bottom"/>
          </w:tcPr>
          <w:p>
            <w:pPr>
              <w:spacing w:after="0"/>
              <w:rPr>
                <w:sz w:val="10"/>
                <w:szCs w:val="10"/>
                <w:color w:val="auto"/>
              </w:rPr>
            </w:pPr>
          </w:p>
        </w:tc>
        <w:tc>
          <w:tcPr>
            <w:tcW w:w="1000" w:type="dxa"/>
            <w:vAlign w:val="bottom"/>
            <w:vMerge w:val="restart"/>
          </w:tcPr>
          <w:p>
            <w:pPr>
              <w:jc w:val="right"/>
              <w:ind w:right="201"/>
              <w:spacing w:after="0"/>
              <w:rPr>
                <w:sz w:val="20"/>
                <w:szCs w:val="20"/>
                <w:color w:val="auto"/>
              </w:rPr>
            </w:pPr>
            <w:r>
              <w:rPr>
                <w:rFonts w:ascii="Arial" w:cs="Arial" w:eastAsia="Arial" w:hAnsi="Arial"/>
                <w:sz w:val="12"/>
                <w:szCs w:val="12"/>
                <w:color w:val="auto"/>
              </w:rPr>
              <w:t>454</w:t>
            </w:r>
          </w:p>
        </w:tc>
        <w:tc>
          <w:tcPr>
            <w:tcW w:w="320" w:type="dxa"/>
            <w:vAlign w:val="bottom"/>
          </w:tcPr>
          <w:p>
            <w:pPr>
              <w:spacing w:after="0"/>
              <w:rPr>
                <w:sz w:val="10"/>
                <w:szCs w:val="10"/>
                <w:color w:val="auto"/>
              </w:rPr>
            </w:pPr>
          </w:p>
        </w:tc>
        <w:tc>
          <w:tcPr>
            <w:tcW w:w="1020" w:type="dxa"/>
            <w:vAlign w:val="bottom"/>
            <w:vMerge w:val="restart"/>
          </w:tcPr>
          <w:p>
            <w:pPr>
              <w:jc w:val="right"/>
              <w:ind w:right="142"/>
              <w:spacing w:after="0"/>
              <w:rPr>
                <w:sz w:val="20"/>
                <w:szCs w:val="20"/>
                <w:color w:val="auto"/>
              </w:rPr>
            </w:pPr>
            <w:r>
              <w:rPr>
                <w:rFonts w:ascii="Arial" w:cs="Arial" w:eastAsia="Arial" w:hAnsi="Arial"/>
                <w:sz w:val="12"/>
                <w:szCs w:val="12"/>
                <w:b w:val="1"/>
                <w:bCs w:val="1"/>
                <w:color w:val="auto"/>
              </w:rPr>
              <w:t>1,609</w:t>
            </w:r>
          </w:p>
        </w:tc>
        <w:tc>
          <w:tcPr>
            <w:tcW w:w="740" w:type="dxa"/>
            <w:vAlign w:val="bottom"/>
          </w:tcPr>
          <w:p>
            <w:pPr>
              <w:spacing w:after="0"/>
              <w:rPr>
                <w:sz w:val="10"/>
                <w:szCs w:val="10"/>
                <w:color w:val="auto"/>
              </w:rPr>
            </w:pPr>
          </w:p>
        </w:tc>
        <w:tc>
          <w:tcPr>
            <w:tcW w:w="580" w:type="dxa"/>
            <w:vAlign w:val="bottom"/>
            <w:vMerge w:val="restart"/>
          </w:tcPr>
          <w:p>
            <w:pPr>
              <w:jc w:val="right"/>
              <w:ind w:right="180"/>
              <w:spacing w:after="0"/>
              <w:rPr>
                <w:sz w:val="20"/>
                <w:szCs w:val="20"/>
                <w:color w:val="auto"/>
              </w:rPr>
            </w:pPr>
            <w:r>
              <w:rPr>
                <w:rFonts w:ascii="Arial" w:cs="Arial" w:eastAsia="Arial" w:hAnsi="Arial"/>
                <w:sz w:val="12"/>
                <w:szCs w:val="12"/>
                <w:color w:val="auto"/>
              </w:rPr>
              <w:t>(303)</w:t>
            </w:r>
          </w:p>
        </w:tc>
        <w:tc>
          <w:tcPr>
            <w:tcW w:w="300" w:type="dxa"/>
            <w:vAlign w:val="bottom"/>
          </w:tcPr>
          <w:p>
            <w:pPr>
              <w:spacing w:after="0"/>
              <w:rPr>
                <w:sz w:val="10"/>
                <w:szCs w:val="10"/>
                <w:color w:val="auto"/>
              </w:rPr>
            </w:pPr>
          </w:p>
        </w:tc>
        <w:tc>
          <w:tcPr>
            <w:tcW w:w="920" w:type="dxa"/>
            <w:vAlign w:val="bottom"/>
            <w:vMerge w:val="restart"/>
          </w:tcPr>
          <w:p>
            <w:pPr>
              <w:jc w:val="right"/>
              <w:ind w:right="161"/>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800" w:type="dxa"/>
            <w:vAlign w:val="bottom"/>
            <w:vMerge w:val="restart"/>
          </w:tcPr>
          <w:p>
            <w:pPr>
              <w:ind w:left="4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1,306</w:t>
            </w:r>
          </w:p>
        </w:tc>
        <w:tc>
          <w:tcPr>
            <w:tcW w:w="0" w:type="dxa"/>
            <w:vAlign w:val="bottom"/>
          </w:tcPr>
          <w:p>
            <w:pPr>
              <w:spacing w:after="0"/>
              <w:rPr>
                <w:sz w:val="1"/>
                <w:szCs w:val="1"/>
                <w:color w:val="auto"/>
              </w:rPr>
            </w:pPr>
          </w:p>
        </w:tc>
      </w:tr>
      <w:tr>
        <w:trPr>
          <w:trHeight w:val="153"/>
        </w:trPr>
        <w:tc>
          <w:tcPr>
            <w:tcW w:w="940" w:type="dxa"/>
            <w:vAlign w:val="bottom"/>
            <w:gridSpan w:val="4"/>
          </w:tcPr>
          <w:p>
            <w:pPr>
              <w:spacing w:after="0"/>
              <w:rPr>
                <w:sz w:val="20"/>
                <w:szCs w:val="20"/>
                <w:color w:val="auto"/>
              </w:rPr>
            </w:pPr>
            <w:r>
              <w:rPr>
                <w:rFonts w:ascii="Arial" w:cs="Arial" w:eastAsia="Arial" w:hAnsi="Arial"/>
                <w:sz w:val="12"/>
                <w:szCs w:val="12"/>
                <w:color w:val="auto"/>
              </w:rPr>
              <w:t>Belterra Lease</w:t>
            </w:r>
          </w:p>
        </w:tc>
        <w:tc>
          <w:tcPr>
            <w:tcW w:w="5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40" w:type="dxa"/>
            <w:vAlign w:val="bottom"/>
            <w:shd w:val="clear" w:color="auto" w:fill="CCEEFF"/>
          </w:tcPr>
          <w:p>
            <w:pPr>
              <w:spacing w:after="0"/>
              <w:rPr>
                <w:sz w:val="10"/>
                <w:szCs w:val="10"/>
                <w:color w:val="auto"/>
              </w:rPr>
            </w:pPr>
          </w:p>
        </w:tc>
        <w:tc>
          <w:tcPr>
            <w:tcW w:w="500" w:type="dxa"/>
            <w:vAlign w:val="bottom"/>
            <w:gridSpan w:val="3"/>
            <w:shd w:val="clear" w:color="auto" w:fill="CCEEFF"/>
          </w:tcPr>
          <w:p>
            <w:pPr>
              <w:spacing w:after="0" w:line="118" w:lineRule="exact"/>
              <w:rPr>
                <w:sz w:val="20"/>
                <w:szCs w:val="20"/>
                <w:color w:val="auto"/>
              </w:rPr>
            </w:pPr>
            <w:r>
              <w:rPr>
                <w:rFonts w:ascii="Arial" w:cs="Arial" w:eastAsia="Arial" w:hAnsi="Arial"/>
                <w:sz w:val="12"/>
                <w:szCs w:val="12"/>
                <w:color w:val="auto"/>
              </w:rPr>
              <w:t>Bally's</w:t>
            </w:r>
          </w:p>
        </w:tc>
        <w:tc>
          <w:tcPr>
            <w:tcW w:w="52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10,000</w:t>
            </w:r>
          </w:p>
        </w:tc>
        <w:tc>
          <w:tcPr>
            <w:tcW w:w="3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b w:val="1"/>
                <w:bCs w:val="1"/>
                <w:color w:val="auto"/>
              </w:rPr>
              <w:t>10,000</w:t>
            </w:r>
          </w:p>
        </w:tc>
        <w:tc>
          <w:tcPr>
            <w:tcW w:w="7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1,809</w:t>
            </w: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11,809</w:t>
            </w:r>
          </w:p>
        </w:tc>
        <w:tc>
          <w:tcPr>
            <w:tcW w:w="0" w:type="dxa"/>
            <w:vAlign w:val="bottom"/>
          </w:tcPr>
          <w:p>
            <w:pPr>
              <w:spacing w:after="0"/>
              <w:rPr>
                <w:sz w:val="1"/>
                <w:szCs w:val="1"/>
                <w:color w:val="auto"/>
              </w:rPr>
            </w:pPr>
          </w:p>
        </w:tc>
      </w:tr>
      <w:tr>
        <w:trPr>
          <w:trHeight w:val="154"/>
        </w:trPr>
        <w:tc>
          <w:tcPr>
            <w:tcW w:w="94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Master Lease</w:t>
            </w:r>
          </w:p>
        </w:tc>
        <w:tc>
          <w:tcPr>
            <w:tcW w:w="52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40" w:type="dxa"/>
            <w:vAlign w:val="bottom"/>
          </w:tcPr>
          <w:p>
            <w:pPr>
              <w:spacing w:after="0"/>
              <w:rPr>
                <w:sz w:val="10"/>
                <w:szCs w:val="10"/>
                <w:color w:val="auto"/>
              </w:rPr>
            </w:pPr>
          </w:p>
        </w:tc>
        <w:tc>
          <w:tcPr>
            <w:tcW w:w="500" w:type="dxa"/>
            <w:vAlign w:val="bottom"/>
            <w:gridSpan w:val="3"/>
          </w:tcPr>
          <w:p>
            <w:pPr>
              <w:spacing w:after="0" w:line="118" w:lineRule="exact"/>
              <w:rPr>
                <w:sz w:val="20"/>
                <w:szCs w:val="20"/>
                <w:color w:val="auto"/>
              </w:rPr>
            </w:pPr>
            <w:r>
              <w:rPr>
                <w:rFonts w:ascii="Arial" w:cs="Arial" w:eastAsia="Arial" w:hAnsi="Arial"/>
                <w:sz w:val="12"/>
                <w:szCs w:val="12"/>
                <w:color w:val="auto"/>
              </w:rPr>
              <w:t>Casino</w:t>
            </w:r>
          </w:p>
        </w:tc>
        <w:tc>
          <w:tcPr>
            <w:tcW w:w="520" w:type="dxa"/>
            <w:vAlign w:val="bottom"/>
          </w:tcPr>
          <w:p>
            <w:pPr>
              <w:spacing w:after="0"/>
              <w:rPr>
                <w:sz w:val="10"/>
                <w:szCs w:val="10"/>
                <w:color w:val="auto"/>
              </w:rPr>
            </w:pPr>
          </w:p>
        </w:tc>
        <w:tc>
          <w:tcPr>
            <w:tcW w:w="1060" w:type="dxa"/>
            <w:vAlign w:val="bottom"/>
            <w:vMerge w:val="restart"/>
          </w:tcPr>
          <w:p>
            <w:pPr>
              <w:jc w:val="right"/>
              <w:ind w:right="201"/>
              <w:spacing w:after="0"/>
              <w:rPr>
                <w:sz w:val="20"/>
                <w:szCs w:val="20"/>
                <w:color w:val="auto"/>
              </w:rPr>
            </w:pPr>
            <w:r>
              <w:rPr>
                <w:rFonts w:ascii="Arial" w:cs="Arial" w:eastAsia="Arial" w:hAnsi="Arial"/>
                <w:sz w:val="12"/>
                <w:szCs w:val="12"/>
                <w:color w:val="auto"/>
              </w:rPr>
              <w:t>2,811</w:t>
            </w:r>
          </w:p>
        </w:tc>
        <w:tc>
          <w:tcPr>
            <w:tcW w:w="340" w:type="dxa"/>
            <w:vAlign w:val="bottom"/>
          </w:tcPr>
          <w:p>
            <w:pPr>
              <w:spacing w:after="0"/>
              <w:rPr>
                <w:sz w:val="10"/>
                <w:szCs w:val="10"/>
                <w:color w:val="auto"/>
              </w:rPr>
            </w:pPr>
          </w:p>
        </w:tc>
        <w:tc>
          <w:tcPr>
            <w:tcW w:w="980" w:type="dxa"/>
            <w:vAlign w:val="bottom"/>
            <w:vMerge w:val="restart"/>
          </w:tcPr>
          <w:p>
            <w:pPr>
              <w:jc w:val="right"/>
              <w:ind w:right="201"/>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1000" w:type="dxa"/>
            <w:vAlign w:val="bottom"/>
            <w:vMerge w:val="restart"/>
          </w:tcPr>
          <w:p>
            <w:pPr>
              <w:jc w:val="right"/>
              <w:ind w:right="201"/>
              <w:spacing w:after="0"/>
              <w:rPr>
                <w:sz w:val="20"/>
                <w:szCs w:val="20"/>
                <w:color w:val="auto"/>
              </w:rPr>
            </w:pPr>
            <w:r>
              <w:rPr>
                <w:rFonts w:ascii="Arial" w:cs="Arial" w:eastAsia="Arial" w:hAnsi="Arial"/>
                <w:sz w:val="12"/>
                <w:szCs w:val="12"/>
                <w:color w:val="auto"/>
              </w:rPr>
              <w:t>1,676</w:t>
            </w:r>
          </w:p>
        </w:tc>
        <w:tc>
          <w:tcPr>
            <w:tcW w:w="320" w:type="dxa"/>
            <w:vAlign w:val="bottom"/>
          </w:tcPr>
          <w:p>
            <w:pPr>
              <w:spacing w:after="0"/>
              <w:rPr>
                <w:sz w:val="10"/>
                <w:szCs w:val="10"/>
                <w:color w:val="auto"/>
              </w:rPr>
            </w:pPr>
          </w:p>
        </w:tc>
        <w:tc>
          <w:tcPr>
            <w:tcW w:w="1020" w:type="dxa"/>
            <w:vAlign w:val="bottom"/>
            <w:vMerge w:val="restart"/>
          </w:tcPr>
          <w:p>
            <w:pPr>
              <w:jc w:val="right"/>
              <w:ind w:right="142"/>
              <w:spacing w:after="0"/>
              <w:rPr>
                <w:sz w:val="20"/>
                <w:szCs w:val="20"/>
                <w:color w:val="auto"/>
              </w:rPr>
            </w:pPr>
            <w:r>
              <w:rPr>
                <w:rFonts w:ascii="Arial" w:cs="Arial" w:eastAsia="Arial" w:hAnsi="Arial"/>
                <w:sz w:val="12"/>
                <w:szCs w:val="12"/>
                <w:b w:val="1"/>
                <w:bCs w:val="1"/>
                <w:color w:val="auto"/>
              </w:rPr>
              <w:t>4,487</w:t>
            </w:r>
          </w:p>
        </w:tc>
        <w:tc>
          <w:tcPr>
            <w:tcW w:w="740" w:type="dxa"/>
            <w:vAlign w:val="bottom"/>
            <w:vMerge w:val="restart"/>
          </w:tcPr>
          <w:p>
            <w:pPr>
              <w:jc w:val="right"/>
              <w:ind w:right="346"/>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920" w:type="dxa"/>
            <w:vAlign w:val="bottom"/>
            <w:vMerge w:val="restart"/>
          </w:tcPr>
          <w:p>
            <w:pPr>
              <w:jc w:val="right"/>
              <w:ind w:right="161"/>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800" w:type="dxa"/>
            <w:vAlign w:val="bottom"/>
            <w:vMerge w:val="restart"/>
          </w:tcPr>
          <w:p>
            <w:pPr>
              <w:ind w:left="4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4,487</w:t>
            </w:r>
          </w:p>
        </w:tc>
        <w:tc>
          <w:tcPr>
            <w:tcW w:w="0" w:type="dxa"/>
            <w:vAlign w:val="bottom"/>
          </w:tcPr>
          <w:p>
            <w:pPr>
              <w:spacing w:after="0"/>
              <w:rPr>
                <w:sz w:val="1"/>
                <w:szCs w:val="1"/>
                <w:color w:val="auto"/>
              </w:rPr>
            </w:pPr>
          </w:p>
        </w:tc>
      </w:tr>
      <w:tr>
        <w:trPr>
          <w:trHeight w:val="153"/>
        </w:trPr>
        <w:tc>
          <w:tcPr>
            <w:tcW w:w="940" w:type="dxa"/>
            <w:vAlign w:val="bottom"/>
            <w:tcBorders>
              <w:bottom w:val="single" w:sz="8" w:color="CCEEFF"/>
            </w:tcBorders>
            <w:gridSpan w:val="4"/>
          </w:tcPr>
          <w:p>
            <w:pPr>
              <w:spacing w:after="0"/>
              <w:rPr>
                <w:sz w:val="20"/>
                <w:szCs w:val="20"/>
                <w:color w:val="auto"/>
              </w:rPr>
            </w:pPr>
            <w:r>
              <w:rPr>
                <w:rFonts w:ascii="Arial" w:cs="Arial" w:eastAsia="Arial" w:hAnsi="Arial"/>
                <w:sz w:val="12"/>
                <w:szCs w:val="12"/>
                <w:color w:val="auto"/>
              </w:rPr>
              <w:t>Queen Lease</w:t>
            </w: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Total</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2"/>
                <w:szCs w:val="12"/>
                <w:color w:val="auto"/>
              </w:rPr>
              <w:t>187,310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2"/>
                <w:szCs w:val="12"/>
                <w:color w:val="auto"/>
              </w:rPr>
              <w:t>51,894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2"/>
                <w:szCs w:val="12"/>
                <w:color w:val="auto"/>
              </w:rPr>
              <w:t>37,875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0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2"/>
                <w:szCs w:val="12"/>
                <w:b w:val="1"/>
                <w:bCs w:val="1"/>
                <w:color w:val="auto"/>
              </w:rPr>
              <w:t>277,079</w:t>
            </w:r>
          </w:p>
        </w:tc>
        <w:tc>
          <w:tcPr>
            <w:tcW w:w="74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888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2"/>
                <w:szCs w:val="12"/>
                <w:color w:val="auto"/>
              </w:rPr>
              <w:t>5,264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22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283,253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60"/>
          </w:cols>
          <w:pgMar w:left="300" w:top="646"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15"/>
        </w:trPr>
        <w:tc>
          <w:tcPr>
            <w:tcW w:w="1660" w:type="dxa"/>
            <w:vAlign w:val="bottom"/>
            <w:vMerge w:val="restart"/>
          </w:tcPr>
          <w:p>
            <w:pPr>
              <w:spacing w:after="0"/>
              <w:rPr>
                <w:sz w:val="20"/>
                <w:szCs w:val="20"/>
                <w:color w:val="auto"/>
              </w:rPr>
            </w:pPr>
            <w:r>
              <w:rPr>
                <w:rFonts w:ascii="Arial" w:cs="Arial" w:eastAsia="Arial" w:hAnsi="Arial"/>
                <w:sz w:val="10"/>
                <w:szCs w:val="10"/>
                <w:b w:val="1"/>
                <w:bCs w:val="1"/>
                <w:color w:val="auto"/>
                <w:w w:val="86"/>
              </w:rPr>
              <w:t>Nine Months Ended September 30, 2021</w:t>
            </w:r>
          </w:p>
        </w:tc>
        <w:tc>
          <w:tcPr>
            <w:tcW w:w="15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ind w:right="81"/>
              <w:spacing w:after="0"/>
              <w:rPr>
                <w:sz w:val="20"/>
                <w:szCs w:val="20"/>
                <w:color w:val="auto"/>
              </w:rPr>
            </w:pPr>
            <w:r>
              <w:rPr>
                <w:rFonts w:ascii="Arial" w:cs="Arial" w:eastAsia="Arial" w:hAnsi="Arial"/>
                <w:sz w:val="10"/>
                <w:szCs w:val="10"/>
                <w:b w:val="1"/>
                <w:bCs w:val="1"/>
                <w:color w:val="auto"/>
                <w:w w:val="87"/>
              </w:rPr>
              <w:t>Building base rent</w:t>
            </w:r>
          </w:p>
        </w:tc>
        <w:tc>
          <w:tcPr>
            <w:tcW w:w="140" w:type="dxa"/>
            <w:vAlign w:val="bottom"/>
          </w:tcPr>
          <w:p>
            <w:pPr>
              <w:spacing w:after="0"/>
              <w:rPr>
                <w:sz w:val="10"/>
                <w:szCs w:val="10"/>
                <w:color w:val="auto"/>
              </w:rPr>
            </w:pPr>
          </w:p>
        </w:tc>
        <w:tc>
          <w:tcPr>
            <w:tcW w:w="840" w:type="dxa"/>
            <w:vAlign w:val="bottom"/>
            <w:vMerge w:val="restart"/>
          </w:tcPr>
          <w:p>
            <w:pPr>
              <w:jc w:val="right"/>
              <w:ind w:right="101"/>
              <w:spacing w:after="0"/>
              <w:rPr>
                <w:sz w:val="20"/>
                <w:szCs w:val="20"/>
                <w:color w:val="auto"/>
              </w:rPr>
            </w:pPr>
            <w:r>
              <w:rPr>
                <w:rFonts w:ascii="Arial" w:cs="Arial" w:eastAsia="Arial" w:hAnsi="Arial"/>
                <w:sz w:val="10"/>
                <w:szCs w:val="10"/>
                <w:b w:val="1"/>
                <w:bCs w:val="1"/>
                <w:color w:val="auto"/>
                <w:w w:val="92"/>
              </w:rPr>
              <w:t>Land base rent</w:t>
            </w:r>
          </w:p>
        </w:tc>
        <w:tc>
          <w:tcPr>
            <w:tcW w:w="120" w:type="dxa"/>
            <w:vAlign w:val="bottom"/>
          </w:tcPr>
          <w:p>
            <w:pPr>
              <w:spacing w:after="0"/>
              <w:rPr>
                <w:sz w:val="10"/>
                <w:szCs w:val="10"/>
                <w:color w:val="auto"/>
              </w:rPr>
            </w:pPr>
          </w:p>
        </w:tc>
        <w:tc>
          <w:tcPr>
            <w:tcW w:w="840" w:type="dxa"/>
            <w:vAlign w:val="bottom"/>
            <w:vMerge w:val="restart"/>
          </w:tcPr>
          <w:p>
            <w:pPr>
              <w:jc w:val="right"/>
              <w:ind w:right="81"/>
              <w:spacing w:after="0"/>
              <w:rPr>
                <w:sz w:val="20"/>
                <w:szCs w:val="20"/>
                <w:color w:val="auto"/>
              </w:rPr>
            </w:pPr>
            <w:r>
              <w:rPr>
                <w:rFonts w:ascii="Arial" w:cs="Arial" w:eastAsia="Arial" w:hAnsi="Arial"/>
                <w:sz w:val="10"/>
                <w:szCs w:val="10"/>
                <w:b w:val="1"/>
                <w:bCs w:val="1"/>
                <w:color w:val="auto"/>
                <w:w w:val="89"/>
              </w:rPr>
              <w:t>Percentage rent</w:t>
            </w:r>
          </w:p>
        </w:tc>
        <w:tc>
          <w:tcPr>
            <w:tcW w:w="10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85"/>
              </w:rPr>
              <w:t>Total cash rental income</w:t>
            </w:r>
          </w:p>
        </w:tc>
        <w:tc>
          <w:tcPr>
            <w:tcW w:w="140" w:type="dxa"/>
            <w:vAlign w:val="bottom"/>
          </w:tcPr>
          <w:p>
            <w:pPr>
              <w:spacing w:after="0"/>
              <w:rPr>
                <w:sz w:val="10"/>
                <w:szCs w:val="10"/>
                <w:color w:val="auto"/>
              </w:rPr>
            </w:pPr>
          </w:p>
        </w:tc>
        <w:tc>
          <w:tcPr>
            <w:tcW w:w="960" w:type="dxa"/>
            <w:vAlign w:val="bottom"/>
          </w:tcPr>
          <w:p>
            <w:pPr>
              <w:jc w:val="right"/>
              <w:ind w:right="121"/>
              <w:spacing w:after="0"/>
              <w:rPr>
                <w:sz w:val="20"/>
                <w:szCs w:val="20"/>
                <w:color w:val="auto"/>
              </w:rPr>
            </w:pPr>
            <w:r>
              <w:rPr>
                <w:rFonts w:ascii="Arial" w:cs="Arial" w:eastAsia="Arial" w:hAnsi="Arial"/>
                <w:sz w:val="10"/>
                <w:szCs w:val="10"/>
                <w:b w:val="1"/>
                <w:bCs w:val="1"/>
                <w:color w:val="auto"/>
                <w:w w:val="94"/>
              </w:rPr>
              <w:t>Straight-line rent</w:t>
            </w:r>
          </w:p>
        </w:tc>
        <w:tc>
          <w:tcPr>
            <w:tcW w:w="120" w:type="dxa"/>
            <w:vAlign w:val="bottom"/>
          </w:tcPr>
          <w:p>
            <w:pPr>
              <w:spacing w:after="0"/>
              <w:rPr>
                <w:sz w:val="10"/>
                <w:szCs w:val="10"/>
                <w:color w:val="auto"/>
              </w:rPr>
            </w:pPr>
          </w:p>
        </w:tc>
        <w:tc>
          <w:tcPr>
            <w:tcW w:w="840" w:type="dxa"/>
            <w:vAlign w:val="bottom"/>
          </w:tcPr>
          <w:p>
            <w:pPr>
              <w:jc w:val="right"/>
              <w:ind w:right="101"/>
              <w:spacing w:after="0"/>
              <w:rPr>
                <w:sz w:val="20"/>
                <w:szCs w:val="20"/>
                <w:color w:val="auto"/>
              </w:rPr>
            </w:pPr>
            <w:r>
              <w:rPr>
                <w:rFonts w:ascii="Arial" w:cs="Arial" w:eastAsia="Arial" w:hAnsi="Arial"/>
                <w:sz w:val="10"/>
                <w:szCs w:val="10"/>
                <w:b w:val="1"/>
                <w:bCs w:val="1"/>
                <w:color w:val="auto"/>
                <w:w w:val="94"/>
              </w:rPr>
              <w:t>Ground rent in</w:t>
            </w:r>
          </w:p>
        </w:tc>
        <w:tc>
          <w:tcPr>
            <w:tcW w:w="9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91"/>
              </w:rPr>
              <w:t>Other rental revenue</w:t>
            </w:r>
          </w:p>
        </w:tc>
        <w:tc>
          <w:tcPr>
            <w:tcW w:w="100" w:type="dxa"/>
            <w:vAlign w:val="bottom"/>
          </w:tcPr>
          <w:p>
            <w:pPr>
              <w:spacing w:after="0"/>
              <w:rPr>
                <w:sz w:val="10"/>
                <w:szCs w:val="10"/>
                <w:color w:val="auto"/>
              </w:rPr>
            </w:pPr>
          </w:p>
        </w:tc>
        <w:tc>
          <w:tcPr>
            <w:tcW w:w="940" w:type="dxa"/>
            <w:vAlign w:val="bottom"/>
            <w:vMerge w:val="restart"/>
          </w:tcPr>
          <w:p>
            <w:pPr>
              <w:jc w:val="right"/>
              <w:ind w:right="61"/>
              <w:spacing w:after="0"/>
              <w:rPr>
                <w:sz w:val="20"/>
                <w:szCs w:val="20"/>
                <w:color w:val="auto"/>
              </w:rPr>
            </w:pPr>
            <w:r>
              <w:rPr>
                <w:rFonts w:ascii="Arial" w:cs="Arial" w:eastAsia="Arial" w:hAnsi="Arial"/>
                <w:sz w:val="10"/>
                <w:szCs w:val="10"/>
                <w:b w:val="1"/>
                <w:bCs w:val="1"/>
                <w:color w:val="auto"/>
                <w:w w:val="87"/>
              </w:rPr>
              <w:t>Total rental income</w:t>
            </w:r>
          </w:p>
        </w:tc>
        <w:tc>
          <w:tcPr>
            <w:tcW w:w="0" w:type="dxa"/>
            <w:vAlign w:val="bottom"/>
          </w:tcPr>
          <w:p>
            <w:pPr>
              <w:spacing w:after="0"/>
              <w:rPr>
                <w:sz w:val="1"/>
                <w:szCs w:val="1"/>
                <w:color w:val="auto"/>
              </w:rPr>
            </w:pPr>
          </w:p>
        </w:tc>
      </w:tr>
      <w:tr>
        <w:trPr>
          <w:trHeight w:val="104"/>
        </w:trPr>
        <w:tc>
          <w:tcPr>
            <w:tcW w:w="1660" w:type="dxa"/>
            <w:vAlign w:val="bottom"/>
            <w:tcBorders>
              <w:bottom w:val="single" w:sz="8" w:color="auto"/>
            </w:tcBorders>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jc w:val="right"/>
              <w:ind w:right="241"/>
              <w:spacing w:after="0" w:line="100" w:lineRule="exact"/>
              <w:rPr>
                <w:sz w:val="20"/>
                <w:szCs w:val="20"/>
                <w:color w:val="auto"/>
              </w:rPr>
            </w:pPr>
            <w:r>
              <w:rPr>
                <w:rFonts w:ascii="Arial" w:cs="Arial" w:eastAsia="Arial" w:hAnsi="Arial"/>
                <w:sz w:val="10"/>
                <w:szCs w:val="10"/>
                <w:b w:val="1"/>
                <w:bCs w:val="1"/>
                <w:color w:val="auto"/>
              </w:rPr>
              <w:t>adjustments</w:t>
            </w:r>
          </w:p>
        </w:tc>
        <w:tc>
          <w:tcPr>
            <w:tcW w:w="120" w:type="dxa"/>
            <w:vAlign w:val="bottom"/>
          </w:tcPr>
          <w:p>
            <w:pPr>
              <w:spacing w:after="0"/>
              <w:rPr>
                <w:sz w:val="8"/>
                <w:szCs w:val="8"/>
                <w:color w:val="auto"/>
              </w:rPr>
            </w:pPr>
          </w:p>
        </w:tc>
        <w:tc>
          <w:tcPr>
            <w:tcW w:w="840" w:type="dxa"/>
            <w:vAlign w:val="bottom"/>
          </w:tcPr>
          <w:p>
            <w:pPr>
              <w:jc w:val="right"/>
              <w:ind w:right="241"/>
              <w:spacing w:after="0" w:line="100" w:lineRule="exact"/>
              <w:rPr>
                <w:sz w:val="20"/>
                <w:szCs w:val="20"/>
                <w:color w:val="auto"/>
              </w:rPr>
            </w:pPr>
            <w:r>
              <w:rPr>
                <w:rFonts w:ascii="Arial" w:cs="Arial" w:eastAsia="Arial" w:hAnsi="Arial"/>
                <w:sz w:val="10"/>
                <w:szCs w:val="10"/>
                <w:b w:val="1"/>
                <w:bCs w:val="1"/>
                <w:color w:val="auto"/>
              </w:rPr>
              <w:t>revenue</w:t>
            </w:r>
          </w:p>
        </w:tc>
        <w:tc>
          <w:tcPr>
            <w:tcW w:w="9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2"/>
                <w:szCs w:val="12"/>
                <w:color w:val="auto"/>
              </w:rPr>
              <w:t>Penn Master Lease</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40" w:type="dxa"/>
            <w:vAlign w:val="bottom"/>
            <w:gridSpan w:val="2"/>
            <w:vMerge w:val="continue"/>
          </w:tcPr>
          <w:p>
            <w:pPr>
              <w:spacing w:after="0"/>
              <w:rPr>
                <w:sz w:val="11"/>
                <w:szCs w:val="11"/>
                <w:color w:val="auto"/>
              </w:rPr>
            </w:pPr>
          </w:p>
        </w:tc>
        <w:tc>
          <w:tcPr>
            <w:tcW w:w="120" w:type="dxa"/>
            <w:vAlign w:val="bottom"/>
          </w:tcPr>
          <w:p>
            <w:pPr>
              <w:jc w:val="right"/>
              <w:spacing w:after="0" w:line="130" w:lineRule="exact"/>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line="130" w:lineRule="exact"/>
              <w:rPr>
                <w:sz w:val="20"/>
                <w:szCs w:val="20"/>
                <w:color w:val="auto"/>
              </w:rPr>
            </w:pPr>
            <w:r>
              <w:rPr>
                <w:rFonts w:ascii="Arial" w:cs="Arial" w:eastAsia="Arial" w:hAnsi="Arial"/>
                <w:sz w:val="12"/>
                <w:szCs w:val="12"/>
                <w:color w:val="auto"/>
              </w:rPr>
              <w:t>209,555</w:t>
            </w:r>
          </w:p>
        </w:tc>
        <w:tc>
          <w:tcPr>
            <w:tcW w:w="140" w:type="dxa"/>
            <w:vAlign w:val="bottom"/>
          </w:tcPr>
          <w:p>
            <w:pPr>
              <w:jc w:val="right"/>
              <w:spacing w:after="0" w:line="130" w:lineRule="exact"/>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line="130" w:lineRule="exact"/>
              <w:rPr>
                <w:sz w:val="20"/>
                <w:szCs w:val="20"/>
                <w:color w:val="auto"/>
              </w:rPr>
            </w:pPr>
            <w:r>
              <w:rPr>
                <w:rFonts w:ascii="Arial" w:cs="Arial" w:eastAsia="Arial" w:hAnsi="Arial"/>
                <w:sz w:val="12"/>
                <w:szCs w:val="12"/>
                <w:color w:val="auto"/>
              </w:rPr>
              <w:t>70,477</w:t>
            </w:r>
          </w:p>
        </w:tc>
        <w:tc>
          <w:tcPr>
            <w:tcW w:w="120" w:type="dxa"/>
            <w:vAlign w:val="bottom"/>
          </w:tcPr>
          <w:p>
            <w:pPr>
              <w:jc w:val="right"/>
              <w:spacing w:after="0" w:line="130" w:lineRule="exact"/>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line="130" w:lineRule="exact"/>
              <w:rPr>
                <w:sz w:val="20"/>
                <w:szCs w:val="20"/>
                <w:color w:val="auto"/>
              </w:rPr>
            </w:pPr>
            <w:r>
              <w:rPr>
                <w:rFonts w:ascii="Arial" w:cs="Arial" w:eastAsia="Arial" w:hAnsi="Arial"/>
                <w:sz w:val="12"/>
                <w:szCs w:val="12"/>
                <w:color w:val="auto"/>
              </w:rPr>
              <w:t>74,282</w:t>
            </w:r>
          </w:p>
        </w:tc>
        <w:tc>
          <w:tcPr>
            <w:tcW w:w="3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354,314</w:t>
            </w:r>
          </w:p>
        </w:tc>
        <w:tc>
          <w:tcPr>
            <w:tcW w:w="140" w:type="dxa"/>
            <w:vAlign w:val="bottom"/>
          </w:tcPr>
          <w:p>
            <w:pPr>
              <w:jc w:val="right"/>
              <w:spacing w:after="0" w:line="130" w:lineRule="exact"/>
              <w:rPr>
                <w:sz w:val="20"/>
                <w:szCs w:val="20"/>
                <w:color w:val="auto"/>
              </w:rPr>
            </w:pPr>
            <w:r>
              <w:rPr>
                <w:rFonts w:ascii="Arial" w:cs="Arial" w:eastAsia="Arial" w:hAnsi="Arial"/>
                <w:sz w:val="12"/>
                <w:szCs w:val="12"/>
                <w:color w:val="auto"/>
                <w:w w:val="89"/>
              </w:rPr>
              <w:t>$</w:t>
            </w:r>
          </w:p>
        </w:tc>
        <w:tc>
          <w:tcPr>
            <w:tcW w:w="960" w:type="dxa"/>
            <w:vAlign w:val="bottom"/>
          </w:tcPr>
          <w:p>
            <w:pPr>
              <w:jc w:val="right"/>
              <w:ind w:right="1"/>
              <w:spacing w:after="0" w:line="130" w:lineRule="exact"/>
              <w:rPr>
                <w:sz w:val="20"/>
                <w:szCs w:val="20"/>
                <w:color w:val="auto"/>
              </w:rPr>
            </w:pPr>
            <w:r>
              <w:rPr>
                <w:rFonts w:ascii="Arial" w:cs="Arial" w:eastAsia="Arial" w:hAnsi="Arial"/>
                <w:sz w:val="12"/>
                <w:szCs w:val="12"/>
                <w:color w:val="auto"/>
              </w:rPr>
              <w:t>6,695</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30" w:lineRule="exact"/>
              <w:rPr>
                <w:sz w:val="20"/>
                <w:szCs w:val="20"/>
                <w:color w:val="auto"/>
              </w:rPr>
            </w:pPr>
            <w:r>
              <w:rPr>
                <w:rFonts w:ascii="Arial" w:cs="Arial" w:eastAsia="Arial" w:hAnsi="Arial"/>
                <w:sz w:val="12"/>
                <w:szCs w:val="12"/>
                <w:color w:val="auto"/>
              </w:rPr>
              <w:t>2,329</w:t>
            </w:r>
          </w:p>
        </w:tc>
        <w:tc>
          <w:tcPr>
            <w:tcW w:w="400" w:type="dxa"/>
            <w:vAlign w:val="bottom"/>
          </w:tcPr>
          <w:p>
            <w:pPr>
              <w:jc w:val="right"/>
              <w:ind w:right="244"/>
              <w:spacing w:after="0" w:line="130"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0" w:lineRule="exact"/>
              <w:rPr>
                <w:sz w:val="20"/>
                <w:szCs w:val="20"/>
                <w:color w:val="auto"/>
              </w:rPr>
            </w:pPr>
            <w:r>
              <w:rPr>
                <w:rFonts w:ascii="Arial" w:cs="Arial" w:eastAsia="Arial" w:hAnsi="Arial"/>
                <w:sz w:val="12"/>
                <w:szCs w:val="12"/>
                <w:color w:val="auto"/>
              </w:rPr>
              <w:t>12</w:t>
            </w:r>
          </w:p>
        </w:tc>
        <w:tc>
          <w:tcPr>
            <w:tcW w:w="100" w:type="dxa"/>
            <w:vAlign w:val="bottom"/>
          </w:tcPr>
          <w:p>
            <w:pPr>
              <w:jc w:val="right"/>
              <w:spacing w:after="0" w:line="130" w:lineRule="exact"/>
              <w:rPr>
                <w:sz w:val="20"/>
                <w:szCs w:val="20"/>
                <w:color w:val="auto"/>
              </w:rPr>
            </w:pPr>
            <w:r>
              <w:rPr>
                <w:rFonts w:ascii="Arial" w:cs="Arial" w:eastAsia="Arial" w:hAnsi="Arial"/>
                <w:sz w:val="12"/>
                <w:szCs w:val="12"/>
                <w:b w:val="1"/>
                <w:bCs w:val="1"/>
                <w:color w:val="auto"/>
                <w:w w:val="89"/>
              </w:rPr>
              <w:t>$</w:t>
            </w:r>
          </w:p>
        </w:tc>
        <w:tc>
          <w:tcPr>
            <w:tcW w:w="940" w:type="dxa"/>
            <w:vAlign w:val="bottom"/>
          </w:tcPr>
          <w:p>
            <w:pPr>
              <w:jc w:val="right"/>
              <w:ind w:right="1"/>
              <w:spacing w:after="0" w:line="130" w:lineRule="exact"/>
              <w:rPr>
                <w:sz w:val="20"/>
                <w:szCs w:val="20"/>
                <w:color w:val="auto"/>
              </w:rPr>
            </w:pPr>
            <w:r>
              <w:rPr>
                <w:rFonts w:ascii="Arial" w:cs="Arial" w:eastAsia="Arial" w:hAnsi="Arial"/>
                <w:sz w:val="12"/>
                <w:szCs w:val="12"/>
                <w:b w:val="1"/>
                <w:bCs w:val="1"/>
                <w:color w:val="auto"/>
              </w:rPr>
              <w:t>363,350</w:t>
            </w:r>
          </w:p>
        </w:tc>
        <w:tc>
          <w:tcPr>
            <w:tcW w:w="0" w:type="dxa"/>
            <w:vAlign w:val="bottom"/>
          </w:tcPr>
          <w:p>
            <w:pPr>
              <w:spacing w:after="0"/>
              <w:rPr>
                <w:sz w:val="1"/>
                <w:szCs w:val="1"/>
                <w:color w:val="auto"/>
              </w:rPr>
            </w:pPr>
          </w:p>
        </w:tc>
      </w:tr>
      <w:tr>
        <w:trPr>
          <w:trHeight w:val="154"/>
        </w:trPr>
        <w:tc>
          <w:tcPr>
            <w:tcW w:w="3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Amended Pinnacle Master Lease</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172,294</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53,442</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20,084</w:t>
            </w: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245,820</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(14,510)</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5,353</w:t>
            </w: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236,663</w:t>
            </w:r>
          </w:p>
        </w:tc>
        <w:tc>
          <w:tcPr>
            <w:tcW w:w="0" w:type="dxa"/>
            <w:vAlign w:val="bottom"/>
          </w:tcPr>
          <w:p>
            <w:pPr>
              <w:spacing w:after="0"/>
              <w:rPr>
                <w:sz w:val="1"/>
                <w:szCs w:val="1"/>
                <w:color w:val="auto"/>
              </w:rPr>
            </w:pPr>
          </w:p>
        </w:tc>
      </w:tr>
      <w:tr>
        <w:trPr>
          <w:trHeight w:val="154"/>
        </w:trPr>
        <w:tc>
          <w:tcPr>
            <w:tcW w:w="3240" w:type="dxa"/>
            <w:vAlign w:val="bottom"/>
            <w:gridSpan w:val="2"/>
          </w:tcPr>
          <w:p>
            <w:pPr>
              <w:spacing w:after="0"/>
              <w:rPr>
                <w:sz w:val="20"/>
                <w:szCs w:val="20"/>
                <w:color w:val="auto"/>
              </w:rPr>
            </w:pPr>
            <w:r>
              <w:rPr>
                <w:rFonts w:ascii="Arial" w:cs="Arial" w:eastAsia="Arial" w:hAnsi="Arial"/>
                <w:sz w:val="12"/>
                <w:szCs w:val="12"/>
                <w:color w:val="auto"/>
              </w:rPr>
              <w:t>Penn - Meadows Lease</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11,858</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6,784</w:t>
            </w:r>
          </w:p>
        </w:tc>
        <w:tc>
          <w:tcPr>
            <w:tcW w:w="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18,642</w:t>
            </w:r>
          </w:p>
        </w:tc>
        <w:tc>
          <w:tcPr>
            <w:tcW w:w="14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1,717</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135</w:t>
            </w:r>
          </w:p>
        </w:tc>
        <w:tc>
          <w:tcPr>
            <w:tcW w:w="10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b w:val="1"/>
                <w:bCs w:val="1"/>
                <w:color w:val="auto"/>
              </w:rPr>
              <w:t>20,494</w:t>
            </w:r>
          </w:p>
        </w:tc>
        <w:tc>
          <w:tcPr>
            <w:tcW w:w="0" w:type="dxa"/>
            <w:vAlign w:val="bottom"/>
          </w:tcPr>
          <w:p>
            <w:pPr>
              <w:spacing w:after="0"/>
              <w:rPr>
                <w:sz w:val="1"/>
                <w:szCs w:val="1"/>
                <w:color w:val="auto"/>
              </w:rPr>
            </w:pPr>
          </w:p>
        </w:tc>
      </w:tr>
      <w:tr>
        <w:trPr>
          <w:trHeight w:val="154"/>
        </w:trPr>
        <w:tc>
          <w:tcPr>
            <w:tcW w:w="3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Penn Morgantown Lease</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2,250</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2,250</w:t>
            </w:r>
          </w:p>
        </w:tc>
        <w:tc>
          <w:tcPr>
            <w:tcW w:w="0" w:type="dxa"/>
            <w:vAlign w:val="bottom"/>
          </w:tcPr>
          <w:p>
            <w:pPr>
              <w:spacing w:after="0"/>
              <w:rPr>
                <w:sz w:val="1"/>
                <w:szCs w:val="1"/>
                <w:color w:val="auto"/>
              </w:rPr>
            </w:pPr>
          </w:p>
        </w:tc>
      </w:tr>
      <w:tr>
        <w:trPr>
          <w:trHeight w:val="154"/>
        </w:trPr>
        <w:tc>
          <w:tcPr>
            <w:tcW w:w="3240" w:type="dxa"/>
            <w:vAlign w:val="bottom"/>
            <w:gridSpan w:val="2"/>
          </w:tcPr>
          <w:p>
            <w:pPr>
              <w:spacing w:after="0"/>
              <w:rPr>
                <w:sz w:val="20"/>
                <w:szCs w:val="20"/>
                <w:color w:val="auto"/>
              </w:rPr>
            </w:pPr>
            <w:r>
              <w:rPr>
                <w:rFonts w:ascii="Arial" w:cs="Arial" w:eastAsia="Arial" w:hAnsi="Arial"/>
                <w:sz w:val="12"/>
                <w:szCs w:val="12"/>
                <w:color w:val="auto"/>
              </w:rPr>
              <w:t>Penn Perryville Lease</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1,457</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486</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1,943</w:t>
            </w:r>
          </w:p>
        </w:tc>
        <w:tc>
          <w:tcPr>
            <w:tcW w:w="14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b w:val="1"/>
                <w:bCs w:val="1"/>
                <w:color w:val="auto"/>
              </w:rPr>
              <w:t>2,003</w:t>
            </w:r>
          </w:p>
        </w:tc>
        <w:tc>
          <w:tcPr>
            <w:tcW w:w="0" w:type="dxa"/>
            <w:vAlign w:val="bottom"/>
          </w:tcPr>
          <w:p>
            <w:pPr>
              <w:spacing w:after="0"/>
              <w:rPr>
                <w:sz w:val="1"/>
                <w:szCs w:val="1"/>
                <w:color w:val="auto"/>
              </w:rPr>
            </w:pPr>
          </w:p>
        </w:tc>
      </w:tr>
      <w:tr>
        <w:trPr>
          <w:trHeight w:val="154"/>
        </w:trPr>
        <w:tc>
          <w:tcPr>
            <w:tcW w:w="3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Caesars Master Lease</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46,886</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17,796</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64,682</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7,768</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1,208</w:t>
            </w: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73,658</w:t>
            </w:r>
          </w:p>
        </w:tc>
        <w:tc>
          <w:tcPr>
            <w:tcW w:w="0" w:type="dxa"/>
            <w:vAlign w:val="bottom"/>
          </w:tcPr>
          <w:p>
            <w:pPr>
              <w:spacing w:after="0"/>
              <w:rPr>
                <w:sz w:val="1"/>
                <w:szCs w:val="1"/>
                <w:color w:val="auto"/>
              </w:rPr>
            </w:pPr>
          </w:p>
        </w:tc>
      </w:tr>
      <w:tr>
        <w:trPr>
          <w:trHeight w:val="154"/>
        </w:trPr>
        <w:tc>
          <w:tcPr>
            <w:tcW w:w="3240" w:type="dxa"/>
            <w:vAlign w:val="bottom"/>
            <w:gridSpan w:val="2"/>
          </w:tcPr>
          <w:p>
            <w:pPr>
              <w:spacing w:after="0"/>
              <w:rPr>
                <w:sz w:val="20"/>
                <w:szCs w:val="20"/>
                <w:color w:val="auto"/>
              </w:rPr>
            </w:pPr>
            <w:r>
              <w:rPr>
                <w:rFonts w:ascii="Arial" w:cs="Arial" w:eastAsia="Arial" w:hAnsi="Arial"/>
                <w:sz w:val="12"/>
                <w:szCs w:val="12"/>
                <w:color w:val="auto"/>
              </w:rPr>
              <w:t>Lumiere Place Lease</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17,103</w:t>
            </w:r>
          </w:p>
        </w:tc>
        <w:tc>
          <w:tcPr>
            <w:tcW w:w="14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17,103</w:t>
            </w:r>
          </w:p>
        </w:tc>
        <w:tc>
          <w:tcPr>
            <w:tcW w:w="14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b w:val="1"/>
                <w:bCs w:val="1"/>
                <w:color w:val="auto"/>
              </w:rPr>
              <w:t>17,103</w:t>
            </w:r>
          </w:p>
        </w:tc>
        <w:tc>
          <w:tcPr>
            <w:tcW w:w="0" w:type="dxa"/>
            <w:vAlign w:val="bottom"/>
          </w:tcPr>
          <w:p>
            <w:pPr>
              <w:spacing w:after="0"/>
              <w:rPr>
                <w:sz w:val="1"/>
                <w:szCs w:val="1"/>
                <w:color w:val="auto"/>
              </w:rPr>
            </w:pPr>
          </w:p>
        </w:tc>
      </w:tr>
      <w:tr>
        <w:trPr>
          <w:trHeight w:val="154"/>
        </w:trPr>
        <w:tc>
          <w:tcPr>
            <w:tcW w:w="3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BYD Master Lease</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57,362</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8,839</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7,384</w:t>
            </w: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73,585</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1,722</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1,175</w:t>
            </w: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76,482</w:t>
            </w:r>
          </w:p>
        </w:tc>
        <w:tc>
          <w:tcPr>
            <w:tcW w:w="0" w:type="dxa"/>
            <w:vAlign w:val="bottom"/>
          </w:tcPr>
          <w:p>
            <w:pPr>
              <w:spacing w:after="0"/>
              <w:rPr>
                <w:sz w:val="1"/>
                <w:szCs w:val="1"/>
                <w:color w:val="auto"/>
              </w:rPr>
            </w:pPr>
          </w:p>
        </w:tc>
      </w:tr>
      <w:tr>
        <w:trPr>
          <w:trHeight w:val="154"/>
        </w:trPr>
        <w:tc>
          <w:tcPr>
            <w:tcW w:w="3240" w:type="dxa"/>
            <w:vAlign w:val="bottom"/>
            <w:gridSpan w:val="2"/>
          </w:tcPr>
          <w:p>
            <w:pPr>
              <w:spacing w:after="0"/>
              <w:rPr>
                <w:sz w:val="20"/>
                <w:szCs w:val="20"/>
                <w:color w:val="auto"/>
              </w:rPr>
            </w:pPr>
            <w:r>
              <w:rPr>
                <w:rFonts w:ascii="Arial" w:cs="Arial" w:eastAsia="Arial" w:hAnsi="Arial"/>
                <w:sz w:val="12"/>
                <w:szCs w:val="12"/>
                <w:color w:val="auto"/>
              </w:rPr>
              <w:t>BYD Belterra Lease</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2,028</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1,420</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1,363</w:t>
            </w:r>
          </w:p>
        </w:tc>
        <w:tc>
          <w:tcPr>
            <w:tcW w:w="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4,811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(908)</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b w:val="1"/>
                <w:bCs w:val="1"/>
                <w:color w:val="auto"/>
              </w:rPr>
              <w:t>3,903</w:t>
            </w:r>
          </w:p>
        </w:tc>
        <w:tc>
          <w:tcPr>
            <w:tcW w:w="0" w:type="dxa"/>
            <w:vAlign w:val="bottom"/>
          </w:tcPr>
          <w:p>
            <w:pPr>
              <w:spacing w:after="0"/>
              <w:rPr>
                <w:sz w:val="1"/>
                <w:szCs w:val="1"/>
                <w:color w:val="auto"/>
              </w:rPr>
            </w:pPr>
          </w:p>
        </w:tc>
      </w:tr>
      <w:tr>
        <w:trPr>
          <w:trHeight w:val="154"/>
        </w:trPr>
        <w:tc>
          <w:tcPr>
            <w:tcW w:w="3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Bally's Master Lease</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13,111</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13,111</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2,569</w:t>
            </w: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15,680</w:t>
            </w:r>
          </w:p>
        </w:tc>
        <w:tc>
          <w:tcPr>
            <w:tcW w:w="0" w:type="dxa"/>
            <w:vAlign w:val="bottom"/>
          </w:tcPr>
          <w:p>
            <w:pPr>
              <w:spacing w:after="0"/>
              <w:rPr>
                <w:sz w:val="1"/>
                <w:szCs w:val="1"/>
                <w:color w:val="auto"/>
              </w:rPr>
            </w:pPr>
          </w:p>
        </w:tc>
      </w:tr>
      <w:tr>
        <w:trPr>
          <w:trHeight w:val="154"/>
        </w:trPr>
        <w:tc>
          <w:tcPr>
            <w:tcW w:w="324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Casino Queen Lease</w:t>
            </w: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6,022</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3,589</w:t>
            </w: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9,611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9,611</w:t>
            </w:r>
          </w:p>
        </w:tc>
        <w:tc>
          <w:tcPr>
            <w:tcW w:w="0" w:type="dxa"/>
            <w:vAlign w:val="bottom"/>
          </w:tcPr>
          <w:p>
            <w:pPr>
              <w:spacing w:after="0"/>
              <w:rPr>
                <w:sz w:val="1"/>
                <w:szCs w:val="1"/>
                <w:color w:val="auto"/>
              </w:rPr>
            </w:pPr>
          </w:p>
        </w:tc>
      </w:tr>
      <w:tr>
        <w:trPr>
          <w:trHeight w:val="159"/>
        </w:trPr>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537,676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154,710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113,486</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805,872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2,544</w:t>
            </w: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12,634</w:t>
            </w: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821,197</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Gaming, food, beverage and other revenue</w:t>
      </w:r>
    </w:p>
    <w:p>
      <w:pPr>
        <w:spacing w:after="0" w:line="155" w:lineRule="exact"/>
        <w:rPr>
          <w:sz w:val="20"/>
          <w:szCs w:val="20"/>
          <w:color w:val="auto"/>
        </w:rPr>
      </w:pPr>
    </w:p>
    <w:p>
      <w:pPr>
        <w:ind w:right="40" w:firstLine="434"/>
        <w:spacing w:after="0" w:line="287" w:lineRule="auto"/>
        <w:rPr>
          <w:sz w:val="20"/>
          <w:szCs w:val="20"/>
          <w:color w:val="auto"/>
        </w:rPr>
      </w:pPr>
      <w:r>
        <w:rPr>
          <w:rFonts w:ascii="Arial" w:cs="Arial" w:eastAsia="Arial" w:hAnsi="Arial"/>
          <w:sz w:val="11"/>
          <w:szCs w:val="11"/>
          <w:color w:val="auto"/>
        </w:rPr>
        <w:t>Gaming, food, beverage and other revenue decreased by $19.0 million and increased by $25.7 million, for the three months and nine months ended September 30, 2021, as compared to the corresponding periods in the prior years. The reason for the decline for the three months ended September 30, 2021 was due to the sale of the operations of Hollywood Casino Perryville on July 1, 2021. The reason for the increase for the nine-month period ended September 30, 2021 was due to the properties being closed in mid-March 2020 due to COVID-19. Hollywood Casino Baton Rouge reopened to the public on May 18, 2020 and Hollywood Casino Perryville reopened on June 19, 2020 with various restrictions to limit capacity in accordance with regulatory requirements. Results since reopening have exceeded the corresponding periods in the prior years as spend per visit has increased due to various factors such as pent up demand, government stimulus efforts and reduced consumer discretionary entertainment options due to COVID-19.</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expenses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Operating expenses for the three and nine months ended September 30, 2021 and 2020 were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120" w:type="dxa"/>
            <w:vAlign w:val="bottom"/>
          </w:tcPr>
          <w:p>
            <w:pPr>
              <w:spacing w:after="0"/>
              <w:rPr>
                <w:sz w:val="10"/>
                <w:szCs w:val="10"/>
                <w:color w:val="auto"/>
              </w:rPr>
            </w:pPr>
          </w:p>
        </w:tc>
        <w:tc>
          <w:tcPr>
            <w:tcW w:w="2400" w:type="dxa"/>
            <w:vAlign w:val="bottom"/>
            <w:gridSpan w:val="4"/>
          </w:tcPr>
          <w:p>
            <w:pPr>
              <w:jc w:val="right"/>
              <w:ind w:right="146"/>
              <w:spacing w:after="0"/>
              <w:rPr>
                <w:sz w:val="20"/>
                <w:szCs w:val="20"/>
                <w:color w:val="auto"/>
              </w:rPr>
            </w:pPr>
            <w:r>
              <w:rPr>
                <w:rFonts w:ascii="Arial" w:cs="Arial" w:eastAsia="Arial" w:hAnsi="Arial"/>
                <w:sz w:val="10"/>
                <w:szCs w:val="10"/>
                <w:b w:val="1"/>
                <w:bCs w:val="1"/>
                <w:color w:val="auto"/>
              </w:rPr>
              <w:t>Three Months Ended September 30,</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jc w:val="right"/>
              <w:ind w:right="492"/>
              <w:spacing w:after="0"/>
              <w:rPr>
                <w:sz w:val="20"/>
                <w:szCs w:val="20"/>
                <w:color w:val="auto"/>
              </w:rPr>
            </w:pPr>
            <w:r>
              <w:rPr>
                <w:rFonts w:ascii="Arial" w:cs="Arial" w:eastAsia="Arial" w:hAnsi="Arial"/>
                <w:sz w:val="10"/>
                <w:szCs w:val="10"/>
                <w:b w:val="1"/>
                <w:bCs w:val="1"/>
                <w:color w:val="auto"/>
              </w:rPr>
              <w:t>Percentage</w:t>
            </w:r>
          </w:p>
        </w:tc>
      </w:tr>
      <w:tr>
        <w:trPr>
          <w:trHeight w:val="131"/>
        </w:trPr>
        <w:tc>
          <w:tcPr>
            <w:tcW w:w="51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Variance</w:t>
            </w:r>
          </w:p>
        </w:tc>
        <w:tc>
          <w:tcPr>
            <w:tcW w:w="10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Variance</w:t>
            </w:r>
          </w:p>
        </w:tc>
      </w:tr>
      <w:tr>
        <w:trPr>
          <w:trHeight w:val="147"/>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Gaming, food, beverage and other</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5,766</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18,175</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(12,409)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(68.3)%</w:t>
            </w:r>
          </w:p>
        </w:tc>
      </w:tr>
      <w:tr>
        <w:trPr>
          <w:trHeight w:val="154"/>
        </w:trPr>
        <w:tc>
          <w:tcPr>
            <w:tcW w:w="5120" w:type="dxa"/>
            <w:vAlign w:val="bottom"/>
          </w:tcPr>
          <w:p>
            <w:pPr>
              <w:spacing w:after="0"/>
              <w:rPr>
                <w:sz w:val="20"/>
                <w:szCs w:val="20"/>
                <w:color w:val="auto"/>
              </w:rPr>
            </w:pPr>
            <w:r>
              <w:rPr>
                <w:rFonts w:ascii="Arial" w:cs="Arial" w:eastAsia="Arial" w:hAnsi="Arial"/>
                <w:sz w:val="12"/>
                <w:szCs w:val="12"/>
                <w:color w:val="auto"/>
              </w:rPr>
              <w:t>Land rights and ground lease expense</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9,414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8,084</w:t>
            </w: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1,330</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16.5 %</w:t>
            </w:r>
          </w:p>
        </w:tc>
      </w:tr>
      <w:tr>
        <w:trPr>
          <w:trHeight w:val="154"/>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13,066</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22,510</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(9,444)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(42.0)%</w:t>
            </w:r>
          </w:p>
        </w:tc>
      </w:tr>
      <w:tr>
        <w:trPr>
          <w:trHeight w:val="154"/>
        </w:trPr>
        <w:tc>
          <w:tcPr>
            <w:tcW w:w="5120" w:type="dxa"/>
            <w:vAlign w:val="bottom"/>
          </w:tcPr>
          <w:p>
            <w:pPr>
              <w:spacing w:after="0"/>
              <w:rPr>
                <w:sz w:val="20"/>
                <w:szCs w:val="20"/>
                <w:color w:val="auto"/>
              </w:rPr>
            </w:pPr>
            <w:r>
              <w:rPr>
                <w:rFonts w:ascii="Arial" w:cs="Arial" w:eastAsia="Arial" w:hAnsi="Arial"/>
                <w:sz w:val="12"/>
                <w:szCs w:val="12"/>
                <w:color w:val="auto"/>
              </w:rPr>
              <w:t>(Gains) losses from dispositions</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(14,815)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w:t>
            </w: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(14,819)</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(370,475.0)%</w:t>
            </w:r>
          </w:p>
        </w:tc>
      </w:tr>
      <w:tr>
        <w:trPr>
          <w:trHeight w:val="154"/>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9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60,182</w:t>
            </w: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58,080</w:t>
            </w:r>
          </w:p>
        </w:tc>
        <w:tc>
          <w:tcPr>
            <w:tcW w:w="3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2,102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3.6 %</w:t>
            </w:r>
          </w:p>
        </w:tc>
      </w:tr>
      <w:tr>
        <w:trPr>
          <w:trHeight w:val="143"/>
        </w:trPr>
        <w:tc>
          <w:tcPr>
            <w:tcW w:w="5120" w:type="dxa"/>
            <w:vAlign w:val="bottom"/>
          </w:tcPr>
          <w:p>
            <w:pPr>
              <w:spacing w:after="0"/>
              <w:rPr>
                <w:sz w:val="20"/>
                <w:szCs w:val="20"/>
                <w:color w:val="auto"/>
              </w:rPr>
            </w:pPr>
            <w:r>
              <w:rPr>
                <w:rFonts w:ascii="Arial" w:cs="Arial" w:eastAsia="Arial" w:hAnsi="Arial"/>
                <w:sz w:val="12"/>
                <w:szCs w:val="12"/>
                <w:color w:val="auto"/>
              </w:rPr>
              <w:t>Total operating expenses</w:t>
            </w:r>
          </w:p>
        </w:tc>
        <w:tc>
          <w:tcPr>
            <w:tcW w:w="900" w:type="dxa"/>
            <w:vAlign w:val="bottom"/>
            <w:tcBorders>
              <w:bottom w:val="single" w:sz="8" w:color="auto"/>
            </w:tcBorders>
          </w:tcPr>
          <w:p>
            <w:pPr>
              <w:jc w:val="right"/>
              <w:ind w:right="79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73,613</w:t>
            </w: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66"/>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106,853</w:t>
            </w:r>
          </w:p>
        </w:tc>
        <w:tc>
          <w:tcPr>
            <w:tcW w:w="3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(33,240)</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(31.1)%</w:t>
            </w:r>
          </w:p>
        </w:tc>
      </w:tr>
      <w:tr>
        <w:trPr>
          <w:trHeight w:val="20"/>
        </w:trPr>
        <w:tc>
          <w:tcPr>
            <w:tcW w:w="5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200" w:type="dxa"/>
            <w:vAlign w:val="bottom"/>
          </w:tcPr>
          <w:p>
            <w:pPr>
              <w:spacing w:after="0"/>
              <w:rPr>
                <w:sz w:val="10"/>
                <w:szCs w:val="10"/>
                <w:color w:val="auto"/>
              </w:rPr>
            </w:pPr>
          </w:p>
        </w:tc>
        <w:tc>
          <w:tcPr>
            <w:tcW w:w="2420" w:type="dxa"/>
            <w:vAlign w:val="bottom"/>
            <w:gridSpan w:val="4"/>
          </w:tcPr>
          <w:p>
            <w:pPr>
              <w:jc w:val="right"/>
              <w:ind w:right="191"/>
              <w:spacing w:after="0"/>
              <w:rPr>
                <w:sz w:val="20"/>
                <w:szCs w:val="20"/>
                <w:color w:val="auto"/>
              </w:rPr>
            </w:pPr>
            <w:r>
              <w:rPr>
                <w:rFonts w:ascii="Arial" w:cs="Arial" w:eastAsia="Arial" w:hAnsi="Arial"/>
                <w:sz w:val="10"/>
                <w:szCs w:val="10"/>
                <w:b w:val="1"/>
                <w:bCs w:val="1"/>
                <w:color w:val="auto"/>
              </w:rPr>
              <w:t>Nine Months Ended September 30,</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2"/>
          </w:tcPr>
          <w:p>
            <w:pPr>
              <w:ind w:left="540"/>
              <w:spacing w:after="0"/>
              <w:rPr>
                <w:sz w:val="20"/>
                <w:szCs w:val="20"/>
                <w:color w:val="auto"/>
              </w:rPr>
            </w:pPr>
            <w:r>
              <w:rPr>
                <w:rFonts w:ascii="Arial" w:cs="Arial" w:eastAsia="Arial" w:hAnsi="Arial"/>
                <w:sz w:val="10"/>
                <w:szCs w:val="10"/>
                <w:b w:val="1"/>
                <w:bCs w:val="1"/>
                <w:color w:val="auto"/>
              </w:rPr>
              <w:t>Percentage</w:t>
            </w:r>
          </w:p>
        </w:tc>
      </w:tr>
      <w:tr>
        <w:trPr>
          <w:trHeight w:val="131"/>
        </w:trPr>
        <w:tc>
          <w:tcPr>
            <w:tcW w:w="52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Variance</w:t>
            </w:r>
          </w:p>
        </w:tc>
        <w:tc>
          <w:tcPr>
            <w:tcW w:w="80" w:type="dxa"/>
            <w:vAlign w:val="bottom"/>
            <w:tcBorders>
              <w:bottom w:val="single" w:sz="8" w:color="CCEEFF"/>
            </w:tcBorders>
          </w:tcPr>
          <w:p>
            <w:pPr>
              <w:spacing w:after="0"/>
              <w:rPr>
                <w:sz w:val="11"/>
                <w:szCs w:val="11"/>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Variance</w:t>
            </w:r>
          </w:p>
        </w:tc>
        <w:tc>
          <w:tcPr>
            <w:tcW w:w="20" w:type="dxa"/>
            <w:vAlign w:val="bottom"/>
          </w:tcPr>
          <w:p>
            <w:pPr>
              <w:spacing w:after="0"/>
              <w:rPr>
                <w:sz w:val="11"/>
                <w:szCs w:val="1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Gaming, food, beverage and other</w:t>
            </w:r>
          </w:p>
        </w:tc>
        <w:tc>
          <w:tcPr>
            <w:tcW w:w="900" w:type="dxa"/>
            <w:vAlign w:val="bottom"/>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48,074</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9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39,536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8,538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21.6 %</w:t>
            </w:r>
          </w:p>
        </w:tc>
        <w:tc>
          <w:tcPr>
            <w:tcW w:w="20" w:type="dxa"/>
            <w:vAlign w:val="bottom"/>
          </w:tcPr>
          <w:p>
            <w:pPr>
              <w:spacing w:after="0"/>
              <w:rPr>
                <w:sz w:val="12"/>
                <w:szCs w:val="12"/>
                <w:color w:val="auto"/>
              </w:rPr>
            </w:pPr>
          </w:p>
        </w:tc>
      </w:tr>
      <w:tr>
        <w:trPr>
          <w:trHeight w:val="154"/>
        </w:trPr>
        <w:tc>
          <w:tcPr>
            <w:tcW w:w="5200" w:type="dxa"/>
            <w:vAlign w:val="bottom"/>
          </w:tcPr>
          <w:p>
            <w:pPr>
              <w:spacing w:after="0"/>
              <w:rPr>
                <w:sz w:val="20"/>
                <w:szCs w:val="20"/>
                <w:color w:val="auto"/>
              </w:rPr>
            </w:pPr>
            <w:r>
              <w:rPr>
                <w:rFonts w:ascii="Arial" w:cs="Arial" w:eastAsia="Arial" w:hAnsi="Arial"/>
                <w:sz w:val="12"/>
                <w:szCs w:val="12"/>
                <w:color w:val="auto"/>
              </w:rPr>
              <w:t>Land rights and ground lease expense</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24,338</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21,943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2,395</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10.9 %</w:t>
            </w:r>
          </w:p>
        </w:tc>
        <w:tc>
          <w:tcPr>
            <w:tcW w:w="20" w:type="dxa"/>
            <w:vAlign w:val="bottom"/>
          </w:tcPr>
          <w:p>
            <w:pPr>
              <w:spacing w:after="0"/>
              <w:rPr>
                <w:sz w:val="13"/>
                <w:szCs w:val="13"/>
                <w:color w:val="auto"/>
              </w:rPr>
            </w:pPr>
          </w:p>
        </w:tc>
      </w:tr>
      <w:tr>
        <w:trPr>
          <w:trHeight w:val="154"/>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45,969</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51,728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20" w:type="dxa"/>
            <w:vAlign w:val="bottom"/>
          </w:tcPr>
          <w:p>
            <w:pPr>
              <w:spacing w:after="0"/>
              <w:rPr>
                <w:sz w:val="13"/>
                <w:szCs w:val="13"/>
                <w:color w:val="auto"/>
              </w:rPr>
            </w:pPr>
          </w:p>
        </w:tc>
      </w:tr>
      <w:tr>
        <w:trPr>
          <w:trHeight w:val="154"/>
        </w:trPr>
        <w:tc>
          <w:tcPr>
            <w:tcW w:w="5200" w:type="dxa"/>
            <w:vAlign w:val="bottom"/>
          </w:tcPr>
          <w:p>
            <w:pPr>
              <w:spacing w:after="0"/>
              <w:rPr>
                <w:sz w:val="20"/>
                <w:szCs w:val="20"/>
                <w:color w:val="auto"/>
              </w:rPr>
            </w:pPr>
            <w:r>
              <w:rPr>
                <w:rFonts w:ascii="Arial" w:cs="Arial" w:eastAsia="Arial" w:hAnsi="Arial"/>
                <w:sz w:val="12"/>
                <w:szCs w:val="12"/>
                <w:color w:val="auto"/>
              </w:rPr>
              <w:t>(Gains) losses from dispositions</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(14,722)</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(14,719)</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490,633.3 %</w:t>
            </w:r>
          </w:p>
        </w:tc>
        <w:tc>
          <w:tcPr>
            <w:tcW w:w="20" w:type="dxa"/>
            <w:vAlign w:val="bottom"/>
          </w:tcPr>
          <w:p>
            <w:pPr>
              <w:spacing w:after="0"/>
              <w:rPr>
                <w:sz w:val="13"/>
                <w:szCs w:val="13"/>
                <w:color w:val="auto"/>
              </w:rPr>
            </w:pPr>
          </w:p>
        </w:tc>
      </w:tr>
      <w:tr>
        <w:trPr>
          <w:trHeight w:val="154"/>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9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177,033</w:t>
            </w:r>
          </w:p>
        </w:tc>
        <w:tc>
          <w:tcPr>
            <w:tcW w:w="1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172,033</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2.9 %</w:t>
            </w:r>
          </w:p>
        </w:tc>
        <w:tc>
          <w:tcPr>
            <w:tcW w:w="20" w:type="dxa"/>
            <w:vAlign w:val="bottom"/>
          </w:tcPr>
          <w:p>
            <w:pPr>
              <w:spacing w:after="0"/>
              <w:rPr>
                <w:sz w:val="13"/>
                <w:szCs w:val="13"/>
                <w:color w:val="auto"/>
              </w:rPr>
            </w:pPr>
          </w:p>
        </w:tc>
      </w:tr>
      <w:tr>
        <w:trPr>
          <w:trHeight w:val="143"/>
        </w:trPr>
        <w:tc>
          <w:tcPr>
            <w:tcW w:w="5200" w:type="dxa"/>
            <w:vAlign w:val="bottom"/>
          </w:tcPr>
          <w:p>
            <w:pPr>
              <w:spacing w:after="0"/>
              <w:rPr>
                <w:sz w:val="20"/>
                <w:szCs w:val="20"/>
                <w:color w:val="auto"/>
              </w:rPr>
            </w:pPr>
            <w:r>
              <w:rPr>
                <w:rFonts w:ascii="Arial" w:cs="Arial" w:eastAsia="Arial" w:hAnsi="Arial"/>
                <w:sz w:val="12"/>
                <w:szCs w:val="12"/>
                <w:color w:val="auto"/>
              </w:rPr>
              <w:t>Total operating expenses</w:t>
            </w:r>
          </w:p>
        </w:tc>
        <w:tc>
          <w:tcPr>
            <w:tcW w:w="900" w:type="dxa"/>
            <w:vAlign w:val="bottom"/>
            <w:tcBorders>
              <w:bottom w:val="single" w:sz="8" w:color="auto"/>
            </w:tcBorders>
          </w:tcPr>
          <w:p>
            <w:pPr>
              <w:jc w:val="right"/>
              <w:ind w:right="78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280,692</w:t>
            </w:r>
          </w:p>
        </w:tc>
        <w:tc>
          <w:tcPr>
            <w:tcW w:w="1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285,237</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(4,545)</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(1.6)%</w:t>
            </w:r>
          </w:p>
        </w:tc>
        <w:tc>
          <w:tcPr>
            <w:tcW w:w="20" w:type="dxa"/>
            <w:vAlign w:val="bottom"/>
          </w:tcPr>
          <w:p>
            <w:pPr>
              <w:spacing w:after="0"/>
              <w:rPr>
                <w:sz w:val="12"/>
                <w:szCs w:val="12"/>
                <w:color w:val="auto"/>
              </w:rPr>
            </w:pPr>
          </w:p>
        </w:tc>
      </w:tr>
      <w:tr>
        <w:trPr>
          <w:trHeight w:val="20"/>
        </w:trPr>
        <w:tc>
          <w:tcPr>
            <w:tcW w:w="5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5200" w:type="dxa"/>
            <w:vAlign w:val="bottom"/>
          </w:tcPr>
          <w:p>
            <w:pPr>
              <w:spacing w:after="0"/>
              <w:rPr>
                <w:sz w:val="24"/>
                <w:szCs w:val="24"/>
                <w:color w:val="auto"/>
              </w:rPr>
            </w:pPr>
          </w:p>
        </w:tc>
        <w:tc>
          <w:tcPr>
            <w:tcW w:w="900" w:type="dxa"/>
            <w:vAlign w:val="bottom"/>
          </w:tcPr>
          <w:p>
            <w:pPr>
              <w:jc w:val="right"/>
              <w:ind w:right="349"/>
              <w:spacing w:after="0"/>
              <w:rPr>
                <w:sz w:val="20"/>
                <w:szCs w:val="20"/>
                <w:color w:val="auto"/>
              </w:rPr>
            </w:pPr>
            <w:r>
              <w:rPr>
                <w:rFonts w:ascii="Arial" w:cs="Arial" w:eastAsia="Arial" w:hAnsi="Arial"/>
                <w:sz w:val="12"/>
                <w:szCs w:val="12"/>
                <w:color w:val="auto"/>
              </w:rPr>
              <w:t>43</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3"/>
        </w:trPr>
        <w:tc>
          <w:tcPr>
            <w:tcW w:w="52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44" w:name="page45"/>
    <w:bookmarkEnd w:id="44"/>
    <w:p>
      <w:pPr>
        <w:ind w:left="200"/>
        <w:spacing w:after="0"/>
        <w:rPr>
          <w:sz w:val="20"/>
          <w:szCs w:val="20"/>
          <w:color w:val="auto"/>
        </w:rPr>
      </w:pPr>
      <w:r>
        <w:rPr>
          <w:rFonts w:ascii="Arial" w:cs="Arial" w:eastAsia="Arial" w:hAnsi="Arial"/>
          <w:sz w:val="12"/>
          <w:szCs w:val="12"/>
          <w:b w:val="1"/>
          <w:bCs w:val="1"/>
          <w:color w:val="auto"/>
        </w:rPr>
        <w:t>Gaming, food, beverage and other</w:t>
      </w:r>
    </w:p>
    <w:p>
      <w:pPr>
        <w:spacing w:after="0" w:line="173" w:lineRule="exact"/>
        <w:rPr>
          <w:sz w:val="20"/>
          <w:szCs w:val="20"/>
          <w:color w:val="auto"/>
        </w:rPr>
      </w:pPr>
    </w:p>
    <w:p>
      <w:pPr>
        <w:ind w:right="60" w:firstLine="434"/>
        <w:spacing w:after="0" w:line="260" w:lineRule="auto"/>
        <w:rPr>
          <w:sz w:val="20"/>
          <w:szCs w:val="20"/>
          <w:color w:val="auto"/>
        </w:rPr>
      </w:pPr>
      <w:r>
        <w:rPr>
          <w:rFonts w:ascii="Arial" w:cs="Arial" w:eastAsia="Arial" w:hAnsi="Arial"/>
          <w:sz w:val="12"/>
          <w:szCs w:val="12"/>
          <w:color w:val="auto"/>
        </w:rPr>
        <w:t>Gaming, food, beverage and other expenses decreased by $12.4 million for the three months ended September 30, 2021 and increased $8.5 million, for the nine months ended September 30, 2021, as compared to the corresponding periods in the prior year. As previously discussed, the Company sold the operations of Hollywood Casino Perryville on July 1, 2021 to Penn which led to the decline for the three months ended September 30, 2021. The increase for the nine month period ended September 30, 2021 was due primarily from the properties temporarily closing in mid-March 2020 due to COVID-19. Hollywood Casino Baton Rouge reopened to the public on May 18, 2020 and Hollywood Casino Perryville reopened on June 19, 2020 with various restrictions to limit capacity in accordance with regulatory requirements.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Land rights and ground lease expense</w:t>
      </w:r>
    </w:p>
    <w:p>
      <w:pPr>
        <w:spacing w:after="0" w:line="173" w:lineRule="exact"/>
        <w:rPr>
          <w:sz w:val="20"/>
          <w:szCs w:val="20"/>
          <w:color w:val="auto"/>
        </w:rPr>
      </w:pPr>
    </w:p>
    <w:p>
      <w:pPr>
        <w:jc w:val="both"/>
        <w:ind w:right="300" w:firstLine="434"/>
        <w:spacing w:after="0" w:line="265" w:lineRule="auto"/>
        <w:rPr>
          <w:sz w:val="20"/>
          <w:szCs w:val="20"/>
          <w:color w:val="auto"/>
        </w:rPr>
      </w:pPr>
      <w:r>
        <w:rPr>
          <w:rFonts w:ascii="Arial" w:cs="Arial" w:eastAsia="Arial" w:hAnsi="Arial"/>
          <w:sz w:val="12"/>
          <w:szCs w:val="12"/>
          <w:color w:val="auto"/>
        </w:rPr>
        <w:t>Land rights and ground lease expense includes the amortization of land rights and rent expense related to the Company's long-term ground leases. Land rights and ground lease expense increased by $1.3 million and $2.4 million for the three months and nine months ended September 30, 2021, as compared to the corresponding periods in the prior year. The increase is the result of property performance which drives ground rent partially offset by Evansville exchange transaction.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and Administrative Expense</w:t>
      </w:r>
    </w:p>
    <w:p>
      <w:pPr>
        <w:spacing w:after="0" w:line="173" w:lineRule="exact"/>
        <w:rPr>
          <w:sz w:val="20"/>
          <w:szCs w:val="20"/>
          <w:color w:val="auto"/>
        </w:rPr>
      </w:pPr>
    </w:p>
    <w:p>
      <w:pPr>
        <w:ind w:right="60" w:firstLine="434"/>
        <w:spacing w:after="0" w:line="256" w:lineRule="auto"/>
        <w:rPr>
          <w:sz w:val="20"/>
          <w:szCs w:val="20"/>
          <w:color w:val="auto"/>
        </w:rPr>
      </w:pPr>
      <w:r>
        <w:rPr>
          <w:rFonts w:ascii="Arial" w:cs="Arial" w:eastAsia="Arial" w:hAnsi="Arial"/>
          <w:sz w:val="12"/>
          <w:szCs w:val="12"/>
          <w:color w:val="auto"/>
        </w:rPr>
        <w:t>General and administrative expenses include items such as compensation costs (including stock based compensation), professional services and costs associated with development activities. General and administrative expenses decreased by $9.4 million and $5.8 million, for the three months and nine months ended September 30, 2021, as compared to the corresponding periods in the prior year. The reason for the decline for the three months ended September 30, 2021 was primarily due to expenses of $6.8 million associated with severance and stock compensation acceleration charges associated with our previous chief financial officer as well as lower costs of $2.2 million due to the sale of the operations of Hollywood Casino Perryville on July 1, 2021. The decline for the nine months ended September 30, 2021 was due to the charges incurred for our former chief financial officer described above and lower legal costs of $2.0 million, partially offset by higher bonus accruals at the GLP Capital segment of $2.5 million due to improved performance in the current year and higher costs at our TRS segment of $0.3 million as both properties were closed temporarily during 2020 due to COVID-19 as previously discussed.</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Depreciation</w:t>
      </w:r>
    </w:p>
    <w:p>
      <w:pPr>
        <w:spacing w:after="0" w:line="173" w:lineRule="exact"/>
        <w:rPr>
          <w:sz w:val="20"/>
          <w:szCs w:val="20"/>
          <w:color w:val="auto"/>
        </w:rPr>
      </w:pPr>
    </w:p>
    <w:p>
      <w:pPr>
        <w:ind w:right="180" w:firstLine="434"/>
        <w:spacing w:after="0" w:line="278" w:lineRule="auto"/>
        <w:rPr>
          <w:sz w:val="20"/>
          <w:szCs w:val="20"/>
          <w:color w:val="auto"/>
        </w:rPr>
      </w:pPr>
      <w:r>
        <w:rPr>
          <w:rFonts w:ascii="Arial" w:cs="Arial" w:eastAsia="Arial" w:hAnsi="Arial"/>
          <w:sz w:val="12"/>
          <w:szCs w:val="12"/>
          <w:color w:val="auto"/>
        </w:rPr>
        <w:t>Depreciation expense increased by $2.1 million and $5.0 million for the three months and nine months ended September 30, 2021 as compared to the corresponding periods in the prior year, primarily due to the Company's acquisitions over the past year.</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income (expenses)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Other income (expenses) for the three and nine months ended September 30, 2021 and 2020 were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6"/>
          </w:tcPr>
          <w:p>
            <w:pPr>
              <w:jc w:val="right"/>
              <w:ind w:right="244"/>
              <w:spacing w:after="0"/>
              <w:rPr>
                <w:sz w:val="20"/>
                <w:szCs w:val="20"/>
                <w:color w:val="auto"/>
              </w:rPr>
            </w:pPr>
            <w:r>
              <w:rPr>
                <w:rFonts w:ascii="Arial" w:cs="Arial" w:eastAsia="Arial" w:hAnsi="Arial"/>
                <w:sz w:val="10"/>
                <w:szCs w:val="10"/>
                <w:b w:val="1"/>
                <w:bCs w:val="1"/>
                <w:color w:val="auto"/>
              </w:rPr>
              <w:t>Three Months Ended September 30,</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Percentage</w:t>
            </w:r>
          </w:p>
        </w:tc>
      </w:tr>
      <w:tr>
        <w:trPr>
          <w:trHeight w:val="122"/>
        </w:trPr>
        <w:tc>
          <w:tcPr>
            <w:tcW w:w="488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2020</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Variance</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5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0"/>
                <w:szCs w:val="10"/>
                <w:b w:val="1"/>
                <w:bCs w:val="1"/>
                <w:color w:val="auto"/>
              </w:rPr>
              <w:t>Variance</w:t>
            </w:r>
          </w:p>
        </w:tc>
      </w:tr>
      <w:tr>
        <w:trPr>
          <w:trHeight w:val="144"/>
        </w:trPr>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3"/>
            <w:shd w:val="clear" w:color="auto" w:fill="CCEEFF"/>
          </w:tcPr>
          <w:p>
            <w:pPr>
              <w:jc w:val="center"/>
              <w:ind w:left="744"/>
              <w:spacing w:after="0"/>
              <w:rPr>
                <w:sz w:val="20"/>
                <w:szCs w:val="20"/>
                <w:color w:val="auto"/>
              </w:rPr>
            </w:pPr>
            <w:r>
              <w:rPr>
                <w:rFonts w:ascii="Arial" w:cs="Arial" w:eastAsia="Arial" w:hAnsi="Arial"/>
                <w:sz w:val="12"/>
                <w:szCs w:val="12"/>
                <w:color w:val="auto"/>
                <w:w w:val="93"/>
              </w:rPr>
              <w:t>(70,432)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w w:val="89"/>
              </w:rPr>
              <w:t>(70,179)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0.4 %</w:t>
            </w:r>
          </w:p>
        </w:tc>
      </w:tr>
      <w:tr>
        <w:trPr>
          <w:trHeight w:val="154"/>
        </w:trPr>
        <w:tc>
          <w:tcPr>
            <w:tcW w:w="4880" w:type="dxa"/>
            <w:vAlign w:val="bottom"/>
          </w:tcPr>
          <w:p>
            <w:pPr>
              <w:spacing w:after="0"/>
              <w:rPr>
                <w:sz w:val="20"/>
                <w:szCs w:val="20"/>
                <w:color w:val="auto"/>
              </w:rPr>
            </w:pPr>
            <w:r>
              <w:rPr>
                <w:rFonts w:ascii="Arial" w:cs="Arial" w:eastAsia="Arial" w:hAnsi="Arial"/>
                <w:sz w:val="12"/>
                <w:szCs w:val="12"/>
                <w:color w:val="auto"/>
              </w:rPr>
              <w:t>Interest income</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w:t>
            </w:r>
          </w:p>
        </w:tc>
        <w:tc>
          <w:tcPr>
            <w:tcW w:w="1620" w:type="dxa"/>
            <w:vAlign w:val="bottom"/>
            <w:gridSpan w:val="3"/>
          </w:tcPr>
          <w:p>
            <w:pPr>
              <w:jc w:val="right"/>
              <w:ind w:right="20"/>
              <w:spacing w:after="0"/>
              <w:rPr>
                <w:sz w:val="20"/>
                <w:szCs w:val="20"/>
                <w:color w:val="auto"/>
              </w:rPr>
            </w:pPr>
            <w:r>
              <w:rPr>
                <w:rFonts w:ascii="Arial" w:cs="Arial" w:eastAsia="Arial" w:hAnsi="Arial"/>
                <w:sz w:val="12"/>
                <w:szCs w:val="12"/>
                <w:color w:val="auto"/>
              </w:rPr>
              <w:t>(72.7)%</w:t>
            </w:r>
          </w:p>
        </w:tc>
      </w:tr>
      <w:tr>
        <w:trPr>
          <w:trHeight w:val="154"/>
        </w:trPr>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Losses on debt extinguishment</w:t>
            </w:r>
          </w:p>
        </w:tc>
        <w:tc>
          <w:tcPr>
            <w:tcW w:w="3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(779)</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80" w:type="dxa"/>
            <w:vAlign w:val="bottom"/>
            <w:tcBorders>
              <w:right w:val="single" w:sz="8" w:color="CCEEFF"/>
            </w:tcBorders>
            <w:shd w:val="clear" w:color="auto" w:fill="CCEEFF"/>
          </w:tcPr>
          <w:p>
            <w:pPr>
              <w:spacing w:after="0"/>
              <w:rPr>
                <w:sz w:val="13"/>
                <w:szCs w:val="13"/>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N/A</w:t>
            </w:r>
          </w:p>
        </w:tc>
      </w:tr>
      <w:tr>
        <w:trPr>
          <w:trHeight w:val="143"/>
        </w:trPr>
        <w:tc>
          <w:tcPr>
            <w:tcW w:w="4880" w:type="dxa"/>
            <w:vAlign w:val="bottom"/>
          </w:tcPr>
          <w:p>
            <w:pPr>
              <w:spacing w:after="0"/>
              <w:rPr>
                <w:sz w:val="20"/>
                <w:szCs w:val="20"/>
                <w:color w:val="auto"/>
              </w:rPr>
            </w:pPr>
            <w:r>
              <w:rPr>
                <w:rFonts w:ascii="Arial" w:cs="Arial" w:eastAsia="Arial" w:hAnsi="Arial"/>
                <w:sz w:val="12"/>
                <w:szCs w:val="12"/>
                <w:color w:val="auto"/>
              </w:rPr>
              <w:t>Total other expenses</w:t>
            </w:r>
          </w:p>
        </w:tc>
        <w:tc>
          <w:tcPr>
            <w:tcW w:w="32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gridSpan w:val="3"/>
          </w:tcPr>
          <w:p>
            <w:pPr>
              <w:jc w:val="center"/>
              <w:ind w:left="744"/>
              <w:spacing w:after="0"/>
              <w:rPr>
                <w:sz w:val="20"/>
                <w:szCs w:val="20"/>
                <w:color w:val="auto"/>
              </w:rPr>
            </w:pPr>
            <w:r>
              <w:rPr>
                <w:rFonts w:ascii="Arial" w:cs="Arial" w:eastAsia="Arial" w:hAnsi="Arial"/>
                <w:sz w:val="12"/>
                <w:szCs w:val="12"/>
                <w:color w:val="auto"/>
                <w:w w:val="93"/>
              </w:rPr>
              <w:t>(70,426)</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w w:val="89"/>
              </w:rPr>
              <w:t>(70,936)</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w:t>
            </w:r>
          </w:p>
        </w:tc>
        <w:tc>
          <w:tcPr>
            <w:tcW w:w="1620" w:type="dxa"/>
            <w:vAlign w:val="bottom"/>
            <w:gridSpan w:val="3"/>
          </w:tcPr>
          <w:p>
            <w:pPr>
              <w:jc w:val="right"/>
              <w:ind w:right="20"/>
              <w:spacing w:after="0"/>
              <w:rPr>
                <w:sz w:val="20"/>
                <w:szCs w:val="20"/>
                <w:color w:val="auto"/>
              </w:rPr>
            </w:pPr>
            <w:r>
              <w:rPr>
                <w:rFonts w:ascii="Arial" w:cs="Arial" w:eastAsia="Arial" w:hAnsi="Arial"/>
                <w:sz w:val="12"/>
                <w:szCs w:val="12"/>
                <w:color w:val="auto"/>
              </w:rPr>
              <w:t>(0.7)%</w:t>
            </w:r>
          </w:p>
        </w:tc>
      </w:tr>
      <w:tr>
        <w:trPr>
          <w:trHeight w:val="20"/>
        </w:trPr>
        <w:tc>
          <w:tcPr>
            <w:tcW w:w="4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2"/>
        </w:trPr>
        <w:tc>
          <w:tcPr>
            <w:tcW w:w="4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624"/>
              <w:spacing w:after="0"/>
              <w:rPr>
                <w:sz w:val="20"/>
                <w:szCs w:val="20"/>
                <w:color w:val="auto"/>
              </w:rPr>
            </w:pPr>
            <w:r>
              <w:rPr>
                <w:rFonts w:ascii="Arial" w:cs="Arial" w:eastAsia="Arial" w:hAnsi="Arial"/>
                <w:sz w:val="10"/>
                <w:szCs w:val="10"/>
                <w:b w:val="1"/>
                <w:bCs w:val="1"/>
                <w:color w:val="auto"/>
                <w:w w:val="99"/>
              </w:rPr>
              <w:t>Nine Months Ended September 30,</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Percentage</w:t>
            </w:r>
          </w:p>
        </w:tc>
      </w:tr>
      <w:tr>
        <w:trPr>
          <w:trHeight w:val="122"/>
        </w:trPr>
        <w:tc>
          <w:tcPr>
            <w:tcW w:w="48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2020</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44"/>
              <w:spacing w:after="0"/>
              <w:rPr>
                <w:sz w:val="20"/>
                <w:szCs w:val="20"/>
                <w:color w:val="auto"/>
              </w:rPr>
            </w:pPr>
            <w:r>
              <w:rPr>
                <w:rFonts w:ascii="Arial" w:cs="Arial" w:eastAsia="Arial" w:hAnsi="Arial"/>
                <w:sz w:val="10"/>
                <w:szCs w:val="10"/>
                <w:b w:val="1"/>
                <w:bCs w:val="1"/>
                <w:color w:val="auto"/>
                <w:w w:val="86"/>
              </w:rPr>
              <w:t>Variance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Borders>
              <w:bottom w:val="single" w:sz="8" w:color="auto"/>
            </w:tcBorders>
          </w:tcPr>
          <w:p>
            <w:pPr>
              <w:jc w:val="right"/>
              <w:ind w:right="507"/>
              <w:spacing w:after="0"/>
              <w:rPr>
                <w:sz w:val="20"/>
                <w:szCs w:val="20"/>
                <w:color w:val="auto"/>
              </w:rPr>
            </w:pPr>
            <w:r>
              <w:rPr>
                <w:rFonts w:ascii="Arial" w:cs="Arial" w:eastAsia="Arial" w:hAnsi="Arial"/>
                <w:sz w:val="10"/>
                <w:szCs w:val="10"/>
                <w:b w:val="1"/>
                <w:bCs w:val="1"/>
                <w:color w:val="auto"/>
              </w:rPr>
              <w:t>Variance</w:t>
            </w:r>
          </w:p>
        </w:tc>
        <w:tc>
          <w:tcPr>
            <w:tcW w:w="100" w:type="dxa"/>
            <w:vAlign w:val="bottom"/>
          </w:tcPr>
          <w:p>
            <w:pPr>
              <w:spacing w:after="0"/>
              <w:rPr>
                <w:sz w:val="10"/>
                <w:szCs w:val="10"/>
                <w:color w:val="auto"/>
              </w:rPr>
            </w:pPr>
          </w:p>
        </w:tc>
      </w:tr>
      <w:tr>
        <w:trPr>
          <w:trHeight w:val="144"/>
        </w:trPr>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(211,258)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center"/>
              <w:ind w:right="120"/>
              <w:spacing w:after="0"/>
              <w:rPr>
                <w:sz w:val="20"/>
                <w:szCs w:val="20"/>
                <w:color w:val="auto"/>
              </w:rPr>
            </w:pPr>
            <w:r>
              <w:rPr>
                <w:rFonts w:ascii="Arial" w:cs="Arial" w:eastAsia="Arial" w:hAnsi="Arial"/>
                <w:sz w:val="12"/>
                <w:szCs w:val="12"/>
                <w:color w:val="auto"/>
                <w:w w:val="89"/>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(211,657)</w:t>
            </w:r>
          </w:p>
        </w:tc>
        <w:tc>
          <w:tcPr>
            <w:tcW w:w="44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w:t>
            </w:r>
          </w:p>
        </w:tc>
        <w:tc>
          <w:tcPr>
            <w:tcW w:w="480" w:type="dxa"/>
            <w:vAlign w:val="bottom"/>
          </w:tcPr>
          <w:p>
            <w:pPr>
              <w:spacing w:after="0"/>
              <w:rPr>
                <w:sz w:val="12"/>
                <w:szCs w:val="12"/>
                <w:color w:val="auto"/>
              </w:rPr>
            </w:pPr>
          </w:p>
        </w:tc>
        <w:tc>
          <w:tcPr>
            <w:tcW w:w="80" w:type="dxa"/>
            <w:vAlign w:val="bottom"/>
            <w:tcBorders>
              <w:right w:val="single" w:sz="8" w:color="CCEEFF"/>
            </w:tcBorders>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2"/>
                <w:szCs w:val="12"/>
                <w:color w:val="auto"/>
              </w:rPr>
            </w:pPr>
          </w:p>
        </w:tc>
      </w:tr>
      <w:tr>
        <w:trPr>
          <w:trHeight w:val="154"/>
        </w:trPr>
        <w:tc>
          <w:tcPr>
            <w:tcW w:w="4880" w:type="dxa"/>
            <w:vAlign w:val="bottom"/>
          </w:tcPr>
          <w:p>
            <w:pPr>
              <w:spacing w:after="0"/>
              <w:rPr>
                <w:sz w:val="20"/>
                <w:szCs w:val="20"/>
                <w:color w:val="auto"/>
              </w:rPr>
            </w:pPr>
            <w:r>
              <w:rPr>
                <w:rFonts w:ascii="Arial" w:cs="Arial" w:eastAsia="Arial" w:hAnsi="Arial"/>
                <w:sz w:val="12"/>
                <w:szCs w:val="12"/>
                <w:color w:val="auto"/>
              </w:rPr>
              <w:t>Interest income</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491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(307)</w:t>
            </w:r>
          </w:p>
        </w:tc>
        <w:tc>
          <w:tcPr>
            <w:tcW w:w="480" w:type="dxa"/>
            <w:vAlign w:val="bottom"/>
          </w:tcPr>
          <w:p>
            <w:pPr>
              <w:spacing w:after="0"/>
              <w:rPr>
                <w:sz w:val="13"/>
                <w:szCs w:val="13"/>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(62.5)%</w:t>
            </w:r>
          </w:p>
        </w:tc>
        <w:tc>
          <w:tcPr>
            <w:tcW w:w="100" w:type="dxa"/>
            <w:vAlign w:val="bottom"/>
          </w:tcPr>
          <w:p>
            <w:pPr>
              <w:spacing w:after="0"/>
              <w:rPr>
                <w:sz w:val="13"/>
                <w:szCs w:val="13"/>
                <w:color w:val="auto"/>
              </w:rPr>
            </w:pPr>
          </w:p>
        </w:tc>
      </w:tr>
      <w:tr>
        <w:trPr>
          <w:trHeight w:val="154"/>
        </w:trPr>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Losses on debt extinguishment</w:t>
            </w:r>
          </w:p>
        </w:tc>
        <w:tc>
          <w:tcPr>
            <w:tcW w:w="3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(18,113)</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18,113</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CCEEFF"/>
            </w:tcBorders>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100" w:type="dxa"/>
            <w:vAlign w:val="bottom"/>
          </w:tcPr>
          <w:p>
            <w:pPr>
              <w:spacing w:after="0"/>
              <w:rPr>
                <w:sz w:val="13"/>
                <w:szCs w:val="13"/>
                <w:color w:val="auto"/>
              </w:rPr>
            </w:pPr>
          </w:p>
        </w:tc>
      </w:tr>
      <w:tr>
        <w:trPr>
          <w:trHeight w:val="143"/>
        </w:trPr>
        <w:tc>
          <w:tcPr>
            <w:tcW w:w="4880" w:type="dxa"/>
            <w:vAlign w:val="bottom"/>
          </w:tcPr>
          <w:p>
            <w:pPr>
              <w:spacing w:after="0"/>
              <w:rPr>
                <w:sz w:val="20"/>
                <w:szCs w:val="20"/>
                <w:color w:val="auto"/>
              </w:rPr>
            </w:pPr>
            <w:r>
              <w:rPr>
                <w:rFonts w:ascii="Arial" w:cs="Arial" w:eastAsia="Arial" w:hAnsi="Arial"/>
                <w:sz w:val="12"/>
                <w:szCs w:val="12"/>
                <w:color w:val="auto"/>
              </w:rPr>
              <w:t>Total other expenses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(211,074)</w:t>
            </w:r>
          </w:p>
        </w:tc>
        <w:tc>
          <w:tcPr>
            <w:tcW w:w="100" w:type="dxa"/>
            <w:vAlign w:val="bottom"/>
          </w:tcPr>
          <w:p>
            <w:pPr>
              <w:spacing w:after="0"/>
              <w:rPr>
                <w:sz w:val="12"/>
                <w:szCs w:val="12"/>
                <w:color w:val="auto"/>
              </w:rPr>
            </w:pPr>
          </w:p>
        </w:tc>
        <w:tc>
          <w:tcPr>
            <w:tcW w:w="280" w:type="dxa"/>
            <w:vAlign w:val="bottom"/>
          </w:tcPr>
          <w:p>
            <w:pPr>
              <w:jc w:val="center"/>
              <w:ind w:right="120"/>
              <w:spacing w:after="0"/>
              <w:rPr>
                <w:sz w:val="20"/>
                <w:szCs w:val="20"/>
                <w:color w:val="auto"/>
              </w:rPr>
            </w:pPr>
            <w:r>
              <w:rPr>
                <w:rFonts w:ascii="Arial" w:cs="Arial" w:eastAsia="Arial" w:hAnsi="Arial"/>
                <w:sz w:val="12"/>
                <w:szCs w:val="12"/>
                <w:color w:val="auto"/>
                <w:w w:val="89"/>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(229,279)</w:t>
            </w:r>
          </w:p>
        </w:tc>
        <w:tc>
          <w:tcPr>
            <w:tcW w:w="44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18,205</w:t>
            </w:r>
          </w:p>
        </w:tc>
        <w:tc>
          <w:tcPr>
            <w:tcW w:w="480" w:type="dxa"/>
            <w:vAlign w:val="bottom"/>
          </w:tcPr>
          <w:p>
            <w:pPr>
              <w:jc w:val="right"/>
              <w:spacing w:after="0"/>
              <w:rPr>
                <w:sz w:val="20"/>
                <w:szCs w:val="20"/>
                <w:color w:val="auto"/>
              </w:rPr>
            </w:pPr>
            <w:r>
              <w:rPr>
                <w:rFonts w:ascii="Arial" w:cs="Arial" w:eastAsia="Arial" w:hAnsi="Arial"/>
                <w:sz w:val="12"/>
                <w:szCs w:val="12"/>
                <w:color w:val="auto"/>
                <w:w w:val="91"/>
              </w:rPr>
              <w:t>$158,343</w:t>
            </w: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2"/>
                <w:szCs w:val="12"/>
                <w:color w:val="auto"/>
              </w:rPr>
            </w:pPr>
          </w:p>
        </w:tc>
      </w:tr>
      <w:tr>
        <w:trPr>
          <w:trHeight w:val="20"/>
        </w:trPr>
        <w:tc>
          <w:tcPr>
            <w:tcW w:w="4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08"/>
        </w:trPr>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504"/>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
        </w:trPr>
        <w:tc>
          <w:tcPr>
            <w:tcW w:w="48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2" w:right="299" w:bottom="1440" w:gutter="0" w:footer="0" w:header="0"/>
        </w:sectPr>
      </w:pPr>
    </w:p>
    <w:bookmarkStart w:id="45" w:name="page46"/>
    <w:bookmarkEnd w:id="45"/>
    <w:p>
      <w:pPr>
        <w:ind w:left="420"/>
        <w:spacing w:after="0"/>
        <w:rPr>
          <w:sz w:val="20"/>
          <w:szCs w:val="20"/>
          <w:color w:val="auto"/>
        </w:rPr>
      </w:pPr>
      <w:r>
        <w:rPr>
          <w:rFonts w:ascii="Arial" w:cs="Arial" w:eastAsia="Arial" w:hAnsi="Arial"/>
          <w:sz w:val="12"/>
          <w:szCs w:val="12"/>
          <w:b w:val="1"/>
          <w:bCs w:val="1"/>
          <w:color w:val="auto"/>
        </w:rPr>
        <w:t>Interest expense</w:t>
      </w:r>
    </w:p>
    <w:p>
      <w:pPr>
        <w:spacing w:after="0" w:line="173" w:lineRule="exact"/>
        <w:rPr>
          <w:sz w:val="20"/>
          <w:szCs w:val="20"/>
          <w:color w:val="auto"/>
        </w:rPr>
      </w:pPr>
    </w:p>
    <w:p>
      <w:pPr>
        <w:ind w:right="80" w:firstLine="434"/>
        <w:spacing w:after="0" w:line="265" w:lineRule="auto"/>
        <w:rPr>
          <w:sz w:val="20"/>
          <w:szCs w:val="20"/>
          <w:color w:val="auto"/>
        </w:rPr>
      </w:pPr>
      <w:r>
        <w:rPr>
          <w:rFonts w:ascii="Arial" w:cs="Arial" w:eastAsia="Arial" w:hAnsi="Arial"/>
          <w:sz w:val="12"/>
          <w:szCs w:val="12"/>
          <w:color w:val="auto"/>
        </w:rPr>
        <w:t>Interest expense increased by $0.3 million and decreased by $0.4 million, for the three months and nine months ended September 30, 2021, as compared to the corresponding periods in the prior year. Results for the three months and nine months ended September 30, 2021 benefited from reductions in outstanding obligations under our Amended Credit Facility (as defined below). Both periods were impacted by the timing of our Senior Note issuances in the prior year and revolver drawdown in the first quarter of 2020 related to COVID-19. See Note 8 for further details.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Losses on debt extinguishment</w:t>
      </w:r>
    </w:p>
    <w:p>
      <w:pPr>
        <w:spacing w:after="0" w:line="173" w:lineRule="exact"/>
        <w:rPr>
          <w:sz w:val="20"/>
          <w:szCs w:val="20"/>
          <w:color w:val="auto"/>
        </w:rPr>
      </w:pPr>
    </w:p>
    <w:p>
      <w:pPr>
        <w:ind w:right="40" w:firstLine="434"/>
        <w:spacing w:after="0" w:line="265" w:lineRule="auto"/>
        <w:rPr>
          <w:sz w:val="20"/>
          <w:szCs w:val="20"/>
          <w:color w:val="auto"/>
        </w:rPr>
      </w:pPr>
      <w:r>
        <w:rPr>
          <w:rFonts w:ascii="Arial" w:cs="Arial" w:eastAsia="Arial" w:hAnsi="Arial"/>
          <w:sz w:val="12"/>
          <w:szCs w:val="12"/>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resulting in the retirement of such Senior Notes. The Company recorded a loss on the early extinguishment of debt related to this retirement of $17.3 million, primarily for call premium charges and debt issuance write-offs.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Taxes</w:t>
      </w:r>
    </w:p>
    <w:p>
      <w:pPr>
        <w:spacing w:after="0" w:line="173" w:lineRule="exact"/>
        <w:rPr>
          <w:sz w:val="20"/>
          <w:szCs w:val="20"/>
          <w:color w:val="auto"/>
        </w:rPr>
      </w:pPr>
    </w:p>
    <w:p>
      <w:pPr>
        <w:ind w:right="200" w:firstLine="434"/>
        <w:spacing w:after="0" w:line="382" w:lineRule="auto"/>
        <w:rPr>
          <w:sz w:val="20"/>
          <w:szCs w:val="20"/>
          <w:color w:val="auto"/>
        </w:rPr>
      </w:pPr>
      <w:r>
        <w:rPr>
          <w:rFonts w:ascii="Arial" w:cs="Arial" w:eastAsia="Arial" w:hAnsi="Arial"/>
          <w:sz w:val="10"/>
          <w:szCs w:val="10"/>
          <w:color w:val="auto"/>
        </w:rPr>
        <w:t>During the three months and nine months ended September 30, 2021, income tax expense was approximately $5.6 million and $11.8 million compared with and income tax expense of $2.6 million and $2.1 million, for the three months and nine months ended September 30, 2020, respectively. The reason for the increase was due to the sale of the operations of Hollywood Casino Perryville, as well as improved performance at our TRS Segment.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primary sources of liquidity and capital resources are cash flow from operations, borrowings from banks, and proceeds from the issuance of debt and equity securities.</w:t>
      </w:r>
    </w:p>
    <w:p>
      <w:pPr>
        <w:spacing w:after="0" w:line="151" w:lineRule="exact"/>
        <w:rPr>
          <w:sz w:val="20"/>
          <w:szCs w:val="20"/>
          <w:color w:val="auto"/>
        </w:rPr>
      </w:pPr>
    </w:p>
    <w:p>
      <w:pPr>
        <w:ind w:right="60" w:firstLine="434"/>
        <w:spacing w:after="0" w:line="283" w:lineRule="auto"/>
        <w:rPr>
          <w:sz w:val="20"/>
          <w:szCs w:val="20"/>
          <w:color w:val="auto"/>
        </w:rPr>
      </w:pPr>
      <w:r>
        <w:rPr>
          <w:rFonts w:ascii="Arial" w:cs="Arial" w:eastAsia="Arial" w:hAnsi="Arial"/>
          <w:sz w:val="11"/>
          <w:szCs w:val="11"/>
          <w:color w:val="auto"/>
        </w:rPr>
        <w:t>Net cash provided by operating activities was $616.0 million and $310.5 million during the nine months ended September 30, 2021 and 2020, respectively. The increase in net cash provided by operating activities of $305.5 million for the nine months ended September 30, 2021, as compared to the corresponding period in the prior year, was primarily comprised of an increase in cash receipts from customers of $327.9 million, and a decrease in cash paid to employees of $9.3 million partially offset by an increase in cash paid for taxes of $12.0 million, an increase in interest payments of $12.4 million and an increase in cash paid for operating expenses of $6.2 million. The increase in cash receipts collected from our customers for the nine months ended September 30, 2021, as compared to the corresponding period in the prior year, was primarily due to the higher percentage rent received on the Penn Master lease due to strong results at the Hollywood Casino Columbus and Hollywood Casino Toledo properties, the Bally's and Morgantown acquisitions, along with strong re-openings of our TRS Properties, which were forced to close in mid-March 2020 due to the impact of COVID-19. These properties reopened in May 2020 and June 2020 as previously discussed. The reduction in cash paid to employees was primarily due to lower bonus payouts in 2021 related to 2020 performance due to COVID-19. The increase in taxes paid was due to the sale of the operations of Hollywood Casino Perryville and strong results at the TRS Properties.</w:t>
      </w:r>
    </w:p>
    <w:p>
      <w:pPr>
        <w:spacing w:after="0" w:line="132" w:lineRule="exact"/>
        <w:rPr>
          <w:sz w:val="20"/>
          <w:szCs w:val="20"/>
          <w:color w:val="auto"/>
        </w:rPr>
      </w:pPr>
    </w:p>
    <w:p>
      <w:pPr>
        <w:ind w:firstLine="434"/>
        <w:spacing w:after="0" w:line="300" w:lineRule="auto"/>
        <w:rPr>
          <w:sz w:val="20"/>
          <w:szCs w:val="20"/>
          <w:color w:val="auto"/>
        </w:rPr>
      </w:pPr>
      <w:r>
        <w:rPr>
          <w:rFonts w:ascii="Arial" w:cs="Arial" w:eastAsia="Arial" w:hAnsi="Arial"/>
          <w:sz w:val="11"/>
          <w:szCs w:val="11"/>
          <w:color w:val="auto"/>
        </w:rPr>
        <w:t>Investing activities used cash of $457.8 million and $1.6 million during the nine months ended September 30, 2021 and 2020, respectively. Net cash used in investing activities during the nine months ended September 30, 2021 consisted of $487.5 million for the acquisition of real estate assets in the Bally's transaction and capital expenditures of $3.3 million., partially offset by the net proceeds received for the sale of the operations of Hollywood Casino Perryville to Penn of $30.8 million and proceeds from sales of property of $2.1 million. Net cash used in investing activities for the nine months ended September 30, 2020 consisted of capital expenditures of $1.6 million.</w:t>
      </w:r>
    </w:p>
    <w:p>
      <w:pPr>
        <w:spacing w:after="0" w:line="123" w:lineRule="exact"/>
        <w:rPr>
          <w:sz w:val="20"/>
          <w:szCs w:val="20"/>
          <w:color w:val="auto"/>
        </w:rPr>
      </w:pPr>
    </w:p>
    <w:p>
      <w:pPr>
        <w:ind w:right="40" w:firstLine="434"/>
        <w:spacing w:after="0" w:line="256" w:lineRule="auto"/>
        <w:rPr>
          <w:sz w:val="20"/>
          <w:szCs w:val="20"/>
          <w:color w:val="auto"/>
        </w:rPr>
      </w:pPr>
      <w:r>
        <w:rPr>
          <w:rFonts w:ascii="Arial" w:cs="Arial" w:eastAsia="Arial" w:hAnsi="Arial"/>
          <w:sz w:val="12"/>
          <w:szCs w:val="12"/>
          <w:color w:val="auto"/>
        </w:rPr>
        <w:t>Financing activities used cash of $225.0 million and $229.8 million during the nine months ended September 30, 2021 and 2020, respectively. Net cash used in financing activities during the nine months ended September 30, 2021 was driven by dividend payments of $468.2 million and taxes paid related to shares withheld for tax purposes on restricted stock award vestings of $9.8 million partially offset by $253.1 million in net proceeds received from the Company's continuous equity offering under which the Company may sell up to an aggregate of $600 million of its common stock from time to time through a sales agent in "at the market" offerings. Cash used in financing activities during the nine months ended September 30, 2020 was driven by $2,064.7 million of proceeds from the issuance of long-term debt, partially offset by repayments of long-term debt of $2,060.9 million, dividend payments of $202.9 million, $15.7 million of premium and related costs paid on the retirement of certain Senior Notes, and taxes paid related to shares withheld for tax purposes on restricted stock award vestings of $15.3 million. During the three months ended March 31, 2020, the Company fully drew down on its revolving credit facility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46" w:name="page47"/>
    <w:bookmarkEnd w:id="46"/>
    <w:p>
      <w:pPr>
        <w:ind w:right="140"/>
        <w:spacing w:after="0" w:line="278" w:lineRule="auto"/>
        <w:rPr>
          <w:sz w:val="20"/>
          <w:szCs w:val="20"/>
          <w:color w:val="auto"/>
        </w:rPr>
      </w:pPr>
      <w:r>
        <w:rPr>
          <w:rFonts w:ascii="Arial" w:cs="Arial" w:eastAsia="Arial" w:hAnsi="Arial"/>
          <w:sz w:val="12"/>
          <w:szCs w:val="12"/>
          <w:color w:val="auto"/>
        </w:rPr>
        <w:t>to increase its liquidity due to the COVID-19 outbreak which resulted in the shut-down of all of our tenants' properties. Additionally, as described in Note 13 in the Condensed Consolidated Financial Statements, the third and second quarter 2020 dividends were paid partially in cash and in the Company's shares.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Capital Expenditures</w:t>
      </w:r>
    </w:p>
    <w:p>
      <w:pPr>
        <w:spacing w:after="0" w:line="151" w:lineRule="exact"/>
        <w:rPr>
          <w:sz w:val="20"/>
          <w:szCs w:val="20"/>
          <w:color w:val="auto"/>
        </w:rPr>
      </w:pPr>
    </w:p>
    <w:p>
      <w:pPr>
        <w:ind w:firstLine="434"/>
        <w:spacing w:after="0" w:line="300" w:lineRule="auto"/>
        <w:rPr>
          <w:sz w:val="20"/>
          <w:szCs w:val="20"/>
          <w:color w:val="auto"/>
        </w:rPr>
      </w:pPr>
      <w:r>
        <w:rPr>
          <w:rFonts w:ascii="Arial" w:cs="Arial" w:eastAsia="Arial" w:hAnsi="Arial"/>
          <w:sz w:val="11"/>
          <w:szCs w:val="11"/>
          <w:color w:val="auto"/>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23" w:lineRule="exact"/>
        <w:rPr>
          <w:sz w:val="20"/>
          <w:szCs w:val="20"/>
          <w:color w:val="auto"/>
        </w:rPr>
      </w:pPr>
    </w:p>
    <w:p>
      <w:pPr>
        <w:ind w:right="40" w:firstLine="434"/>
        <w:spacing w:after="0" w:line="265" w:lineRule="auto"/>
        <w:rPr>
          <w:sz w:val="20"/>
          <w:szCs w:val="20"/>
          <w:color w:val="auto"/>
        </w:rPr>
      </w:pPr>
      <w:r>
        <w:rPr>
          <w:rFonts w:ascii="Arial" w:cs="Arial" w:eastAsia="Arial" w:hAnsi="Arial"/>
          <w:sz w:val="12"/>
          <w:szCs w:val="12"/>
          <w:color w:val="auto"/>
        </w:rPr>
        <w:t>During the nine months ended September 30, 2021 and 2020, the TRS Properties spent approximately $3.3 million and $1.6 million, respectively, for capital expenditures. The majority of the capital maintenance expenditures were for slot machines and slot machine equipment. Under the triple-net lease structure, our tenants are responsible for capital maintenance expenditures at our leased properties. However, during 2021, $1.6 million was incurred on capital project expenditures related to a landside development project at Hollywood Casino Baton Rouge.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Debt</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Senior Unsecured Credit Facility</w:t>
      </w:r>
    </w:p>
    <w:p>
      <w:pPr>
        <w:spacing w:after="0" w:line="173" w:lineRule="exact"/>
        <w:rPr>
          <w:sz w:val="20"/>
          <w:szCs w:val="20"/>
          <w:color w:val="auto"/>
        </w:rPr>
      </w:pPr>
    </w:p>
    <w:p>
      <w:pPr>
        <w:ind w:right="200" w:firstLine="434"/>
        <w:spacing w:after="0" w:line="278" w:lineRule="auto"/>
        <w:rPr>
          <w:sz w:val="20"/>
          <w:szCs w:val="20"/>
          <w:color w:val="auto"/>
        </w:rPr>
      </w:pPr>
      <w:r>
        <w:rPr>
          <w:rFonts w:ascii="Arial" w:cs="Arial" w:eastAsia="Arial" w:hAnsi="Arial"/>
          <w:sz w:val="12"/>
          <w:szCs w:val="12"/>
          <w:color w:val="auto"/>
        </w:rPr>
        <w:t>Prior to June 25, 2020, the Company's senior unsecured credit facility (the "Credit Facility") consisted of a $1,175 million revolving credit facility (the "Revolver") with a maturity date of May 21, 2023, and a $449 million Term Loan A-1 facility with a maturity date of April 28, 2021.</w:t>
      </w:r>
    </w:p>
    <w:p>
      <w:pPr>
        <w:spacing w:after="0" w:line="132" w:lineRule="exact"/>
        <w:rPr>
          <w:sz w:val="20"/>
          <w:szCs w:val="20"/>
          <w:color w:val="auto"/>
        </w:rPr>
      </w:pPr>
    </w:p>
    <w:p>
      <w:pPr>
        <w:ind w:right="40" w:firstLine="434"/>
        <w:spacing w:after="0" w:line="256" w:lineRule="auto"/>
        <w:rPr>
          <w:sz w:val="20"/>
          <w:szCs w:val="20"/>
          <w:color w:val="auto"/>
        </w:rPr>
      </w:pPr>
      <w:r>
        <w:rPr>
          <w:rFonts w:ascii="Arial" w:cs="Arial" w:eastAsia="Arial" w:hAnsi="Arial"/>
          <w:sz w:val="12"/>
          <w:szCs w:val="12"/>
          <w:color w:val="auto"/>
        </w:rPr>
        <w:t>The Company fully drew down on its Revolver in the first quarter of 2020 to increase its liquidity position and repay certain senior unsecured notes. On June 25, 2020, the Company entered into an amendment to the Credit Facility (as amended, the "Amended Credit Facility"), which extended the maturity date of approximately $224 million of outstanding Term Loan A-1 facility borrowings to May 21, 2023, which term loans are now classified as a new tranche of term loans (Term Loans A-2). Additionally, the Company borrowed incremental Term Loans A-2 totaling $200 million. Furthermore, on June 25, 2020, the Company closed on an offering of $500 million of 4.00% unsecured senior notes due in January 2031 at an issue price equal to 98.827% of the principal amount. The Company utilized the proceeds from these two financings along with cash on hand to repay all outstanding obligations under its Revolver. On August 18, 2020, the Company borrowed an additional $200 million of 4.00% unsecured senior notes due in January 2031 at an issue price equal to 103.824% of the principal amount. The Company utilized the net proceeds from this additional borrowing to repay indebtedness under the Term Loan A-1 facility.</w:t>
      </w:r>
    </w:p>
    <w:p>
      <w:pPr>
        <w:spacing w:after="0" w:line="148" w:lineRule="exact"/>
        <w:rPr>
          <w:sz w:val="20"/>
          <w:szCs w:val="20"/>
          <w:color w:val="auto"/>
        </w:rPr>
      </w:pPr>
    </w:p>
    <w:p>
      <w:pPr>
        <w:ind w:right="40" w:firstLine="434"/>
        <w:spacing w:after="0" w:line="265" w:lineRule="auto"/>
        <w:rPr>
          <w:sz w:val="20"/>
          <w:szCs w:val="20"/>
          <w:color w:val="auto"/>
        </w:rPr>
      </w:pPr>
      <w:r>
        <w:rPr>
          <w:rFonts w:ascii="Arial" w:cs="Arial" w:eastAsia="Arial" w:hAnsi="Arial"/>
          <w:sz w:val="12"/>
          <w:szCs w:val="12"/>
          <w:color w:val="auto"/>
        </w:rPr>
        <w:t>At September 30, 2021, the Amended Credit Facility had a gross outstanding balance of $424.0 million, consisting of the Term Loan A-2 facility. Additionally, at September 30, 2021, the Company was contingently obligated under letters of credit issued pursuant to the Amended Credit Facility with face amounts aggregating approximately $0.4 million, resulting in $1,174.6 million available borrowing capacity under the Revolver as of September 30, 2021.</w:t>
      </w:r>
    </w:p>
    <w:p>
      <w:pPr>
        <w:spacing w:after="0" w:line="140" w:lineRule="exact"/>
        <w:rPr>
          <w:sz w:val="20"/>
          <w:szCs w:val="20"/>
          <w:color w:val="auto"/>
        </w:rPr>
      </w:pPr>
    </w:p>
    <w:p>
      <w:pPr>
        <w:ind w:right="140" w:firstLine="434"/>
        <w:spacing w:after="0" w:line="256" w:lineRule="auto"/>
        <w:rPr>
          <w:sz w:val="20"/>
          <w:szCs w:val="20"/>
          <w:color w:val="auto"/>
        </w:rPr>
      </w:pPr>
      <w:r>
        <w:rPr>
          <w:rFonts w:ascii="Arial" w:cs="Arial" w:eastAsia="Arial" w:hAnsi="Arial"/>
          <w:sz w:val="12"/>
          <w:szCs w:val="12"/>
          <w:color w:val="auto"/>
        </w:rPr>
        <w:t>The interest rates payable on the loans are, at the Company's option, equal to either a LIBOR rate or a base rate plus an applicable margin, which ranges from 1.0% to 2.0% per annum for LIBOR loans and 0.0% to 1.0% per annum for base rate loans, in each case, depending on the credit ratings assigned to the Amended Credit Facility. At September 30, 2021, the applicable margin was 1.50% for LIBOR loans and 0.50% for base rate loans. In addition, the Company is required to pay a commitment fee on the unused portion of the commitments under the Revolver at a rate that ranges from 0.15% to 0.35% per annum, depending on the credit ratings assigned to the Amended Credit Facility. At September 30, 2021, the commitment fee rate was 0.25%. The Company is not required to repay any loans under the Amended Credit Facility prior to maturity and may prepay all or any portion of the loans under the Amended Credit Facility prior to maturity without premium or penalty, subject to reimbursement of any LIBOR breakage costs of the lenders. The Company's wholly owned subsidiary, GLP Capital, is the primary obligor under the Amended Credit Facility, which is guaranteed by GLPI.</w:t>
      </w:r>
    </w:p>
    <w:p>
      <w:pPr>
        <w:spacing w:after="0" w:line="148" w:lineRule="exact"/>
        <w:rPr>
          <w:sz w:val="20"/>
          <w:szCs w:val="20"/>
          <w:color w:val="auto"/>
        </w:rPr>
      </w:pPr>
    </w:p>
    <w:p>
      <w:pPr>
        <w:jc w:val="both"/>
        <w:ind w:right="100" w:firstLine="434"/>
        <w:spacing w:after="0" w:line="265" w:lineRule="auto"/>
        <w:rPr>
          <w:sz w:val="20"/>
          <w:szCs w:val="20"/>
          <w:color w:val="auto"/>
        </w:rPr>
      </w:pPr>
      <w:r>
        <w:rPr>
          <w:rFonts w:ascii="Arial" w:cs="Arial" w:eastAsia="Arial" w:hAnsi="Arial"/>
          <w:sz w:val="12"/>
          <w:szCs w:val="12"/>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Amended Credit Facility contains the following financial covenants, which are measured quarterly on a trailing four-quarter basis: a maximum total debt to total asset value ratio, a maximum senior secured debt to total asset value ratio, a maximum ratio</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646" w:right="299" w:bottom="1440" w:gutter="0" w:footer="0" w:header="0"/>
        </w:sectPr>
      </w:pPr>
    </w:p>
    <w:bookmarkStart w:id="47" w:name="page48"/>
    <w:bookmarkEnd w:id="47"/>
    <w:p>
      <w:pPr>
        <w:spacing w:after="0" w:line="287" w:lineRule="auto"/>
        <w:rPr>
          <w:sz w:val="20"/>
          <w:szCs w:val="20"/>
          <w:color w:val="auto"/>
        </w:rPr>
      </w:pPr>
      <w:r>
        <w:rPr>
          <w:rFonts w:ascii="Arial" w:cs="Arial" w:eastAsia="Arial" w:hAnsi="Arial"/>
          <w:sz w:val="11"/>
          <w:szCs w:val="11"/>
          <w:color w:val="auto"/>
        </w:rPr>
        <w:t>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 At September 30, 2021, the Company was in compliance with all required financial covenants under the Amended Credit Facility.</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Senior Unsecured Notes</w:t>
      </w:r>
    </w:p>
    <w:p>
      <w:pPr>
        <w:spacing w:after="0" w:line="173"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The Company recorded a loss on the early extinguishment of debt related to the redemption of $17.3 million, primarily for call premium charges and debt issuance write-offs.</w:t>
      </w:r>
    </w:p>
    <w:p>
      <w:pPr>
        <w:spacing w:after="0" w:line="140" w:lineRule="exact"/>
        <w:rPr>
          <w:sz w:val="20"/>
          <w:szCs w:val="20"/>
          <w:color w:val="auto"/>
        </w:rPr>
      </w:pPr>
    </w:p>
    <w:p>
      <w:pPr>
        <w:ind w:right="140" w:firstLine="434"/>
        <w:spacing w:after="0" w:line="249" w:lineRule="auto"/>
        <w:rPr>
          <w:sz w:val="20"/>
          <w:szCs w:val="20"/>
          <w:color w:val="auto"/>
        </w:rPr>
      </w:pPr>
      <w:r>
        <w:rPr>
          <w:rFonts w:ascii="Arial" w:cs="Arial" w:eastAsia="Arial" w:hAnsi="Arial"/>
          <w:sz w:val="12"/>
          <w:szCs w:val="12"/>
          <w:color w:val="auto"/>
        </w:rPr>
        <w:t>At September 30, 2021, the Company had $5,375.0 million of outstanding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September 30, 2021, the Company was in compliance with all required financial covenants under its Senior Notes.</w:t>
      </w:r>
    </w:p>
    <w:p>
      <w:pPr>
        <w:spacing w:after="0" w:line="160" w:lineRule="exact"/>
        <w:rPr>
          <w:sz w:val="20"/>
          <w:szCs w:val="20"/>
          <w:color w:val="auto"/>
        </w:rPr>
      </w:pPr>
    </w:p>
    <w:p>
      <w:pPr>
        <w:ind w:right="140" w:firstLine="434"/>
        <w:spacing w:after="0" w:line="265" w:lineRule="auto"/>
        <w:rPr>
          <w:sz w:val="20"/>
          <w:szCs w:val="20"/>
          <w:color w:val="auto"/>
        </w:rPr>
      </w:pPr>
      <w:r>
        <w:rPr>
          <w:rFonts w:ascii="Arial" w:cs="Arial" w:eastAsia="Arial" w:hAnsi="Arial"/>
          <w:sz w:val="12"/>
          <w:szCs w:val="12"/>
          <w:color w:val="auto"/>
        </w:rPr>
        <w:t>GLPI guarantees the Senior Notes that were co-issued by its subsidiaries, GLP Capital and GLP Financing II, Inc. Each of the subsidiary issuers is 100% owned by GLPI. The guarantees of GLPI are full and unconditional. GLPI is not subject to any material or significant restrictions on its ability to obtain funds from its subsidiaries through dividends or loans or to transfer assets from such subsidiaries, except as provided by applicable law. None of GLPI's other subsidiaries guarantee the Senior Notes.</w:t>
      </w:r>
    </w:p>
    <w:p>
      <w:pPr>
        <w:spacing w:after="0" w:line="163" w:lineRule="exact"/>
        <w:rPr>
          <w:sz w:val="20"/>
          <w:szCs w:val="20"/>
          <w:color w:val="auto"/>
        </w:rPr>
      </w:pPr>
    </w:p>
    <w:tbl>
      <w:tblPr>
        <w:tblLayout w:type="fixed"/>
        <w:tblInd w:w="680" w:type="dxa"/>
        <w:tblCellMar>
          <w:top w:w="0" w:type="dxa"/>
          <w:left w:w="0" w:type="dxa"/>
          <w:bottom w:w="0" w:type="dxa"/>
          <w:right w:w="0" w:type="dxa"/>
        </w:tblCellMar>
      </w:tblPr>
      <w:tr>
        <w:trPr>
          <w:trHeight w:val="154"/>
        </w:trPr>
        <w:tc>
          <w:tcPr>
            <w:tcW w:w="2820" w:type="dxa"/>
            <w:vAlign w:val="bottom"/>
          </w:tcPr>
          <w:p>
            <w:pPr>
              <w:spacing w:after="0"/>
              <w:rPr>
                <w:sz w:val="13"/>
                <w:szCs w:val="13"/>
                <w:color w:val="auto"/>
              </w:rPr>
            </w:pPr>
          </w:p>
        </w:tc>
        <w:tc>
          <w:tcPr>
            <w:tcW w:w="4780" w:type="dxa"/>
            <w:vAlign w:val="bottom"/>
            <w:gridSpan w:val="5"/>
          </w:tcPr>
          <w:p>
            <w:pPr>
              <w:ind w:left="520"/>
              <w:spacing w:after="0"/>
              <w:rPr>
                <w:sz w:val="20"/>
                <w:szCs w:val="20"/>
                <w:color w:val="auto"/>
              </w:rPr>
            </w:pPr>
            <w:r>
              <w:rPr>
                <w:rFonts w:ascii="Arial" w:cs="Arial" w:eastAsia="Arial" w:hAnsi="Arial"/>
                <w:sz w:val="12"/>
                <w:szCs w:val="12"/>
                <w:b w:val="1"/>
                <w:bCs w:val="1"/>
                <w:color w:val="auto"/>
                <w:w w:val="94"/>
              </w:rPr>
              <w:t>Summarized financial information for Subsidiary Issuers and Parent Guarantor</w:t>
            </w:r>
          </w:p>
        </w:tc>
        <w:tc>
          <w:tcPr>
            <w:tcW w:w="5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2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As of September 30, 2021</w:t>
            </w:r>
          </w:p>
        </w:tc>
        <w:tc>
          <w:tcPr>
            <w:tcW w:w="2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b w:val="1"/>
                <w:bCs w:val="1"/>
                <w:color w:val="auto"/>
              </w:rPr>
              <w:t>As of December 31, 2020</w:t>
            </w:r>
          </w:p>
        </w:tc>
        <w:tc>
          <w:tcPr>
            <w:tcW w:w="0" w:type="dxa"/>
            <w:vAlign w:val="bottom"/>
          </w:tcPr>
          <w:p>
            <w:pPr>
              <w:spacing w:after="0"/>
              <w:rPr>
                <w:sz w:val="1"/>
                <w:szCs w:val="1"/>
                <w:color w:val="auto"/>
              </w:rPr>
            </w:pPr>
          </w:p>
        </w:tc>
      </w:tr>
      <w:tr>
        <w:trPr>
          <w:trHeight w:val="143"/>
        </w:trPr>
        <w:tc>
          <w:tcPr>
            <w:tcW w:w="2820" w:type="dxa"/>
            <w:vAlign w:val="bottom"/>
            <w:shd w:val="clear" w:color="auto" w:fill="CCEEFF"/>
          </w:tcPr>
          <w:p>
            <w:pPr>
              <w:ind w:left="440"/>
              <w:spacing w:after="0" w:line="134" w:lineRule="exact"/>
              <w:rPr>
                <w:sz w:val="20"/>
                <w:szCs w:val="20"/>
                <w:color w:val="auto"/>
              </w:rPr>
            </w:pPr>
            <w:r>
              <w:rPr>
                <w:rFonts w:ascii="Arial" w:cs="Arial" w:eastAsia="Arial" w:hAnsi="Arial"/>
                <w:sz w:val="12"/>
                <w:szCs w:val="12"/>
                <w:color w:val="auto"/>
              </w:rPr>
              <w:t>Real estate investments, net</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3,170,720</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2,720,767</w:t>
            </w:r>
          </w:p>
        </w:tc>
        <w:tc>
          <w:tcPr>
            <w:tcW w:w="0" w:type="dxa"/>
            <w:vAlign w:val="bottom"/>
          </w:tcPr>
          <w:p>
            <w:pPr>
              <w:spacing w:after="0"/>
              <w:rPr>
                <w:sz w:val="1"/>
                <w:szCs w:val="1"/>
                <w:color w:val="auto"/>
              </w:rPr>
            </w:pPr>
          </w:p>
        </w:tc>
      </w:tr>
      <w:tr>
        <w:trPr>
          <w:trHeight w:val="154"/>
        </w:trPr>
        <w:tc>
          <w:tcPr>
            <w:tcW w:w="2820" w:type="dxa"/>
            <w:vAlign w:val="bottom"/>
          </w:tcPr>
          <w:p>
            <w:pPr>
              <w:ind w:left="440"/>
              <w:spacing w:after="0"/>
              <w:rPr>
                <w:sz w:val="20"/>
                <w:szCs w:val="20"/>
                <w:color w:val="auto"/>
              </w:rPr>
            </w:pPr>
            <w:r>
              <w:rPr>
                <w:rFonts w:ascii="Arial" w:cs="Arial" w:eastAsia="Arial" w:hAnsi="Arial"/>
                <w:sz w:val="12"/>
                <w:szCs w:val="12"/>
                <w:color w:val="auto"/>
              </w:rPr>
              <w:t>Right-of-use assets and land rights, net</w:t>
            </w: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60" w:type="dxa"/>
            <w:vAlign w:val="bottom"/>
          </w:tcPr>
          <w:p>
            <w:pPr>
              <w:jc w:val="right"/>
              <w:spacing w:after="0"/>
              <w:rPr>
                <w:sz w:val="20"/>
                <w:szCs w:val="20"/>
                <w:color w:val="auto"/>
              </w:rPr>
            </w:pPr>
            <w:r>
              <w:rPr>
                <w:rFonts w:ascii="Arial" w:cs="Arial" w:eastAsia="Arial" w:hAnsi="Arial"/>
                <w:sz w:val="12"/>
                <w:szCs w:val="12"/>
                <w:color w:val="auto"/>
              </w:rPr>
              <w:t>220,299</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80" w:type="dxa"/>
            <w:vAlign w:val="bottom"/>
          </w:tcPr>
          <w:p>
            <w:pPr>
              <w:jc w:val="right"/>
              <w:spacing w:after="0"/>
              <w:rPr>
                <w:sz w:val="20"/>
                <w:szCs w:val="20"/>
                <w:color w:val="auto"/>
              </w:rPr>
            </w:pPr>
            <w:r>
              <w:rPr>
                <w:rFonts w:ascii="Arial" w:cs="Arial" w:eastAsia="Arial" w:hAnsi="Arial"/>
                <w:sz w:val="12"/>
                <w:szCs w:val="12"/>
                <w:color w:val="auto"/>
              </w:rPr>
              <w:t>121,866</w:t>
            </w:r>
          </w:p>
        </w:tc>
        <w:tc>
          <w:tcPr>
            <w:tcW w:w="0" w:type="dxa"/>
            <w:vAlign w:val="bottom"/>
          </w:tcPr>
          <w:p>
            <w:pPr>
              <w:spacing w:after="0"/>
              <w:rPr>
                <w:sz w:val="1"/>
                <w:szCs w:val="1"/>
                <w:color w:val="auto"/>
              </w:rPr>
            </w:pPr>
          </w:p>
        </w:tc>
      </w:tr>
      <w:tr>
        <w:trPr>
          <w:trHeight w:val="154"/>
        </w:trPr>
        <w:tc>
          <w:tcPr>
            <w:tcW w:w="28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Cash and cash equivalents</w:t>
            </w:r>
          </w:p>
        </w:tc>
        <w:tc>
          <w:tcPr>
            <w:tcW w:w="1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422,760</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480,066</w:t>
            </w:r>
          </w:p>
        </w:tc>
        <w:tc>
          <w:tcPr>
            <w:tcW w:w="0" w:type="dxa"/>
            <w:vAlign w:val="bottom"/>
          </w:tcPr>
          <w:p>
            <w:pPr>
              <w:spacing w:after="0"/>
              <w:rPr>
                <w:sz w:val="1"/>
                <w:szCs w:val="1"/>
                <w:color w:val="auto"/>
              </w:rPr>
            </w:pPr>
          </w:p>
        </w:tc>
      </w:tr>
      <w:tr>
        <w:trPr>
          <w:trHeight w:val="118"/>
        </w:trPr>
        <w:tc>
          <w:tcPr>
            <w:tcW w:w="4780" w:type="dxa"/>
            <w:vAlign w:val="bottom"/>
            <w:gridSpan w:val="3"/>
          </w:tcPr>
          <w:p>
            <w:pPr>
              <w:ind w:left="440"/>
              <w:spacing w:after="0" w:line="118" w:lineRule="exact"/>
              <w:rPr>
                <w:sz w:val="20"/>
                <w:szCs w:val="20"/>
                <w:color w:val="auto"/>
              </w:rPr>
            </w:pPr>
            <w:r>
              <w:rPr>
                <w:rFonts w:ascii="Arial" w:cs="Arial" w:eastAsia="Arial" w:hAnsi="Arial"/>
                <w:sz w:val="12"/>
                <w:szCs w:val="12"/>
                <w:color w:val="auto"/>
              </w:rPr>
              <w:t>Long term debt, net of unamortized debt issuance costs, bond premiums</w:t>
            </w:r>
          </w:p>
        </w:tc>
        <w:tc>
          <w:tcPr>
            <w:tcW w:w="2260" w:type="dxa"/>
            <w:vAlign w:val="bottom"/>
            <w:vMerge w:val="restart"/>
          </w:tcPr>
          <w:p>
            <w:pPr>
              <w:jc w:val="right"/>
              <w:spacing w:after="0"/>
              <w:rPr>
                <w:sz w:val="20"/>
                <w:szCs w:val="20"/>
                <w:color w:val="auto"/>
              </w:rPr>
            </w:pPr>
            <w:r>
              <w:rPr>
                <w:rFonts w:ascii="Arial" w:cs="Arial" w:eastAsia="Arial" w:hAnsi="Arial"/>
                <w:sz w:val="12"/>
                <w:szCs w:val="12"/>
                <w:color w:val="auto"/>
              </w:rPr>
              <w:t>5,761,997</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80" w:type="dxa"/>
            <w:vAlign w:val="bottom"/>
            <w:vMerge w:val="restart"/>
          </w:tcPr>
          <w:p>
            <w:pPr>
              <w:jc w:val="right"/>
              <w:spacing w:after="0"/>
              <w:rPr>
                <w:sz w:val="20"/>
                <w:szCs w:val="20"/>
                <w:color w:val="auto"/>
              </w:rPr>
            </w:pPr>
            <w:r>
              <w:rPr>
                <w:rFonts w:ascii="Arial" w:cs="Arial" w:eastAsia="Arial" w:hAnsi="Arial"/>
                <w:sz w:val="12"/>
                <w:szCs w:val="12"/>
                <w:color w:val="auto"/>
              </w:rPr>
              <w:t>5,754,689</w:t>
            </w:r>
          </w:p>
        </w:tc>
        <w:tc>
          <w:tcPr>
            <w:tcW w:w="0" w:type="dxa"/>
            <w:vAlign w:val="bottom"/>
          </w:tcPr>
          <w:p>
            <w:pPr>
              <w:spacing w:after="0"/>
              <w:rPr>
                <w:sz w:val="1"/>
                <w:szCs w:val="1"/>
                <w:color w:val="auto"/>
              </w:rPr>
            </w:pPr>
          </w:p>
        </w:tc>
      </w:tr>
      <w:tr>
        <w:trPr>
          <w:trHeight w:val="153"/>
        </w:trPr>
        <w:tc>
          <w:tcPr>
            <w:tcW w:w="2820" w:type="dxa"/>
            <w:vAlign w:val="bottom"/>
          </w:tcPr>
          <w:p>
            <w:pPr>
              <w:spacing w:after="0"/>
              <w:rPr>
                <w:sz w:val="20"/>
                <w:szCs w:val="20"/>
                <w:color w:val="auto"/>
              </w:rPr>
            </w:pPr>
            <w:r>
              <w:rPr>
                <w:rFonts w:ascii="Arial" w:cs="Arial" w:eastAsia="Arial" w:hAnsi="Arial"/>
                <w:sz w:val="12"/>
                <w:szCs w:val="12"/>
                <w:color w:val="auto"/>
              </w:rPr>
              <w:t>and original issuance discounts</w:t>
            </w: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8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Accrued interest</w:t>
            </w:r>
          </w:p>
        </w:tc>
        <w:tc>
          <w:tcPr>
            <w:tcW w:w="1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81,440</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72,285</w:t>
            </w:r>
          </w:p>
        </w:tc>
        <w:tc>
          <w:tcPr>
            <w:tcW w:w="0" w:type="dxa"/>
            <w:vAlign w:val="bottom"/>
          </w:tcPr>
          <w:p>
            <w:pPr>
              <w:spacing w:after="0"/>
              <w:rPr>
                <w:sz w:val="1"/>
                <w:szCs w:val="1"/>
                <w:color w:val="auto"/>
              </w:rPr>
            </w:pPr>
          </w:p>
        </w:tc>
      </w:tr>
      <w:tr>
        <w:trPr>
          <w:trHeight w:val="154"/>
        </w:trPr>
        <w:tc>
          <w:tcPr>
            <w:tcW w:w="2820" w:type="dxa"/>
            <w:vAlign w:val="bottom"/>
          </w:tcPr>
          <w:p>
            <w:pPr>
              <w:ind w:left="440"/>
              <w:spacing w:after="0"/>
              <w:rPr>
                <w:sz w:val="20"/>
                <w:szCs w:val="20"/>
                <w:color w:val="auto"/>
              </w:rPr>
            </w:pPr>
            <w:r>
              <w:rPr>
                <w:rFonts w:ascii="Arial" w:cs="Arial" w:eastAsia="Arial" w:hAnsi="Arial"/>
                <w:sz w:val="12"/>
                <w:szCs w:val="12"/>
                <w:color w:val="auto"/>
              </w:rPr>
              <w:t>Lease liabilities</w:t>
            </w: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60" w:type="dxa"/>
            <w:vAlign w:val="bottom"/>
          </w:tcPr>
          <w:p>
            <w:pPr>
              <w:jc w:val="right"/>
              <w:spacing w:after="0"/>
              <w:rPr>
                <w:sz w:val="20"/>
                <w:szCs w:val="20"/>
                <w:color w:val="auto"/>
              </w:rPr>
            </w:pPr>
            <w:r>
              <w:rPr>
                <w:rFonts w:ascii="Arial" w:cs="Arial" w:eastAsia="Arial" w:hAnsi="Arial"/>
                <w:sz w:val="12"/>
                <w:szCs w:val="12"/>
                <w:color w:val="auto"/>
              </w:rPr>
              <w:t>93,090</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80" w:type="dxa"/>
            <w:vAlign w:val="bottom"/>
          </w:tcPr>
          <w:p>
            <w:pPr>
              <w:jc w:val="right"/>
              <w:spacing w:after="0"/>
              <w:rPr>
                <w:sz w:val="20"/>
                <w:szCs w:val="20"/>
                <w:color w:val="auto"/>
              </w:rPr>
            </w:pPr>
            <w:r>
              <w:rPr>
                <w:rFonts w:ascii="Arial" w:cs="Arial" w:eastAsia="Arial" w:hAnsi="Arial"/>
                <w:sz w:val="12"/>
                <w:szCs w:val="12"/>
                <w:color w:val="auto"/>
              </w:rPr>
              <w:t>58,654</w:t>
            </w:r>
          </w:p>
        </w:tc>
        <w:tc>
          <w:tcPr>
            <w:tcW w:w="0" w:type="dxa"/>
            <w:vAlign w:val="bottom"/>
          </w:tcPr>
          <w:p>
            <w:pPr>
              <w:spacing w:after="0"/>
              <w:rPr>
                <w:sz w:val="1"/>
                <w:szCs w:val="1"/>
                <w:color w:val="auto"/>
              </w:rPr>
            </w:pPr>
          </w:p>
        </w:tc>
      </w:tr>
      <w:tr>
        <w:trPr>
          <w:trHeight w:val="154"/>
        </w:trPr>
        <w:tc>
          <w:tcPr>
            <w:tcW w:w="28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Deferred rental revenue</w:t>
            </w:r>
          </w:p>
        </w:tc>
        <w:tc>
          <w:tcPr>
            <w:tcW w:w="1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251,429</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265,891</w:t>
            </w: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3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80" w:type="dxa"/>
            <w:vAlign w:val="bottom"/>
            <w:gridSpan w:val="2"/>
          </w:tcPr>
          <w:p>
            <w:pPr>
              <w:ind w:left="20"/>
              <w:spacing w:after="0"/>
              <w:rPr>
                <w:sz w:val="20"/>
                <w:szCs w:val="20"/>
                <w:color w:val="auto"/>
              </w:rPr>
            </w:pPr>
            <w:r>
              <w:rPr>
                <w:rFonts w:ascii="Arial" w:cs="Arial" w:eastAsia="Arial" w:hAnsi="Arial"/>
                <w:sz w:val="12"/>
                <w:szCs w:val="12"/>
                <w:b w:val="1"/>
                <w:bCs w:val="1"/>
                <w:color w:val="auto"/>
              </w:rPr>
              <w:t>For the nine months ended September 30, 2021</w:t>
            </w:r>
          </w:p>
        </w:tc>
        <w:tc>
          <w:tcPr>
            <w:tcW w:w="640" w:type="dxa"/>
            <w:vAlign w:val="bottom"/>
          </w:tcPr>
          <w:p>
            <w:pPr>
              <w:spacing w:after="0"/>
              <w:rPr>
                <w:sz w:val="13"/>
                <w:szCs w:val="13"/>
                <w:color w:val="auto"/>
              </w:rPr>
            </w:pPr>
          </w:p>
        </w:tc>
        <w:tc>
          <w:tcPr>
            <w:tcW w:w="2460" w:type="dxa"/>
            <w:vAlign w:val="bottom"/>
          </w:tcPr>
          <w:p>
            <w:pPr>
              <w:ind w:left="140"/>
              <w:spacing w:after="0"/>
              <w:rPr>
                <w:sz w:val="20"/>
                <w:szCs w:val="20"/>
                <w:color w:val="auto"/>
              </w:rPr>
            </w:pPr>
            <w:r>
              <w:rPr>
                <w:rFonts w:ascii="Arial" w:cs="Arial" w:eastAsia="Arial" w:hAnsi="Arial"/>
                <w:sz w:val="12"/>
                <w:szCs w:val="12"/>
                <w:b w:val="1"/>
                <w:bCs w:val="1"/>
                <w:color w:val="auto"/>
              </w:rPr>
              <w:t>For the year ended December 31, 2020</w:t>
            </w:r>
          </w:p>
        </w:tc>
      </w:tr>
      <w:tr>
        <w:trPr>
          <w:trHeight w:val="143"/>
        </w:trPr>
        <w:tc>
          <w:tcPr>
            <w:tcW w:w="3960" w:type="dxa"/>
            <w:vAlign w:val="bottom"/>
            <w:tcBorders>
              <w:top w:val="single" w:sz="8" w:color="CCEEFF"/>
            </w:tcBorders>
            <w:shd w:val="clear" w:color="auto" w:fill="CCEEFF"/>
          </w:tcPr>
          <w:p>
            <w:pPr>
              <w:ind w:left="440"/>
              <w:spacing w:after="0" w:line="134" w:lineRule="exact"/>
              <w:rPr>
                <w:sz w:val="20"/>
                <w:szCs w:val="20"/>
                <w:color w:val="auto"/>
              </w:rPr>
            </w:pPr>
            <w:r>
              <w:rPr>
                <w:rFonts w:ascii="Arial" w:cs="Arial" w:eastAsia="Arial" w:hAnsi="Arial"/>
                <w:sz w:val="12"/>
                <w:szCs w:val="12"/>
                <w:color w:val="auto"/>
              </w:rPr>
              <w:t>Revenues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540" w:type="dxa"/>
            <w:vAlign w:val="bottom"/>
            <w:tcBorders>
              <w:top w:val="single" w:sz="8" w:color="auto"/>
            </w:tcBorders>
            <w:shd w:val="clear" w:color="auto" w:fill="CCEEFF"/>
          </w:tcPr>
          <w:p>
            <w:pPr>
              <w:jc w:val="center"/>
              <w:ind w:left="1980"/>
              <w:spacing w:after="0"/>
              <w:rPr>
                <w:sz w:val="20"/>
                <w:szCs w:val="20"/>
                <w:color w:val="auto"/>
              </w:rPr>
            </w:pPr>
            <w:r>
              <w:rPr>
                <w:rFonts w:ascii="Arial" w:cs="Arial" w:eastAsia="Arial" w:hAnsi="Arial"/>
                <w:sz w:val="12"/>
                <w:szCs w:val="12"/>
                <w:color w:val="auto"/>
                <w:w w:val="87"/>
              </w:rPr>
              <w:t>477,909</w:t>
            </w:r>
          </w:p>
        </w:tc>
        <w:tc>
          <w:tcPr>
            <w:tcW w:w="2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460" w:type="dxa"/>
            <w:vAlign w:val="bottom"/>
            <w:tcBorders>
              <w:top w:val="single" w:sz="8" w:color="auto"/>
            </w:tcBorders>
            <w:shd w:val="clear" w:color="auto" w:fill="CCEEFF"/>
          </w:tcPr>
          <w:p>
            <w:pPr>
              <w:jc w:val="center"/>
              <w:ind w:left="1880"/>
              <w:spacing w:after="0"/>
              <w:rPr>
                <w:sz w:val="20"/>
                <w:szCs w:val="20"/>
                <w:color w:val="auto"/>
              </w:rPr>
            </w:pPr>
            <w:r>
              <w:rPr>
                <w:rFonts w:ascii="Arial" w:cs="Arial" w:eastAsia="Arial" w:hAnsi="Arial"/>
                <w:sz w:val="12"/>
                <w:szCs w:val="12"/>
                <w:color w:val="auto"/>
                <w:w w:val="92"/>
              </w:rPr>
              <w:t>580,428</w:t>
            </w:r>
          </w:p>
        </w:tc>
      </w:tr>
      <w:tr>
        <w:trPr>
          <w:trHeight w:val="154"/>
        </w:trPr>
        <w:tc>
          <w:tcPr>
            <w:tcW w:w="3960" w:type="dxa"/>
            <w:vAlign w:val="bottom"/>
          </w:tcPr>
          <w:p>
            <w:pPr>
              <w:ind w:left="440"/>
              <w:spacing w:after="0"/>
              <w:rPr>
                <w:sz w:val="20"/>
                <w:szCs w:val="20"/>
                <w:color w:val="auto"/>
              </w:rPr>
            </w:pPr>
            <w:r>
              <w:rPr>
                <w:rFonts w:ascii="Arial" w:cs="Arial" w:eastAsia="Arial" w:hAnsi="Arial"/>
                <w:sz w:val="12"/>
                <w:szCs w:val="12"/>
                <w:color w:val="auto"/>
              </w:rPr>
              <w:t>Income from operations</w:t>
            </w:r>
          </w:p>
        </w:tc>
        <w:tc>
          <w:tcPr>
            <w:tcW w:w="540" w:type="dxa"/>
            <w:vAlign w:val="bottom"/>
          </w:tcPr>
          <w:p>
            <w:pPr>
              <w:spacing w:after="0"/>
              <w:rPr>
                <w:sz w:val="13"/>
                <w:szCs w:val="13"/>
                <w:color w:val="auto"/>
              </w:rPr>
            </w:pPr>
          </w:p>
        </w:tc>
        <w:tc>
          <w:tcPr>
            <w:tcW w:w="2540" w:type="dxa"/>
            <w:vAlign w:val="bottom"/>
          </w:tcPr>
          <w:p>
            <w:pPr>
              <w:jc w:val="center"/>
              <w:ind w:left="1980"/>
              <w:spacing w:after="0"/>
              <w:rPr>
                <w:sz w:val="20"/>
                <w:szCs w:val="20"/>
                <w:color w:val="auto"/>
              </w:rPr>
            </w:pPr>
            <w:r>
              <w:rPr>
                <w:rFonts w:ascii="Arial" w:cs="Arial" w:eastAsia="Arial" w:hAnsi="Arial"/>
                <w:sz w:val="12"/>
                <w:szCs w:val="12"/>
                <w:color w:val="auto"/>
                <w:w w:val="87"/>
              </w:rPr>
              <w:t>342,441</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60" w:type="dxa"/>
            <w:vAlign w:val="bottom"/>
          </w:tcPr>
          <w:p>
            <w:pPr>
              <w:jc w:val="center"/>
              <w:ind w:left="1880"/>
              <w:spacing w:after="0"/>
              <w:rPr>
                <w:sz w:val="20"/>
                <w:szCs w:val="20"/>
                <w:color w:val="auto"/>
              </w:rPr>
            </w:pPr>
            <w:r>
              <w:rPr>
                <w:rFonts w:ascii="Arial" w:cs="Arial" w:eastAsia="Arial" w:hAnsi="Arial"/>
                <w:sz w:val="12"/>
                <w:szCs w:val="12"/>
                <w:color w:val="auto"/>
                <w:w w:val="92"/>
              </w:rPr>
              <w:t>446,708</w:t>
            </w:r>
          </w:p>
        </w:tc>
      </w:tr>
      <w:tr>
        <w:trPr>
          <w:trHeight w:val="154"/>
        </w:trPr>
        <w:tc>
          <w:tcPr>
            <w:tcW w:w="39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Interest expense</w:t>
            </w:r>
          </w:p>
        </w:tc>
        <w:tc>
          <w:tcPr>
            <w:tcW w:w="540" w:type="dxa"/>
            <w:vAlign w:val="bottom"/>
            <w:shd w:val="clear" w:color="auto" w:fill="CCEEFF"/>
          </w:tcPr>
          <w:p>
            <w:pPr>
              <w:spacing w:after="0"/>
              <w:rPr>
                <w:sz w:val="13"/>
                <w:szCs w:val="13"/>
                <w:color w:val="auto"/>
              </w:rPr>
            </w:pPr>
          </w:p>
        </w:tc>
        <w:tc>
          <w:tcPr>
            <w:tcW w:w="2540" w:type="dxa"/>
            <w:vAlign w:val="bottom"/>
            <w:shd w:val="clear" w:color="auto" w:fill="CCEEFF"/>
          </w:tcPr>
          <w:p>
            <w:pPr>
              <w:jc w:val="center"/>
              <w:ind w:left="1960"/>
              <w:spacing w:after="0"/>
              <w:rPr>
                <w:sz w:val="20"/>
                <w:szCs w:val="20"/>
                <w:color w:val="auto"/>
              </w:rPr>
            </w:pPr>
            <w:r>
              <w:rPr>
                <w:rFonts w:ascii="Arial" w:cs="Arial" w:eastAsia="Arial" w:hAnsi="Arial"/>
                <w:sz w:val="12"/>
                <w:szCs w:val="12"/>
                <w:color w:val="auto"/>
                <w:w w:val="93"/>
              </w:rPr>
              <w:t>(211,258)</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60" w:type="dxa"/>
            <w:vAlign w:val="bottom"/>
            <w:shd w:val="clear" w:color="auto" w:fill="CCEEFF"/>
          </w:tcPr>
          <w:p>
            <w:pPr>
              <w:jc w:val="center"/>
              <w:ind w:left="1860"/>
              <w:spacing w:after="0"/>
              <w:rPr>
                <w:sz w:val="20"/>
                <w:szCs w:val="20"/>
                <w:color w:val="auto"/>
              </w:rPr>
            </w:pPr>
            <w:r>
              <w:rPr>
                <w:rFonts w:ascii="Arial" w:cs="Arial" w:eastAsia="Arial" w:hAnsi="Arial"/>
                <w:sz w:val="12"/>
                <w:szCs w:val="12"/>
                <w:color w:val="auto"/>
                <w:w w:val="89"/>
              </w:rPr>
              <w:t>(282,142)</w:t>
            </w:r>
          </w:p>
        </w:tc>
      </w:tr>
      <w:tr>
        <w:trPr>
          <w:trHeight w:val="154"/>
        </w:trPr>
        <w:tc>
          <w:tcPr>
            <w:tcW w:w="3960" w:type="dxa"/>
            <w:vAlign w:val="bottom"/>
          </w:tcPr>
          <w:p>
            <w:pPr>
              <w:ind w:left="440"/>
              <w:spacing w:after="0"/>
              <w:rPr>
                <w:sz w:val="20"/>
                <w:szCs w:val="20"/>
                <w:color w:val="auto"/>
              </w:rPr>
            </w:pPr>
            <w:r>
              <w:rPr>
                <w:rFonts w:ascii="Arial" w:cs="Arial" w:eastAsia="Arial" w:hAnsi="Arial"/>
                <w:sz w:val="12"/>
                <w:szCs w:val="12"/>
                <w:color w:val="auto"/>
              </w:rPr>
              <w:t>Net income</w:t>
            </w:r>
          </w:p>
        </w:tc>
        <w:tc>
          <w:tcPr>
            <w:tcW w:w="540" w:type="dxa"/>
            <w:vAlign w:val="bottom"/>
          </w:tcPr>
          <w:p>
            <w:pPr>
              <w:spacing w:after="0"/>
              <w:rPr>
                <w:sz w:val="13"/>
                <w:szCs w:val="13"/>
                <w:color w:val="auto"/>
              </w:rPr>
            </w:pPr>
          </w:p>
        </w:tc>
        <w:tc>
          <w:tcPr>
            <w:tcW w:w="2540" w:type="dxa"/>
            <w:vAlign w:val="bottom"/>
          </w:tcPr>
          <w:p>
            <w:pPr>
              <w:jc w:val="center"/>
              <w:ind w:left="1980"/>
              <w:spacing w:after="0"/>
              <w:rPr>
                <w:sz w:val="20"/>
                <w:szCs w:val="20"/>
                <w:color w:val="auto"/>
              </w:rPr>
            </w:pPr>
            <w:r>
              <w:rPr>
                <w:rFonts w:ascii="Arial" w:cs="Arial" w:eastAsia="Arial" w:hAnsi="Arial"/>
                <w:sz w:val="12"/>
                <w:szCs w:val="12"/>
                <w:color w:val="auto"/>
                <w:w w:val="87"/>
              </w:rPr>
              <w:t>130,666</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60" w:type="dxa"/>
            <w:vAlign w:val="bottom"/>
          </w:tcPr>
          <w:p>
            <w:pPr>
              <w:jc w:val="center"/>
              <w:ind w:left="1880"/>
              <w:spacing w:after="0"/>
              <w:rPr>
                <w:sz w:val="20"/>
                <w:szCs w:val="20"/>
                <w:color w:val="auto"/>
              </w:rPr>
            </w:pPr>
            <w:r>
              <w:rPr>
                <w:rFonts w:ascii="Arial" w:cs="Arial" w:eastAsia="Arial" w:hAnsi="Arial"/>
                <w:sz w:val="12"/>
                <w:szCs w:val="12"/>
                <w:color w:val="auto"/>
                <w:w w:val="92"/>
              </w:rPr>
              <w:t>146,323</w:t>
            </w:r>
          </w:p>
        </w:tc>
      </w:tr>
    </w:tbl>
    <w:p>
      <w:pPr>
        <w:spacing w:after="0" w:line="208" w:lineRule="exact"/>
        <w:rPr>
          <w:sz w:val="20"/>
          <w:szCs w:val="20"/>
          <w:color w:val="auto"/>
        </w:rPr>
      </w:pPr>
    </w:p>
    <w:p>
      <w:pPr>
        <w:ind w:right="140" w:firstLine="434"/>
        <w:spacing w:after="0" w:line="265" w:lineRule="auto"/>
        <w:rPr>
          <w:sz w:val="20"/>
          <w:szCs w:val="20"/>
          <w:color w:val="auto"/>
        </w:rPr>
      </w:pPr>
      <w:r>
        <w:rPr>
          <w:rFonts w:ascii="Arial" w:cs="Arial" w:eastAsia="Arial" w:hAnsi="Arial"/>
          <w:sz w:val="12"/>
          <w:szCs w:val="12"/>
          <w:color w:val="auto"/>
        </w:rPr>
        <w:t>The financial information presented above is that of the subsidiary issuers and parent guarantor and the financial information of non-issuer subsidiaries has been excluded. The financial information of subsidiary issuers and the parent guarantor has been presented on a combined basis; however, the only asset on the parent guarantor balance sheet is its investment in subsidiaries which is not included in the presentation above in accordance with the disclosure requirements.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48" w:name="page49"/>
    <w:bookmarkEnd w:id="48"/>
    <w:p>
      <w:pPr>
        <w:spacing w:after="0"/>
        <w:rPr>
          <w:sz w:val="20"/>
          <w:szCs w:val="20"/>
          <w:color w:val="auto"/>
        </w:rPr>
      </w:pPr>
      <w:r>
        <w:rPr>
          <w:rFonts w:ascii="Arial" w:cs="Arial" w:eastAsia="Arial" w:hAnsi="Arial"/>
          <w:sz w:val="12"/>
          <w:szCs w:val="12"/>
          <w:i w:val="1"/>
          <w:iCs w:val="1"/>
          <w:color w:val="auto"/>
        </w:rPr>
        <w:t>Distribution Requirements</w:t>
      </w:r>
    </w:p>
    <w:p>
      <w:pPr>
        <w:spacing w:after="0" w:line="169" w:lineRule="exact"/>
        <w:rPr>
          <w:sz w:val="20"/>
          <w:szCs w:val="20"/>
          <w:color w:val="auto"/>
        </w:rPr>
      </w:pPr>
    </w:p>
    <w:p>
      <w:pPr>
        <w:ind w:right="20" w:firstLine="434"/>
        <w:spacing w:after="0" w:line="283" w:lineRule="auto"/>
        <w:rPr>
          <w:sz w:val="20"/>
          <w:szCs w:val="20"/>
          <w:color w:val="auto"/>
        </w:rPr>
      </w:pPr>
      <w:r>
        <w:rPr>
          <w:rFonts w:ascii="Arial" w:cs="Arial" w:eastAsia="Arial" w:hAnsi="Arial"/>
          <w:sz w:val="11"/>
          <w:szCs w:val="11"/>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LIBOR Transition</w:t>
      </w:r>
    </w:p>
    <w:p>
      <w:pPr>
        <w:spacing w:after="0" w:line="169" w:lineRule="exact"/>
        <w:rPr>
          <w:sz w:val="20"/>
          <w:szCs w:val="20"/>
          <w:color w:val="auto"/>
        </w:rPr>
      </w:pPr>
    </w:p>
    <w:p>
      <w:pPr>
        <w:ind w:firstLine="434"/>
        <w:spacing w:after="0" w:line="260" w:lineRule="auto"/>
        <w:rPr>
          <w:sz w:val="20"/>
          <w:szCs w:val="20"/>
          <w:color w:val="auto"/>
        </w:rPr>
      </w:pPr>
      <w:r>
        <w:rPr>
          <w:rFonts w:ascii="Arial" w:cs="Arial" w:eastAsia="Arial" w:hAnsi="Arial"/>
          <w:sz w:val="12"/>
          <w:szCs w:val="12"/>
          <w:color w:val="auto"/>
        </w:rPr>
        <w:t>The majority of our debt is at fixed rates and our exposure to variable interest rates is currently limited to our Revolver and our Term Loan A-2. Both of these debt instruments are indexed to LIBOR which is expected to be phased out during late 2021 through mid-2023. The discontinuance of LIBOR would affect our interest expense and earnings. The borrowings under our Amended Credit Facility will be subject to the expected LIBOR transition. LIBOR is currently expected to transition to a new standard rate, the Secured Overnight Financing Rate (“SOFR”). We are currently monitoring the transition and cannot be certain whether SOFR will become the standard rate for our variable rate debt.</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20"/>
          </w:cols>
          <w:pgMar w:left="300" w:top="809" w:right="379" w:bottom="1440" w:gutter="0" w:footer="0" w:header="0"/>
        </w:sectPr>
      </w:pPr>
    </w:p>
    <w:bookmarkStart w:id="49" w:name="page50"/>
    <w:bookmarkEnd w:id="49"/>
    <w:p>
      <w:pPr>
        <w:ind w:left="8"/>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55" w:lineRule="exact"/>
        <w:rPr>
          <w:sz w:val="20"/>
          <w:szCs w:val="20"/>
          <w:color w:val="auto"/>
        </w:rPr>
      </w:pPr>
    </w:p>
    <w:p>
      <w:pPr>
        <w:ind w:left="8" w:right="240" w:firstLine="434"/>
        <w:spacing w:after="0" w:line="278" w:lineRule="auto"/>
        <w:rPr>
          <w:sz w:val="20"/>
          <w:szCs w:val="20"/>
          <w:color w:val="auto"/>
        </w:rPr>
      </w:pPr>
      <w:r>
        <w:rPr>
          <w:rFonts w:ascii="Arial" w:cs="Arial" w:eastAsia="Arial" w:hAnsi="Arial"/>
          <w:sz w:val="12"/>
          <w:szCs w:val="12"/>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14" w:lineRule="exact"/>
        <w:rPr>
          <w:sz w:val="20"/>
          <w:szCs w:val="20"/>
          <w:color w:val="auto"/>
        </w:rPr>
      </w:pPr>
    </w:p>
    <w:p>
      <w:pPr>
        <w:ind w:left="8" w:firstLine="434"/>
        <w:spacing w:after="0" w:line="258" w:lineRule="auto"/>
        <w:rPr>
          <w:sz w:val="20"/>
          <w:szCs w:val="20"/>
          <w:color w:val="auto"/>
        </w:rPr>
      </w:pPr>
      <w:r>
        <w:rPr>
          <w:rFonts w:ascii="Arial" w:cs="Arial" w:eastAsia="Arial" w:hAnsi="Arial"/>
          <w:sz w:val="12"/>
          <w:szCs w:val="12"/>
          <w:color w:val="auto"/>
        </w:rPr>
        <w:t>GLPI’s primary market risk exposure is interest rate risk with respect to its indebtedness of $5,799.8 million at September 30, 2021. Furthermore, $5,375.0 million of our obligations at September 30, 2021 are the Senior Notes that have fixed interest rates with maturity dates ranging from approximately two years to nine and one-half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spacing w:after="0" w:line="144" w:lineRule="exact"/>
        <w:rPr>
          <w:sz w:val="20"/>
          <w:szCs w:val="20"/>
          <w:color w:val="auto"/>
        </w:rPr>
      </w:pPr>
    </w:p>
    <w:p>
      <w:pPr>
        <w:jc w:val="both"/>
        <w:ind w:left="8" w:right="40" w:firstLine="434"/>
        <w:spacing w:after="0" w:line="265" w:lineRule="auto"/>
        <w:rPr>
          <w:sz w:val="20"/>
          <w:szCs w:val="20"/>
          <w:color w:val="auto"/>
        </w:rPr>
      </w:pPr>
      <w:r>
        <w:rPr>
          <w:rFonts w:ascii="Arial" w:cs="Arial" w:eastAsia="Arial" w:hAnsi="Arial"/>
          <w:sz w:val="12"/>
          <w:szCs w:val="12"/>
          <w:color w:val="auto"/>
        </w:rPr>
        <w:t>The table below provides information at September 30, 2021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September 30, 2021.</w:t>
      </w:r>
    </w:p>
    <w:p>
      <w:pPr>
        <w:spacing w:after="0" w:line="161" w:lineRule="exact"/>
        <w:rPr>
          <w:sz w:val="20"/>
          <w:szCs w:val="20"/>
          <w:color w:val="auto"/>
        </w:rPr>
      </w:pPr>
    </w:p>
    <w:tbl>
      <w:tblPr>
        <w:tblLayout w:type="fixed"/>
        <w:tblInd w:w="28"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0"/>
                <w:szCs w:val="10"/>
                <w:b w:val="1"/>
                <w:bCs w:val="1"/>
                <w:color w:val="auto"/>
                <w:w w:val="85"/>
              </w:rPr>
              <w:t>10/01/21- 12/31/21</w:t>
            </w: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86"/>
              </w:rPr>
              <w:t>1/01/22- 12/31/22</w:t>
            </w: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72"/>
              <w:spacing w:after="0"/>
              <w:rPr>
                <w:sz w:val="20"/>
                <w:szCs w:val="20"/>
                <w:color w:val="auto"/>
              </w:rPr>
            </w:pPr>
            <w:r>
              <w:rPr>
                <w:rFonts w:ascii="Arial" w:cs="Arial" w:eastAsia="Arial" w:hAnsi="Arial"/>
                <w:sz w:val="10"/>
                <w:szCs w:val="10"/>
                <w:b w:val="1"/>
                <w:bCs w:val="1"/>
                <w:color w:val="auto"/>
                <w:w w:val="89"/>
              </w:rPr>
              <w:t>1/01/23- 12/31/23</w:t>
            </w: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90"/>
              </w:rPr>
              <w:t>1/01/24 12/31/24</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89"/>
              </w:rPr>
              <w:t>1/01/25- 12/31/25</w:t>
            </w: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Thereafter</w:t>
            </w: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Total</w:t>
            </w: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89"/>
              </w:rPr>
              <w:t>Fair Value at 9/30/2021</w:t>
            </w:r>
          </w:p>
        </w:tc>
      </w:tr>
      <w:tr>
        <w:trPr>
          <w:trHeight w:val="118"/>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jc w:val="right"/>
              <w:ind w:right="372"/>
              <w:spacing w:after="0"/>
              <w:rPr>
                <w:sz w:val="20"/>
                <w:szCs w:val="20"/>
                <w:color w:val="auto"/>
              </w:rPr>
            </w:pPr>
            <w:r>
              <w:rPr>
                <w:rFonts w:ascii="Arial" w:cs="Arial" w:eastAsia="Arial" w:hAnsi="Arial"/>
                <w:sz w:val="10"/>
                <w:szCs w:val="10"/>
                <w:b w:val="1"/>
                <w:bCs w:val="1"/>
                <w:color w:val="auto"/>
                <w:w w:val="87"/>
              </w:rPr>
              <w:t>(in thousands)</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08"/>
        </w:trPr>
        <w:tc>
          <w:tcPr>
            <w:tcW w:w="2480" w:type="dxa"/>
            <w:vAlign w:val="bottom"/>
            <w:gridSpan w:val="3"/>
            <w:shd w:val="clear" w:color="auto" w:fill="CCEEFF"/>
          </w:tcPr>
          <w:p>
            <w:pPr>
              <w:ind w:left="20"/>
              <w:spacing w:after="0" w:line="101" w:lineRule="exact"/>
              <w:rPr>
                <w:sz w:val="20"/>
                <w:szCs w:val="20"/>
                <w:color w:val="auto"/>
              </w:rPr>
            </w:pPr>
            <w:r>
              <w:rPr>
                <w:rFonts w:ascii="Arial" w:cs="Arial" w:eastAsia="Arial" w:hAnsi="Arial"/>
                <w:sz w:val="10"/>
                <w:szCs w:val="10"/>
                <w:b w:val="1"/>
                <w:bCs w:val="1"/>
                <w:color w:val="auto"/>
              </w:rPr>
              <w:t>Long-term debt: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124"/>
        </w:trPr>
        <w:tc>
          <w:tcPr>
            <w:tcW w:w="20" w:type="dxa"/>
            <w:vAlign w:val="bottom"/>
            <w:tcBorders>
              <w:top w:val="single" w:sz="8" w:color="CCEEFF"/>
            </w:tcBorders>
          </w:tcPr>
          <w:p>
            <w:pPr>
              <w:spacing w:after="0"/>
              <w:rPr>
                <w:sz w:val="10"/>
                <w:szCs w:val="10"/>
                <w:color w:val="auto"/>
              </w:rPr>
            </w:pP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0"/>
                <w:szCs w:val="10"/>
                <w:color w:val="auto"/>
              </w:rPr>
              <w:t>Fixed rate</w:t>
            </w:r>
          </w:p>
        </w:tc>
        <w:tc>
          <w:tcPr>
            <w:tcW w:w="17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ind w:left="520"/>
              <w:spacing w:after="0"/>
              <w:rPr>
                <w:sz w:val="20"/>
                <w:szCs w:val="20"/>
                <w:color w:val="auto"/>
              </w:rPr>
            </w:pPr>
            <w:r>
              <w:rPr>
                <w:rFonts w:ascii="Arial" w:cs="Arial" w:eastAsia="Arial" w:hAnsi="Arial"/>
                <w:sz w:val="10"/>
                <w:szCs w:val="10"/>
                <w:color w:val="auto"/>
              </w:rPr>
              <w:t>—</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CCEEFF"/>
            </w:tcBorders>
          </w:tcPr>
          <w:p>
            <w:pPr>
              <w:ind w:left="660"/>
              <w:spacing w:after="0"/>
              <w:rPr>
                <w:sz w:val="20"/>
                <w:szCs w:val="20"/>
                <w:color w:val="auto"/>
              </w:rPr>
            </w:pPr>
            <w:r>
              <w:rPr>
                <w:rFonts w:ascii="Arial" w:cs="Arial" w:eastAsia="Arial" w:hAnsi="Arial"/>
                <w:sz w:val="10"/>
                <w:szCs w:val="10"/>
                <w:color w:val="auto"/>
              </w:rPr>
              <w:t>—</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CCEEFF"/>
            </w:tcBorders>
          </w:tcPr>
          <w:p>
            <w:pPr>
              <w:jc w:val="right"/>
              <w:ind w:right="32"/>
              <w:spacing w:after="0"/>
              <w:rPr>
                <w:sz w:val="20"/>
                <w:szCs w:val="20"/>
                <w:color w:val="auto"/>
              </w:rPr>
            </w:pPr>
            <w:r>
              <w:rPr>
                <w:rFonts w:ascii="Arial" w:cs="Arial" w:eastAsia="Arial" w:hAnsi="Arial"/>
                <w:sz w:val="10"/>
                <w:szCs w:val="10"/>
                <w:color w:val="auto"/>
              </w:rPr>
              <w:t>500,000</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400,000</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840" w:type="dxa"/>
            <w:vAlign w:val="bottom"/>
            <w:tcBorders>
              <w:top w:val="single" w:sz="8" w:color="CCEEFF"/>
            </w:tcBorders>
          </w:tcPr>
          <w:p>
            <w:pPr>
              <w:jc w:val="right"/>
              <w:ind w:right="12"/>
              <w:spacing w:after="0"/>
              <w:rPr>
                <w:sz w:val="20"/>
                <w:szCs w:val="20"/>
                <w:color w:val="auto"/>
              </w:rPr>
            </w:pPr>
            <w:r>
              <w:rPr>
                <w:rFonts w:ascii="Arial" w:cs="Arial" w:eastAsia="Arial" w:hAnsi="Arial"/>
                <w:sz w:val="10"/>
                <w:szCs w:val="10"/>
                <w:color w:val="auto"/>
              </w:rPr>
              <w:t>850,000</w:t>
            </w:r>
          </w:p>
        </w:tc>
        <w:tc>
          <w:tcPr>
            <w:tcW w:w="220" w:type="dxa"/>
            <w:vAlign w:val="bottom"/>
            <w:tcBorders>
              <w:top w:val="single" w:sz="8" w:color="CCEEFF"/>
            </w:tcBorders>
          </w:tcPr>
          <w:p>
            <w:pPr>
              <w:jc w:val="right"/>
              <w:ind w:right="52"/>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CCEEFF"/>
            </w:tcBorders>
          </w:tcPr>
          <w:p>
            <w:pPr>
              <w:jc w:val="right"/>
              <w:ind w:right="32"/>
              <w:spacing w:after="0"/>
              <w:rPr>
                <w:sz w:val="20"/>
                <w:szCs w:val="20"/>
                <w:color w:val="auto"/>
              </w:rPr>
            </w:pPr>
            <w:r>
              <w:rPr>
                <w:rFonts w:ascii="Arial" w:cs="Arial" w:eastAsia="Arial" w:hAnsi="Arial"/>
                <w:sz w:val="10"/>
                <w:szCs w:val="10"/>
                <w:color w:val="auto"/>
              </w:rPr>
              <w:t>3,625,000</w:t>
            </w:r>
          </w:p>
        </w:tc>
        <w:tc>
          <w:tcPr>
            <w:tcW w:w="280" w:type="dxa"/>
            <w:vAlign w:val="bottom"/>
            <w:tcBorders>
              <w:top w:val="single" w:sz="8" w:color="CCEEFF"/>
            </w:tcBorders>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CCEEFF"/>
            </w:tcBorders>
          </w:tcPr>
          <w:p>
            <w:pPr>
              <w:jc w:val="right"/>
              <w:ind w:right="32"/>
              <w:spacing w:after="0"/>
              <w:rPr>
                <w:sz w:val="20"/>
                <w:szCs w:val="20"/>
                <w:color w:val="auto"/>
              </w:rPr>
            </w:pPr>
            <w:r>
              <w:rPr>
                <w:rFonts w:ascii="Arial" w:cs="Arial" w:eastAsia="Arial" w:hAnsi="Arial"/>
                <w:sz w:val="10"/>
                <w:szCs w:val="10"/>
                <w:color w:val="auto"/>
              </w:rPr>
              <w:t>5,375,000</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5,978,513</w:t>
            </w:r>
          </w:p>
        </w:tc>
      </w:tr>
      <w:tr>
        <w:trPr>
          <w:trHeight w:val="129"/>
        </w:trPr>
        <w:tc>
          <w:tcPr>
            <w:tcW w:w="20" w:type="dxa"/>
            <w:vAlign w:val="bottom"/>
            <w:shd w:val="clear" w:color="auto" w:fill="CCEEFF"/>
          </w:tcPr>
          <w:p>
            <w:pPr>
              <w:spacing w:after="0"/>
              <w:rPr>
                <w:sz w:val="11"/>
                <w:szCs w:val="11"/>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Average interest rate</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ind w:right="72"/>
              <w:spacing w:after="0"/>
              <w:rPr>
                <w:sz w:val="20"/>
                <w:szCs w:val="20"/>
                <w:color w:val="auto"/>
              </w:rPr>
            </w:pPr>
            <w:r>
              <w:rPr>
                <w:rFonts w:ascii="Arial" w:cs="Arial" w:eastAsia="Arial" w:hAnsi="Arial"/>
                <w:sz w:val="10"/>
                <w:szCs w:val="10"/>
                <w:color w:val="auto"/>
                <w:w w:val="91"/>
              </w:rPr>
              <w:t>5.38%</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rPr>
              <w:t>3.35%</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rPr>
              <w:t>5.25%</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rPr>
              <w:t>4.88%</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45"/>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27"/>
        </w:trPr>
        <w:tc>
          <w:tcPr>
            <w:tcW w:w="20" w:type="dxa"/>
            <w:vAlign w:val="bottom"/>
            <w:shd w:val="clear" w:color="auto" w:fill="CCEEFF"/>
          </w:tcPr>
          <w:p>
            <w:pPr>
              <w:spacing w:after="0"/>
              <w:rPr>
                <w:sz w:val="11"/>
                <w:szCs w:val="11"/>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Variable rate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ind w:left="5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ind w:left="6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424,019</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424,019</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424,019</w:t>
            </w:r>
          </w:p>
        </w:tc>
      </w:tr>
      <w:tr>
        <w:trPr>
          <w:trHeight w:val="162"/>
        </w:trPr>
        <w:tc>
          <w:tcPr>
            <w:tcW w:w="2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Arial" w:cs="Arial" w:eastAsia="Arial" w:hAnsi="Arial"/>
                <w:sz w:val="10"/>
                <w:szCs w:val="10"/>
                <w:color w:val="auto"/>
              </w:rPr>
              <w:t xml:space="preserve">Average interest rate </w:t>
            </w:r>
            <w:r>
              <w:rPr>
                <w:rFonts w:ascii="Arial" w:cs="Arial" w:eastAsia="Arial" w:hAnsi="Arial"/>
                <w:sz w:val="12"/>
                <w:szCs w:val="12"/>
                <w:color w:val="auto"/>
                <w:vertAlign w:val="superscript"/>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2"/>
              <w:spacing w:after="0"/>
              <w:rPr>
                <w:sz w:val="20"/>
                <w:szCs w:val="20"/>
                <w:color w:val="auto"/>
              </w:rPr>
            </w:pPr>
            <w:r>
              <w:rPr>
                <w:rFonts w:ascii="Arial" w:cs="Arial" w:eastAsia="Arial" w:hAnsi="Arial"/>
                <w:sz w:val="10"/>
                <w:szCs w:val="10"/>
                <w:color w:val="auto"/>
                <w:w w:val="91"/>
              </w:rPr>
              <w:t>3.11%</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83"/>
        </w:trPr>
        <w:tc>
          <w:tcPr>
            <w:tcW w:w="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r>
    </w:tbl>
    <w:p>
      <w:pPr>
        <w:spacing w:after="0" w:line="185" w:lineRule="exact"/>
        <w:rPr>
          <w:sz w:val="20"/>
          <w:szCs w:val="20"/>
          <w:color w:val="auto"/>
        </w:rPr>
      </w:pPr>
    </w:p>
    <w:p>
      <w:pPr>
        <w:ind w:left="368" w:hanging="368"/>
        <w:spacing w:after="0"/>
        <w:tabs>
          <w:tab w:leader="none" w:pos="368" w:val="left"/>
        </w:tabs>
        <w:numPr>
          <w:ilvl w:val="0"/>
          <w:numId w:val="29"/>
        </w:numPr>
        <w:rPr>
          <w:rFonts w:ascii="Arial" w:cs="Arial" w:eastAsia="Arial" w:hAnsi="Arial"/>
          <w:sz w:val="14"/>
          <w:szCs w:val="14"/>
          <w:color w:val="auto"/>
          <w:vertAlign w:val="superscript"/>
        </w:rPr>
      </w:pPr>
      <w:r>
        <w:rPr>
          <w:rFonts w:ascii="Arial" w:cs="Arial" w:eastAsia="Arial" w:hAnsi="Arial"/>
          <w:sz w:val="11"/>
          <w:szCs w:val="11"/>
          <w:color w:val="auto"/>
        </w:rPr>
        <w:t>Estimated rate, reflective of forward LIBOR plus the spread over LIBOR applicable to variable-rate borrowing. For</w:t>
      </w:r>
    </w:p>
    <w:p>
      <w:pPr>
        <w:ind w:left="8"/>
        <w:spacing w:after="0"/>
        <w:rPr>
          <w:sz w:val="20"/>
          <w:szCs w:val="20"/>
          <w:color w:val="auto"/>
        </w:rPr>
      </w:pPr>
      <w:r>
        <w:rPr>
          <w:rFonts w:ascii="Arial" w:cs="Arial" w:eastAsia="Arial" w:hAnsi="Arial"/>
          <w:sz w:val="11"/>
          <w:szCs w:val="11"/>
          <w:color w:val="auto"/>
        </w:rPr>
        <w:t>considerations surrounding the phase out of LIBOR, refer to the discussion under the heading "Liquidity and Capital Resources" in this Form 10-Q.</w:t>
      </w:r>
    </w:p>
    <w:p>
      <w:pPr>
        <w:spacing w:after="0" w:line="3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968" w:right="299" w:bottom="1440" w:gutter="0" w:footer="0" w:header="0"/>
        </w:sectPr>
      </w:pPr>
    </w:p>
    <w:bookmarkStart w:id="50" w:name="page51"/>
    <w:bookmarkEnd w:id="50"/>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Controls and Procedures</w:t>
      </w:r>
    </w:p>
    <w:p>
      <w:pPr>
        <w:spacing w:after="0" w:line="155" w:lineRule="exact"/>
        <w:rPr>
          <w:sz w:val="20"/>
          <w:szCs w:val="20"/>
          <w:color w:val="auto"/>
        </w:rPr>
      </w:pPr>
    </w:p>
    <w:p>
      <w:pPr>
        <w:ind w:firstLine="434"/>
        <w:spacing w:after="0" w:line="315" w:lineRule="auto"/>
        <w:rPr>
          <w:sz w:val="20"/>
          <w:szCs w:val="20"/>
          <w:color w:val="auto"/>
        </w:rPr>
      </w:pPr>
      <w:r>
        <w:rPr>
          <w:rFonts w:ascii="Arial" w:cs="Arial" w:eastAsia="Arial" w:hAnsi="Arial"/>
          <w:sz w:val="10"/>
          <w:szCs w:val="10"/>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September 30, 2021,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September 30, 2021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73" w:lineRule="exact"/>
        <w:rPr>
          <w:sz w:val="20"/>
          <w:szCs w:val="20"/>
          <w:color w:val="auto"/>
        </w:rPr>
      </w:pPr>
    </w:p>
    <w:p>
      <w:pPr>
        <w:ind w:right="140" w:firstLine="434"/>
        <w:spacing w:after="0" w:line="278" w:lineRule="auto"/>
        <w:rPr>
          <w:sz w:val="20"/>
          <w:szCs w:val="20"/>
          <w:color w:val="auto"/>
        </w:rPr>
      </w:pPr>
      <w:r>
        <w:rPr>
          <w:rFonts w:ascii="Arial" w:cs="Arial" w:eastAsia="Arial" w:hAnsi="Arial"/>
          <w:sz w:val="12"/>
          <w:szCs w:val="12"/>
          <w:color w:val="auto"/>
        </w:rPr>
        <w:t>There were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40"/>
          </w:cols>
          <w:pgMar w:left="300" w:top="642" w:right="35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color w:val="auto"/>
        </w:rPr>
        <w:t>PART II. OTHER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55" w:lineRule="exact"/>
        <w:rPr>
          <w:sz w:val="20"/>
          <w:szCs w:val="20"/>
          <w:color w:val="auto"/>
        </w:rPr>
      </w:pPr>
    </w:p>
    <w:p>
      <w:pPr>
        <w:ind w:firstLine="434"/>
        <w:spacing w:after="0" w:line="278" w:lineRule="auto"/>
        <w:rPr>
          <w:sz w:val="20"/>
          <w:szCs w:val="20"/>
          <w:color w:val="auto"/>
        </w:rPr>
      </w:pPr>
      <w:r>
        <w:rPr>
          <w:rFonts w:ascii="Arial" w:cs="Arial" w:eastAsia="Arial" w:hAnsi="Arial"/>
          <w:sz w:val="12"/>
          <w:szCs w:val="12"/>
          <w:color w:val="auto"/>
        </w:rPr>
        <w:t>Information in response to this Item is incorporated by reference to the information set forth in "Note 10: Commitments and Contingencies" in the Notes to the condensed consolidated financial statements in Part I of this Quarterly Report on Form 10-Q.</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73" w:lineRule="exact"/>
        <w:rPr>
          <w:sz w:val="20"/>
          <w:szCs w:val="20"/>
          <w:color w:val="auto"/>
        </w:rPr>
      </w:pPr>
    </w:p>
    <w:p>
      <w:pPr>
        <w:jc w:val="both"/>
        <w:ind w:right="5140" w:firstLine="434"/>
        <w:spacing w:after="0" w:line="280" w:lineRule="auto"/>
        <w:rPr>
          <w:sz w:val="20"/>
          <w:szCs w:val="20"/>
          <w:color w:val="auto"/>
        </w:rPr>
      </w:pPr>
      <w:r>
        <w:rPr>
          <w:rFonts w:ascii="Arial" w:cs="Arial" w:eastAsia="Arial" w:hAnsi="Arial"/>
          <w:sz w:val="11"/>
          <w:szCs w:val="11"/>
          <w:color w:val="auto"/>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w:t>
      </w:r>
    </w:p>
    <w:p>
      <w:pPr>
        <w:jc w:val="both"/>
        <w:ind w:right="5140"/>
        <w:spacing w:after="0" w:line="301" w:lineRule="auto"/>
        <w:rPr>
          <w:sz w:val="20"/>
          <w:szCs w:val="20"/>
          <w:color w:val="auto"/>
        </w:rPr>
      </w:pPr>
      <w:r>
        <w:rPr>
          <w:rFonts w:ascii="Arial" w:cs="Arial" w:eastAsia="Arial" w:hAnsi="Arial"/>
          <w:sz w:val="10"/>
          <w:szCs w:val="10"/>
          <w:color w:val="auto"/>
        </w:rPr>
        <w:t>Additional risks and uncertainties not currently known to us or that we currently deem immaterial also may materially adversely affect our business, financial condition, and/or operating results. If any of the risks actually occur, our business,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financial condition, and/or results of operations could be negatively affected. There have been no material changes in our risk factors from those previously disclosed in our Annual Report.</w:t>
      </w: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did not repurchase any shares of common stock or sell any unregistered securities during the three months ended September 30, 2021.</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377"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000"/>
          </w:cols>
          <w:pgMar w:left="300" w:top="642" w:right="59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color w:val="auto"/>
        </w:rPr>
        <w:t>ITEM 6. EXHIBITS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360" w:type="dxa"/>
            <w:vAlign w:val="bottom"/>
            <w:gridSpan w:val="2"/>
          </w:tcPr>
          <w:p>
            <w:pPr>
              <w:ind w:left="440"/>
              <w:spacing w:after="0"/>
              <w:rPr>
                <w:sz w:val="20"/>
                <w:szCs w:val="20"/>
                <w:color w:val="auto"/>
              </w:rPr>
            </w:pPr>
            <w:r>
              <w:rPr>
                <w:rFonts w:ascii="Arial" w:cs="Arial" w:eastAsia="Arial" w:hAnsi="Arial"/>
                <w:sz w:val="10"/>
                <w:szCs w:val="10"/>
                <w:b w:val="1"/>
                <w:bCs w:val="1"/>
                <w:color w:val="auto"/>
              </w:rPr>
              <w:t>Exhibit</w:t>
            </w:r>
          </w:p>
        </w:tc>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380" w:type="dxa"/>
            <w:vAlign w:val="bottom"/>
            <w:gridSpan w:val="3"/>
          </w:tcPr>
          <w:p>
            <w:pPr>
              <w:ind w:left="2000"/>
              <w:spacing w:after="0"/>
              <w:rPr>
                <w:sz w:val="20"/>
                <w:szCs w:val="20"/>
                <w:color w:val="auto"/>
              </w:rPr>
            </w:pPr>
            <w:r>
              <w:rPr>
                <w:rFonts w:ascii="Arial" w:cs="Arial" w:eastAsia="Arial" w:hAnsi="Arial"/>
                <w:sz w:val="10"/>
                <w:szCs w:val="10"/>
                <w:b w:val="1"/>
                <w:bCs w:val="1"/>
                <w:color w:val="auto"/>
              </w:rPr>
              <w:t>Description of Exhibit</w:t>
            </w:r>
          </w:p>
        </w:tc>
      </w:tr>
      <w:tr>
        <w:trPr>
          <w:trHeight w:val="120"/>
        </w:trPr>
        <w:tc>
          <w:tcPr>
            <w:tcW w:w="118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color w:val="auto"/>
                <w:w w:val="95"/>
              </w:rPr>
              <w:t>22.1 *</w:t>
            </w:r>
          </w:p>
        </w:tc>
        <w:tc>
          <w:tcPr>
            <w:tcW w:w="1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820" w:type="dxa"/>
            <w:vAlign w:val="bottom"/>
            <w:tcBorders>
              <w:top w:val="single" w:sz="8" w:color="auto"/>
            </w:tcBorders>
            <w:gridSpan w:val="4"/>
          </w:tcPr>
          <w:p>
            <w:pPr>
              <w:spacing w:after="0" w:line="120" w:lineRule="exact"/>
              <w:rPr>
                <w:rFonts w:ascii="Arial" w:cs="Arial" w:eastAsia="Arial" w:hAnsi="Arial"/>
                <w:sz w:val="12"/>
                <w:szCs w:val="12"/>
                <w:color w:val="0000FF"/>
              </w:rPr>
            </w:pPr>
            <w:hyperlink w:anchor="page55">
              <w:r>
                <w:rPr>
                  <w:rFonts w:ascii="Arial" w:cs="Arial" w:eastAsia="Arial" w:hAnsi="Arial"/>
                  <w:sz w:val="12"/>
                  <w:szCs w:val="12"/>
                  <w:color w:val="0000FF"/>
                </w:rPr>
                <w:t>List of Subsidiary Issuers of Guaranteed Securities</w:t>
              </w:r>
            </w:hyperlink>
          </w:p>
        </w:tc>
      </w:tr>
      <w:tr>
        <w:trPr>
          <w:trHeight w:val="20"/>
        </w:trPr>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34"/>
        </w:trPr>
        <w:tc>
          <w:tcPr>
            <w:tcW w:w="1180" w:type="dxa"/>
            <w:vAlign w:val="bottom"/>
          </w:tcPr>
          <w:p>
            <w:pPr>
              <w:jc w:val="center"/>
              <w:spacing w:after="0" w:line="134" w:lineRule="exact"/>
              <w:rPr>
                <w:sz w:val="20"/>
                <w:szCs w:val="20"/>
                <w:color w:val="auto"/>
              </w:rPr>
            </w:pPr>
            <w:r>
              <w:rPr>
                <w:rFonts w:ascii="Arial" w:cs="Arial" w:eastAsia="Arial" w:hAnsi="Arial"/>
                <w:sz w:val="12"/>
                <w:szCs w:val="12"/>
                <w:color w:val="auto"/>
                <w:w w:val="99"/>
              </w:rPr>
              <w:t>31.1*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20" w:type="dxa"/>
            <w:vAlign w:val="bottom"/>
            <w:gridSpan w:val="4"/>
          </w:tcPr>
          <w:p>
            <w:pPr>
              <w:spacing w:after="0" w:line="134" w:lineRule="exact"/>
              <w:rPr>
                <w:rFonts w:ascii="Arial" w:cs="Arial" w:eastAsia="Arial" w:hAnsi="Arial"/>
                <w:sz w:val="12"/>
                <w:szCs w:val="12"/>
                <w:color w:val="0000FF"/>
              </w:rPr>
            </w:pPr>
            <w:hyperlink w:anchor="page56">
              <w:r>
                <w:rPr>
                  <w:rFonts w:ascii="Arial" w:cs="Arial" w:eastAsia="Arial" w:hAnsi="Arial"/>
                  <w:sz w:val="12"/>
                  <w:szCs w:val="12"/>
                  <w:color w:val="0000FF"/>
                </w:rPr>
                <w:t>Principal Executive Officer and Principal Financial Officer Certification pursuant to Rule 13a-14(a) or 15d-14(a) of the Securities Exchange Act of 1934.</w:t>
              </w:r>
            </w:hyperlink>
          </w:p>
        </w:tc>
      </w:tr>
      <w:tr>
        <w:trPr>
          <w:trHeight w:val="20"/>
        </w:trPr>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34"/>
        </w:trPr>
        <w:tc>
          <w:tcPr>
            <w:tcW w:w="1180" w:type="dxa"/>
            <w:vAlign w:val="bottom"/>
          </w:tcPr>
          <w:p>
            <w:pPr>
              <w:jc w:val="center"/>
              <w:spacing w:after="0" w:line="134" w:lineRule="exact"/>
              <w:rPr>
                <w:sz w:val="20"/>
                <w:szCs w:val="20"/>
                <w:color w:val="auto"/>
              </w:rPr>
            </w:pPr>
            <w:r>
              <w:rPr>
                <w:rFonts w:ascii="Arial" w:cs="Arial" w:eastAsia="Arial" w:hAnsi="Arial"/>
                <w:sz w:val="12"/>
                <w:szCs w:val="12"/>
                <w:color w:val="auto"/>
                <w:w w:val="99"/>
              </w:rPr>
              <w:t>32.1*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20" w:type="dxa"/>
            <w:vAlign w:val="bottom"/>
            <w:gridSpan w:val="4"/>
          </w:tcPr>
          <w:p>
            <w:pPr>
              <w:spacing w:after="0" w:line="134" w:lineRule="exact"/>
              <w:rPr>
                <w:rFonts w:ascii="Arial" w:cs="Arial" w:eastAsia="Arial" w:hAnsi="Arial"/>
                <w:sz w:val="12"/>
                <w:szCs w:val="12"/>
                <w:color w:val="0000FF"/>
              </w:rPr>
            </w:pPr>
            <w:hyperlink w:anchor="page57">
              <w:r>
                <w:rPr>
                  <w:rFonts w:ascii="Arial" w:cs="Arial" w:eastAsia="Arial" w:hAnsi="Arial"/>
                  <w:sz w:val="12"/>
                  <w:szCs w:val="12"/>
                  <w:color w:val="0000FF"/>
                </w:rPr>
                <w:t>Principal Executive Officer and Principal Financial Officer Certification pursuant to 18 U.S.C. Section 1350, as adopted pursuant to Section 906 of the Sarbanes- Oxley Act of 2002.</w:t>
              </w:r>
            </w:hyperlink>
          </w:p>
        </w:tc>
      </w:tr>
      <w:tr>
        <w:trPr>
          <w:trHeight w:val="20"/>
        </w:trPr>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8" w:lineRule="exact"/>
        <w:rPr>
          <w:sz w:val="20"/>
          <w:szCs w:val="20"/>
          <w:color w:val="auto"/>
        </w:rPr>
      </w:pPr>
    </w:p>
    <w:p>
      <w:pPr>
        <w:ind w:left="1380" w:right="140" w:hanging="886"/>
        <w:spacing w:after="0" w:line="225" w:lineRule="auto"/>
        <w:tabs>
          <w:tab w:leader="none" w:pos="13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following financial information from Gaming and Leisure Properties, Inc.'s Quarterly Report on Form 10-Q for the quarter ended September 30, 2021, formatted in Inline XBRL: (i) Condensed Consolidated Balance Sheets, ii) Condensed Consolidated Statements of Income, (iii) Condensed Consolidated Statements of Changes in Shareholders’ Equity, (iv) Condensed Consolidated Statements of Cash Flows and (v) Notes to the Condensed Consolidated Financial Statements.</w:t>
      </w:r>
    </w:p>
    <w:p>
      <w:pPr>
        <w:spacing w:after="0" w:line="1" w:lineRule="exact"/>
        <w:rPr>
          <w:sz w:val="20"/>
          <w:szCs w:val="20"/>
          <w:color w:val="auto"/>
        </w:rPr>
      </w:pPr>
    </w:p>
    <w:p>
      <w:pPr>
        <w:ind w:right="1700" w:firstLine="494"/>
        <w:spacing w:after="0" w:line="923" w:lineRule="auto"/>
        <w:tabs>
          <w:tab w:leader="none" w:pos="1386" w:val="left"/>
        </w:tabs>
        <w:numPr>
          <w:ilvl w:val="1"/>
          <w:numId w:val="31"/>
        </w:numPr>
        <w:rPr>
          <w:rFonts w:ascii="Arial" w:cs="Arial" w:eastAsia="Arial" w:hAnsi="Arial"/>
          <w:sz w:val="12"/>
          <w:szCs w:val="12"/>
          <w:color w:val="auto"/>
        </w:rPr>
      </w:pPr>
      <w:r>
        <w:rPr>
          <w:rFonts w:ascii="Arial" w:cs="Arial" w:eastAsia="Arial" w:hAnsi="Arial"/>
          <w:sz w:val="12"/>
          <w:szCs w:val="12"/>
          <w:color w:val="auto"/>
        </w:rPr>
        <w:t xml:space="preserve">The cover page from the Company's Quarterly Report on Form 10-Q for the quarter ended September 30, 2021, formatted in Inline XBRL and contained in Exhibit 101. </w:t>
      </w:r>
      <w:r>
        <w:rPr>
          <w:rFonts w:ascii="Arial" w:cs="Arial" w:eastAsia="Arial" w:hAnsi="Arial"/>
          <w:sz w:val="10"/>
          <w:szCs w:val="10"/>
          <w:color w:val="auto"/>
        </w:rPr>
        <w:t xml:space="preserve">* </w:t>
      </w:r>
      <w:r>
        <w:rPr>
          <w:rFonts w:ascii="Arial" w:cs="Arial" w:eastAsia="Arial" w:hAnsi="Arial"/>
          <w:sz w:val="12"/>
          <w:szCs w:val="12"/>
          <w:color w:val="auto"/>
        </w:rPr>
        <w:t>Filed or furnished, as applicable,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171704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7040" cy="11430"/>
                    </a:xfrm>
                    <a:prstGeom prst="rect">
                      <a:avLst/>
                    </a:prstGeom>
                    <a:noFill/>
                  </pic:spPr>
                </pic:pic>
              </a:graphicData>
            </a:graphic>
          </wp:anchor>
        </w:drawing>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00"/>
          </w:cols>
          <w:pgMar w:left="300" w:top="642" w:right="399" w:bottom="1440" w:gutter="0" w:footer="0" w:header="0"/>
        </w:sectPr>
      </w:pPr>
    </w:p>
    <w:bookmarkStart w:id="53" w:name="page54"/>
    <w:bookmarkEnd w:id="53"/>
    <w:p>
      <w:pPr>
        <w:ind w:left="5300"/>
        <w:spacing w:after="0"/>
        <w:rPr>
          <w:sz w:val="20"/>
          <w:szCs w:val="20"/>
          <w:color w:val="auto"/>
        </w:rPr>
      </w:pPr>
      <w:r>
        <w:rPr>
          <w:rFonts w:ascii="Arial" w:cs="Arial" w:eastAsia="Arial" w:hAnsi="Arial"/>
          <w:sz w:val="12"/>
          <w:szCs w:val="12"/>
          <w:b w:val="1"/>
          <w:bCs w:val="1"/>
          <w:color w:val="auto"/>
        </w:rPr>
        <w:t>SIGNATURE</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60" w:type="dxa"/>
            <w:vAlign w:val="bottom"/>
          </w:tcPr>
          <w:p>
            <w:pPr>
              <w:spacing w:after="0"/>
              <w:rPr>
                <w:sz w:val="13"/>
                <w:szCs w:val="13"/>
                <w:color w:val="auto"/>
              </w:rPr>
            </w:pPr>
          </w:p>
        </w:tc>
        <w:tc>
          <w:tcPr>
            <w:tcW w:w="5880" w:type="dxa"/>
            <w:vAlign w:val="bottom"/>
            <w:gridSpan w:val="4"/>
          </w:tcPr>
          <w:p>
            <w:pPr>
              <w:ind w:left="2240"/>
              <w:spacing w:after="0"/>
              <w:rPr>
                <w:sz w:val="20"/>
                <w:szCs w:val="20"/>
                <w:color w:val="auto"/>
              </w:rPr>
            </w:pPr>
            <w:r>
              <w:rPr>
                <w:rFonts w:ascii="Arial" w:cs="Arial" w:eastAsia="Arial" w:hAnsi="Arial"/>
                <w:sz w:val="12"/>
                <w:szCs w:val="12"/>
                <w:color w:val="auto"/>
              </w:rPr>
              <w:t>GAMING AND LEISURE PROPERTIES, INC.</w:t>
            </w:r>
          </w:p>
        </w:tc>
      </w:tr>
      <w:tr>
        <w:trPr>
          <w:trHeight w:val="280"/>
        </w:trPr>
        <w:tc>
          <w:tcPr>
            <w:tcW w:w="3060" w:type="dxa"/>
            <w:vAlign w:val="bottom"/>
          </w:tcPr>
          <w:p>
            <w:pPr>
              <w:spacing w:after="0"/>
              <w:rPr>
                <w:sz w:val="20"/>
                <w:szCs w:val="20"/>
                <w:color w:val="auto"/>
              </w:rPr>
            </w:pPr>
            <w:r>
              <w:rPr>
                <w:rFonts w:ascii="Arial" w:cs="Arial" w:eastAsia="Arial" w:hAnsi="Arial"/>
                <w:sz w:val="12"/>
                <w:szCs w:val="12"/>
                <w:color w:val="auto"/>
              </w:rPr>
              <w:t>October 28, 2021</w:t>
            </w:r>
          </w:p>
        </w:tc>
        <w:tc>
          <w:tcPr>
            <w:tcW w:w="2460" w:type="dxa"/>
            <w:vAlign w:val="bottom"/>
          </w:tcPr>
          <w:p>
            <w:pPr>
              <w:ind w:left="2240"/>
              <w:spacing w:after="0"/>
              <w:rPr>
                <w:sz w:val="20"/>
                <w:szCs w:val="20"/>
                <w:color w:val="auto"/>
              </w:rPr>
            </w:pPr>
            <w:r>
              <w:rPr>
                <w:rFonts w:ascii="Arial" w:cs="Arial" w:eastAsia="Arial" w:hAnsi="Arial"/>
                <w:sz w:val="12"/>
                <w:szCs w:val="12"/>
                <w:color w:val="auto"/>
              </w:rPr>
              <w:t>By:</w:t>
            </w:r>
          </w:p>
        </w:tc>
        <w:tc>
          <w:tcPr>
            <w:tcW w:w="460" w:type="dxa"/>
            <w:vAlign w:val="bottom"/>
          </w:tcPr>
          <w:p>
            <w:pPr>
              <w:spacing w:after="0"/>
              <w:rPr>
                <w:sz w:val="24"/>
                <w:szCs w:val="2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4"/>
              </w:rPr>
              <w:t>/s/ PETER M. CARLINO</w:t>
            </w:r>
          </w:p>
        </w:tc>
        <w:tc>
          <w:tcPr>
            <w:tcW w:w="1720" w:type="dxa"/>
            <w:vAlign w:val="bottom"/>
          </w:tcPr>
          <w:p>
            <w:pPr>
              <w:spacing w:after="0"/>
              <w:rPr>
                <w:sz w:val="24"/>
                <w:szCs w:val="24"/>
                <w:color w:val="auto"/>
              </w:rPr>
            </w:pPr>
          </w:p>
        </w:tc>
      </w:tr>
      <w:tr>
        <w:trPr>
          <w:trHeight w:val="161"/>
        </w:trPr>
        <w:tc>
          <w:tcPr>
            <w:tcW w:w="3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Peter M. Carlino</w:t>
            </w:r>
          </w:p>
        </w:tc>
      </w:tr>
      <w:tr>
        <w:trPr>
          <w:trHeight w:val="154"/>
        </w:trPr>
        <w:tc>
          <w:tcPr>
            <w:tcW w:w="3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2"/>
                <w:szCs w:val="12"/>
                <w:i w:val="1"/>
                <w:iCs w:val="1"/>
                <w:color w:val="auto"/>
              </w:rPr>
              <w:t>Chairman of the Board and Chief Executive Officer</w:t>
            </w:r>
          </w:p>
        </w:tc>
      </w:tr>
      <w:tr>
        <w:trPr>
          <w:trHeight w:val="154"/>
        </w:trPr>
        <w:tc>
          <w:tcPr>
            <w:tcW w:w="3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2"/>
                <w:szCs w:val="12"/>
                <w:i w:val="1"/>
                <w:iCs w:val="1"/>
                <w:color w:val="auto"/>
                <w:w w:val="94"/>
              </w:rPr>
              <w:t>(Principal Executive Officer and Principal Financial Officer)</w:t>
            </w:r>
          </w:p>
        </w:tc>
      </w:tr>
      <w:tr>
        <w:trPr>
          <w:trHeight w:val="741"/>
        </w:trPr>
        <w:tc>
          <w:tcPr>
            <w:tcW w:w="3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60" w:type="dxa"/>
            <w:vAlign w:val="bottom"/>
          </w:tcPr>
          <w:p>
            <w:pPr>
              <w:jc w:val="right"/>
              <w:ind w:right="220"/>
              <w:spacing w:after="0"/>
              <w:rPr>
                <w:sz w:val="20"/>
                <w:szCs w:val="20"/>
                <w:color w:val="auto"/>
              </w:rPr>
            </w:pPr>
            <w:r>
              <w:rPr>
                <w:rFonts w:ascii="Arial" w:cs="Arial" w:eastAsia="Arial" w:hAnsi="Arial"/>
                <w:sz w:val="12"/>
                <w:szCs w:val="12"/>
                <w:color w:val="auto"/>
              </w:rPr>
              <w:t>53</w:t>
            </w:r>
          </w:p>
        </w:tc>
        <w:tc>
          <w:tcPr>
            <w:tcW w:w="12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0159"/>
          </w:cols>
          <w:pgMar w:left="300" w:top="642"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4"/>
          <w:szCs w:val="14"/>
          <w:b w:val="1"/>
          <w:bCs w:val="1"/>
          <w:color w:val="auto"/>
        </w:rPr>
        <w:t>Exhibit 22.1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List of Subsidiary Issuers of Guaranteed Securities</w:t>
      </w:r>
    </w:p>
    <w:p>
      <w:pPr>
        <w:spacing w:after="0" w:line="114"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The following subsidiaries of Gaming and Leisure Properties, Inc. (the “Company”) were, as of September 30, 2021, issuers of the (i) $500 million 5.375% senior unsecured notes due November 2023, (ii) $400 million 3.35% senior unsecured notes due September 2024, (iii) $850 million 5.25% senior unsecured notes due June 2025, (iv) $975 million 5.375% senior unsecured notes due April 2026, (v) $500 million 5.75% senior unsecured notes due June 2028, (vi) $750 million 5.30% senior unsecured notes due January 2029, (vii) $700 million 4.00% senior unsecured notes due January 2030 and (viii) $700 million 4.000% senior unsecured notes due January 2031, each guaranteed by the Company:</w:t>
      </w:r>
    </w:p>
    <w:tbl>
      <w:tblPr>
        <w:tblLayout w:type="fixed"/>
        <w:tblInd w:w="10" w:type="dxa"/>
        <w:tblCellMar>
          <w:top w:w="0" w:type="dxa"/>
          <w:left w:w="0" w:type="dxa"/>
          <w:bottom w:w="0" w:type="dxa"/>
          <w:right w:w="0" w:type="dxa"/>
        </w:tblCellMar>
      </w:tblPr>
      <w:tr>
        <w:trPr>
          <w:trHeight w:val="171"/>
        </w:trPr>
        <w:tc>
          <w:tcPr>
            <w:tcW w:w="55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Entity</w:t>
            </w:r>
          </w:p>
        </w:tc>
        <w:tc>
          <w:tcPr>
            <w:tcW w:w="55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Jurisdiction of Incorporation or Formation</w:t>
            </w:r>
          </w:p>
        </w:tc>
      </w:tr>
      <w:tr>
        <w:trPr>
          <w:trHeight w:val="170"/>
        </w:trPr>
        <w:tc>
          <w:tcPr>
            <w:tcW w:w="5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GLP Capital, L.P.</w:t>
            </w:r>
          </w:p>
        </w:tc>
        <w:tc>
          <w:tcPr>
            <w:tcW w:w="5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Pennsylvania</w:t>
            </w:r>
          </w:p>
        </w:tc>
      </w:tr>
      <w:tr>
        <w:trPr>
          <w:trHeight w:val="170"/>
        </w:trPr>
        <w:tc>
          <w:tcPr>
            <w:tcW w:w="5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GLP Financing II, Inc.</w:t>
            </w:r>
          </w:p>
        </w:tc>
        <w:tc>
          <w:tcPr>
            <w:tcW w:w="5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300"/>
          </w:cols>
          <w:pgMar w:left="300" w:top="998" w:right="299" w:bottom="1440" w:gutter="0" w:footer="0" w:header="0"/>
        </w:sectPr>
      </w:pPr>
    </w:p>
    <w:bookmarkStart w:id="55" w:name="page56"/>
    <w:bookmarkEnd w:id="55"/>
    <w:p>
      <w:pPr>
        <w:jc w:val="right"/>
        <w:spacing w:after="0"/>
        <w:rPr>
          <w:sz w:val="20"/>
          <w:szCs w:val="20"/>
          <w:color w:val="auto"/>
        </w:rPr>
      </w:pPr>
      <w:r>
        <w:rPr>
          <w:rFonts w:ascii="Arial" w:cs="Arial" w:eastAsia="Arial" w:hAnsi="Arial"/>
          <w:sz w:val="12"/>
          <w:szCs w:val="12"/>
          <w:b w:val="1"/>
          <w:bCs w:val="1"/>
          <w:color w:val="auto"/>
        </w:rPr>
        <w:t>Exhibit 31.1</w:t>
      </w:r>
    </w:p>
    <w:p>
      <w:pPr>
        <w:spacing w:after="0" w:line="15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 RULE 13a-14(a) OR 15d-14(a) OF THE SECURITIES EXCHANGE ACT OF 1934</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color w:val="auto"/>
        </w:rPr>
        <w:t>I, Peter M. Carlino, certify that:</w:t>
      </w:r>
    </w:p>
    <w:p>
      <w:pPr>
        <w:spacing w:after="0" w:line="151" w:lineRule="exact"/>
        <w:rPr>
          <w:sz w:val="20"/>
          <w:szCs w:val="20"/>
          <w:color w:val="auto"/>
        </w:rPr>
      </w:pPr>
    </w:p>
    <w:p>
      <w:pPr>
        <w:ind w:left="448" w:hanging="448"/>
        <w:spacing w:after="0"/>
        <w:tabs>
          <w:tab w:leader="none" w:pos="448" w:val="left"/>
        </w:tabs>
        <w:numPr>
          <w:ilvl w:val="0"/>
          <w:numId w:val="32"/>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Gaming and Leisure Properties, Inc.;</w:t>
      </w:r>
    </w:p>
    <w:p>
      <w:pPr>
        <w:spacing w:after="0" w:line="151" w:lineRule="exact"/>
        <w:rPr>
          <w:rFonts w:ascii="Arial" w:cs="Arial" w:eastAsia="Arial" w:hAnsi="Arial"/>
          <w:sz w:val="12"/>
          <w:szCs w:val="12"/>
          <w:color w:val="auto"/>
        </w:rPr>
      </w:pPr>
    </w:p>
    <w:p>
      <w:pPr>
        <w:ind w:left="8" w:right="160" w:hanging="8"/>
        <w:spacing w:after="0" w:line="278" w:lineRule="auto"/>
        <w:tabs>
          <w:tab w:leader="none" w:pos="463"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8" w:right="20" w:hanging="8"/>
        <w:spacing w:after="0" w:line="278" w:lineRule="auto"/>
        <w:tabs>
          <w:tab w:leader="none" w:pos="463"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8" w:right="280" w:hanging="8"/>
        <w:spacing w:after="0" w:line="278" w:lineRule="auto"/>
        <w:tabs>
          <w:tab w:leader="none" w:pos="463" w:val="left"/>
        </w:tabs>
        <w:numPr>
          <w:ilvl w:val="0"/>
          <w:numId w:val="32"/>
        </w:numPr>
        <w:rPr>
          <w:rFonts w:ascii="Arial" w:cs="Arial" w:eastAsia="Arial" w:hAnsi="Arial"/>
          <w:sz w:val="12"/>
          <w:szCs w:val="12"/>
          <w:color w:val="auto"/>
        </w:rPr>
      </w:pPr>
      <w:r>
        <w:rPr>
          <w:rFonts w:ascii="Arial" w:cs="Arial" w:eastAsia="Arial" w:hAnsi="Arial"/>
          <w:sz w:val="12"/>
          <w:szCs w:val="12"/>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8" w:right="160" w:firstLine="426"/>
        <w:spacing w:after="0" w:line="278" w:lineRule="auto"/>
        <w:tabs>
          <w:tab w:leader="none" w:pos="895" w:val="left"/>
        </w:tabs>
        <w:numPr>
          <w:ilvl w:val="1"/>
          <w:numId w:val="3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 w:right="100" w:firstLine="426"/>
        <w:spacing w:after="0" w:line="278" w:lineRule="auto"/>
        <w:tabs>
          <w:tab w:leader="none" w:pos="703" w:val="left"/>
        </w:tabs>
        <w:numPr>
          <w:ilvl w:val="1"/>
          <w:numId w:val="3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 w:right="280" w:firstLine="426"/>
        <w:spacing w:after="0" w:line="278" w:lineRule="auto"/>
        <w:tabs>
          <w:tab w:leader="none" w:pos="886" w:val="left"/>
        </w:tabs>
        <w:numPr>
          <w:ilvl w:val="1"/>
          <w:numId w:val="3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 w:right="360" w:firstLine="426"/>
        <w:spacing w:after="0" w:line="278" w:lineRule="auto"/>
        <w:tabs>
          <w:tab w:leader="none" w:pos="886" w:val="left"/>
        </w:tabs>
        <w:numPr>
          <w:ilvl w:val="1"/>
          <w:numId w:val="3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8" w:right="100" w:hanging="8"/>
        <w:spacing w:after="0" w:line="278" w:lineRule="auto"/>
        <w:tabs>
          <w:tab w:leader="none" w:pos="463" w:val="left"/>
        </w:tabs>
        <w:numPr>
          <w:ilvl w:val="0"/>
          <w:numId w:val="32"/>
        </w:numPr>
        <w:rPr>
          <w:rFonts w:ascii="Arial" w:cs="Arial" w:eastAsia="Arial" w:hAnsi="Arial"/>
          <w:sz w:val="12"/>
          <w:szCs w:val="12"/>
          <w:color w:val="auto"/>
        </w:rPr>
      </w:pPr>
      <w:r>
        <w:rPr>
          <w:rFonts w:ascii="Arial" w:cs="Arial" w:eastAsia="Arial" w:hAnsi="Arial"/>
          <w:sz w:val="12"/>
          <w:szCs w:val="12"/>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8" w:right="300" w:firstLine="426"/>
        <w:spacing w:after="0" w:line="278" w:lineRule="auto"/>
        <w:tabs>
          <w:tab w:leader="none" w:pos="895" w:val="left"/>
        </w:tabs>
        <w:numPr>
          <w:ilvl w:val="1"/>
          <w:numId w:val="3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888" w:hanging="454"/>
        <w:spacing w:after="0"/>
        <w:tabs>
          <w:tab w:leader="none" w:pos="888" w:val="left"/>
        </w:tabs>
        <w:numPr>
          <w:ilvl w:val="1"/>
          <w:numId w:val="3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48" w:type="dxa"/>
        <w:tblCellMar>
          <w:top w:w="0" w:type="dxa"/>
          <w:left w:w="0" w:type="dxa"/>
          <w:bottom w:w="0" w:type="dxa"/>
          <w:right w:w="0" w:type="dxa"/>
        </w:tblCellMar>
      </w:tblPr>
      <w:tr>
        <w:trPr>
          <w:trHeight w:val="138"/>
        </w:trPr>
        <w:tc>
          <w:tcPr>
            <w:tcW w:w="460" w:type="dxa"/>
            <w:vAlign w:val="bottom"/>
          </w:tcPr>
          <w:p>
            <w:pPr>
              <w:spacing w:after="0"/>
              <w:rPr>
                <w:sz w:val="20"/>
                <w:szCs w:val="20"/>
                <w:color w:val="auto"/>
              </w:rPr>
            </w:pPr>
            <w:r>
              <w:rPr>
                <w:rFonts w:ascii="Arial" w:cs="Arial" w:eastAsia="Arial" w:hAnsi="Arial"/>
                <w:sz w:val="12"/>
                <w:szCs w:val="12"/>
                <w:color w:val="auto"/>
              </w:rPr>
              <w:t>Date:</w:t>
            </w:r>
          </w:p>
        </w:tc>
        <w:tc>
          <w:tcPr>
            <w:tcW w:w="6100" w:type="dxa"/>
            <w:vAlign w:val="bottom"/>
          </w:tcPr>
          <w:p>
            <w:pPr>
              <w:ind w:left="200"/>
              <w:spacing w:after="0"/>
              <w:rPr>
                <w:sz w:val="20"/>
                <w:szCs w:val="20"/>
                <w:color w:val="auto"/>
              </w:rPr>
            </w:pPr>
            <w:r>
              <w:rPr>
                <w:rFonts w:ascii="Arial" w:cs="Arial" w:eastAsia="Arial" w:hAnsi="Arial"/>
                <w:sz w:val="12"/>
                <w:szCs w:val="12"/>
                <w:color w:val="auto"/>
              </w:rPr>
              <w:t>October 28, 2021</w:t>
            </w:r>
          </w:p>
        </w:tc>
        <w:tc>
          <w:tcPr>
            <w:tcW w:w="2680" w:type="dxa"/>
            <w:vAlign w:val="bottom"/>
            <w:gridSpan w:val="2"/>
          </w:tcPr>
          <w:p>
            <w:pPr>
              <w:spacing w:after="0"/>
              <w:rPr>
                <w:sz w:val="20"/>
                <w:szCs w:val="20"/>
                <w:color w:val="auto"/>
              </w:rPr>
            </w:pPr>
            <w:r>
              <w:rPr>
                <w:rFonts w:ascii="Arial" w:cs="Arial" w:eastAsia="Arial" w:hAnsi="Arial"/>
                <w:sz w:val="12"/>
                <w:szCs w:val="12"/>
                <w:color w:val="auto"/>
              </w:rPr>
              <w:t>/s/ Peter M. Carlino</w:t>
            </w:r>
          </w:p>
        </w:tc>
      </w:tr>
      <w:tr>
        <w:trPr>
          <w:trHeight w:val="20"/>
        </w:trPr>
        <w:tc>
          <w:tcPr>
            <w:tcW w:w="4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61"/>
        </w:trPr>
        <w:tc>
          <w:tcPr>
            <w:tcW w:w="46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680" w:type="dxa"/>
            <w:vAlign w:val="bottom"/>
            <w:gridSpan w:val="2"/>
          </w:tcPr>
          <w:p>
            <w:pPr>
              <w:spacing w:after="0"/>
              <w:rPr>
                <w:sz w:val="20"/>
                <w:szCs w:val="20"/>
                <w:color w:val="auto"/>
              </w:rPr>
            </w:pPr>
            <w:r>
              <w:rPr>
                <w:rFonts w:ascii="Arial" w:cs="Arial" w:eastAsia="Arial" w:hAnsi="Arial"/>
                <w:sz w:val="12"/>
                <w:szCs w:val="12"/>
                <w:color w:val="auto"/>
              </w:rPr>
              <w:t>Name: Peter M. Carlino</w:t>
            </w:r>
          </w:p>
        </w:tc>
      </w:tr>
      <w:tr>
        <w:trPr>
          <w:trHeight w:val="154"/>
        </w:trPr>
        <w:tc>
          <w:tcPr>
            <w:tcW w:w="46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680" w:type="dxa"/>
            <w:vAlign w:val="bottom"/>
            <w:gridSpan w:val="2"/>
          </w:tcPr>
          <w:p>
            <w:pPr>
              <w:spacing w:after="0"/>
              <w:rPr>
                <w:sz w:val="20"/>
                <w:szCs w:val="20"/>
                <w:color w:val="auto"/>
              </w:rPr>
            </w:pPr>
            <w:r>
              <w:rPr>
                <w:rFonts w:ascii="Arial" w:cs="Arial" w:eastAsia="Arial" w:hAnsi="Arial"/>
                <w:sz w:val="12"/>
                <w:szCs w:val="12"/>
                <w:i w:val="1"/>
                <w:iCs w:val="1"/>
                <w:color w:val="auto"/>
                <w:w w:val="93"/>
              </w:rPr>
              <w:t>Chief Executive Officer and Principal Financial Officer</w:t>
            </w:r>
          </w:p>
        </w:tc>
      </w:tr>
    </w:tbl>
    <w:p>
      <w:pPr>
        <w:sectPr>
          <w:pgSz w:w="11900" w:h="16838" w:orient="portrait"/>
          <w:cols w:equalWidth="0" w:num="1">
            <w:col w:w="11308"/>
          </w:cols>
          <w:pgMar w:left="292" w:top="642" w:right="299" w:bottom="1440" w:gutter="0" w:footer="0" w:header="0"/>
        </w:sectPr>
      </w:pPr>
    </w:p>
    <w:bookmarkStart w:id="56" w:name="page57"/>
    <w:bookmarkEnd w:id="56"/>
    <w:p>
      <w:pPr>
        <w:jc w:val="right"/>
        <w:spacing w:after="0"/>
        <w:rPr>
          <w:sz w:val="20"/>
          <w:szCs w:val="20"/>
          <w:color w:val="auto"/>
        </w:rPr>
      </w:pPr>
      <w:r>
        <w:rPr>
          <w:rFonts w:ascii="Arial" w:cs="Arial" w:eastAsia="Arial" w:hAnsi="Arial"/>
          <w:sz w:val="12"/>
          <w:szCs w:val="12"/>
          <w:b w:val="1"/>
          <w:bCs w:val="1"/>
          <w:color w:val="auto"/>
        </w:rPr>
        <w:t>Exhibit 32.1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143" w:lineRule="exact"/>
        <w:rPr>
          <w:sz w:val="20"/>
          <w:szCs w:val="20"/>
          <w:color w:val="auto"/>
        </w:rPr>
      </w:pPr>
    </w:p>
    <w:p>
      <w:pPr>
        <w:ind w:right="120" w:firstLine="434"/>
        <w:spacing w:after="0" w:line="325" w:lineRule="auto"/>
        <w:rPr>
          <w:sz w:val="20"/>
          <w:szCs w:val="20"/>
          <w:color w:val="auto"/>
        </w:rPr>
      </w:pPr>
      <w:r>
        <w:rPr>
          <w:rFonts w:ascii="Arial" w:cs="Arial" w:eastAsia="Arial" w:hAnsi="Arial"/>
          <w:sz w:val="11"/>
          <w:szCs w:val="11"/>
          <w:color w:val="auto"/>
        </w:rPr>
        <w:t>In connection with the quarterly report of Gaming and Leisure Properties, Inc. (the “Company”) on Form 10-Q for the quarter ended September 30, 2021, as filed with the Securities and Exchange Commission on the date hereof (the “Report”), I, Peter M. Carlino, Chief Executive Officer and Principal Financial Officer of the Company, certify, pursuant to Section 906 of the Sarbanes-Oxley Act of 2002, 18 U.S.C. Section 1350, that, to my knowledge:</w:t>
      </w:r>
    </w:p>
    <w:p>
      <w:pPr>
        <w:spacing w:after="0" w:line="91" w:lineRule="exact"/>
        <w:rPr>
          <w:sz w:val="20"/>
          <w:szCs w:val="20"/>
          <w:color w:val="auto"/>
        </w:rPr>
      </w:pPr>
    </w:p>
    <w:p>
      <w:pPr>
        <w:ind w:left="880" w:hanging="454"/>
        <w:spacing w:after="0"/>
        <w:tabs>
          <w:tab w:leader="none" w:pos="8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151" w:lineRule="exact"/>
        <w:rPr>
          <w:rFonts w:ascii="Arial" w:cs="Arial" w:eastAsia="Arial" w:hAnsi="Arial"/>
          <w:sz w:val="12"/>
          <w:szCs w:val="12"/>
          <w:color w:val="auto"/>
        </w:rPr>
      </w:pPr>
    </w:p>
    <w:p>
      <w:pPr>
        <w:ind w:left="880" w:hanging="454"/>
        <w:spacing w:after="0"/>
        <w:tabs>
          <w:tab w:leader="none" w:pos="8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3" w:lineRule="exact"/>
        <w:rPr>
          <w:rFonts w:ascii="Arial" w:cs="Arial" w:eastAsia="Arial" w:hAnsi="Arial"/>
          <w:sz w:val="12"/>
          <w:szCs w:val="12"/>
          <w:color w:val="auto"/>
        </w:rPr>
      </w:pPr>
    </w:p>
    <w:p>
      <w:pPr>
        <w:ind w:left="5660" w:right="4680"/>
        <w:spacing w:after="0" w:line="291" w:lineRule="auto"/>
        <w:rPr>
          <w:rFonts w:ascii="Arial" w:cs="Arial" w:eastAsia="Arial" w:hAnsi="Arial"/>
          <w:sz w:val="12"/>
          <w:szCs w:val="12"/>
          <w:color w:val="auto"/>
        </w:rPr>
      </w:pPr>
      <w:r>
        <w:rPr>
          <w:rFonts w:ascii="Arial" w:cs="Arial" w:eastAsia="Arial" w:hAnsi="Arial"/>
          <w:sz w:val="11"/>
          <w:szCs w:val="11"/>
          <w:u w:val="single" w:color="auto"/>
          <w:color w:val="auto"/>
        </w:rPr>
        <w:t xml:space="preserve">/s/ Peter M. Carlino </w:t>
      </w:r>
      <w:r>
        <w:rPr>
          <w:rFonts w:ascii="Arial" w:cs="Arial" w:eastAsia="Arial" w:hAnsi="Arial"/>
          <w:sz w:val="11"/>
          <w:szCs w:val="11"/>
          <w:color w:val="auto"/>
        </w:rPr>
        <w:t>Peter M. Carlino</w:t>
      </w:r>
    </w:p>
    <w:p>
      <w:pPr>
        <w:ind w:left="5660"/>
        <w:spacing w:after="0"/>
        <w:rPr>
          <w:rFonts w:ascii="Arial" w:cs="Arial" w:eastAsia="Arial" w:hAnsi="Arial"/>
          <w:sz w:val="12"/>
          <w:szCs w:val="12"/>
          <w:color w:val="auto"/>
        </w:rPr>
      </w:pPr>
      <w:r>
        <w:rPr>
          <w:rFonts w:ascii="Arial" w:cs="Arial" w:eastAsia="Arial" w:hAnsi="Arial"/>
          <w:sz w:val="12"/>
          <w:szCs w:val="12"/>
          <w:i w:val="1"/>
          <w:iCs w:val="1"/>
          <w:color w:val="auto"/>
        </w:rPr>
        <w:t>Chief Executive Officer and Principal Financial Officer</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Date: October 28, 2021</w:t>
      </w:r>
    </w:p>
    <w:sectPr>
      <w:pgSz w:w="11900" w:h="16838" w:orient="portrait"/>
      <w:cols w:equalWidth="0" w:num="1">
        <w:col w:w="11300"/>
      </w:cols>
      <w:pgMar w:left="300" w:top="64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2"/>
    </w:lvl>
  </w:abstractNum>
  <w:abstractNum w:abstractNumId="6">
    <w:nsid w:val="62BBD95A"/>
    <w:multiLevelType w:val="hybridMultilevel"/>
    <w:lvl w:ilvl="0">
      <w:lvlJc w:val="left"/>
      <w:lvlText w:val="%1."/>
      <w:numFmt w:val="decimal"/>
      <w:start w:val="7"/>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0"/>
    </w:lvl>
  </w:abstractNum>
  <w:abstractNum w:abstractNumId="14">
    <w:nsid w:val="75A2A8D4"/>
    <w:multiLevelType w:val="hybridMultilevel"/>
    <w:lvl w:ilvl="0">
      <w:lvlJc w:val="left"/>
      <w:lvlText w:val="(%1)"/>
      <w:numFmt w:val="lowerRoman"/>
      <w:start w:val="2"/>
    </w:lvl>
  </w:abstractNum>
  <w:abstractNum w:abstractNumId="15">
    <w:nsid w:val="8EDBDAB"/>
    <w:multiLevelType w:val="hybridMultilevel"/>
    <w:lvl w:ilvl="0">
      <w:lvlJc w:val="left"/>
      <w:lvlText w:val="(%1)"/>
      <w:numFmt w:val="lowerRoman"/>
      <w:start w:val="2"/>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6"/>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01"/>
    </w:lvl>
  </w:abstractNum>
  <w:abstractNum w:abstractNumId="30">
    <w:nsid w:val="6CEAF087"/>
    <w:multiLevelType w:val="hybridMultilevel"/>
    <w:lvl w:ilvl="0">
      <w:lvlJc w:val="left"/>
      <w:lvlText w:val="*"/>
      <w:numFmt w:val="bullet"/>
      <w:start w:val="1"/>
    </w:lvl>
    <w:lvl w:ilvl="1">
      <w:lvlJc w:val="left"/>
      <w:lvlText w:val="%2"/>
      <w:numFmt w:val="decimal"/>
      <w:start w:val="104"/>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2021-10-29T05:19:34Z</dcterms:created>
  <dcterms:modified xsi:type="dcterms:W3CDTF">2021-10-29T05:19:34Z</dcterms:modified>
</cp:coreProperties>
</file>