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p>
      <w:pPr>
        <w:ind w:left="2760"/>
        <w:spacing w:after="0"/>
        <w:tabs>
          <w:tab w:leader="none" w:pos="810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July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63"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213,768,996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jc w:val="both"/>
        <w:ind w:left="660" w:right="32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timing and outcome (including the possibility that the proposed transaction may not be completed or that completion may be unduly delayed) of the proposed merger transaction between Penn National Gaming, Inc. ("Penn") and Pinnacle Entertainment, Inc. ("Pinnacle") and the related transactions with Boyd Gaming Corporation ("Boyd");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increased reliance on Penn as our largest tenant following the closing of the proposed Penn acquisition of Pinnacle;</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timing and outcome (including the possibility that the proposed transaction may not be completed or that the completion may be unduly delayed) of our proposed acquisition of certain real estate assets from Tropicana Entertainment Inc. ("Tropicana") and the related acquisition of the operating assets of these properties by Eldorado Resorts, Inc. ("Eldorado") from Tropicana;</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duty to indemnify Penn and its subsidiaries in certain circumstances if the spin-off transaction described in Note 1 to the condensed consolidated financial statements fails to be tax-free;</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2017,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2017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2017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6160" w:type="dxa"/>
            <w:vAlign w:val="bottom"/>
            <w:gridSpan w:val="13"/>
          </w:tcPr>
          <w:p>
            <w:pPr>
              <w:spacing w:after="0"/>
              <w:rPr>
                <w:sz w:val="17"/>
                <w:szCs w:val="17"/>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340" w:type="dxa"/>
            <w:vAlign w:val="bottom"/>
            <w:gridSpan w:val="10"/>
          </w:tcPr>
          <w:p>
            <w:pPr>
              <w:spacing w:after="0"/>
              <w:rPr>
                <w:sz w:val="24"/>
                <w:szCs w:val="24"/>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June 30, 2018 and December 31, 2017</w:t>
              </w:r>
            </w:hyperlink>
          </w:p>
        </w:tc>
        <w:tc>
          <w:tcPr>
            <w:tcW w:w="840" w:type="dxa"/>
            <w:vAlign w:val="bottom"/>
            <w:gridSpan w:val="4"/>
          </w:tcPr>
          <w:p>
            <w:pPr>
              <w:jc w:val="center"/>
              <w:ind w:left="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 Three and Six Months Ended June 30, 2018 and 2017</w:t>
              </w:r>
            </w:hyperlink>
          </w:p>
        </w:tc>
        <w:tc>
          <w:tcPr>
            <w:tcW w:w="840" w:type="dxa"/>
            <w:vAlign w:val="bottom"/>
            <w:gridSpan w:val="4"/>
          </w:tcPr>
          <w:p>
            <w:pPr>
              <w:jc w:val="center"/>
              <w:ind w:left="55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80" w:type="dxa"/>
            <w:vAlign w:val="bottom"/>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Condensed Consolidated Statement of Changes in Shareholders' Equity - Six Months Ended June 30, 2018</w:t>
              </w:r>
            </w:hyperlink>
          </w:p>
        </w:tc>
        <w:tc>
          <w:tcPr>
            <w:tcW w:w="720" w:type="dxa"/>
            <w:vAlign w:val="bottom"/>
            <w:gridSpan w:val="2"/>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960" w:type="dxa"/>
            <w:vAlign w:val="bottom"/>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Six Months Ended June 30, 2018 and 2017</w:t>
              </w:r>
            </w:hyperlink>
          </w:p>
        </w:tc>
        <w:tc>
          <w:tcPr>
            <w:tcW w:w="720" w:type="dxa"/>
            <w:vAlign w:val="bottom"/>
            <w:gridSpan w:val="2"/>
          </w:tcPr>
          <w:p>
            <w:pPr>
              <w:spacing w:after="0"/>
              <w:rPr>
                <w:sz w:val="21"/>
                <w:szCs w:val="21"/>
                <w:color w:val="auto"/>
              </w:rPr>
            </w:pPr>
          </w:p>
        </w:tc>
        <w:tc>
          <w:tcPr>
            <w:tcW w:w="720" w:type="dxa"/>
            <w:vAlign w:val="bottom"/>
            <w:gridSpan w:val="2"/>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2700" w:type="dxa"/>
            <w:vAlign w:val="bottom"/>
            <w:gridSpan w:val="4"/>
          </w:tcPr>
          <w:p>
            <w:pPr>
              <w:spacing w:after="0"/>
              <w:rPr>
                <w:sz w:val="21"/>
                <w:szCs w:val="21"/>
                <w:color w:val="auto"/>
              </w:rPr>
            </w:pPr>
          </w:p>
        </w:tc>
        <w:tc>
          <w:tcPr>
            <w:tcW w:w="1440" w:type="dxa"/>
            <w:vAlign w:val="bottom"/>
            <w:gridSpan w:val="4"/>
          </w:tcPr>
          <w:p>
            <w:pPr>
              <w:spacing w:after="0"/>
              <w:rPr>
                <w:sz w:val="21"/>
                <w:szCs w:val="21"/>
                <w:color w:val="auto"/>
              </w:rPr>
            </w:pPr>
          </w:p>
        </w:tc>
        <w:tc>
          <w:tcPr>
            <w:tcW w:w="840" w:type="dxa"/>
            <w:vAlign w:val="bottom"/>
            <w:gridSpan w:val="4"/>
          </w:tcPr>
          <w:p>
            <w:pPr>
              <w:jc w:val="center"/>
              <w:ind w:left="55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4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w:t>
              </w:r>
            </w:hyperlink>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OPERATIONS</w:t>
              </w:r>
            </w:hyperlink>
          </w:p>
        </w:tc>
        <w:tc>
          <w:tcPr>
            <w:tcW w:w="6660" w:type="dxa"/>
            <w:vAlign w:val="bottom"/>
            <w:tcBorders>
              <w:top w:val="single" w:sz="8" w:color="0000EE"/>
            </w:tcBorders>
            <w:gridSpan w:val="15"/>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4"/>
          </w:tcPr>
          <w:p>
            <w:pPr>
              <w:jc w:val="center"/>
              <w:ind w:left="57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3"/>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QUANTITATIVE AND QUALITATIVE DISCLOSURES ABOUT MARKET RISK</w:t>
              </w:r>
            </w:hyperlink>
          </w:p>
        </w:tc>
        <w:tc>
          <w:tcPr>
            <w:tcW w:w="2260" w:type="dxa"/>
            <w:vAlign w:val="bottom"/>
            <w:gridSpan w:val="5"/>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CONTROLS AND PROCEDURES</w:t>
              </w:r>
            </w:hyperlink>
          </w:p>
        </w:tc>
        <w:tc>
          <w:tcPr>
            <w:tcW w:w="3540" w:type="dxa"/>
            <w:vAlign w:val="bottom"/>
            <w:gridSpan w:val="6"/>
          </w:tcPr>
          <w:p>
            <w:pPr>
              <w:spacing w:after="0"/>
              <w:rPr>
                <w:sz w:val="24"/>
                <w:szCs w:val="24"/>
                <w:color w:val="auto"/>
              </w:rPr>
            </w:pPr>
          </w:p>
        </w:tc>
        <w:tc>
          <w:tcPr>
            <w:tcW w:w="2260" w:type="dxa"/>
            <w:vAlign w:val="bottom"/>
            <w:gridSpan w:val="5"/>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OTHER INFORMATION</w:t>
              </w:r>
            </w:hyperlink>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LEGAL PROCEEDINGS</w:t>
              </w:r>
            </w:hyperlink>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840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840" w:type="dxa"/>
            <w:vAlign w:val="bottom"/>
            <w:gridSpan w:val="4"/>
          </w:tcPr>
          <w:p>
            <w:pPr>
              <w:jc w:val="center"/>
              <w:ind w:left="5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40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840" w:type="dxa"/>
            <w:vAlign w:val="bottom"/>
            <w:gridSpan w:val="4"/>
          </w:tcPr>
          <w:p>
            <w:pPr>
              <w:jc w:val="center"/>
              <w:ind w:left="5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DEFAULTS UPON SENIOR SECURITIES</w:t>
              </w:r>
            </w:hyperlink>
          </w:p>
        </w:tc>
        <w:tc>
          <w:tcPr>
            <w:tcW w:w="2880" w:type="dxa"/>
            <w:vAlign w:val="bottom"/>
            <w:gridSpan w:val="3"/>
          </w:tcPr>
          <w:p>
            <w:pPr>
              <w:spacing w:after="0"/>
              <w:rPr>
                <w:sz w:val="24"/>
                <w:szCs w:val="24"/>
                <w:color w:val="auto"/>
              </w:rPr>
            </w:pPr>
          </w:p>
        </w:tc>
        <w:tc>
          <w:tcPr>
            <w:tcW w:w="2340" w:type="dxa"/>
            <w:vAlign w:val="bottom"/>
            <w:gridSpan w:val="6"/>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220" w:type="dxa"/>
            <w:vAlign w:val="bottom"/>
            <w:gridSpan w:val="9"/>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9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5960" w:type="dxa"/>
            <w:vAlign w:val="bottom"/>
            <w:gridSpan w:val="12"/>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540" w:type="dxa"/>
            <w:vAlign w:val="bottom"/>
            <w:tcBorders>
              <w:left w:val="single" w:sz="8" w:color="0000EE"/>
            </w:tcBorders>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1">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540" w:type="dxa"/>
            <w:vAlign w:val="bottom"/>
            <w:gridSpan w:val="14"/>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4"/>
          </w:tcPr>
          <w:p>
            <w:pPr>
              <w:jc w:val="center"/>
              <w:ind w:left="57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3,612,095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634,693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104,312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144,472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7,288,560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4,506,744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rental revenue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265,256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4,909,792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June 30, 2018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and December 31, 2017)</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500,000,000 shares authorized, 213,737,939 and 212,717,549 shares issued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June 30, 2018 and December 31, 2017,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3,935,517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(1,558,886)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2,378,768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7,288,560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83"/>
        </w:trPr>
        <w:tc>
          <w:tcPr>
            <w:tcW w:w="5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169,865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332,924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26,984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36,340</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218,332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207,119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427,636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411,824</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35,889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74,280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254,221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486,104</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21,800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43,055</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leases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24,806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30,712</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56,680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100,980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183,402</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302,702</w:t>
            </w:r>
          </w:p>
        </w:tc>
      </w:tr>
      <w:tr>
        <w:trPr>
          <w:trHeight w:val="277"/>
        </w:trPr>
        <w:tc>
          <w:tcPr>
            <w:tcW w:w="53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(108,606)</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w:t>
            </w:r>
          </w:p>
        </w:tc>
      </w:tr>
      <w:tr>
        <w:trPr>
          <w:trHeight w:val="291"/>
        </w:trPr>
        <w:tc>
          <w:tcPr>
            <w:tcW w:w="53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4,722</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91,998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96,334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188,770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190,325</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0.91</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r>
      <w:tr>
        <w:trPr>
          <w:trHeight w:val="297"/>
        </w:trPr>
        <w:tc>
          <w:tcPr>
            <w:tcW w:w="5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5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533,845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486,545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(269,537)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188,770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213,737,939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3,935,517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2,378,768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190,325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61,580</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6,513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dispositions of property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8,256</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loan receivable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305,622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292,240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(82,866)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(35,605)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(261,071)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 stock award vestings, net of proceeds from</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139,380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(250,055)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(263,681)</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115,418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36,556</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144,472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See Note 14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June 30, 2018.</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GLPI expects to grow its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("Belterra Park")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and to enter into a new master lease agreement with Boyd on terms similar to the Company’s existing Master Leases for these properties and the real property underlying Belterra Park. The Plainridge Park Casino will be added to the Pinnacle Master Lease. The transaction is subject to regulatory approval and is expected to close in the fourth quarter of 2018.</w:t>
      </w:r>
    </w:p>
    <w:p>
      <w:pPr>
        <w:spacing w:after="0" w:line="182"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Furthermore, on April 15, 2018, the Company entered into a definitive agreement to acquire the real estate assets of six casino properties from Tropicana for $1.21 billion, exclusive of taxes and transaction fees of approximately $40.0 million. The assets to be acquired are Tropicana Atlantic City, Tropicana Evansville, Lumiere Place, Tropicana Laughlin, Trop Casino Greenville and The Belle of Baton Rouge. Concurrent with the closing of this transaction, Eldorado will acquire the operating assets of these properties and lease the real estate from the Company through a new master lease with a 15-year initial term and four 5-year renewal periods. Initial annual rent is expected to be $110 million. Terms of the new lease with Eldorado are similar to the Company's existing Master Leases. The transaction is subject to regulatory approval and is expected to close by the end of 2018. The Company expects to fund the transaction with a combination of debt and equity, however, based on market conditions the entire transaction could be funded with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order to conform to the current presentation of the statement of income, the Company separated the general and administrative expense line item into the line items general and administrative expenses and land rights and ground lease expense on the condensed consolidated statements of income for the three and six months ended June 30, 2017. This new line item includes the amortization of land rights and rent expense related to the Company's long-term ground leases. These reclassifications were made only for presentation purposes and had no impact on the Company's financial results for the three and six months ended June 30, 2017.</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Furthermore, in conjunction with the adoption of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on January 1, 2018, promotional allowances representing the retail value of food, beverages and other services furnished to guests without charge are presented on a net basis within the gaming, food, beverage and other revenue line item on the condensed consolidated statements of income. Prior to the adoption of ASU 2014-09, promotional allowances were required to be presented as a separate line item on the condensed consolidated statements of income. This change also had no impact on the Company's financial results for the three and six months ended June 30, 2017.</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Operating results for the three and six months ended June 30, 2018 are not necessarily indicative of the results that may be expected for the year ending December 31, 2018. The notes to the consolidated financial statements contained in our Annual Report on Form 10-K for the year ended December 31, 2017 (our "Annual Report") should be read in conjunction with these condensed consolidated financial statements. The December 31, 2017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This ASU provides clarity about which changes to the terms or conditions of a share-based payment 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The Company adopted ASU 2017-09 on January 1, 2018 and does not expect ASU 2017-09 to significantly impact its accounting for share-based payment awards, as changes to awards' terms and conditions subsequent to the grant date are unusual and infrequent in nature.</w:t>
      </w:r>
    </w:p>
    <w:p>
      <w:pPr>
        <w:spacing w:after="0" w:line="16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ASU 2017-01 is effective for annual reporting periods beginning after December 15, 2017. The Company adopted ASU 2017-01 on January 1, 2018 with no impact to the Company's accounting treatment of its acquisitions.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The Company adopted ASU 2016-15 on January 1, 2018, with no impact to its presentation of cash receipts and payments on its consolidated statements of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This new standard replaces all preceding U.S. GAAP guidance on this topic and eliminates all industry-specific guidance. ASU 2014-09 provides a unified five-step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The Company adopted ASU 2014-09 on January 1, 2018 using the modified retrospective approach and recorded a cumulative adjustment to retained earnings of approximately $410,000 at the adoption date.</w:t>
      </w:r>
    </w:p>
    <w:p>
      <w:pPr>
        <w:spacing w:after="0" w:line="193"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majority of the Company's revenue recognition policies were not impacted by the new revenue standard, as leases (the source of the Company's majority of revenues) are excluded from ASU 2014-09. Only the accounting treatment for the customer loyalty programs at the TRS properties was impacted by the adoption of ASU 2014-09. See Note 11 to the condensed consolidated financial statements for further details on the adoption impact of ASU 2014-09 at the TRS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is required to be adopted on a modified retrospective basis, meaning the new leasing model will be applied to the earliest year presented in the financial statements and thereafter. However, in January 2018, the FASB issued a proposed ASU, which would permit companies to apply the transition provisions of the lease accounting standard at its effective date (i.e. comparative financial statements would not be required).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containing the new transition option and other considerations surrounding the new leasing standard in July 2018.</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consolidated balance sheets for these leases. Although the Company has made significant strides in the implementation of ASU 2016-02, due to the pending transactions described in Note 1 to the condensed consolidated financial statements, which will result in the Company's entry into a number of new ground leases and the uncertainty surrounding borrowing rates at January 1, 2019, the Company is still evaluating the final dollar impact of adopting the new leasing standard.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 See Note 8 to the condensed consolidated financial statements for current considerations surrounding the loan receivable.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08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144,472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144,472</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29,054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24,403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22,617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13,497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13,000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515,183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1,055,000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1,045,600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4,031,457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4,050,052</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3,574,688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recognizes income from tenants subject to direct financing leases ratably over the lease term using the effective interest rate method which produces a constant periodic rate of return on the net investment in the leased property.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8 to the condensed consolidated financial statements.</w:t>
      </w:r>
    </w:p>
    <w:p>
      <w:pPr>
        <w:spacing w:after="0" w:line="18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Additionally, in accordance with ASC 606, "Revenue from Contracts with Customers,"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Gaming revenue is recognized net of certain sales incentives, including promotional allowances in accordance with ASC 606, "Revenue from Contracts with Customers." The Company also defers a portion of the revenue received from customers (who participate in the points based loyalty programs) at the time of play and attributed to the awarded points until a later period when the points are redeemed or forfeited. See Note 11 to the condensed consolidated financial statements for a summary of the changes to the recognition of revenue at the TRS Properties related to the adoption of ASU 2014-09 on January 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and six months ended June 30, 2018, these expenses, which are recorded within gaming, food, beverage and other expense in the condensed consolidated statements of income, totaled $15.1 million and $29.3 million, respectively, as compared to $14.8 million and $29.9 million for the three and six months ended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213,579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209,747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213,442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208,818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214,561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211,802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214,506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210,824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12"/>
          </w:tcPr>
          <w:p>
            <w:pPr>
              <w:jc w:val="right"/>
              <w:ind w:right="132"/>
              <w:spacing w:after="0"/>
              <w:rPr>
                <w:sz w:val="20"/>
                <w:szCs w:val="20"/>
                <w:color w:val="auto"/>
              </w:rPr>
            </w:pPr>
            <w:r>
              <w:rPr>
                <w:rFonts w:ascii="Arial" w:cs="Arial" w:eastAsia="Arial" w:hAnsi="Arial"/>
                <w:sz w:val="18"/>
                <w:szCs w:val="18"/>
                <w:color w:val="auto"/>
                <w:w w:val="95"/>
              </w:rPr>
              <w:t>The following table presents the calculation of basic and diluted EPS for the Company’s common stock for the three and six months ended June 30,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2018 and 2017:</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24"/>
                <w:szCs w:val="24"/>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91,998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96,334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188,770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190,325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91,869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96,175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188,505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190,010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208,818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214,561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211,802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214,506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210,824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There were 169,324 and 195,529 outstanding equity based awards during the three and six months ended June 30, 2018, respectively, that were not included in the computation of diluted EPS because they were antidilutive. There were 3,887 and 13,486 outstanding equity based awards during the three and six months ended June 30, 2017, respectively, that were not included in the computation of diluted EPS because they were antidilutive.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June 30, 2018, there was $7.8 million of total unrecognized compensation cost for restricted stock awards that will be recognized over the grants' remaining weighted average vesting period of 2.04 years. For the three and six months ended June 30, 2018, the Company recognized $1.0 million and $2.4 million, respectively, of compensation expense associated with these awards, compared to $1.4 million and $3.5 million for the three and six months ended June 30, 2017,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six months ended June 30, 2018:</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344,744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283,183</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(273,152)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(54,999)</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June 30, 2018</w:t>
            </w:r>
          </w:p>
        </w:tc>
        <w:tc>
          <w:tcPr>
            <w:tcW w:w="2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299,776</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 includes publicly traded REITs deriving at least 75% of revenues from triple-net leases. As of June 30, 2018, there was $13.0 million of total unrecognized compensation cost, which will be recognized over the performance-based restricted stock awards' remaining weighted average vesting period of 2.00 years. For the three and six months ended June 30, 2018, the Company reversed $0.4 million and recognized $2.2 million, respectively, of compensation expense associated with these awards, compared to the recognition of $2.4 million and $4.8 million for the three and six months ended June 30, 2017,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performance-based restricted stock award activity for the six months ended June 30, 2018:</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Performance-Based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1,664,000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556,000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(548,000)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June 30, 2018</w:t>
            </w:r>
          </w:p>
        </w:tc>
        <w:tc>
          <w:tcPr>
            <w:tcW w:w="2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1,342,000</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canceled shares and the resulting reversal of expense during the second quarter of 2018 are the result of the retirement of the Company's former Chief Financial Officer.</w:t>
      </w:r>
    </w:p>
    <w:p>
      <w:pPr>
        <w:spacing w:after="0" w:line="16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2,057,727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2,057,928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2,461,573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2,461,573</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4,519,300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4,519,501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(857,456)</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3,612,095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3,662,045</w:t>
            </w: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656,666</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(16,518)</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634,693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640,148</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Amortization expense related to the ground leases is recorded within land rights and ground lease expense in the condensed consolidated statements of income and totaled $2.7 million and $5.5 million for the three and six months ended June 30, 2018, respectively. Amortization expense related to the ground leases totaled $2.6 million and $4.9 million for the three and six months ended June 30, 2017,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2018,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585,598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634,693</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Property and equipment used in operations, net, consists of the following and primarily represents the assets utilized in the TRS Properties:</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30,276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116,509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116,286</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261,542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(153,249)</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104,312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108,293</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June 30, 2018, there were no indicators of a decline in the estimated residual value of the property and collectability of the remaining receivable balance is reasonably assured.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3,200,836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3,263,387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22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3,890,647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3,953,198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(1,282,247)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(1,315,559)</w:t>
            </w:r>
          </w:p>
        </w:tc>
      </w:tr>
      <w:tr>
        <w:trPr>
          <w:trHeight w:val="27"/>
        </w:trPr>
        <w:tc>
          <w:tcPr>
            <w:tcW w:w="6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2,608,400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2,637,639</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 year term loan to CQ Holding Company, Inc., the parent company of Casino Queen ("CQ Holding Company"), to partially finance their acquisition of Lady Luck Casino in Marquette, Iowa. The cash proceeds were net settled. The new loan bears an interest rate of 15% and is pre-payable at any time.</w:t>
      </w:r>
    </w:p>
    <w:p>
      <w:pPr>
        <w:spacing w:after="0" w:line="15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evaluates loans for impairment when it is probable that it will not be able to collect all amounts due according to contractual terms. All amounts due according to the contractual terms means that both contractual interest payments and the 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judgments and assumptions based on objective and subjective factors. If an impairment occurs, the Company will reduce the carrying value of the loan and record a corresponding charge to net income.</w:t>
      </w:r>
    </w:p>
    <w:p>
      <w:pPr>
        <w:spacing w:after="0" w:line="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June 12, 2018, the Company received a Notice of Event of Default under the Senior Credit Agreement of CQ Holding Company from Citizens Bank, N.A. ("Citizens"), which reported a covenant default under their senior secured agreement. Under the terms of that agreement, Citizens may halt debtor payments to unsecured lenders such as GLPI. As this did in fact occur, the interest due from CQ Holding Company in June 2018 under the Company's unsecured loan was paid in kind in the amount of $0.5 million. At this time, full payment of the principal is still expected and all lease payments due from Casino Queen remain current. No modifications or concessions have been made to the loan and as such at June 30, 2018, the Company believes it is appropriate to accrue the full principal and interest due under the loan. At June 30, 2018, the balance of the loan is $13.5 million, including $0.5 million of accrued interest. The loan balance is recorded at carrying value which approximates fair value. Interest income related to the loan is recorded in interest income within the Company's condensed consolidated statements of income in the period earned.</w:t>
      </w:r>
    </w:p>
    <w:p>
      <w:pPr>
        <w:spacing w:after="0" w:line="9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revolver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550,000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$500 million 5.250% senior unsecured notes due June 2025</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$500 million 5.750% senior unsecured notes due June 2028</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4,557,628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4,481,230</w:t>
            </w: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long-term debt, net of unamortized debt issuance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4,506,744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4,442,880</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June 30, 2018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1,925,258</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2,475,509</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4,557,628</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senior unsecured credit facility (the "Credit Facility"), consists of a $1,100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The revolving credit facility matures on May 21, 2023 and the Term Loan A-1 facility matures on April 28, 2021.</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At June 30, 2018, the Credit Facility had a gross outstanding balance of $525 million, consisting of the $525 million Term Loan A-1 facility. Additionally, at June 30, 2018, the Company was contingently obligated under letters of credit issued pursuant to the Credit Facility with face amounts aggregating approximately $0.4 million, resulting in $1,099.6 million of available borrowing capacity under the revolving credit facility as of June 30, 2018.</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2018,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tendered 2018 Notes and the difference between the reaquisition price of the tendered 2018 Notes and their net carrying value.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Also on May 21, 2018, the Company issued $500 million of 5.250% Senior Unsecured Notes maturing on June 1, 2025 (the "2025 Notes") and $500 million of 5.750% Senior Unsecured Notes maturing on June 1, 2028 (the "2028 Notes"). Interest on the 2025 Notes and 2028 Notes is payable semi-annually on June 1 and December 1 of each year, commencing on December 1, 2018. The net proceeds from the sale of the 2025 Notes and 2028 Notes were used</w:t>
      </w:r>
    </w:p>
    <w:p>
      <w:pPr>
        <w:ind w:right="80" w:firstLine="8"/>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prepay and extinguish the outstanding borrowings under the Term Loan A facility under the Credit Facility and to repay a portion of the outstanding borrowings under the Term Loan A-1 facility and (ii) to finance the tender offer of the 2018 Notes and to pay fees and expenses to amend our Credit Facility, as described above.</w:t>
      </w:r>
    </w:p>
    <w:p>
      <w:pPr>
        <w:spacing w:after="0" w:line="190" w:lineRule="exact"/>
        <w:rPr>
          <w:sz w:val="20"/>
          <w:szCs w:val="20"/>
          <w:color w:val="auto"/>
        </w:rPr>
      </w:pPr>
    </w:p>
    <w:p>
      <w:pPr>
        <w:ind w:right="160" w:firstLine="693"/>
        <w:spacing w:after="0" w:line="255" w:lineRule="auto"/>
        <w:rPr>
          <w:sz w:val="20"/>
          <w:szCs w:val="20"/>
          <w:color w:val="auto"/>
        </w:rPr>
      </w:pPr>
      <w:r>
        <w:rPr>
          <w:rFonts w:ascii="Arial" w:cs="Arial" w:eastAsia="Arial" w:hAnsi="Arial"/>
          <w:sz w:val="18"/>
          <w:szCs w:val="18"/>
          <w:color w:val="auto"/>
        </w:rPr>
        <w:t>Each of the 4.875% Senior Unsecured Notes due 2020 (the "2020 Notes"), 4.375% Senior Unsecured Notes due 2021 (the "2021 Notes"), 5.375% Senior Unsecured Notes due 2023 (the "2023 Notes"), and 5.375% Senior Unsecured Notes due 2026 (the "2026 Notes") and collectively with the 2018 Notes, 2020 Notes, 2021 Notes, 2023 Notes, 2025 Notes and 2028 Notes, the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of June 30, 2018,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real estate assets of the Meadows Racetrack and Casino (the "Meadows")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change in net revenues of Hollywood Casino Columbus and Hollywood Casino Toledo during the preceding month.</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3"/>
        <w:spacing w:after="0" w:line="293" w:lineRule="auto"/>
        <w:rPr>
          <w:sz w:val="20"/>
          <w:szCs w:val="20"/>
          <w:color w:val="auto"/>
        </w:rPr>
      </w:pPr>
      <w:r>
        <w:rPr>
          <w:rFonts w:ascii="Arial" w:cs="Arial" w:eastAsia="Arial" w:hAnsi="Arial"/>
          <w:sz w:val="16"/>
          <w:szCs w:val="16"/>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GLPI.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GLPI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January 1, 2018, the Company adopted ASU 2014-09, which altered the recognition of revenue at the TRS Properties related to the customer loyalty programs. Specifically, the recognition of revenue associated with these points based programs was impacted by eliminating the current accrual for the cost of the points awarded at the time of play and instead deferring the portion of the revenue received from the customer at the time of play and attributed to the awarded points until a later period when such points are redeemed or forfeited. The revenue deferral is calculated by allocating a portion of the transaction price to the points based upon their retail value. Under the former guidance, the cost of the points was recorded as an operating expense through the gaming, food, beverage and other expense line item of the Company's condensed consolidated statement of income. Under ASU 2014-09, promotional allowances representing the retail value of food, beverages and other services furnished to guests without charge are no longer presented as a separate line item on the condensed consolidated statements of income, rather they are presented on a net basis within gaming, food, beverage and other revenue. This change has no impact to total revenues and is for presentation purposes only. The impact of adopting ASU 2014-09 was immaterial to our total revenue for both the three and six months ended June 30, 2018.</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condensed consolidated statements of income for the three and six months ended June 30, 2018 and 2017:</w:t>
      </w:r>
    </w:p>
    <w:p>
      <w:pPr>
        <w:sectPr>
          <w:pgSz w:w="11900" w:h="16838" w:orient="portrait"/>
          <w:cols w:equalWidth="0" w:num="1">
            <w:col w:w="11420"/>
          </w:cols>
          <w:pgMar w:left="240" w:top="130" w:right="239" w:bottom="1440" w:gutter="0" w:footer="0" w:header="0"/>
        </w:sectPr>
      </w:pP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72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38100</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8240" w:space="720"/>
            <w:col w:w="246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Slot machines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30,120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30,318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59,132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Table games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9,254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gaming, food, beverage and other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74,280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No shares were sold under the ATM Program during the six months ended June 30, 2018. During the six months ended June 30, 2017, the Company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June 30, 2018, the Company had $213.7 million remaining for issuance under the ATM Program and had not entered into any forward sale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lists the dividends declared and paid by the Company during the six months ended June 30,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9,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23,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April 24, 2018</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15, 2018</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2018</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134,631</w:t>
            </w:r>
          </w:p>
        </w:tc>
      </w:tr>
      <w:tr>
        <w:trPr>
          <w:trHeight w:val="324"/>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April 25, 2017</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16, 2017</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30,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for the three and six months ended June 30, 2018, dividend payments were made to GLPI restricted stock award holders in the amount of $0.2 million and $0.4 million, respectively, as compared to $0.2 million and $0.5 million for the three and six months ended June 30,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1"/>
                <w:szCs w:val="11"/>
                <w:b w:val="1"/>
                <w:bCs w:val="1"/>
                <w:color w:val="auto"/>
                <w:w w:val="89"/>
              </w:rPr>
              <w:t>Three Months Ended June 30,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9"/>
              </w:rPr>
              <w:t>Three Months Ended June 30, 2017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218,332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35,889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254,221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207,119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36,272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243,391</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146,133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7,108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153,241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145,401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7,295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152,696</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54,171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54,170</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89,098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4,506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93,604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93,832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4,694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98,526</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2,192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88,870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91,998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93,590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96,334</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28,423</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1,245</w:t>
            </w:r>
          </w:p>
        </w:tc>
      </w:tr>
      <w:tr>
        <w:trPr>
          <w:trHeight w:val="383"/>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w w:val="88"/>
              </w:rPr>
              <w:t>Six Months Ended June 30,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88"/>
              </w:rPr>
              <w:t>Six Months Ended June 30, 2017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4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427,636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70,635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498,271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411,824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74,280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486,104</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291,007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14,085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305,092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287,435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15,267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302,702</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107,655</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182,985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8,883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191,868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184,981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10,066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195,047</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182,586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6,184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188,770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184,369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5,956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190,325</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56,680</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68</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1,727</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340" w:firstLine="332"/>
        <w:spacing w:after="0" w:line="363" w:lineRule="auto"/>
        <w:tabs>
          <w:tab w:leader="none" w:pos="671" w:val="left"/>
        </w:tabs>
        <w:numPr>
          <w:ilvl w:val="1"/>
          <w:numId w:val="15"/>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pacing w:after="0" w:line="83" w:lineRule="exact"/>
        <w:rPr>
          <w:rFonts w:ascii="Arial" w:cs="Arial" w:eastAsia="Arial" w:hAnsi="Arial"/>
          <w:sz w:val="11"/>
          <w:szCs w:val="11"/>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51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2"/>
                <w:szCs w:val="22"/>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2,672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6,424</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18"/>
                <w:szCs w:val="18"/>
                <w:color w:val="auto"/>
              </w:rPr>
              <w:t>93,861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93,874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102,410</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102,613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2018 and 2017, the Company did not engage in any noncash investing and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Condensed Consolidating Financial Information of Parent Guarantor and Subsidiary Issuers</w:t>
      </w:r>
    </w:p>
    <w:p>
      <w:pPr>
        <w:spacing w:after="0" w:line="2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Summarized balance sheets as of June 30, 2018 and December 31, 2017, statements of income for the three and six months ended June 30, 2018 and 2017 and statements of cash flows for the six months ended June 30, 2018 and 2017 for GLPI</w:t>
      </w:r>
    </w:p>
    <w:p>
      <w:pPr>
        <w:sectPr>
          <w:pgSz w:w="11900" w:h="16838" w:orient="portrait"/>
          <w:cols w:equalWidth="0" w:num="1">
            <w:col w:w="11420"/>
          </w:cols>
          <w:pgMar w:left="240" w:top="130" w:right="239" w:bottom="113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1136"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as the parent guarantor, for GLP Capital, L.P. and GLP Financing II, Inc. as the subsidiary issuers and the other subsidiary non-issuers is presented below.</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June 30, 2018</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1,748,886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1,863,209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3,612,095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634,693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19,594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104,312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2,608,400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113,606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30,866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144,472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2,378,768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5,050,698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2,877,150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(10,306,616)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50,729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26,078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76,807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2,378,768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7,237,446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8,171,992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(10,499,646)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7,288,560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35,608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35,608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24,573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49,811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4,506,744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4,506,744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265,256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27,068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4,858,678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244,144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4,909,792</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June 30, 2018)</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authorized, 213,737,939 shares issued at June 30, 2018)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3,935,517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3,935,517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9,500,443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(13,435,960)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3,935,517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(1,558,886)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(1,558,886)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(1,574,732)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3,133,618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(1,558,886)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2,378,768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2,378,768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7,927,848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(10,306,616)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2,378,768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2,378,768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7,237,446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8,171,992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(10,499,646)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7,288,560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20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101,767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68,098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169,865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21,483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218,332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254,221</w:t>
            </w:r>
          </w:p>
        </w:tc>
        <w:tc>
          <w:tcPr>
            <w:tcW w:w="0" w:type="dxa"/>
            <w:vAlign w:val="bottom"/>
          </w:tcPr>
          <w:p>
            <w:pPr>
              <w:spacing w:after="0"/>
              <w:rPr>
                <w:sz w:val="1"/>
                <w:szCs w:val="1"/>
                <w:color w:val="auto"/>
              </w:rPr>
            </w:pPr>
          </w:p>
        </w:tc>
      </w:tr>
      <w:tr>
        <w:trPr>
          <w:trHeight w:val="22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45,650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100,980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153,241</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107,477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101,013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107,249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99,635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203,587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135,683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339,270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45,605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22,076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42,761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427,636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70,635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498,271</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43,395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41,266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90,389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305,092</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(111,123)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102,899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(113,224)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225,772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187,770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191,868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225,373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185,071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225,373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185,071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188,770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60,932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(Gains) losses on dispositions of property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loan receivable and other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324,401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202,895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305,622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27,323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(269,537)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(269,537)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Taxes paid related to shares withheld for tax purposes on restricted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6"/>
              </w:rPr>
              <w:t>stock award vestings, net of proceeds from exercise of options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(923,601)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Premium and related costs paid on tender of senior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272,442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221,674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(217,672)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106,872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113,606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30,866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144,472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1,794,840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1,867,205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5,087,893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220,019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212,717,549 shares issued at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3,933,831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9,498,755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(13,432,586)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(1,477,711)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(1,453,815)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8,047,067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99,647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68,116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167,763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207,119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36,272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243,391</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14,656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28,423</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45,651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90,695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152,696</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98,526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90,101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96,334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197,399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135,525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332,924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42,560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411,824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74,280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74,280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266,622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43,055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56,680</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93,032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183,402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302,702</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(108,606)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223,319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(107,655)</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195,047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243,213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175,952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190,325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Six months ended June 30, 2017</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243,213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175,952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190,325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61,580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32,738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292,240</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35,845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(261,071)</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w w:val="94"/>
              </w:rPr>
              <w:t>Proceeds from exercise of options, net of taxes paid related to shares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8,065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139,380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(250,055)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113,626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(263,681)</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29,510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2018, the Company provided notice of the call of the remaining 2018 Notes which will be redeemed on August 16, 2018 for 100% of the principal amount and accrued and unpaid interest to, but not including the redemption date. At June 30, 2018, $156.5 million of aggregate principal amount of the 2018 Notes was outstanding.</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July 31, 2018, the Company declared its third quarter dividend of $0.63 per common share, payable on September 21, 2018 to shareholders of record on September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June 30,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June 30, 2018.</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expect to grow our portfolio by pursuing opportunities to acquire additional gaming facilities to lease to gaming operators under prudent terms. For example, on December 17, 2017, the Company entered into agreements to purchase two additional properties, Plainridge Park Casino and Belterra Park Gaming &amp; Entertainment Center ("Belterra Park") from Penn and Pinnacle, respectively. We will acquire these properties in connection with the proposed acquisition of Pinnacle by Penn pursuant to a definitive agreement and plan of merger between them, also dated December 17, 2017 (the "Merger"). Subject to and concurrently with the completion of the Merger, we have agreed to, among other things, amend our master lease with Pinnacle to allow for the sale by Pinnacle of the operating assets at Ameristar Casino Hotel Kansas City, Ameristar Casino Resort Spa St. Charles and Belterra Casino Resort to Boyd Gaming Corporation (“Boyd”) and to enter into a new master lease agreement with Boyd on terms similar to the Company’s existing Master Leases for these properties and the real property underlying Belterra Park. The Plainridge Park Casino will be added to the Pinnacle Master Lease. The transaction is subject to regulatory approval and is expected to close in the fourth quarter of 2018.</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Furthermore, on April 15, 2018, the Company entered into a definitive agreement to acquire the real estate assets of six casino properties from Tropicana Entertainment Inc. for $1.21 billion, exclusive of taxes and transaction fees of approximately $40.0 million. The assets to be acquired are Tropicana Atlantic City, Tropicana Evansville, Lumiere Place, Tropicana Laughlin, Trop Casino Greenville and The Belle of Baton Rouge. Concurrent with the closing of this transaction, Eldorado Resorts, Inc. ("Eldorado") will acquire the operating assets of these properties and lease the real estate from the Company through a new master lease with a 15-year initial term and four 5-year renewal periods. Initial annual rent is expected to be $110 million. Terms of the new lease with Eldorado are similar to the Company's existing Master Leases. The transaction is subject to regulatory approval and is expected to close by the end of 2018. The Company expects to fund the transaction with a combination of debt and equity, however, based on market conditions the entire transaction could be funded with debt.</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 strategic acquisitions unrelated to the gaming industry as well as other acquisitions that may prove complementary to GLPI’s gaming facilities.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June 30, 2018, the majority of our earnings are the result of the rental revenues we receive from our triple-net Master Leases with Penn and Pinnacle. Additionally, we have rental revenue from the Casino Queen property which is leased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back to a third 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Additionally, in accordance with ASC 606,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73" w:lineRule="exact"/>
        <w:rPr>
          <w:sz w:val="20"/>
          <w:szCs w:val="20"/>
          <w:color w:val="auto"/>
        </w:rPr>
      </w:pPr>
    </w:p>
    <w:p>
      <w:pPr>
        <w:ind w:right="18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reported total revenues and income from operations of $254.2 million and $153.2 million, respectively, for the three months ended June 30, 2018, compared to $243.4 million and $152.7 million, respectively, for the corresponding period in the prior year. We reported total revenues and income from operations of $498.3 million and $305.1 million, respectively, for the six months ended June 30, 2018, compared to $486.1 million and $302.7 million, respectively, for the corresponding period in the prior year.</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major factors affecting our results for the three and six months ended June 30, 2018, as compared to the three and six months ended June 30, 2017, were:</w:t>
      </w:r>
    </w:p>
    <w:p>
      <w:pPr>
        <w:spacing w:after="0" w:line="170" w:lineRule="exact"/>
        <w:rPr>
          <w:sz w:val="20"/>
          <w:szCs w:val="20"/>
          <w:color w:val="auto"/>
        </w:rPr>
      </w:pPr>
    </w:p>
    <w:p>
      <w:pPr>
        <w:ind w:left="660" w:right="12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Rental revenue and income from the direct financing lease were $218.3 million and $427.6 million, respectively, for the three and six months ended June 30, 2018 and $207.1 million and $411.8 million, respectively, for the three and six months ended June 30, 2017. Rental revenue and income from the direct financing lease increased by $11.2 million and $15.8 million, respectively, for the three and six months ended June 30, 2018, as compared to the corresponding periods in the prior year, primarily due to the addition of the Tunica Properties to the Penn Master Lease in May 2017, improved results at our two Ohio properties with monthly variable rent, as well as, the rent escalators under both Master Leases and the recognition of additional income under the direct financing lease.</w:t>
      </w:r>
    </w:p>
    <w:p>
      <w:pPr>
        <w:spacing w:after="0" w:line="193"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for our TRS Properties decreased by $0.4 million and $3.6 million, respectively, for the three and six months ended June 30, 2018, as compared to the corresponding periods in the prior year, primarily due to decreased gaming revenues at Hollywood Casino Baton Rouge, partially offset by an increase in gaming revenues at Hollywood Casino Perryville.</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operating expenses increased by $10.3 million and $9.8 million, respectively, for the three and six months ended June 30, 2018, as compared to the corresponding periods in the prior year, primarily due to accrued retirement costs related to the previously announced retirement of our former Chief Financial Officer.</w:t>
      </w:r>
    </w:p>
    <w:p>
      <w:pPr>
        <w:spacing w:after="0" w:line="181"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income and expenses increased by $5.5 million and $5.6 million, respectively, for the three and six months ended June 30, 2018, as compared to the corresponding periods in the prior year, primarily due to losses on the extinguishment of debt and increases to interest expense, both related to financing transactions in the second quarter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 expense decreased by $0.6 million and $1.6 million, respectively, for the three and six months ended June 30, 2018, primarily due to the Tax Cuts and Jobs Act, which lowered the corporate tax rate to 21%, effective for tax years including or commencing January 1, 2018, as well as lower income at our TRS Properties.</w:t>
      </w:r>
    </w:p>
    <w:p>
      <w:pPr>
        <w:spacing w:after="0" w:line="181"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decreased by $4.3 million and $1.6 million, respectively, for the three and six months ended June 30, 2018, as compared to the corresponding periods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52" w:lineRule="exact"/>
        <w:rPr>
          <w:sz w:val="20"/>
          <w:szCs w:val="20"/>
          <w:color w:val="auto"/>
        </w:rPr>
      </w:pPr>
    </w:p>
    <w:p>
      <w:pPr>
        <w:jc w:val="both"/>
        <w:ind w:left="980" w:right="100"/>
        <w:spacing w:after="0" w:line="304" w:lineRule="auto"/>
        <w:tabs>
          <w:tab w:leader="none" w:pos="1367"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On May 1, 2017 the Company purchased the real property assets of Bally's Casino Tunica (subsequently re-branded as the 1st Jackpot Casino)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 million for the Tunica Properties is subject to rent escalators and adjustments consistent with the other properties under the Penn Master Lease.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six months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that a wholly-owned subsidiary of Penn and a wholly-owned subsidiary of Pinnacle lease substantially all of our properties, pursuant to their respective Master Leases, and account for a significant portion of our revenue and the fact that Penn has entered into an agreement to acquire Pinnacle, which will further increase our tenant concentration.</w:t>
      </w:r>
    </w:p>
    <w:p>
      <w:pPr>
        <w:spacing w:after="0" w:line="181"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we receive from our tenants as outlined in the long-term triple-net leases with these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three and six months ended June 30, 2018 and 2017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5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169,865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167,763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339,270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332,924</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20,840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42,761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42,560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411,824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74,280</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498,271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486,104</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41,745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43,055</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30,712</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56,680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100,980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90,695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183,402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153,241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152,696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302,702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information regarding our results of operations by segment for the three and six months ended June 30, 2018 and 2017 is summarized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2"/>
              </w:rPr>
              <w:t>Three Months Ended June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218,332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207,119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145,401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36,272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7,295</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254,221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243,391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153,241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152,696</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2"/>
              </w:rPr>
              <w:t>Six Months Ended June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Total Revenues</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427,636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411,824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287,435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3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70,635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74,280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14,085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15,267</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498,271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486,104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302,702</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FFO, AFFO and Adjusted EBITDA,</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w:t>
      </w:r>
    </w:p>
    <w:p>
      <w:pPr>
        <w:sectPr>
          <w:pgSz w:w="11900" w:h="16838" w:orient="portrait"/>
          <w:cols w:equalWidth="0" w:num="1">
            <w:col w:w="11400"/>
          </w:cols>
          <w:pgMar w:left="240" w:top="130"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30" w:right="25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define AFFO as FFO excluding stock based compensation expense, debt issuance costs amortization, other depreciation, amortization of land rights, straight-line rent adjustments, direct financing lease adjustments, losses on debt extinguishment and retirement costs,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and retirement costs.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calculations,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right="400" w:firstLine="690"/>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three and six months ended June 30, 2018 and 2017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91,998</w:t>
            </w:r>
          </w:p>
        </w:tc>
        <w:tc>
          <w:tcPr>
            <w:tcW w:w="12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96,334</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188,770</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190,325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from dispositions of property</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24,651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49,749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50,011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116,874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121,431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238,744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240,430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16,493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33,233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32,738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6,669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6,513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Losses on debt extinguishment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costs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167,844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337,936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333,624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56,164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54,170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109,751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107,655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1,727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225,128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222,195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446,473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441,215</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three and six months ended June 30, 2018 and 2017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88,870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93,590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2,744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(Gains) losses from dispositions of property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113,512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118,698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3,362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2,733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18,232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164,681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163,559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4,554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4,285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51,569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1,950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215,435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212,114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9,693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10,081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4"/>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6"/>
        </w:trPr>
        <w:tc>
          <w:tcPr>
            <w:tcW w:w="5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182,586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184,369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6,184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5,956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(Gains) losses from dispositions of property</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49,749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232,326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234,380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6,418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6,050</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29,239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35,845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328,761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323,671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9,175</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9,953</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104,549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102,454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4,110</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Debt issuance costs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427,464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420,224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19,009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20,991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80" w:right="80" w:hanging="648"/>
        <w:spacing w:after="0" w:line="216" w:lineRule="auto"/>
        <w:tabs>
          <w:tab w:leader="none" w:pos="9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and $5.2 million, respectively, for both the three and six months ended June 30, 2018 and 2017.</w:t>
      </w:r>
    </w:p>
    <w:p>
      <w:pPr>
        <w:sectPr>
          <w:pgSz w:w="11900" w:h="16838" w:orient="portrait"/>
          <w:cols w:equalWidth="0" w:num="1">
            <w:col w:w="11420"/>
          </w:cols>
          <w:pgMar w:left="240" w:top="130" w:right="239" w:bottom="1081"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081"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Net income for our GLP Capital segment was $88.9 million for the three months ended June 30, 2018 and $93.6 million for the three months ended June 30, 2017. FFO, AFFO, and Adjusted EBITDA for our GLP Capital segment were $113.5 million, $164.7 million and $215.4 million, respectively, for the three months ended June 30, 2018. FFO, AFFO, and Adjusted EBITDA for our GLP Capital segment were $118.7 million, $163.6 million and $212.1 million, respectively, for the three months ended June 30, 2017. The decrease in net income for our GLP Capital segment for the three months ended June 30, 2018, as compared to the three months ended June 30, 2017, was primarily driven by a $11.2 million increase in total revenues, offset by a $10.5 million increase in operating expenses and a $2.0 million increase in interest expense, net, as well as debt extinguishment charges of $3.5 million during the quarter. The increase in total revenues in our GLP Capital segment was primarily due to the addition of the Tunica Properties to the Penn Master Lease during May 2017, improved results at our two Ohio properties that have monthly variable rent, as well as the rent escalators under both the Master Leases. Additionally, during the second quarter of 2018, the first percentage rent reset under the Pinnacle Master Lease occurred, resulting in the recognition of additional income from the direct financing lease, as only the first two years of percentage rent were considered in the determination of the investment in the direct financing lease receivable. Although the percentage rent reset, which is based on the preceding two years' of average annual revenues of the properties under the Pinnacle Master Lease decreased slightly, the accounting treatment of our direct financing lease required the first two years of percentage rent which were fixed and known at lease commencement to be considered in the determination of our initial investment in the direct financing lease receivable and all future percentage rent resets to be ignored. This resulted in a greater amount of cash from the Pinnacle Master Lease being applied as a reduction to the receivable in the first two years of the Pinnacle Master Lease, whereas after the first percentage rent reset, the percentage rent is treated as income and recognized through our consolidated statement of earnings. Operating expenses in our GLP Capital segment increased primarily due to accrued retirement costs related to the retirement of the Company's former Chief Financial Officer. The debt extinguishment charges and increase in interest expense, net were both related to financing transactions that occurred during the three months ended June 30, 2018. The changes described above also led to lower FFO for the three months ended June 30, 2018, as compared to the three months ended June 30, 2017.</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increases in AFFO and Adjusted EBITDA for our GLP Capital segment were primarily driven by the changes described above, including the add back of losses on debt extinguishment and retirement costs for AFFO purposes, partially offset by lower stock based compensation and decreases in adjustments for our direct financing lease as described above, all of which are added back for purposes of calculating AFFO. The lower stock based compensation expense during the three months ended June 30, 2018, as compared to the prior year period was related to a reversal of previously recognized expense associated with the retirement of our former Chief Financial Officer. Direct financing lease adjustments represent the portion of cash rent we receive from tenants that is applied against our lease receivable and thus not recorded as revenue and the amortization of land rights represents the non-cash amortization of the value assigned to the Company's acquired ground leases. These adjustments are added back to arrive at AFFO because they represent, in the case of the direct financing lease adjustments, cash we have received and recorded in taxable income and in the case of the amortization of land rights, non-cash charges which are non-deductible for tax purposes. Therefore, these adjustments help our investors better understand the components of our taxable income which must be distributed to our shareholders.</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Net income for our GLP Capital segment was $182.6 million for the six months ended June 30, 2018 and $184.4 million for the six months ended June 30, 2017. FFO, AFFO, and Adjusted EBITDA for our GLP Capital segment were $232.3 million, $328.8 million and $427.5 million, respectively, for the six months ended June 30, 2018. FFO, AFFO, and Adjusted EBITDA for our GLP Capital segment were $234.4 million, $323.7 million and $420.2 million, respectively, for the six months ended June 30, 2017. The decrease in net income for our GLP Capital segment for the six months ended June 30, 2018, as compared to the six months ended June 30, 2017, was primarily driven by a $15.8 million increase in total revenues, offset by a $12.2 million increase in operating expenses, a $2.1 million increase in interest expense, net, as well as debt extinguishment charges of $3.5 million during the six months ended June 30, 2018. The changes in net income, FFO, AFFO and Adjusted EBITDA for the six months ended June 30, 2018, as compared to the six months ended June 30, 2017 were driven by the explanations above for the three months ended June 30, 2018, as compared to the three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six months ended June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5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218,332</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4"/>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254,221</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2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380"/>
        </w:trPr>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427,636</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15,812</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4"/>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70,635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74,280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(3,645)</w:t>
            </w:r>
          </w:p>
        </w:tc>
        <w:tc>
          <w:tcPr>
            <w:tcW w:w="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498,271</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486,104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12,167</w:t>
            </w:r>
          </w:p>
        </w:tc>
        <w:tc>
          <w:tcPr>
            <w:tcW w:w="2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the three months ended June 30, 2018 and 2017, rental revenue and income from the direct financing lease were $218.3 million and $207.1 million, respectively, for our GLP Capital segment, which included $21.5 million and $20.8 million, respectively, of revenue for the real estate taxes paid by our tenants on the leased properties. For the six months ended June 30, 2018 and 2017, rental revenue and income from the direct financing lease were $427.6 million and $411.8 million, respectively, for our GLP Capital segment, which included $42.8 million and $42.6 million, respectively, of revenue for the real estate taxes paid by our tenants on the leased properties. 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 Additionally, during September 2016, we acquired the real estate assets of the Meadows and leased these assets to Pinnacle under a single property triple-net lease and during May 2017, we acquired the real estate assets of the Tunica Properties and leased these assets to Penn under the Penn Master Lease.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606,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Rental revenue and income from the direct financing lease increased $11.2 million, or 5.4%, for the three months ended June 30, 2018, as compared to the three months ended June 30, 2017, primarily due to the addition of the Tunica Properties to the Penn Master Lease, improved results at our two Ohio properties that have monthly variable rent, as well as the rent escalators under both the Master Leases and the recognition of additional income under the direct financing lease. Specifically, the Penn properties contributed $2.1 million to the increase in total revenues for three months ended June 30, 2018, as compared to the three months ended June 30, 2017, driven by the addition of the Tunica Properties, the impact of the rent escalator and performance at the Ohio properties. Pinnacle contributed $8.5 million of rental revenue and income from the direct financing lease to the increase in total revenues for the three months ended June 30, 2018, as compared to the prior year period, primarily resulting from the activation of the full rent escalators in both May 2017 and 2018 and increased revenue recognition under the direct financing lease for cash that was previously recognized as a reduction to the lease receivable as described above. The recognition of additional income under the Pinnacle Master Lease as a result of the percentage rent reset, despite a slight decline in percentage rent, results from the accounting treatment of the percentage rent and its impact on the recognition of cash received under the Pinnacle Master Lease as income or against the direct financing lease receivable.</w:t>
      </w:r>
    </w:p>
    <w:p>
      <w:pPr>
        <w:spacing w:after="0" w:line="18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Rental revenue and income from the direct financing lease increased $15.8 million, or 3.8%, for the six months ended June 30, 2018, as compared to the six months ended June 30, 2017, primarily due to the addition of the Tunica Properties to the Penn Master Lease, improved results at our two Ohio properties that have monthly variable rent, as well as the rent escalators under both the Master Leases and the first percentage rent reset under the Pinnacle Master Lease. Specifically, the Penn properties contributed $6.2 million to the increase in total revenues for six months ended June 30, 2018, as compared to the six months ended June 30, 2017, driven by the addition of the Tunica Properties, the impact of the rent escalator and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Ohio properties. Pinnacle contributed $9.3 million of rental revenue and income from the direct financing lease to the increase in total revenues for the six months ended June 30, 2018, as compared to the prior year period, primarily resulting from the explanations above for the three months ended June 30, 2018, as compared to the three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Gaming, food, beverage and other revenue for our TRS Properties segment decreased by $0.4 million, or 1.1%, for the three months ended June 30, 2018, as compared to the three months ended June 30, 2017, primarily due to a $1.8 million decrease in revenues at Hollywood Casino Baton Rouge resulting from general market conditions leading to lower patronage and decreased spend per customer resulting from the smoking ban that took effect June 1, 2018, partially offset by a $1.4 million increase in revenues at Hollywood Casino Perryville primarily resulting from increased customer wagers. Gaming, food, beverage and other revenue for our TRS Properties segment decreased by $3.6 million, or 4.9%, for the six months ended June 30, 2018, as compared to the six months ended June 30, 2017, primarily due to a $4.5 million decrease in revenues at Hollywood Casino Baton Rouge resulting from general market conditions leading to lower patronage, as well as an increase in competitor promotions, partially offset by a $0.9 million increase in revenues at Hollywood Casino Perryville primarily resulting from increased customer wagers.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six months ended June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100,980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90,695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43,055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340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10,554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56,680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193,179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183,402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9,777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$0.4 million, or 6.8%, for the three months ended June 30, 2018, as compared to the three months ended June 30, 2017 due to the acquisition of the Tunica Properties in May 2017. In connection with this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condensed consolidated statements of income as we have concluded that as the lessee we are the primary obligor under the ground leases. We sublease these ground leases back to our tenants, who are responsible for payment directly to the landlord. Land rights and ground lease expense increased by $1.8 million, or 15.8%, for the six months ended June 30, 2018, as compared to the six months ended June 30, 2017 for the reasons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General and administrative expenses increased by $10.2 million or 69.3%, for the three months ended June 30, 2018, as compared to the three months ended June 30, 2017, primarily</w:t>
      </w:r>
    </w:p>
    <w:p>
      <w:pPr>
        <w:sectPr>
          <w:pgSz w:w="11900" w:h="16838" w:orient="portrait"/>
          <w:cols w:equalWidth="0" w:num="1">
            <w:col w:w="11400"/>
          </w:cols>
          <w:pgMar w:left="240" w:top="130"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30" w:right="25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due to accrued retirement costs related to the retirement of our former Chief Financial Officer. General and administrative expenses increased by $10.6 million or 34.4%, for the six months ended June 30, 2018, as compared to the six months ended June 30, 2017, primarily due to the explanation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six months ended June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(57,055)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(54,657)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83.0 %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0" w:type="dxa"/>
            <w:vAlign w:val="bottom"/>
          </w:tcPr>
          <w:p>
            <w:pPr>
              <w:jc w:val="right"/>
              <w:ind w:right="16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59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7"/>
        </w:trPr>
        <w:tc>
          <w:tcPr>
            <w:tcW w:w="50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(113,224)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Interest expense increased by $2.4 million or 4.4% for the three months ended June 30, 2018, as compared to the three months ended June 30, 2017, primarily due to the issuance of $500 million of 5.250% senior unsecured notes due 2025 and $500 million of 5.750% senior unsecured notes due 2028 during May 2018, partially offset by a decrease in interest expense related to the termination of the Term Loan A facility, partial repayment of the Term Loan A-1 facility and the tender of $393.5 million in aggregate principal of our 4.375% senior unsecured notes due 2018 also during May 2018 (as described below). Interest expense increased by $2.5 million or 2.3% for the six months ended June 30, 2018, as compared to the six months ended June 30, 2017, primarily due to the explanation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21, 2018, the Company entered into the second amendment to the senior unsecured credit facility (the "Credit Facility"), which increased the Company's revolving commitments to an aggregate principal amount of $1,100 million, eliminated the Term Loan A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Also 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tendered 2018 Notes and the difference between the reaquisition price of the tendered 2018 Notes and their net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three months ended June 30, 2018 and 2017, income tax expense was approximately $1.6 million and $2.2 million, respectively. Our effective tax rate (income taxes as a percentage of income before income taxes) was 1.7% for the three months ended June 30, 2018, as compared to 2.2% for the three months ended June 30, 2017. During the six months ended June 30, 2018 and 2017, income tax expense was approximately $3.1 million and $4.7 million, respectively. Our effective tax rate was 1.6% for the six months ended June 30, 2018, as compared to 2.4% for the six months ended June 30, 2017. Our income tax expense is primarily driven from the operations of the TRS Properties, which are taxed at the corporate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rate. The decrease in our effective tax rate for both the three and six months ended June 30, 2018 is primarily due to the Tax Cuts and Jobs Act, which lowered the corporate tax rate to 21%, effective for tax years including or commencing January 1, 2018, as well as lower pre-tax income at our TRS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Net cash provided by operating activities was $305.6 million and $292.2 million, respectively, during the six months ended June 30, 2018 and 2017. The increase in net cash provided by operating activities of $13.4 million for the six months ended June 30, 2018 compared to the corresponding period in the prior year was primarily comprised of an increase in cash receipts from customers/tenants of $11.2 million (excluding the cash received from Pinnacle and classified as an investing activity) and a decrease in cash paid for taxes of $3.8 million, slightly offset by increases in cash paid for operating expenses and to employees. The increase in cash receipts collected from our customers and tenants for the six months ended June 30, 2018 as compared to the corresponding period in the prior year was primarily due to the additional rent received under the Penn Master Lease related to the new Tunica Properties, the performance of the Ohio properties and the impact of the rent escalators under both Master Leases. Additionally, during the second quarter of 2018, the first percentage rent reset under the Pinnacle Master Lease occurred, resulting in the recognition of additional income from the direct financing lease, as only the first two years of percentage rent were considered in the determination of the investment in the direct financing lease receivable. The decrease in cash paid for taxes was primarily due to the Tax Cuts and Jobs Act, which lowered the corporate tax rate to 21%, effective for tax years including or commencing January 1, 2018, as well as lower income at our TRS Properties.</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Investing activities provided cash of $27.5 million and used cash of $35.6 million, respectively, during the six months ended June 30, 2018 and 2017. Net cash provided by investing activities during the six months ended June 30, 2018 consisted of rental payments received from tenants and applied against the lease receivable on our balance sheet of $29.2 million, partially offset by capital expenditures of $2.0 million. Net cash used by investing activities during the six months ended June 30, 2017 consisted of cash payments of $82.9 million related to the acquisition of the Tunica Properties and capital expenditures of $1.8 million, partially offset by net cash received of $13.2 million from Casino Queen to retire their five-year term loan and borrow an additional $13.0 million under a new 5.5 year unsecured term loan at 15%, as well as rental payments received from tenants and applied against the lease receivable on our balance sheet of $35.8 million.</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Financing activities used cash of $217.7 million and $263.7 million during the six months ended June 30, 2018 and 2017, respectively. Net cash used by financing activities during the six months ended June 30, 2018 included dividend payments of $269.5 million, repayments of long-term debt of $923.6 million, financing costs of $19.7 million, $1.9 million of premium and related costs paid on the tender of senior unsecured notes and taxes paid related to shares withheld for tax purposes on restricted stock award vestings, net of stock option exercises of $2.9 million, partially offset by proceeds from the issuance of long-term debt of $1,000.0 million. During the six months ended June 30, 2018, the Company issued $1,000.0 million in new senior unsecured notes, completed a tender of $393.5 million aggregate principal of the 2018 Notes, repaid a portion of the Term Loan A-1 facility and extinguished the Term Loan A facility. Net cash used by financing activities during the six months ended June 30, 2017 included dividend payments of $261.1 million and repayments of long-term debt of $250.1 million, partially offset by proceeds from the issuance of common stock under the ATM Program, net of issuance costs of $139.4 million, proceeds from stock option exercises, net of taxes paid related to shares withheld for tax purposes on restricted stock award vestings of $8.1 million and proceeds from the issuance of long-term debt of $100.0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During the six months ended June 30, 2018 and 2017, the TRS Properties spent approximately $2.0 million and $1.7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Company's Credit Facility, consists of a $1,100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The revolving credit facility matures on May 21, 2023 and the Term Loan A-1 facility matures on April 28, 2021.</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At June 30, 2018, the Credit Facility had a gross outstanding balance of $525 million, consisting of the $525 million Term Loan A-1 facility. No borrowings were outstanding under the revolving credit facility at June 30, 2018. Additionally, at June 30, 2018, the Company was contingently obligated under letters of credit issued pursuant to the Credit Facility with face amounts aggregating approximately $0.4 million, resulting in $1,099.6 million of available borrowing capacity under the revolving credit facility as of June 30, 2018.</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June 30, 2018,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May 21, 2018, the Company completed the Tender Offer to purchase any and all of the outstanding $550 million aggregate principal of its 2018 Notes. The Company received tenders from the holders of approximately $393.5 million in aggregate principal of the 2018 Notes, or approximately 72% of its outstanding 2018 Notes in connection with the Tender Offer at a price of 100.396% of the unpaid principal amount plus accrued and unpaid interest through the settlement date. The Company recorded a loss on the early extinguishment of debt, related to the Tender Offer of approximately $2.5 million for the proportional amount of unamortized debt issuance costs associated with the tendered 2018 Notes and the difference between the reaquisition price of the tendered 2018 Notes and their net carrying value. On July 17, 2018, the Company provided notice of the call of the remaining $156.5 million in aggregate principal amount of these notes, which will be redeemed on August 16, 2018.</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Also on May 21, 2018, the Company issued $500 million of 5.250% Senior Unsecured Notes maturing on June 1, 2025 (the "2025 Notes") and $500 million of 5.750% Senior Unsecured Notes maturing on June 1, 2028 (the "2028 Notes"). Interest on the 2025 Notes and 2028 Notes is payable semi-annually on June 1 and December 1 of each year, commencing on December 1, 2018. The net proceeds from the sale of the 2025 Notes and 2028 Notes were used</w:t>
      </w:r>
    </w:p>
    <w:p>
      <w:pPr>
        <w:ind w:right="80" w:firstLine="8"/>
        <w:spacing w:after="0" w:line="255"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prepay and extinguish the outstanding borrowings under the Term Loan A facility under the Credit Facility and to repay a portion of the outstanding borrowings under the Term Loan A-1 facility and (ii) to finance the tender offer of the 2018 Notes and to pay fees and expenses to amend our Credit Facility, as described above.</w:t>
      </w:r>
    </w:p>
    <w:p>
      <w:pPr>
        <w:spacing w:after="0" w:line="190" w:lineRule="exact"/>
        <w:rPr>
          <w:sz w:val="20"/>
          <w:szCs w:val="20"/>
          <w:color w:val="auto"/>
        </w:rPr>
      </w:pPr>
    </w:p>
    <w:p>
      <w:pPr>
        <w:ind w:right="160" w:firstLine="693"/>
        <w:spacing w:after="0" w:line="259" w:lineRule="auto"/>
        <w:rPr>
          <w:sz w:val="20"/>
          <w:szCs w:val="20"/>
          <w:color w:val="auto"/>
        </w:rPr>
      </w:pPr>
      <w:r>
        <w:rPr>
          <w:rFonts w:ascii="Arial" w:cs="Arial" w:eastAsia="Arial" w:hAnsi="Arial"/>
          <w:sz w:val="18"/>
          <w:szCs w:val="18"/>
          <w:color w:val="auto"/>
        </w:rPr>
        <w:t>Each of the 4.875% Senior Unsecured Notes due 2020 (the "2020 Notes"), 4.375% Senior Unsecured Notes due 2021 (the "2021 Notes"), 5.375% Senior Unsecured Notes due 2023 (the "2023 Notes"), and 5.375% Senior Unsecured Notes due 2026 (the "2026 Notes") and collectively with the 2018 Notes, 2020 Notes, 2021 Notes, 2023 Notes, 2025 Notes and 2028 Notes, the "Notes") contain covenants limiting the Company’s ability to: incur additional debt and use its assets to secure debt;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GLPI’s primary market risk exposure is interest rate risk with respect to its indebtedness of $4,557.6 million at June 30, 2018. Furthermore, $4,031.5 million of our obligations at June 30, 2018, are the senior unsecured notes that have fixed interest rates with maturity dates ranging from less than one year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GLPI also expects to manage its exposure to interest rate risk by maintaining a mix of fixed and variable rates for its indebtedness.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June 30, 2018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June 30, 2018.</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7/01/18-</w:t>
            </w:r>
          </w:p>
        </w:tc>
        <w:tc>
          <w:tcPr>
            <w:tcW w:w="26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1/01/19-</w:t>
            </w:r>
          </w:p>
        </w:tc>
        <w:tc>
          <w:tcPr>
            <w:tcW w:w="28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1/01/20-</w:t>
            </w:r>
          </w:p>
        </w:tc>
        <w:tc>
          <w:tcPr>
            <w:tcW w:w="2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1/01/21-</w:t>
            </w:r>
          </w:p>
        </w:tc>
        <w:tc>
          <w:tcPr>
            <w:tcW w:w="24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1/01/22-</w:t>
            </w:r>
          </w:p>
        </w:tc>
        <w:tc>
          <w:tcPr>
            <w:tcW w:w="22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Thereafter</w:t>
            </w:r>
          </w:p>
        </w:tc>
        <w:tc>
          <w:tcPr>
            <w:tcW w:w="32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12/31/18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12/31/19</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12/31/20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12/31/21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12/31/22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ind w:left="5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3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156,457</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ind w:left="48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2,475,000</w:t>
            </w:r>
          </w:p>
        </w:tc>
        <w:tc>
          <w:tcPr>
            <w:tcW w:w="3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4,031,457</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4,050,052</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5"/>
              </w:rPr>
              <w:t>4.38%</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0"/>
              </w:rPr>
              <w:t>4.88%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4.38%</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5.43%</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515,183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3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color w:val="auto"/>
                <w:w w:val="90"/>
              </w:rPr>
              <w:t>4.36%</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2018,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2018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30" w:right="31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of our Annual Report on Form 10-K (the "Annual Report"). There have been no material changes in our risk factors from those previously disclosed in our Annual Report other than as set forth below. You should carefully consider the risks described in our Annual Report and below, which could materially affect our business, financial condition or future results. The risks described in our Annual Report and below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Certain Real Property Assets from Tropicana Entertainment, Inc.</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The consummation of the Company's acquisition of certain real property assets of Tropicana Entertainment, Inc. ("Tropicana"), the proposed acquisition of the operating business of Tropicana by Eldorado Resorts, Inc. ("Eldorado") and the Company's entry into a master lease agreement with Eldorado (together, the "Tropicana Transactions") is subject to a number of closing conditions, some of which are out of our control.</w:t>
      </w:r>
    </w:p>
    <w:p>
      <w:pPr>
        <w:spacing w:after="0" w:line="14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We currently expect to consummate the Tropicana Transactions by the end of 2018. The consummation of the Tropicana Transactions, however, is subject to certain customary regulatory and other closing conditions (some of which are beyond our control), which make the completion and timing of the Tropicana Transactions uncertain, and, accordingly, there can be no assurance that such conditions will be satisfied on the anticipated schedule or at all.</w:t>
      </w:r>
    </w:p>
    <w:p>
      <w:pPr>
        <w:spacing w:after="0" w:line="14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Such conditions include, among other things, (i) the absence of any injunction or order preventing the Tropicana Transactions, (ii) receipt of regulatory approvals, including applicable gaming regulatory approvals, (iii) accuracy of the respective parties’ representations and warranties, and (iv) compliance by the parties with their respective covenants and obligations.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event that the Tropicana Transactions are not consummated, we will have spent considerable time and resources and incurred substantial costs, such as legal and accounting fees, which must be paid even if the Tropicana Transactions are not completed. In addition, if the Agreement and Plan of Merger, dated April 15, 2018, by and among GLP Capital, L.P., Eldorado, Delta Merger Sub, Inc., a wholly owned subsidiary of Eldorado, and Tropicana (the "Merger Agreement") is terminated as a result of the failure to receive regulatory approvals or due to a material breach by GLP Capital, L.P. or Eldorado, then the Company and Eldorado will be jointly and severally required to pay Tropicana an aggregate termination fee of $92.5 million (and parties will also be entitled to seek all remedies available at law or in equity against the other, including specific performance).</w:t>
      </w:r>
    </w:p>
    <w:p>
      <w:pPr>
        <w:spacing w:after="0" w:line="178"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The completion of the Tropicana Transactions is subject to the receipt of approvals, consents or clearances from regulatory authorities and third parties that may impose conditions that could have an adverse effect on us or, if not obtained, could prevent completion of the Tropicana Transactions.</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Completion of the Tropicana Transactions is conditioned upon the receipt of certain governmental approvals, including, without limitation, gaming regulatory approvals. Although the parties have agreed to use reasonable best efforts to obtain the requisite governmental approvals, there can be no assurance that these approvals will be obtained and that the other conditions to completing the Tropicana Transactions will be satisfied. In addition, the governmental authorities from which the regulatory approvals are required may impose conditions on the completion of the proposed acquisition of certain real property assets of Tropicana by the Company (the "Acquisition") or the other Tropicana Transactions or require changes to the terms of the Purchase and Sale Agreement, dated April 15, 2018, by and between GLP Capital, L.P. and Tropicana (the "Real Estate Purchase Agreement") or the Merger Agreement or other agreements to be entered into in connection with the Real Estate Purchase Agreement or the Merger Agreement. Such conditions or changes and the process of obtaining regulatory approvals could have the effect of delaying or impeding consummation of the Tropicana Transactions or of imposing additional costs 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limitations on us following completion of, or in order to complete, the Tropicana Transactions, any of which might have an adverse effect on us.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Similarly, the completion of the Tropicana Transactions may require the consent or assignment of certain contracts, permits or approvals from third parties over whom we have no control. If we are, or if Eldorado or Tropicana is, unable to negotiate waivers of those provisions, or otherwise obtain such consent or assignment, in a timely manner or at all, the counterparties may exercise their rights and remedies under those agreements, potentially terminating the agreements or seeking monetary damages.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obtain financing on acceptable terms to complete the Tropicana Transactions, in which case we could also be liable for substantial damages.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cash purchase price payable by us in connection with the Tropicana Transactions is expected to be $1.21 billion (plus approximately $40 million in taxes and fees), in addition to the approximately $315 million cash purchase price payable by us for the properties we will acquire in connection with the proposed merger transaction between Penn and Pinnacle. We expect to fund these transactions with borrowings under the Credit Facility and, subject to market conditions, further sales of debt or equity securities, or combinations thereof. Our ability to successfully satisfy our payment obligations in connection with the Tropicana Transactions will be dependent on, among other things, business conditions, our financial performance and the general condition of the financial markets and we cannot provide any assurance that we will be able to consummate any necessary financing transactions on acceptable terms.</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the Tropicana Transactions are completed, we may not achieve the intended benefits, and the Acquisition and other Tropicana Transactions may disrupt our current plans or operations.</w:t>
      </w:r>
    </w:p>
    <w:p>
      <w:pPr>
        <w:spacing w:after="0" w:line="13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There can be no assurance that we will be able to successfully realize the expected benefits of the Tropicana Transactions. Following the completion of the Tropicana Transactions, we will have significant financial exposure to Eldorado’s performance of its contractual obligations to us, and adverse changes in Eldorado’s business or finances, over which we will have no control other than the limited contractual protections afforded to us as a landlord, could adversely affect us. In addition, our business may be negatively impacted following the Tropicana Transactions if we are unable to effectively manage our expanded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 after Completion of the Tropicana Transactions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future results will suffer if we do not effectively manage our expanded portfolio of properties following the Tropicana Transactions and any failure by us to effectively manage our portfolio could have a material and adverse effect on our business and our ability to make distributions to shareholders, as required for us to continue to qualify as a REIT.</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Following the completion of Tropicana Transactions, the size of our business will materially increase beyond its current size. Our future success depends, in part, upon our ability to manage this expanded business, which will pose challenges for management, including challenges related to acting as landlord to a larger portfolio of properties and associated increased costs and complexity. There can be no assurances that we will be successful.</w:t>
      </w:r>
    </w:p>
    <w:p>
      <w:pPr>
        <w:spacing w:after="0" w:line="14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addition, we depend on our tenants to operate the properties that we own in a manner that generates revenues sufficient to allow the tenants to meet their obligations to us, including their obligations to pay rent, maintain certain insurance coverage, pay real estate taxes and maintain the properties in a manner so as not to jeopardize their operating licenses or regulatory status. The ability of our tenants to fulfill their obligations may depend, in part, upon the overall profitability of their operations. Our financial position could be materially weakened if any of our tenants were unable to meet their obligations to us or failed to renew or extend any lease as such lease expires, or if we were unable to lease or re-lease our properties on economically favorable terms.</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Although Eldorado's subsidiary Tropicana will be our tenant if and after the Tropicana Transactions are consummated, our recourse against Tropicana, including for any breaches under the Merger Agreement or the Real Estate Purchase Agreement is limited.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is customary for a public company target in a merger and acquisition transaction, Tropicana has no obligation to indemnify us for any breaches of its representations and warranties or covenants included in the Merger Agreement and the Real Estate Purchase Agreement, or for any pre-closing liabilities or claims. While we have certain arrangements in place with Eldorado in connection with certain limited pre-closing liabilities, if any issues arise post-closing (other than as provided for 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master lease), we may not be entitled to sufficient, or any, indemnification or recourse from Tropicana or Eldorado, which could have a materially adverse impact on our business and results of operations.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could be subject to tax on any unrealized net built-in gains in the assets we expect to acquire from Tropicana, which could have a material and adverse effect on our business and financial condition.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assets we expect to acquire from Tropicana are expected to have significant built-in-gains. Because Tropicana is, and prior to the Acquisition will be, a C corporation, if we dispose of any such appreciated assets during the five-year period following the Acquisition, we will be subject to tax at the highest corporate tax rates on any gain from such assets to the extent of the built-in-gain in such assets at the time of the Acquisition. We would be subject to this tax liability even if we continue to qualify and maintains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 and could have a material and adverse effect on our business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30" w:right="2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June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240" w:top="130" w:right="71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760" w:type="dxa"/>
            <w:vAlign w:val="bottom"/>
            <w:gridSpan w:val="19"/>
          </w:tcPr>
          <w:p>
            <w:pPr>
              <w:ind w:left="140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bottom w:val="single" w:sz="8" w:color="0000FF"/>
            </w:tcBorders>
            <w:gridSpan w:val="18"/>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Agreement and Plan of Merger, dated as of April 15, 2018, by and among Eldorado Resorts, Inc., Delta Merger Sub, Inc., GLP</w:t>
              </w:r>
            </w:hyperlink>
          </w:p>
        </w:tc>
        <w:tc>
          <w:tcPr>
            <w:tcW w:w="180" w:type="dxa"/>
            <w:vAlign w:val="bottom"/>
            <w:tcBorders>
              <w:top w:val="single" w:sz="8" w:color="auto"/>
            </w:tcBorders>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Capital, L.P. and Tropicana Entertainment Inc. (Incorporated by reference to Exhibit 2.1 to the Company's current report on</w:t>
              </w:r>
            </w:hyperlink>
          </w:p>
        </w:tc>
        <w:tc>
          <w:tcPr>
            <w:tcW w:w="420" w:type="dxa"/>
            <w:vAlign w:val="bottom"/>
            <w:gridSpan w:val="11"/>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Form 8-K, filed on April 16, 2018).</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2"/>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Real Estate Purchase and Sale Agreement, dated as of April 15, 2018, by and between Tropicana Entertainment Inc. and GLP</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Capital, L.P. (Incorporated by reference to Exhibit 2.2 to the Company's current report on Form 8-K, filed on April 16, 2018).</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16"/>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Amended and Restated Articles of Incorporation of Gaming and Leisure Properties, Inc. (Incorporated by reference to Exhibit</w:t>
              </w:r>
            </w:hyperlink>
          </w:p>
        </w:tc>
        <w:tc>
          <w:tcPr>
            <w:tcW w:w="220" w:type="dxa"/>
            <w:vAlign w:val="bottom"/>
            <w:gridSpan w:val="6"/>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3.</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Company's current report on Form 8-K filed on June 15, 2018).</w:t>
              </w:r>
            </w:hyperlink>
          </w:p>
        </w:tc>
        <w:tc>
          <w:tcPr>
            <w:tcW w:w="4020" w:type="dxa"/>
            <w:vAlign w:val="bottom"/>
            <w:gridSpan w:val="17"/>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2"/>
          </w:tcPr>
          <w:p>
            <w:pPr>
              <w:spacing w:after="0"/>
              <w:rPr>
                <w:rFonts w:ascii="Arial" w:cs="Arial" w:eastAsia="Arial" w:hAnsi="Arial"/>
                <w:sz w:val="18"/>
                <w:szCs w:val="18"/>
                <w:color w:val="0000FF"/>
                <w:w w:val="98"/>
              </w:rPr>
            </w:pPr>
            <w:hyperlink r:id="rId22">
              <w:r>
                <w:rPr>
                  <w:rFonts w:ascii="Arial" w:cs="Arial" w:eastAsia="Arial" w:hAnsi="Arial"/>
                  <w:sz w:val="18"/>
                  <w:szCs w:val="18"/>
                  <w:color w:val="0000FF"/>
                  <w:w w:val="98"/>
                </w:rPr>
                <w:t>Amended and Restated Bylaws of Gaming and Leisure Properties, Inc. (Incorporated by reference to Exhibit 3.2 to the</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Company's current report on Form 8-K filed on June 15, 2018).</w:t>
              </w:r>
            </w:hyperlink>
          </w:p>
        </w:tc>
        <w:tc>
          <w:tcPr>
            <w:tcW w:w="3960" w:type="dxa"/>
            <w:vAlign w:val="bottom"/>
            <w:tcBorders>
              <w:top w:val="single" w:sz="8" w:color="0000FF"/>
            </w:tcBorders>
            <w:gridSpan w:val="5"/>
          </w:tcPr>
          <w:p>
            <w:pPr>
              <w:spacing w:after="0"/>
              <w:rPr>
                <w:sz w:val="17"/>
                <w:szCs w:val="17"/>
                <w:color w:val="auto"/>
              </w:rPr>
            </w:pPr>
          </w:p>
        </w:tc>
        <w:tc>
          <w:tcPr>
            <w:tcW w:w="780" w:type="dxa"/>
            <w:vAlign w:val="bottom"/>
            <w:gridSpan w:val="13"/>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15"/>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Fourth Supplemental Indenture, dated May 21, 2018, among GLP Capital, L.P. and GLP Financing II, Inc. as Issuers, Gaming</w:t>
              </w:r>
            </w:hyperlink>
          </w:p>
        </w:tc>
        <w:tc>
          <w:tcPr>
            <w:tcW w:w="240" w:type="dxa"/>
            <w:vAlign w:val="bottom"/>
            <w:gridSpan w:val="7"/>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and Leisure Properties, Inc., as Parent Guarantor, and Wells Fargo Bank, National Association, as Trustee, relating to the Issuers'</w:t>
              </w:r>
            </w:hyperlink>
          </w:p>
        </w:tc>
        <w:tc>
          <w:tcPr>
            <w:tcW w:w="4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375%</w:t>
              </w:r>
              <w:r>
                <w:rPr>
                  <w:rFonts w:ascii="Arial" w:cs="Arial" w:eastAsia="Arial" w:hAnsi="Arial"/>
                  <w:sz w:val="18"/>
                  <w:szCs w:val="18"/>
                  <w:color w:val="0000FF"/>
                  <w:w w:val="91"/>
                </w:rPr>
                <w:t xml:space="preserve"> Senior Notes due 2018. (Incorporated by reference to Exhibit 4.3 to the Company's current report on Form 8-K, filed on</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May 22, 2018).</w:t>
              </w:r>
            </w:hyperlink>
          </w:p>
        </w:tc>
        <w:tc>
          <w:tcPr>
            <w:tcW w:w="8120" w:type="dxa"/>
            <w:vAlign w:val="bottom"/>
            <w:tcBorders>
              <w:top w:val="single" w:sz="8" w:color="0000FF"/>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20"/>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Fifth Supplemental Indenture, dated May 21, 2018, among GLP Capital, L.P. and GLP Financing II, Inc. as Issuers, Gaming and</w:t>
              </w:r>
            </w:hyperlink>
          </w:p>
        </w:tc>
        <w:tc>
          <w:tcPr>
            <w:tcW w:w="60" w:type="dxa"/>
            <w:vAlign w:val="bottom"/>
            <w:gridSpan w:val="2"/>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Leisure Properties, Inc., as Parent Guarantor, and Wells Fargo Bank, National Association, as Trustee, relating to the Issuers'</w:t>
              </w:r>
            </w:hyperlink>
          </w:p>
        </w:tc>
        <w:tc>
          <w:tcPr>
            <w:tcW w:w="340" w:type="dxa"/>
            <w:vAlign w:val="bottom"/>
            <w:gridSpan w:val="9"/>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5.</w:t>
              </w:r>
              <w:r>
                <w:rPr>
                  <w:rFonts w:ascii="Arial" w:cs="Arial" w:eastAsia="Arial" w:hAnsi="Arial"/>
                  <w:sz w:val="18"/>
                  <w:szCs w:val="18"/>
                  <w:u w:val="single" w:color="auto"/>
                  <w:color w:val="0000FF"/>
                  <w:w w:val="91"/>
                </w:rPr>
                <w:t>250%</w:t>
              </w:r>
              <w:r>
                <w:rPr>
                  <w:rFonts w:ascii="Arial" w:cs="Arial" w:eastAsia="Arial" w:hAnsi="Arial"/>
                  <w:sz w:val="18"/>
                  <w:szCs w:val="18"/>
                  <w:color w:val="0000FF"/>
                  <w:w w:val="91"/>
                </w:rPr>
                <w:t xml:space="preserve"> Senior Notes due 2025. (Incorporated by reference to Exhibit 4.4 to the Company's current report on Form 8-K, filed on</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May 22, 2018).</w:t>
              </w:r>
            </w:hyperlink>
          </w:p>
        </w:tc>
        <w:tc>
          <w:tcPr>
            <w:tcW w:w="8120" w:type="dxa"/>
            <w:vAlign w:val="bottom"/>
            <w:tcBorders>
              <w:top w:val="single" w:sz="8" w:color="0000FF"/>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21"/>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Sixth Supplemental Indenture, dated May 21, 2018, among GLP Capital, L.P. and GLP Financing II, Inc. as Issuers, Gaming and</w:t>
              </w:r>
            </w:hyperlink>
          </w:p>
        </w:tc>
        <w:tc>
          <w:tcPr>
            <w:tcW w:w="4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Leisure Properties, Inc., as Parent Guarantor, and Wells Fargo Bank, National Association, as Trustee, relating to the Issuers'</w:t>
              </w:r>
            </w:hyperlink>
          </w:p>
        </w:tc>
        <w:tc>
          <w:tcPr>
            <w:tcW w:w="340" w:type="dxa"/>
            <w:vAlign w:val="bottom"/>
            <w:gridSpan w:val="9"/>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5.</w:t>
              </w:r>
              <w:r>
                <w:rPr>
                  <w:rFonts w:ascii="Arial" w:cs="Arial" w:eastAsia="Arial" w:hAnsi="Arial"/>
                  <w:sz w:val="18"/>
                  <w:szCs w:val="18"/>
                  <w:u w:val="single" w:color="auto"/>
                  <w:color w:val="0000FF"/>
                  <w:w w:val="91"/>
                </w:rPr>
                <w:t>750%</w:t>
              </w:r>
              <w:r>
                <w:rPr>
                  <w:rFonts w:ascii="Arial" w:cs="Arial" w:eastAsia="Arial" w:hAnsi="Arial"/>
                  <w:sz w:val="18"/>
                  <w:szCs w:val="18"/>
                  <w:color w:val="0000FF"/>
                  <w:w w:val="91"/>
                </w:rPr>
                <w:t xml:space="preserve"> Senior Notes due 2028. (Incorporated by reference to Exhibit 4.5 to the Company's current report on Form 8-K, filed on</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May 22, 2018).</w:t>
              </w:r>
            </w:hyperlink>
          </w:p>
        </w:tc>
        <w:tc>
          <w:tcPr>
            <w:tcW w:w="8120" w:type="dxa"/>
            <w:vAlign w:val="bottom"/>
            <w:tcBorders>
              <w:top w:val="single" w:sz="8" w:color="0000FF"/>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85"/>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Form of 2025 Note (Incorporated by reference to Exhibit 4.6 and included in Exhibit 4.4 to the Company's current report on</w:t>
              </w:r>
            </w:hyperlink>
          </w:p>
        </w:tc>
        <w:tc>
          <w:tcPr>
            <w:tcW w:w="380" w:type="dxa"/>
            <w:vAlign w:val="bottom"/>
            <w:gridSpan w:val="10"/>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Form 8-K, filed on May 22, 2018).</w:t>
              </w:r>
            </w:hyperlink>
          </w:p>
        </w:tc>
        <w:tc>
          <w:tcPr>
            <w:tcW w:w="6760" w:type="dxa"/>
            <w:vAlign w:val="bottom"/>
            <w:gridSpan w:val="19"/>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2028 Note (Incorporated by reference to Exhibit 4.7 and included in Exhibit 4.5 to the Company's current report on</w:t>
              </w:r>
            </w:hyperlink>
          </w:p>
        </w:tc>
        <w:tc>
          <w:tcPr>
            <w:tcW w:w="380" w:type="dxa"/>
            <w:vAlign w:val="bottom"/>
            <w:gridSpan w:val="10"/>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Form 8-K, filed on May 22, 2018).</w:t>
              </w:r>
            </w:hyperlink>
          </w:p>
        </w:tc>
        <w:tc>
          <w:tcPr>
            <w:tcW w:w="6760" w:type="dxa"/>
            <w:vAlign w:val="bottom"/>
            <w:gridSpan w:val="19"/>
          </w:tcPr>
          <w:p>
            <w:pPr>
              <w:spacing w:after="0"/>
              <w:rPr>
                <w:sz w:val="17"/>
                <w:szCs w:val="17"/>
                <w:color w:val="auto"/>
              </w:rPr>
            </w:pPr>
          </w:p>
        </w:tc>
      </w:tr>
      <w:tr>
        <w:trPr>
          <w:trHeight w:val="372"/>
        </w:trPr>
        <w:tc>
          <w:tcPr>
            <w:tcW w:w="1620" w:type="dxa"/>
            <w:vAlign w:val="bottom"/>
          </w:tcPr>
          <w:p>
            <w:pPr>
              <w:jc w:val="right"/>
              <w:ind w:right="511"/>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1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Amendment No. 2, dated as of May 21, 2018, to the Credit Agreement dated as of October 28, 2013 among GLP Capital, L.P.,</w:t>
              </w:r>
            </w:hyperlink>
          </w:p>
        </w:tc>
        <w:tc>
          <w:tcPr>
            <w:tcW w:w="200" w:type="dxa"/>
            <w:vAlign w:val="bottom"/>
            <w:gridSpan w:val="5"/>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the several banks and other financial institutions party thereto, JPMorgan Chase Bank, N.A., as Administrative Agent and the</w:t>
              </w:r>
            </w:hyperlink>
          </w:p>
        </w:tc>
        <w:tc>
          <w:tcPr>
            <w:tcW w:w="280" w:type="dxa"/>
            <w:vAlign w:val="bottom"/>
            <w:gridSpan w:val="8"/>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various other parties thereto. (Incorporated by reference to Exhibit 10.1 to the Company's current report on Form 8-K, filed on</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May 22, 2018).</w:t>
              </w:r>
            </w:hyperlink>
          </w:p>
        </w:tc>
        <w:tc>
          <w:tcPr>
            <w:tcW w:w="7980" w:type="dxa"/>
            <w:vAlign w:val="bottom"/>
            <w:tcBorders>
              <w:top w:val="single" w:sz="8" w:color="0000FF"/>
            </w:tcBorders>
            <w:gridSpan w:val="14"/>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91"/>
              </w:rPr>
              <w:t>10.2 #</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bottom w:val="single" w:sz="8" w:color="0000FF"/>
            </w:tcBorders>
            <w:gridSpan w:val="10"/>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Letter Agreement, dated as of April 24, 2018, by and between William J. Clifford and Gaming and Leisure Properties, Inc.</w:t>
              </w:r>
            </w:hyperlink>
          </w:p>
        </w:tc>
        <w:tc>
          <w:tcPr>
            <w:tcW w:w="480" w:type="dxa"/>
            <w:vAlign w:val="bottom"/>
            <w:gridSpan w:val="12"/>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(Incorporated by reference to Exhibit 10.1 to the Company's current report on Form 8-K, filed on April 30, 2018).</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Fifth Amendment to the Master Lease Agreement, dated as of June 19, 2018, by and among GLP Capital L.P. and Penn Tenant</w:t>
              </w:r>
            </w:hyperlink>
          </w:p>
        </w:tc>
        <w:tc>
          <w:tcPr>
            <w:tcW w:w="180" w:type="dxa"/>
            <w:vAlign w:val="bottom"/>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2"/>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LLC.</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CEO Certification pursuant to Rule 13a-14(a) or 15d-14(a) of the Securities Exchange Act of 1934.</w:t>
              </w:r>
            </w:hyperlink>
          </w:p>
        </w:tc>
        <w:tc>
          <w:tcPr>
            <w:tcW w:w="2140" w:type="dxa"/>
            <w:vAlign w:val="bottom"/>
            <w:gridSpan w:val="15"/>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4">
              <w:r>
                <w:rPr>
                  <w:rFonts w:ascii="Arial" w:cs="Arial" w:eastAsia="Arial" w:hAnsi="Arial"/>
                  <w:sz w:val="18"/>
                  <w:szCs w:val="18"/>
                  <w:color w:val="0000FF"/>
                  <w:w w:val="91"/>
                </w:rPr>
                <w:t>CFO Certification pursuant to Rule 13a-14(a) or 15d-14(a) of the Securities Exchange Act of 1934.</w:t>
              </w:r>
            </w:hyperlink>
          </w:p>
        </w:tc>
        <w:tc>
          <w:tcPr>
            <w:tcW w:w="2160" w:type="dxa"/>
            <w:vAlign w:val="bottom"/>
            <w:gridSpan w:val="16"/>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65">
              <w:r>
                <w:rPr>
                  <w:rFonts w:ascii="Arial" w:cs="Arial" w:eastAsia="Arial" w:hAnsi="Arial"/>
                  <w:sz w:val="18"/>
                  <w:szCs w:val="18"/>
                  <w:color w:val="0000FF"/>
                  <w:w w:val="90"/>
                </w:rPr>
                <w:t>CEO Certification pursuant to 18 U.S.C. Section 1350, as adopted pursuant to Section 906 of the Sarbanes-Oxley Act of 2002.</w:t>
              </w:r>
            </w:hyperlink>
          </w:p>
        </w:tc>
        <w:tc>
          <w:tcPr>
            <w:tcW w:w="200" w:type="dxa"/>
            <w:vAlign w:val="bottom"/>
            <w:gridSpan w:val="5"/>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2"/>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CFO Certification pursuant to 18 U.S.C. Section 1350, as adopted pursuant to Section 906 of the Sarbanes-Oxley Act of 2002.</w:t>
              </w:r>
            </w:hyperlink>
          </w:p>
        </w:tc>
      </w:tr>
      <w:tr>
        <w:trPr>
          <w:trHeight w:val="54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w w:val="89"/>
              </w:rPr>
              <w:t>Interactive data files pursuant to Rule 405 of Regulation S-T: (i) the Condensed Consolidated Balance Sheets at June 30, 2018</w:t>
            </w:r>
          </w:p>
        </w:tc>
        <w:tc>
          <w:tcPr>
            <w:tcW w:w="220" w:type="dxa"/>
            <w:vAlign w:val="bottom"/>
            <w:gridSpan w:val="6"/>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22"/>
          </w:tcPr>
          <w:p>
            <w:pPr>
              <w:spacing w:after="0"/>
              <w:rPr>
                <w:sz w:val="20"/>
                <w:szCs w:val="20"/>
                <w:color w:val="auto"/>
              </w:rPr>
            </w:pPr>
            <w:r>
              <w:rPr>
                <w:rFonts w:ascii="Arial" w:cs="Arial" w:eastAsia="Arial" w:hAnsi="Arial"/>
                <w:sz w:val="18"/>
                <w:szCs w:val="18"/>
                <w:color w:val="auto"/>
                <w:w w:val="93"/>
              </w:rPr>
              <w:t>and December 31, 2017, (ii) the Condensed Consolidated Statements of Income for the three and six months ended June 30,</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22"/>
          </w:tcPr>
          <w:p>
            <w:pPr>
              <w:spacing w:after="0"/>
              <w:rPr>
                <w:sz w:val="20"/>
                <w:szCs w:val="20"/>
                <w:color w:val="auto"/>
              </w:rPr>
            </w:pPr>
            <w:r>
              <w:rPr>
                <w:rFonts w:ascii="Arial" w:cs="Arial" w:eastAsia="Arial" w:hAnsi="Arial"/>
                <w:sz w:val="18"/>
                <w:szCs w:val="18"/>
                <w:color w:val="auto"/>
                <w:w w:val="91"/>
              </w:rPr>
              <w:t>2018 and 2017, (iii) the Condensed Consolidated Statement of Changes in Shareholders’ Equity for the six months ended June</w:t>
            </w:r>
          </w:p>
        </w:tc>
      </w:tr>
    </w:tbl>
    <w:p>
      <w:pPr>
        <w:ind w:left="2100" w:right="160"/>
        <w:spacing w:after="0" w:line="261" w:lineRule="auto"/>
        <w:rPr>
          <w:sz w:val="20"/>
          <w:szCs w:val="20"/>
          <w:color w:val="auto"/>
        </w:rPr>
      </w:pPr>
      <w:r>
        <w:rPr>
          <w:rFonts w:ascii="Arial" w:cs="Arial" w:eastAsia="Arial" w:hAnsi="Arial"/>
          <w:sz w:val="18"/>
          <w:szCs w:val="18"/>
          <w:color w:val="auto"/>
        </w:rPr>
        <w:t>30, 2018, (iv) the Condensed Consolidated Statements of Cash Flows for six months ended June 30, 2018 and 2017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732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Compensation plans and arrangements for executives and others.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ectPr>
          <w:pgSz w:w="11900" w:h="16838" w:orient="portrait"/>
          <w:cols w:equalWidth="0" w:num="1">
            <w:col w:w="11420"/>
          </w:cols>
          <w:pgMar w:left="240" w:top="130" w:right="239" w:bottom="54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541"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40"/>
        <w:spacing w:after="0"/>
        <w:tabs>
          <w:tab w:leader="none" w:pos="5620" w:val="left"/>
          <w:tab w:leader="none" w:pos="63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Steven T. Snyder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240" w:top="130" w:right="7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 TO MASTER LEASE</w:t>
      </w:r>
    </w:p>
    <w:p>
      <w:pPr>
        <w:spacing w:after="0" w:line="220"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THIS FIFTH AMENDMENT TO MASTER LEASE (this “</w:t>
      </w:r>
      <w:r>
        <w:rPr>
          <w:rFonts w:ascii="Arial" w:cs="Arial" w:eastAsia="Arial" w:hAnsi="Arial"/>
          <w:sz w:val="21"/>
          <w:szCs w:val="21"/>
          <w:b w:val="1"/>
          <w:bCs w:val="1"/>
          <w:color w:val="auto"/>
        </w:rPr>
        <w:t>Amendment</w:t>
      </w:r>
      <w:r>
        <w:rPr>
          <w:rFonts w:ascii="Arial" w:cs="Arial" w:eastAsia="Arial" w:hAnsi="Arial"/>
          <w:sz w:val="21"/>
          <w:szCs w:val="21"/>
          <w:color w:val="auto"/>
        </w:rPr>
        <w:t>”) is being entered into on this 19th day of June, 2018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Landlord and Tenant, as more fully set forth herein, and shall amend that certain Master Lease, dated November 1, 2013, as amended to the date hereof (collectively, the “</w:t>
      </w:r>
      <w:r>
        <w:rPr>
          <w:rFonts w:ascii="Arial" w:cs="Arial" w:eastAsia="Arial" w:hAnsi="Arial"/>
          <w:sz w:val="21"/>
          <w:szCs w:val="21"/>
          <w:b w:val="1"/>
          <w:bCs w:val="1"/>
          <w:color w:val="auto"/>
        </w:rPr>
        <w:t>Master Lease</w:t>
      </w:r>
      <w:r>
        <w:rPr>
          <w:rFonts w:ascii="Arial" w:cs="Arial" w:eastAsia="Arial" w:hAnsi="Arial"/>
          <w:sz w:val="21"/>
          <w:szCs w:val="21"/>
          <w:color w:val="auto"/>
        </w:rPr>
        <w:t>”), by and among GLP Capital, L.P. (together with its permitted successors and assigns, “</w:t>
      </w:r>
      <w:r>
        <w:rPr>
          <w:rFonts w:ascii="Arial" w:cs="Arial" w:eastAsia="Arial" w:hAnsi="Arial"/>
          <w:sz w:val="21"/>
          <w:szCs w:val="21"/>
          <w:b w:val="1"/>
          <w:bCs w:val="1"/>
          <w:color w:val="auto"/>
        </w:rPr>
        <w:t>Landlord</w:t>
      </w:r>
      <w:r>
        <w:rPr>
          <w:rFonts w:ascii="Arial" w:cs="Arial" w:eastAsia="Arial" w:hAnsi="Arial"/>
          <w:sz w:val="21"/>
          <w:szCs w:val="21"/>
          <w:color w:val="auto"/>
        </w:rPr>
        <w:t>”) and Penn Tenant, LLC (together with its permitted successors and assigns, “</w:t>
      </w:r>
      <w:r>
        <w:rPr>
          <w:rFonts w:ascii="Arial" w:cs="Arial" w:eastAsia="Arial" w:hAnsi="Arial"/>
          <w:sz w:val="21"/>
          <w:szCs w:val="21"/>
          <w:b w:val="1"/>
          <w:bCs w:val="1"/>
          <w:color w:val="auto"/>
        </w:rPr>
        <w:t>Tenant</w:t>
      </w:r>
      <w:r>
        <w:rPr>
          <w:rFonts w:ascii="Arial" w:cs="Arial" w:eastAsia="Arial" w:hAnsi="Arial"/>
          <w:sz w:val="21"/>
          <w:szCs w:val="21"/>
          <w:color w:val="auto"/>
        </w:rPr>
        <w:t>”), pursuant to which Tenant leases certain Leased Property, as further defined in the Master Lease (the “</w:t>
      </w:r>
      <w:r>
        <w:rPr>
          <w:rFonts w:ascii="Arial" w:cs="Arial" w:eastAsia="Arial" w:hAnsi="Arial"/>
          <w:sz w:val="21"/>
          <w:szCs w:val="21"/>
          <w:b w:val="1"/>
          <w:bCs w:val="1"/>
          <w:color w:val="auto"/>
        </w:rPr>
        <w:t>Existing Leased Property</w:t>
      </w:r>
      <w:r>
        <w:rPr>
          <w:rFonts w:ascii="Arial" w:cs="Arial" w:eastAsia="Arial" w:hAnsi="Arial"/>
          <w:sz w:val="21"/>
          <w:szCs w:val="21"/>
          <w:color w:val="auto"/>
        </w:rPr>
        <w:t xml:space="preserve">”). Landlord and Tenant each desire to remove certain portions of the Existing Leased Property as identified and defined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attached hereto and incorporated herein (the “</w:t>
      </w:r>
      <w:r>
        <w:rPr>
          <w:rFonts w:ascii="Arial" w:cs="Arial" w:eastAsia="Arial" w:hAnsi="Arial"/>
          <w:sz w:val="21"/>
          <w:szCs w:val="21"/>
          <w:b w:val="1"/>
          <w:bCs w:val="1"/>
          <w:color w:val="auto"/>
        </w:rPr>
        <w:t>Removed Leased Property</w:t>
      </w:r>
      <w:r>
        <w:rPr>
          <w:rFonts w:ascii="Arial" w:cs="Arial" w:eastAsia="Arial" w:hAnsi="Arial"/>
          <w:sz w:val="21"/>
          <w:szCs w:val="21"/>
          <w:color w:val="auto"/>
        </w:rPr>
        <w:t>”) from the terms, covenants and conditions of the Master Lease. Capitalized terms used herein and not otherwise defined herein shall have the meaning ascribed to them in the Master Lease.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each desire to amend the Master Lease as more fully described herein.</w:t>
      </w:r>
    </w:p>
    <w:p>
      <w:pPr>
        <w:spacing w:after="0" w:line="22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REMOVAL OF REMOVED LEASED PROPERTY</w:t>
      </w:r>
    </w:p>
    <w:p>
      <w:pPr>
        <w:spacing w:after="0" w:line="242"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color w:val="auto"/>
        </w:rPr>
        <w:t xml:space="preserve">1.1 Exhibit B to the Master Lease is hereby amended to remove the description of the Removed Leased Property as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and incorporated hereby by this reference from the description of the Land.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MEMORANDUM OF LEASE</w:t>
      </w:r>
    </w:p>
    <w:p>
      <w:pPr>
        <w:spacing w:after="0" w:line="202" w:lineRule="exact"/>
        <w:rPr>
          <w:sz w:val="20"/>
          <w:szCs w:val="20"/>
          <w:color w:val="auto"/>
        </w:rPr>
      </w:pPr>
    </w:p>
    <w:p>
      <w:pPr>
        <w:ind w:right="400"/>
        <w:spacing w:after="0" w:line="302" w:lineRule="auto"/>
        <w:rPr>
          <w:sz w:val="20"/>
          <w:szCs w:val="20"/>
          <w:color w:val="auto"/>
        </w:rPr>
      </w:pPr>
      <w:r>
        <w:rPr>
          <w:rFonts w:ascii="Arial" w:cs="Arial" w:eastAsia="Arial" w:hAnsi="Arial"/>
          <w:sz w:val="19"/>
          <w:szCs w:val="19"/>
          <w:color w:val="auto"/>
        </w:rPr>
        <w:t>Landlord and Tenant shall enter into an amendment to any memorandum of lease which may have been recorded in accordance with Article XXXIII of the Master Lease against the Removed Leased Property, in form suitable for recording in the county or other application location in which a Removed Leased Property is located which amendment is pursuant to this Amendment. Landlord shall pay all costs and expenses of recording any such amendment to memorandum.</w:t>
      </w:r>
    </w:p>
    <w:p>
      <w:pPr>
        <w:spacing w:after="0" w:line="13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AUTHORITY TO ENTER INTO AMENDMENT</w:t>
      </w:r>
    </w:p>
    <w:p>
      <w:pPr>
        <w:sectPr>
          <w:pgSz w:w="11900" w:h="16838" w:orient="portrait"/>
          <w:cols w:equalWidth="0" w:num="1">
            <w:col w:w="11420"/>
          </w:cols>
          <w:pgMar w:left="240" w:top="580" w:right="239" w:bottom="1440" w:gutter="0" w:footer="0" w:header="0"/>
        </w:sectPr>
      </w:pPr>
    </w:p>
    <w:bookmarkStart w:id="53" w:name="page54"/>
    <w:bookmarkEnd w:id="53"/>
    <w:p>
      <w:pPr>
        <w:spacing w:after="0" w:line="261"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3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Brokers</w:t>
      </w:r>
      <w:r>
        <w:rPr>
          <w:rFonts w:ascii="Arial" w:cs="Arial" w:eastAsia="Arial" w:hAnsi="Arial"/>
          <w:sz w:val="21"/>
          <w:szCs w:val="21"/>
          <w:color w:val="auto"/>
        </w:rPr>
        <w:t>.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21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99"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217" w:lineRule="exact"/>
        <w:rPr>
          <w:sz w:val="20"/>
          <w:szCs w:val="20"/>
          <w:color w:val="auto"/>
        </w:rPr>
      </w:pPr>
    </w:p>
    <w:p>
      <w:pPr>
        <w:jc w:val="both"/>
        <w:ind w:right="100" w:firstLine="648"/>
        <w:spacing w:after="0" w:line="30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u w:val="single" w:color="auto"/>
          <w:color w:val="auto"/>
        </w:rPr>
        <w:t>Counterparts; Facsimile Signatures</w:t>
      </w:r>
      <w:r>
        <w:rPr>
          <w:rFonts w:ascii="Arial" w:cs="Arial" w:eastAsia="Arial" w:hAnsi="Arial"/>
          <w:sz w:val="19"/>
          <w:szCs w:val="19"/>
          <w:color w:val="auto"/>
        </w:rPr>
        <w:t>.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modified hereby, the Master Lease remains in full force and effect.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54" w:name="page55"/>
    <w:bookmarkEnd w:id="54"/>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each of the undersigned as of the date first above written.</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GLP CAPITAL, L.P.</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Brandon J. Moore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Brandon J. Moore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Senior Vice President, General Counsel &amp; Secretary</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PENN TENANT, LLC</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Penn National Gaming, Inc.</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managing member</w:t>
      </w:r>
    </w:p>
    <w:p>
      <w:pPr>
        <w:spacing w:after="0" w:line="200" w:lineRule="exact"/>
        <w:rPr>
          <w:sz w:val="20"/>
          <w:szCs w:val="20"/>
          <w:color w:val="auto"/>
        </w:rPr>
      </w:pPr>
    </w:p>
    <w:p>
      <w:pPr>
        <w:spacing w:after="0" w:line="258"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Fair</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William J. Fair</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Executive Vice President and Chief Financial Officer</w:t>
      </w:r>
    </w:p>
    <w:p>
      <w:pPr>
        <w:sectPr>
          <w:pgSz w:w="11900" w:h="16838" w:orient="portrait"/>
          <w:cols w:equalWidth="0" w:num="1">
            <w:col w:w="11360"/>
          </w:cols>
          <w:pgMar w:left="240" w:top="591"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color w:val="auto"/>
        </w:rPr>
        <w:t>ANNEX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LEGAL DESCRIPTION REMOVED FROM EXHIBIT B</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591" w:right="1440" w:bottom="144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04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6774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6774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517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5171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680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680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152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152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3284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284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August 1, 2018</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August 1, 2018</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82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2280" w:type="dxa"/>
            <w:vAlign w:val="bottom"/>
            <w:gridSpan w:val="2"/>
          </w:tcPr>
          <w:p>
            <w:pPr>
              <w:spacing w:after="0"/>
              <w:rPr>
                <w:sz w:val="20"/>
                <w:szCs w:val="20"/>
                <w:color w:val="auto"/>
              </w:rPr>
            </w:pPr>
            <w:r>
              <w:rPr>
                <w:rFonts w:ascii="Arial" w:cs="Arial" w:eastAsia="Arial" w:hAnsi="Arial"/>
                <w:sz w:val="18"/>
                <w:szCs w:val="18"/>
                <w:i w:val="1"/>
                <w:iCs w:val="1"/>
                <w:color w:val="auto"/>
                <w:w w:val="95"/>
              </w:rPr>
              <w:t>Interim Chief Financial Officer</w:t>
            </w:r>
          </w:p>
        </w:tc>
      </w:tr>
    </w:tbl>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connection with the quarterly report of Gaming and Leisure Properties, Inc. (the “Company”) on Form 10-Q for the quarter ended June 30, 2018,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81" w:lineRule="exact"/>
        <w:rPr>
          <w:sz w:val="20"/>
          <w:szCs w:val="20"/>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August 1, 2018</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June 30, 2018, as filed with the Securities and Exchange Commission on the date hereof (the “Report”), I, Steven T. Snyder, Interim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Interim 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August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9"/>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1."/>
      <w:numFmt w:val="decimal"/>
      <w:start w:val="10"/>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
    </w:lvl>
    <w:lvl w:ilvl="1">
      <w:lvlJc w:val="left"/>
      <w:lvlText w:val="(%2)"/>
      <w:numFmt w:val="decimal"/>
      <w:start w:val="1"/>
    </w:lvl>
  </w:abstractNum>
  <w:abstractNum w:abstractNumId="15">
    <w:nsid w:val="79838CB2"/>
    <w:multiLevelType w:val="hybridMultilevel"/>
    <w:lvl w:ilvl="0">
      <w:lvlJc w:val="left"/>
      <w:lvlText w:val="%1."/>
      <w:numFmt w:val="decimal"/>
      <w:start w:val="14"/>
    </w:lvl>
    <w:lvl w:ilvl="1">
      <w:lvlJc w:val="left"/>
      <w:lvlText w:val="%2"/>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decimal"/>
      <w:start w:val="5"/>
    </w:lvl>
    <w:lvl w:ilvl="1">
      <w:lvlJc w:val="left"/>
      <w:lvlText w:val="(%2)"/>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decimal"/>
      <w:start w:val="5"/>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19" Type="http://schemas.openxmlformats.org/officeDocument/2006/relationships/hyperlink" Target="http://www.sec.gov/Archives/edgar/data/1575965/000119312518117881/d545112dex21.htm" TargetMode="External"/><Relationship Id="rId20" Type="http://schemas.openxmlformats.org/officeDocument/2006/relationships/hyperlink" Target="http://www.sec.gov/Archives/edgar/data/1575965/000119312518117881/d545112dex22.htm" TargetMode="External"/><Relationship Id="rId21" Type="http://schemas.openxmlformats.org/officeDocument/2006/relationships/hyperlink" Target="http://www.sec.gov/Archives/edgar/data/1575965/000157596518000016/glpiexhibit31amendedandres.htm" TargetMode="External"/><Relationship Id="rId22" Type="http://schemas.openxmlformats.org/officeDocument/2006/relationships/hyperlink" Target="http://www.sec.gov/Archives/edgar/data/1575965/000157596518000016/glpiexhibit32amendedandres.htm" TargetMode="External"/><Relationship Id="rId23" Type="http://schemas.openxmlformats.org/officeDocument/2006/relationships/hyperlink" Target="http://www.sec.gov/Archives/edgar/data/1575965/000119312518170967/d584186dex43.htm" TargetMode="External"/><Relationship Id="rId24" Type="http://schemas.openxmlformats.org/officeDocument/2006/relationships/hyperlink" Target="http://www.sec.gov/Archives/edgar/data/1575965/000119312518170967/d584186dex44.htm" TargetMode="External"/><Relationship Id="rId25" Type="http://schemas.openxmlformats.org/officeDocument/2006/relationships/hyperlink" Target="http://www.sec.gov/Archives/edgar/data/1575965/000119312518170967/d584186dex45.htm" TargetMode="External"/><Relationship Id="rId26" Type="http://schemas.openxmlformats.org/officeDocument/2006/relationships/hyperlink" Target="http://www.sec.gov/Archives/edgar/data/1575965/000119312518170967/d584186dex101.htm" TargetMode="External"/><Relationship Id="rId27" Type="http://schemas.openxmlformats.org/officeDocument/2006/relationships/hyperlink" Target="http://www.sec.gov/Archives/edgar/data/1575965/000157596518000008/exhibit101letteragreemen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2019-12-28T20:28:03Z</dcterms:created>
  <dcterms:modified xsi:type="dcterms:W3CDTF">2019-12-28T20:28:03Z</dcterms:modified>
</cp:coreProperties>
</file>