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2"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&amp;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(State or other jurisdiction of</w:t>
            </w:r>
          </w:p>
        </w:tc>
        <w:tc>
          <w:tcPr>
            <w:tcW w:w="3280" w:type="dxa"/>
            <w:vAlign w:val="bottom"/>
          </w:tcPr>
          <w:p>
            <w:pPr>
              <w:jc w:val="center"/>
              <w:ind w:left="1830"/>
              <w:spacing w:after="0"/>
              <w:rPr>
                <w:sz w:val="20"/>
                <w:szCs w:val="20"/>
                <w:color w:val="auto"/>
              </w:rPr>
            </w:pPr>
            <w:r>
              <w:rPr>
                <w:rFonts w:ascii="Arial" w:cs="Arial" w:eastAsia="Arial" w:hAnsi="Arial"/>
                <w:sz w:val="18"/>
                <w:szCs w:val="18"/>
                <w:color w:val="auto"/>
                <w:w w:val="93"/>
              </w:rPr>
              <w:t>(I.R.S. Employer</w:t>
            </w:r>
          </w:p>
        </w:tc>
      </w:tr>
      <w:tr>
        <w:trPr>
          <w:trHeight w:val="27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350" w:type="dxa"/>
        <w:tblCellMar>
          <w:top w:w="0" w:type="dxa"/>
          <w:left w:w="0" w:type="dxa"/>
          <w:bottom w:w="0" w:type="dxa"/>
          <w:right w:w="0" w:type="dxa"/>
        </w:tblCellMar>
      </w:tblPr>
      <w:tr>
        <w:trPr>
          <w:trHeight w:val="264"/>
        </w:trPr>
        <w:tc>
          <w:tcPr>
            <w:tcW w:w="358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tcBorders>
              <w:right w:val="single" w:sz="8" w:color="auto"/>
            </w:tcBorders>
          </w:tcPr>
          <w:p>
            <w:pPr>
              <w:spacing w:after="0"/>
              <w:rPr>
                <w:sz w:val="22"/>
                <w:szCs w:val="22"/>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 w:type="dxa"/>
            <w:vAlign w:val="bottom"/>
            <w:tcBorders>
              <w:right w:val="single" w:sz="8" w:color="auto"/>
            </w:tcBorders>
          </w:tcPr>
          <w:p>
            <w:pPr>
              <w:spacing w:after="0"/>
              <w:rPr>
                <w:sz w:val="22"/>
                <w:szCs w:val="22"/>
                <w:color w:val="auto"/>
              </w:rPr>
            </w:pP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0"/>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$.01 per share</w:t>
            </w:r>
          </w:p>
        </w:tc>
        <w:tc>
          <w:tcPr>
            <w:tcW w:w="420" w:type="dxa"/>
            <w:vAlign w:val="bottom"/>
            <w:tcBorders>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GLPI</w:t>
            </w:r>
          </w:p>
        </w:tc>
        <w:tc>
          <w:tcPr>
            <w:tcW w:w="420" w:type="dxa"/>
            <w:vAlign w:val="bottom"/>
            <w:tcBorders>
              <w:right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Nasdaq</w:t>
            </w:r>
          </w:p>
        </w:tc>
      </w:tr>
    </w:tbl>
    <w:p>
      <w:pPr>
        <w:spacing w:after="0" w:line="104" w:lineRule="exact"/>
        <w:rPr>
          <w:sz w:val="24"/>
          <w:szCs w:val="24"/>
          <w:color w:val="auto"/>
        </w:rPr>
      </w:pPr>
    </w:p>
    <w:p>
      <w:pPr>
        <w:jc w:val="both"/>
        <w:ind w:right="180" w:firstLine="324"/>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6" w:lineRule="exact"/>
        <w:rPr>
          <w:sz w:val="24"/>
          <w:szCs w:val="24"/>
          <w:color w:val="auto"/>
        </w:rPr>
      </w:pPr>
    </w:p>
    <w:p>
      <w:pPr>
        <w:ind w:right="700" w:firstLine="367"/>
        <w:spacing w:after="0" w:line="22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6"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2380" w:type="dxa"/>
        <w:tblCellMar>
          <w:top w:w="0" w:type="dxa"/>
          <w:left w:w="0" w:type="dxa"/>
          <w:bottom w:w="0" w:type="dxa"/>
          <w:right w:w="0" w:type="dxa"/>
        </w:tblCellMar>
      </w:tblPr>
      <w:tr>
        <w:trPr>
          <w:trHeight w:val="283"/>
        </w:trPr>
        <w:tc>
          <w:tcPr>
            <w:tcW w:w="2040" w:type="dxa"/>
            <w:vAlign w:val="bottom"/>
          </w:tcPr>
          <w:p>
            <w:pPr>
              <w:jc w:val="center"/>
              <w:ind w:right="330"/>
              <w:spacing w:after="0"/>
              <w:rPr>
                <w:sz w:val="20"/>
                <w:szCs w:val="20"/>
                <w:color w:val="auto"/>
              </w:rPr>
            </w:pPr>
            <w:r>
              <w:rPr>
                <w:rFonts w:ascii="Arial" w:cs="Arial" w:eastAsia="Arial" w:hAnsi="Arial"/>
                <w:sz w:val="18"/>
                <w:szCs w:val="18"/>
                <w:color w:val="auto"/>
                <w:w w:val="90"/>
              </w:rPr>
              <w:t>Large accelerated filer</w:t>
            </w:r>
          </w:p>
        </w:tc>
        <w:tc>
          <w:tcPr>
            <w:tcW w:w="1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jc w:val="center"/>
              <w:ind w:left="10"/>
              <w:spacing w:after="0"/>
              <w:rPr>
                <w:sz w:val="20"/>
                <w:szCs w:val="20"/>
                <w:color w:val="auto"/>
              </w:rPr>
            </w:pPr>
            <w:r>
              <w:rPr>
                <w:rFonts w:ascii="Arial" w:cs="Arial" w:eastAsia="Arial" w:hAnsi="Arial"/>
                <w:sz w:val="18"/>
                <w:szCs w:val="18"/>
                <w:color w:val="auto"/>
                <w:w w:val="92"/>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40"/>
        </w:trPr>
        <w:tc>
          <w:tcPr>
            <w:tcW w:w="2040" w:type="dxa"/>
            <w:vAlign w:val="bottom"/>
          </w:tcPr>
          <w:p>
            <w:pPr>
              <w:jc w:val="center"/>
              <w:ind w:right="310"/>
              <w:spacing w:after="0"/>
              <w:rPr>
                <w:sz w:val="20"/>
                <w:szCs w:val="20"/>
                <w:color w:val="auto"/>
              </w:rPr>
            </w:pPr>
            <w:r>
              <w:rPr>
                <w:rFonts w:ascii="Arial" w:cs="Arial" w:eastAsia="Arial" w:hAnsi="Arial"/>
                <w:sz w:val="18"/>
                <w:szCs w:val="18"/>
                <w:color w:val="auto"/>
                <w:w w:val="91"/>
              </w:rPr>
              <w:t>Non-accelerated filer</w:t>
            </w:r>
          </w:p>
        </w:tc>
        <w:tc>
          <w:tcPr>
            <w:tcW w:w="1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jc w:val="center"/>
              <w:ind w:left="50"/>
              <w:spacing w:after="0"/>
              <w:rPr>
                <w:sz w:val="20"/>
                <w:szCs w:val="20"/>
                <w:color w:val="auto"/>
              </w:rPr>
            </w:pPr>
            <w:r>
              <w:rPr>
                <w:rFonts w:ascii="Arial" w:cs="Arial" w:eastAsia="Arial" w:hAnsi="Arial"/>
                <w:sz w:val="18"/>
                <w:szCs w:val="18"/>
                <w:color w:val="auto"/>
                <w:w w:val="91"/>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jc w:val="center"/>
              <w:ind w:left="50"/>
              <w:spacing w:after="0"/>
              <w:rPr>
                <w:sz w:val="20"/>
                <w:szCs w:val="20"/>
                <w:color w:val="auto"/>
              </w:rPr>
            </w:pPr>
            <w:r>
              <w:rPr>
                <w:rFonts w:ascii="Arial" w:cs="Arial" w:eastAsia="Arial" w:hAnsi="Arial"/>
                <w:sz w:val="18"/>
                <w:szCs w:val="18"/>
                <w:color w:val="auto"/>
                <w:w w:val="91"/>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1" w:lineRule="exact"/>
        <w:rPr>
          <w:sz w:val="24"/>
          <w:szCs w:val="24"/>
          <w:color w:val="auto"/>
        </w:rPr>
      </w:pPr>
    </w:p>
    <w:p>
      <w:pPr>
        <w:ind w:right="36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jc w:val="both"/>
        <w:ind w:left="340" w:right="224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6"/>
          <w:szCs w:val="16"/>
          <w:color w:val="auto"/>
        </w:rPr>
        <w:t>Indicate the number of shares outstanding of each of the issuer’s classes of common stock, as of the latest practicable date.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7, 2019</w:t>
            </w:r>
          </w:p>
        </w:tc>
      </w:tr>
      <w:tr>
        <w:trPr>
          <w:trHeight w:val="190"/>
        </w:trPr>
        <w:tc>
          <w:tcPr>
            <w:tcW w:w="56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Common Stock, par value $.01 per share</w:t>
            </w:r>
          </w:p>
        </w:tc>
        <w:tc>
          <w:tcPr>
            <w:tcW w:w="5180" w:type="dxa"/>
            <w:vAlign w:val="bottom"/>
          </w:tcPr>
          <w:p>
            <w:pPr>
              <w:jc w:val="right"/>
              <w:ind w:right="2148"/>
              <w:spacing w:after="0"/>
              <w:rPr>
                <w:sz w:val="20"/>
                <w:szCs w:val="20"/>
                <w:color w:val="auto"/>
              </w:rPr>
            </w:pPr>
            <w:r>
              <w:rPr>
                <w:rFonts w:ascii="Arial" w:cs="Arial" w:eastAsia="Arial" w:hAnsi="Arial"/>
                <w:sz w:val="14"/>
                <w:szCs w:val="14"/>
                <w:color w:val="auto"/>
              </w:rPr>
              <w:t>214,682,856</w:t>
            </w:r>
          </w:p>
        </w:tc>
      </w:tr>
    </w:tbl>
    <w:p>
      <w:pPr>
        <w:sectPr>
          <w:pgSz w:w="11900" w:h="16838" w:orient="portrait"/>
          <w:cols w:equalWidth="0" w:num="1">
            <w:col w:w="11400"/>
          </w:cols>
          <w:pgMar w:left="240" w:top="238" w:right="25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the mortgage loan made to Eldorado Resorts, Inc. ("Eldorado") by way of substitution of one or more additional Eldorado properties acceptable to Eldorado and the Company, which will be transferred to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obligation to indemnify Penn National Gaming, Inc. and its subsidiaries in certain circumstances if the spin-off transaction described in Note 1 to the condensed consolidated financial statements fails to be tax-free;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2018, in this Quarterly Report on Form 10-Q and Current Reports on Form 8-K as filed with the United States Securities and Exchange Commission.</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2018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2018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500" w:type="dxa"/>
            <w:vAlign w:val="bottom"/>
            <w:gridSpan w:val="13"/>
          </w:tcPr>
          <w:p>
            <w:pPr>
              <w:spacing w:after="0"/>
              <w:rPr>
                <w:sz w:val="17"/>
                <w:szCs w:val="17"/>
                <w:color w:val="auto"/>
              </w:rPr>
            </w:pPr>
          </w:p>
        </w:tc>
        <w:tc>
          <w:tcPr>
            <w:tcW w:w="500" w:type="dxa"/>
            <w:vAlign w:val="bottom"/>
            <w:gridSpan w:val="4"/>
          </w:tcPr>
          <w:p>
            <w:pPr>
              <w:jc w:val="center"/>
              <w:ind w:left="2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3060" w:type="dxa"/>
            <w:vAlign w:val="bottom"/>
            <w:gridSpan w:val="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680" w:type="dxa"/>
            <w:vAlign w:val="bottom"/>
            <w:gridSpan w:val="10"/>
          </w:tcPr>
          <w:p>
            <w:pPr>
              <w:spacing w:after="0"/>
              <w:rPr>
                <w:sz w:val="24"/>
                <w:szCs w:val="24"/>
                <w:color w:val="auto"/>
              </w:rPr>
            </w:pPr>
          </w:p>
        </w:tc>
        <w:tc>
          <w:tcPr>
            <w:tcW w:w="500" w:type="dxa"/>
            <w:vAlign w:val="bottom"/>
            <w:gridSpan w:val="4"/>
          </w:tcPr>
          <w:p>
            <w:pPr>
              <w:jc w:val="center"/>
              <w:ind w:left="2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June 30, 2019 and December 31, 2018</w:t>
              </w:r>
            </w:hyperlink>
          </w:p>
        </w:tc>
        <w:tc>
          <w:tcPr>
            <w:tcW w:w="500" w:type="dxa"/>
            <w:vAlign w:val="bottom"/>
            <w:gridSpan w:val="4"/>
          </w:tcPr>
          <w:p>
            <w:pPr>
              <w:jc w:val="center"/>
              <w:ind w:left="2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 Three and Six Months Ended June 30, 2019 and 2018</w:t>
              </w:r>
            </w:hyperlink>
          </w:p>
        </w:tc>
        <w:tc>
          <w:tcPr>
            <w:tcW w:w="500" w:type="dxa"/>
            <w:vAlign w:val="bottom"/>
            <w:gridSpan w:val="4"/>
          </w:tcPr>
          <w:p>
            <w:pPr>
              <w:jc w:val="center"/>
              <w:ind w:left="2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740" w:type="dxa"/>
            <w:vAlign w:val="bottom"/>
            <w:gridSpan w:val="19"/>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Condensed Consolidated Statement of Changes in Shareholders' Equity - Three and Six Months Ended June 30, 2019</w:t>
              </w:r>
            </w:hyperlink>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and 2018</w:t>
              </w:r>
            </w:hyperlink>
          </w:p>
        </w:tc>
        <w:tc>
          <w:tcPr>
            <w:tcW w:w="7620" w:type="dxa"/>
            <w:vAlign w:val="bottom"/>
            <w:tcBorders>
              <w:top w:val="single" w:sz="8" w:color="0000EE"/>
            </w:tcBorders>
            <w:gridSpan w:val="16"/>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4"/>
          </w:tcPr>
          <w:p>
            <w:pPr>
              <w:jc w:val="center"/>
              <w:ind w:left="21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96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Six Months Ended June 30, 2019 and 2018</w:t>
              </w:r>
            </w:hyperlink>
          </w:p>
        </w:tc>
        <w:tc>
          <w:tcPr>
            <w:tcW w:w="1780" w:type="dxa"/>
            <w:vAlign w:val="bottom"/>
            <w:gridSpan w:val="4"/>
          </w:tcPr>
          <w:p>
            <w:pPr>
              <w:spacing w:after="0"/>
              <w:rPr>
                <w:sz w:val="21"/>
                <w:szCs w:val="21"/>
                <w:color w:val="auto"/>
              </w:rPr>
            </w:pPr>
          </w:p>
        </w:tc>
        <w:tc>
          <w:tcPr>
            <w:tcW w:w="500" w:type="dxa"/>
            <w:vAlign w:val="bottom"/>
            <w:gridSpan w:val="4"/>
          </w:tcPr>
          <w:p>
            <w:pPr>
              <w:jc w:val="center"/>
              <w:ind w:left="2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2700" w:type="dxa"/>
            <w:vAlign w:val="bottom"/>
            <w:gridSpan w:val="4"/>
          </w:tcPr>
          <w:p>
            <w:pPr>
              <w:spacing w:after="0"/>
              <w:rPr>
                <w:sz w:val="21"/>
                <w:szCs w:val="21"/>
                <w:color w:val="auto"/>
              </w:rPr>
            </w:pPr>
          </w:p>
        </w:tc>
        <w:tc>
          <w:tcPr>
            <w:tcW w:w="1780" w:type="dxa"/>
            <w:vAlign w:val="bottom"/>
            <w:gridSpan w:val="4"/>
          </w:tcPr>
          <w:p>
            <w:pPr>
              <w:spacing w:after="0"/>
              <w:rPr>
                <w:sz w:val="21"/>
                <w:szCs w:val="21"/>
                <w:color w:val="auto"/>
              </w:rPr>
            </w:pPr>
          </w:p>
        </w:tc>
        <w:tc>
          <w:tcPr>
            <w:tcW w:w="500" w:type="dxa"/>
            <w:vAlign w:val="bottom"/>
            <w:gridSpan w:val="4"/>
          </w:tcPr>
          <w:p>
            <w:pPr>
              <w:jc w:val="center"/>
              <w:ind w:left="21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OPERATIONS</w:t>
              </w:r>
            </w:hyperlink>
          </w:p>
        </w:tc>
        <w:tc>
          <w:tcPr>
            <w:tcW w:w="6660" w:type="dxa"/>
            <w:vAlign w:val="bottom"/>
            <w:tcBorders>
              <w:top w:val="single" w:sz="8" w:color="0000EE"/>
            </w:tcBorders>
            <w:gridSpan w:val="14"/>
          </w:tcPr>
          <w:p>
            <w:pPr>
              <w:spacing w:after="0"/>
              <w:rPr>
                <w:sz w:val="17"/>
                <w:szCs w:val="17"/>
                <w:color w:val="auto"/>
              </w:rPr>
            </w:pPr>
          </w:p>
        </w:tc>
        <w:tc>
          <w:tcPr>
            <w:tcW w:w="980" w:type="dxa"/>
            <w:vAlign w:val="bottom"/>
            <w:gridSpan w:val="2"/>
          </w:tcPr>
          <w:p>
            <w:pPr>
              <w:spacing w:after="0"/>
              <w:rPr>
                <w:sz w:val="17"/>
                <w:szCs w:val="17"/>
                <w:color w:val="auto"/>
              </w:rPr>
            </w:pPr>
          </w:p>
        </w:tc>
        <w:tc>
          <w:tcPr>
            <w:tcW w:w="500" w:type="dxa"/>
            <w:vAlign w:val="bottom"/>
            <w:gridSpan w:val="4"/>
          </w:tcPr>
          <w:p>
            <w:pPr>
              <w:jc w:val="center"/>
              <w:ind w:left="23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4"/>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QUANTITATIVE AND QUALITATIVE DISCLOSURES ABOUT MARKET RISK</w:t>
              </w:r>
            </w:hyperlink>
          </w:p>
        </w:tc>
        <w:tc>
          <w:tcPr>
            <w:tcW w:w="2600" w:type="dxa"/>
            <w:vAlign w:val="bottom"/>
            <w:gridSpan w:val="5"/>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8"/>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CONTROLS AND PROCEDURES</w:t>
              </w:r>
            </w:hyperlink>
          </w:p>
        </w:tc>
        <w:tc>
          <w:tcPr>
            <w:tcW w:w="3540" w:type="dxa"/>
            <w:vAlign w:val="bottom"/>
            <w:gridSpan w:val="6"/>
          </w:tcPr>
          <w:p>
            <w:pPr>
              <w:spacing w:after="0"/>
              <w:rPr>
                <w:sz w:val="24"/>
                <w:szCs w:val="24"/>
                <w:color w:val="auto"/>
              </w:rPr>
            </w:pPr>
          </w:p>
        </w:tc>
        <w:tc>
          <w:tcPr>
            <w:tcW w:w="2600" w:type="dxa"/>
            <w:vAlign w:val="bottom"/>
            <w:gridSpan w:val="5"/>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OTHER INFORMATION</w:t>
              </w:r>
            </w:hyperlink>
          </w:p>
        </w:tc>
        <w:tc>
          <w:tcPr>
            <w:tcW w:w="6880" w:type="dxa"/>
            <w:vAlign w:val="bottom"/>
            <w:gridSpan w:val="14"/>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LEGAL PROCEEDINGS</w:t>
              </w:r>
            </w:hyperlink>
          </w:p>
        </w:tc>
        <w:tc>
          <w:tcPr>
            <w:tcW w:w="6880" w:type="dxa"/>
            <w:vAlign w:val="bottom"/>
            <w:gridSpan w:val="14"/>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874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74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10"/>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2680" w:type="dxa"/>
            <w:vAlign w:val="bottom"/>
            <w:gridSpan w:val="6"/>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7"/>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560" w:type="dxa"/>
            <w:vAlign w:val="bottom"/>
            <w:gridSpan w:val="9"/>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6300" w:type="dxa"/>
            <w:vAlign w:val="bottom"/>
            <w:gridSpan w:val="12"/>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80" w:type="dxa"/>
            <w:vAlign w:val="bottom"/>
            <w:tcBorders>
              <w:left w:val="single" w:sz="8" w:color="0000EE"/>
            </w:tcBorders>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gridSpan w:val="2"/>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880" w:type="dxa"/>
            <w:vAlign w:val="bottom"/>
            <w:gridSpan w:val="14"/>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w:t>
              </w:r>
            </w:hyperlink>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4"/>
          </w:tcPr>
          <w:p>
            <w:pPr>
              <w:jc w:val="center"/>
              <w:ind w:left="2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1"/>
          </w:tcPr>
          <w:p>
            <w:pPr>
              <w:ind w:left="3780"/>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7,210,028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loans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8,563,864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7"/>
              </w:rPr>
              <w:t>Long-term debt, net of unamortized debt issuance costs, bond premiums and original issuance discounts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5,796,990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6,405,177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June 30, 2019</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and December 31, 2018)</w:t>
            </w: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500,000,000 shares authorized, 214,673,135 and 214,211,932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at June 30, 2019 and December 31, 2018,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3,951,949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2,158,687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8,563,864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83"/>
        </w:trPr>
        <w:tc>
          <w:tcPr>
            <w:tcW w:w="5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248,563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339,270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45,605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42,761</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427,636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33,249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70,635</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498,271</w:t>
            </w:r>
          </w:p>
        </w:tc>
      </w:tr>
      <w:tr>
        <w:trPr>
          <w:trHeight w:val="284"/>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19,168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40,065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43,395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Land rights and ground lease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15,229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12,976</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41,266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67,865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55,477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impairment charges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118,246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235,335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193,179</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305,092</w:t>
            </w:r>
          </w:p>
        </w:tc>
      </w:tr>
      <w:tr>
        <w:trPr>
          <w:trHeight w:val="277"/>
        </w:trPr>
        <w:tc>
          <w:tcPr>
            <w:tcW w:w="53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(111,123)</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(113,224)</w:t>
            </w:r>
          </w:p>
        </w:tc>
      </w:tr>
      <w:tr>
        <w:trPr>
          <w:trHeight w:val="291"/>
        </w:trPr>
        <w:tc>
          <w:tcPr>
            <w:tcW w:w="53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3,098</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93,033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91,998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188,770</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0.88</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r>
      <w:tr>
        <w:trPr>
          <w:trHeight w:val="27"/>
        </w:trPr>
        <w:tc>
          <w:tcPr>
            <w:tcW w:w="5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4"/>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3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214,211,932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3,952,503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26,799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406,769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($0.68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93,010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214,645,500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3,947,768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(1,742,230)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2,207,684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($0.68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93,033</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214,673,135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3,951,949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(1,795,409)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2,158,687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4"/>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297,605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483,095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($0.63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96,772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213,498,249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3,930,777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2,416,848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236,240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($0.63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91,998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June 30, 2018</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213,737,939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3,935,517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(1,558,886)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2,378,768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188,770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60,932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Loan impairment charges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6,607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305,622</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29,239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27,468</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(269,537)</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 stock award vestings, net of proceeds from</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exercise of options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(923,601)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(217,672)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24,739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144,472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16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8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made a mortgage loan to Eldorado in the amount of $246.0 million in connection with Eldorado’s acquisition of Lumière Place Casino and Hotel ("Lumière Place") (and together with the Tropicana Acquisition the "Tropicana Transactions").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June 30, 2019. GLPI expects to continue growing its portfolio by pursuing opportunities to acquire additional gaming facilities to lease to gaming operators under prudent terms.</w:t>
      </w:r>
    </w:p>
    <w:p>
      <w:pPr>
        <w:spacing w:after="0" w:line="18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conjunction with the adoption of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on January 1, 2019, the Company recorded right-of-use assets on the condensed consolidated balance sheet to represent the Company's rights to use the underlying leased assets for the term of the lease. As this asset related, in part, to the same leases which resulted in the below market lease asset the Company described as land rights, net on the December 31, 2018 condensed consolidated balance sheet, this line item has been re-named to right-of-use assets and land rights, net as the assets are required to be reported in the aggregate subsequent to the adoption of ASU 2016-02. Furthermore, under ASU 2016-02, the Company is no longer required to gross-up its financial statements for the real estate taxes paid directly by its tenants to third-parties.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Operating results for the three and six months ended June 30, 2019 are not necessarily indicative of the results that may be expected for the year ending December 31, 2019. The notes to the consolidated financial statements contained in our Annual Report on Form 10-K for the year ended December 31, 2018 (our "Annual Report") should be read in conjunction with these condensed consolidated financial statements. The December 31, 2018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February 2016, the Financial Accounting Standards Board ("FASB") issued ASU No.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Generally speaking, ASU 2016-02 more significantly impacted the accounting for leases in which GLPI is the lessee by requiring the Company to record a right-of-use asset and lease liability on its condensed consolidated balance sheet for these leases. The Company's accounting treatment of its triple-net tenant leases, which are the primary source of revenues to the Company, were not significantly impacted by the adoption of ASU 2016-02, other than to eliminate the real estate tax gross-up discussed below.</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permits companies to apply the transition provisions of ASU 2016-02 at its effective date (i.e. comparative financial statements are not required). Furthermore, in December 2018, the FASB issued ASU No. 2018-20, </w:t>
      </w:r>
      <w:r>
        <w:rPr>
          <w:rFonts w:ascii="Arial" w:cs="Arial" w:eastAsia="Arial" w:hAnsi="Arial"/>
          <w:sz w:val="17"/>
          <w:szCs w:val="17"/>
          <w:i w:val="1"/>
          <w:iCs w:val="1"/>
          <w:color w:val="auto"/>
        </w:rPr>
        <w:t>Leases (Topic 842): Narrow Scope Improvements for Lessors</w:t>
      </w:r>
      <w:r>
        <w:rPr>
          <w:rFonts w:ascii="Arial" w:cs="Arial" w:eastAsia="Arial" w:hAnsi="Arial"/>
          <w:sz w:val="17"/>
          <w:szCs w:val="17"/>
          <w:color w:val="auto"/>
        </w:rPr>
        <w:t xml:space="preserve"> ("ASU 2018-20"). ASU 2018-20 clarifies that lessor costs paid directly to a third-party by a lessee on behalf of the lessor are no longer required to be recognized in the lessor's financial statements. Therefore, upon the adoption of ASU 2016-02, the Company no longer grosses-up its financial statements for real estate taxes paid directly to third-parties by its tenants. The Company notes, however, that ground leases for which the tenant pays the landlord directly on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Company's behalf are still required to be grossed-up within its condensed consolidated financial statements upon the adoption of ASU 2016-02, as these are not considered lessor costs. On January 1, 2019, the Company adopted ASU 2016-02 using the new transition option available under ASU 2018-11 and recorded right-of-use assets and related lease liabilities of $203 million on its condensed consolidated balance sheet to represent its rights to underlying assets and its future lease obligations. Also in connection with the adoption of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the land rights recorded on balance sheet in conjunction with the Company's assumption of below market leases at the time it acquired the related land and building assets are now required to be reported in aggregate with the Company's operating lease right-of-use assets, reflected as right-of-use assets and land rights, net on the condensed consolidated balance sheet. Furthermore, the Company elected the package of practical expedients, which among other things, did not require the Company to reassess the lease classification of its existing leases and the practical expedient related to land easements, which allowed the Company to bypass the reassessment of existing or expired land easements for the existence of a lease under ASC 842. See Note 7 for further disclosures related to the adoption of ASU 2016-02.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 obtain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 does not expect the adoption of ASU 2018-15 to have a significant impact on its consolidated financial statements.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expects the adoption of ASU 2017-04 to simplify the analysis required under the goodwill impairment test.</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42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2,552,285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2,552,475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5,749,212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5,762,071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2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8,301,497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8,314,546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(1,091,469)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(983,086)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7,210,028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On June 30, 2019, the Resorts Casino Tunica property was closed by the Company's tenant, resulting in the acceleration of $10.3 million of depreciation expense related to the building at this property and bringing the net book value of this building to zero at June 30, 2019.</w:t>
      </w:r>
    </w:p>
    <w:p>
      <w:pPr>
        <w:spacing w:after="0" w:line="14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Property and equipment used in operations, net, consists of the following and primarily represents the assets utilized in the TRS Properties:</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116,779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116,776</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117,247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284</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264,738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(163,854)</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97,219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100,884</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Receivable</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June 30, 2019, the Company has financial interests in two casino properties through secured mortgage loans to the respective casino owner-operators. On October 1, 2018, Eldorado purchased the real estate assets of Lumière Place from Tropicana for a cash purchase price of $246.0 million, exclusive of transaction fees. Financing for the transaction was provided by the Company in the form of a $246.0 million secured mortgage loan on Lumière Place (the "Lumière Loan"). The Lumière Loan bears interest at a rate equal to (i) 9.09% until the one-year anniversary of the closing, and (ii) 9.27% until its maturity. Until the one-year anniversary of the closing, the Lumière Loan is secured by a first mortgage lien on Lumière Place. On the one-year anniversary of the Lumière Loan, the mortgage evidenced by a deed of trust on the Lumière Place property will terminate and the loan will continue unsecured until its final maturity on the two-year anniversary of the closing. The parties anticipate that the Lumière Loan will be fully repaid on or prior to maturity by way of substitution of one or more additional Eldorado properties acceptable to Eldorado and the Company, which will be transferred to the Company and added to the Eldorado Master Lease.</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 bears interest at an initial rate equal to 11.11% and matures in connection with the expiration of the Boyd Master Lease (as may be extended at the tenant's option to April 30, 2051). At June 30, 2019, the interest rate on the Belterra Park Loan had increased to 11.20%.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to CQ Holding Company, Inc., an affiliate of Casino Queen ("CQ Holding Company"), to partially finance their acquisition of Lady Luck Casino in Marquette, Iowa. The new loan bears an interest rate of 15% and is pre-payable at any time.</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evaluates loans for impairment when it is probable that it will not be able to collect all amounts due according to contractual terms. All amounts due under the contractual terms means that both contractual interest payments and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30"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10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June 12, 2018, the Company received a Notice of Event of Default under the senior credit agreement of CQ Holding Company from the secured lender under such agreement, which reported a covenant default under their senior secured agreement. Under the terms of that agreement, when an event of default occurs, CQ Holding Company is prohibited from making cash payments to unsecured lenders such as GLPI. Therefore, beginning in June 2018 and through June 30, 2019, the interest due from CQ Holding Company under the Company's unsecured loan was paid in kind in the aggregate amount of $2.6 million. In addition to the covenant violation noted above under its senior credit agreement, CQ Holding Company also had a payment default under the senior credit agreement. Furthermore, the Company notified Casino Queen of Events of Default under the Company's unsecured loan with CQ Holding Company, related to financial covenant violations during the year ended December 31, 2018.</w:t>
      </w:r>
    </w:p>
    <w:p>
      <w:pPr>
        <w:spacing w:after="0" w:line="9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w:t>
      </w:r>
    </w:p>
    <w:p>
      <w:pPr>
        <w:spacing w:after="0" w:line="10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does not expect Casino Queen to be able to repay the $13.0 million of principal due to it under the unsecured loan agreement, the full $13.0 million of principal was written off at March 31, 2019. The Company has recorded an impairment charge of $13.0 million through the condensed consolidated statement of income for the six months ended June 30, 2019 to reflect the write-off of the Casino Queen loan.</w:t>
      </w:r>
    </w:p>
    <w:p>
      <w:pPr>
        <w:spacing w:after="0" w:line="11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At June 30, 2019, all lease payments due from Casino Queen remain current, however, Casino Queen was in violation of the rent coverage ratio required under its lease with the Company and the Company has provided notice to Casino Queen and its secured lenders of such default.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Assets and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Assets</w:t>
      </w:r>
    </w:p>
    <w:p>
      <w:pPr>
        <w:spacing w:after="0" w:line="1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condensed consolidated balance sheet at the lease commencement date for operating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cannot readily be determined, the Company utilizes its estimated incremental borrowing rate to determine the present value of its lease payments. Consideration is also given to the Company's recent debt issuances, as well as publicly available data for instruments with similar characteristics when determining the incremental borrowing rates of the Company's leases.</w:t>
      </w:r>
    </w:p>
    <w:p>
      <w:pPr>
        <w:spacing w:after="0" w:line="22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includes options to extend the lease in its lease term, when it is reasonably certain that the Company will exercise those renewal options. In the instance of the Company's ground leases associated with leased properties, the Company has included all available renewal options in the lease term, as it intends to renew these leases indefinitely. The Company accounts for the lease and nonlease components of these triple-net tenant leases as a single lease component. Leases with a term of 12 months or less are not recorded on the Company's condensed consolidated balance sheet.</w:t>
      </w:r>
    </w:p>
    <w:p>
      <w:pPr>
        <w:spacing w:after="0" w:line="20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Right-of-use assets and land rights are monitored for potential impairment in much the same way as the Company's real estate assets, using the impairment model in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is subject to various operating leases as lessee for both real estate and equipment, the majority of which are ground leases related to properties the Company leases to its tenants under triple-net operating leases. Details of the Company's significant ground leases can be found in the Form 10-K for the year ended December 31, 2018. For certain of these ground leases, the Company subleases the underlying assets to its tenants who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16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Right-of use assets -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202,215</w:t>
            </w:r>
          </w:p>
        </w:tc>
      </w:tr>
      <w:tr>
        <w:trPr>
          <w:trHeight w:val="27"/>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rights, net</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660,712</w:t>
            </w:r>
          </w:p>
        </w:tc>
      </w:tr>
      <w:tr>
        <w:trPr>
          <w:trHeight w:val="257"/>
        </w:trPr>
        <w:tc>
          <w:tcPr>
            <w:tcW w:w="5840" w:type="dxa"/>
            <w:vAlign w:val="bottom"/>
          </w:tcPr>
          <w:p>
            <w:pPr>
              <w:ind w:left="40"/>
              <w:spacing w:after="0"/>
              <w:rPr>
                <w:sz w:val="20"/>
                <w:szCs w:val="20"/>
                <w:color w:val="auto"/>
              </w:rPr>
            </w:pPr>
            <w:r>
              <w:rPr>
                <w:rFonts w:ascii="Arial" w:cs="Arial" w:eastAsia="Arial" w:hAnsi="Arial"/>
                <w:sz w:val="18"/>
                <w:szCs w:val="18"/>
                <w:color w:val="auto"/>
              </w:rPr>
              <w:t>Right-of-use assets and land rights,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862,927</w:t>
            </w: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694,077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700,997</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(27,790)</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660,712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673,207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June 30, 2019, the Resorts Casino Tunica property was closed by the Company's tenant, resulting in the acceleration of $6.3 million of land right amortization expense related to the ground lease at this property and bringing the net book value of this land right to zero at June 30, 2019.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2019, estimated future amortization expense related to the Company’s land rights by fiscal year is as follows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1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43"/>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606,348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660,712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2019, maturities of the Company's operating lease liabilities were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8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 of year)</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7,800</w:t>
            </w:r>
          </w:p>
        </w:tc>
      </w:tr>
      <w:tr>
        <w:trPr>
          <w:trHeight w:val="24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15,282</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15,133</w:t>
            </w:r>
          </w:p>
        </w:tc>
      </w:tr>
      <w:tr>
        <w:trPr>
          <w:trHeight w:val="24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15,026</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15,005</w:t>
            </w:r>
          </w:p>
        </w:tc>
      </w:tr>
      <w:tr>
        <w:trPr>
          <w:trHeight w:val="243"/>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685,974</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754,220</w:t>
            </w:r>
          </w:p>
        </w:tc>
      </w:tr>
      <w:tr>
        <w:trPr>
          <w:trHeight w:val="243"/>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Less: interest</w:t>
            </w:r>
          </w:p>
        </w:tc>
        <w:tc>
          <w:tcPr>
            <w:tcW w:w="10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(552,122)</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202,098</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transitioning from the guidance in ASC 840 to ASC 842, the Company's annual minimum lease payments did not 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3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50"/>
        </w:trPr>
        <w:tc>
          <w:tcPr>
            <w:tcW w:w="3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r>
      <w:tr>
        <w:trPr>
          <w:trHeight w:val="25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4,504</w:t>
            </w:r>
          </w:p>
        </w:tc>
      </w:tr>
      <w:tr>
        <w:trPr>
          <w:trHeight w:val="27"/>
        </w:trPr>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Amortization of land right assets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12,496</w:t>
            </w:r>
          </w:p>
        </w:tc>
      </w:tr>
      <w:tr>
        <w:trPr>
          <w:trHeight w:val="27"/>
        </w:trPr>
        <w:tc>
          <w:tcPr>
            <w:tcW w:w="3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w:t>
            </w:r>
          </w:p>
        </w:tc>
      </w:tr>
      <w:tr>
        <w:trPr>
          <w:trHeight w:val="20"/>
        </w:trPr>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are recorded in both gaming, food, beverage and other expense and general and administrative expense in the condensed consolidated statements of income, while a small portion of operating lease costs is also recorded in both gaming, food, beverage and other expense and general and administrative expense in the condensed consolidated statements of income. Amortization expense related to the land right intangibles totaled $2.7 million and $5.5 million for the three and six months ended June 30, 2018, respectively, while other lease costs totaled $4.2 million and $8.5 million, respectively for the same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Weighted average remaining lease term - operating leases</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51.39 years</w:t>
            </w:r>
          </w:p>
        </w:tc>
      </w:tr>
      <w:tr>
        <w:trPr>
          <w:trHeight w:val="27"/>
        </w:trPr>
        <w:tc>
          <w:tcPr>
            <w:tcW w:w="58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19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6.7%</w:t>
            </w:r>
          </w:p>
        </w:tc>
      </w:tr>
      <w:tr>
        <w:trPr>
          <w:trHeight w:val="27"/>
        </w:trPr>
        <w:tc>
          <w:tcPr>
            <w:tcW w:w="58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30" w:right="25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150" w:lineRule="exact"/>
        <w:rPr>
          <w:sz w:val="20"/>
          <w:szCs w:val="20"/>
          <w:color w:val="auto"/>
        </w:rPr>
      </w:pPr>
    </w:p>
    <w:tbl>
      <w:tblPr>
        <w:tblLayout w:type="fixed"/>
        <w:tblInd w:w="6920" w:type="dxa"/>
        <w:tblCellMar>
          <w:top w:w="0" w:type="dxa"/>
          <w:left w:w="0" w:type="dxa"/>
          <w:bottom w:w="0" w:type="dxa"/>
          <w:right w:w="0" w:type="dxa"/>
        </w:tblCellMar>
      </w:tblPr>
      <w:tr>
        <w:trPr>
          <w:trHeight w:val="161"/>
        </w:trPr>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June 30, 2019</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r>
    </w:tbl>
    <w:p>
      <w:pPr>
        <w:spacing w:after="0" w:line="5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23495</wp:posOffset>
            </wp:positionV>
            <wp:extent cx="529971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Cash paid for amounts included in the measurement of leases liabilities:</w:t>
      </w:r>
    </w:p>
    <w:p>
      <w:pPr>
        <w:spacing w:after="0" w:line="63" w:lineRule="exact"/>
        <w:rPr>
          <w:sz w:val="20"/>
          <w:szCs w:val="20"/>
          <w:color w:val="auto"/>
        </w:rPr>
      </w:pPr>
    </w:p>
    <w:p>
      <w:pPr>
        <w:ind w:left="1660"/>
        <w:spacing w:after="0"/>
        <w:tabs>
          <w:tab w:leader="none" w:pos="6920" w:val="left"/>
          <w:tab w:leader="none" w:pos="8000" w:val="left"/>
          <w:tab w:leader="none" w:pos="8440" w:val="left"/>
          <w:tab w:leader="none" w:pos="9420" w:val="left"/>
        </w:tabs>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555</w:t>
        <w:tab/>
        <w:t>$</w:t>
      </w:r>
      <w:r>
        <w:rPr>
          <w:sz w:val="20"/>
          <w:szCs w:val="20"/>
          <w:color w:val="auto"/>
        </w:rPr>
        <w:tab/>
      </w:r>
      <w:r>
        <w:rPr>
          <w:rFonts w:ascii="Arial" w:cs="Arial" w:eastAsia="Arial" w:hAnsi="Arial"/>
          <w:sz w:val="15"/>
          <w:szCs w:val="15"/>
          <w:color w:val="auto"/>
        </w:rPr>
        <w:t>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-18415</wp:posOffset>
            </wp:positionV>
            <wp:extent cx="529971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9710" cy="188595"/>
                    </a:xfrm>
                    <a:prstGeom prst="rect">
                      <a:avLst/>
                    </a:prstGeom>
                    <a:noFill/>
                  </pic:spPr>
                </pic:pic>
              </a:graphicData>
            </a:graphic>
          </wp:anchor>
        </w:drawing>
      </w:r>
    </w:p>
    <w:p>
      <w:pPr>
        <w:spacing w:after="0" w:line="26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971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43" w:lineRule="exact"/>
        <w:rPr>
          <w:sz w:val="20"/>
          <w:szCs w:val="20"/>
          <w:color w:val="auto"/>
        </w:rPr>
      </w:pPr>
    </w:p>
    <w:p>
      <w:pPr>
        <w:ind w:left="1700"/>
        <w:spacing w:after="0"/>
        <w:tabs>
          <w:tab w:leader="none" w:pos="6920" w:val="left"/>
          <w:tab w:leader="none" w:pos="8000" w:val="left"/>
          <w:tab w:leader="none" w:pos="8440" w:val="left"/>
          <w:tab w:leader="none" w:pos="954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287</w:t>
        <w:tab/>
        <w:t>$</w:t>
      </w:r>
      <w:r>
        <w:rPr>
          <w:sz w:val="20"/>
          <w:szCs w:val="20"/>
          <w:color w:val="auto"/>
        </w:rPr>
        <w:tab/>
      </w:r>
      <w:r>
        <w:rPr>
          <w:rFonts w:ascii="Arial" w:cs="Arial" w:eastAsia="Arial" w:hAnsi="Arial"/>
          <w:sz w:val="16"/>
          <w:szCs w:val="16"/>
          <w:color w:val="auto"/>
        </w:rPr>
        <w:t>287</w:t>
      </w:r>
    </w:p>
    <w:p>
      <w:pPr>
        <w:spacing w:after="0" w:line="252" w:lineRule="exact"/>
        <w:rPr>
          <w:sz w:val="20"/>
          <w:szCs w:val="20"/>
          <w:color w:val="auto"/>
        </w:rPr>
      </w:pPr>
    </w:p>
    <w:p>
      <w:pPr>
        <w:ind w:right="100" w:firstLine="656"/>
        <w:spacing w:after="0" w:line="292" w:lineRule="auto"/>
        <w:tabs>
          <w:tab w:leader="none" w:pos="827" w:val="left"/>
        </w:tabs>
        <w:numPr>
          <w:ilvl w:val="1"/>
          <w:numId w:val="9"/>
        </w:numPr>
        <w:rPr>
          <w:rFonts w:ascii="Arial" w:cs="Arial" w:eastAsia="Arial" w:hAnsi="Arial"/>
          <w:sz w:val="20"/>
          <w:szCs w:val="20"/>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60"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Finance lease liability</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5,903,112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w w:val="95"/>
              </w:rPr>
              <w:t>Less: unamortized debt issuance costs, bond premiums and original issuance discounts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5,796,990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discounts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June 30, 2019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1,925,271</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840,298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3,075,357</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5,841,052</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senior unsecured credit facility (the "Credit Facility") consists of a $1,175 million revolving credit facility and a $525 million Term Loan A-1 facility. The revolving credit facility matures on May 21, 2023 and the Term Loan A-1 facility matures on April 28,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2019, the Credit Facility had a gross outstanding balance of $865 million, consisting of the $525 million Term Loan A-1 facility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$340 million of borrowings under the revolving credit facility. Additionally, at June 30, 2019, the Company was contingently obligated under letters of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pursuant to the Credit Facility with face amounts</w:t>
      </w:r>
    </w:p>
    <w:p>
      <w:pPr>
        <w:sectPr>
          <w:pgSz w:w="11900" w:h="16838" w:orient="portrait"/>
          <w:cols w:equalWidth="0" w:num="1">
            <w:col w:w="11340"/>
          </w:cols>
          <w:pgMar w:left="240" w:top="130" w:right="319" w:bottom="1440" w:gutter="0" w:footer="0" w:header="0"/>
        </w:sect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40"/>
          </w:cols>
          <w:pgMar w:left="240" w:top="130" w:right="31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aggregating approximately $0.4 million, resulting in $834.6 million of available borrowing capacity under the revolving credit facility as of June 30, 2019.</w:t>
      </w:r>
    </w:p>
    <w:p>
      <w:pPr>
        <w:spacing w:after="0" w:line="2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2019,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20" w:firstLine="683"/>
        <w:spacing w:after="0" w:line="302" w:lineRule="auto"/>
        <w:rPr>
          <w:sz w:val="20"/>
          <w:szCs w:val="20"/>
          <w:color w:val="auto"/>
        </w:rPr>
      </w:pPr>
      <w:r>
        <w:rPr>
          <w:rFonts w:ascii="Arial" w:cs="Arial" w:eastAsia="Arial" w:hAnsi="Arial"/>
          <w:sz w:val="16"/>
          <w:szCs w:val="16"/>
          <w:color w:val="auto"/>
        </w:rPr>
        <w:t>At June 30, 2019, the Company had $4,975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2019, the Company was in compliance with all required financial covenants under its Senior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 Liability</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was 30 years and it will terminate in 2026.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Loans Receivable</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fair value of the mortgage loans receivable approximates the carrying value of the Company's mortgage loans receivable, as collection on the outstanding loan balances is reasonably assured. The fair value measurement of the mortgage loans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Senior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June 30, 2019</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2018</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08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24,739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24,739</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25,783</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Mortgage loans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303,684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927,000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909,308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4,975,000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5,316,563</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4,975,000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4,958,455</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 periods subsequent to initial recognition. Assets measured at fair value on a nonrecurring basis during the six months ended June 30, 2019 are categorized in the table below based upon the lowest level of significant input to the valuation. There were no assets measured at fair value on a nonrecurring basis during the six months ended June 30, 2018 or liabilities measured at fair value on a nonrecurring basis during the six months ended June 30, 2019 and 2018.</w:t>
      </w:r>
    </w:p>
    <w:p>
      <w:pPr>
        <w:spacing w:after="0" w:line="38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Total Impairment Charges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Recorded during the Six Months</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Ended June 30, 2019</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0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the first quarter of 2019, the Company recorded an impairment charge of $13.0 million related to the write-off of the principal due to the Company under its unsecured loan to CQ Holding Company. The Company no longer expects the proceeds from the sale of the operating assets of Casino Queen to generate enough cash to repay all of Casino Queen's creditors, including the Company. Thus, because the Company does not expect Casino Queen to repay the $13.0 million of principal due to it under the unsecured loan agreement, the full $13.0 million of principal was written off at March 31, 2019. The Company has recorded an impairment charge of $13.0 million through the condensed consolidated statement of income for the six months ended June 30, 2019 to reflect the write-off of the Casino Queen loan. See Note 6 for further details surrounding the Casino Queen loan.</w:t>
      </w:r>
    </w:p>
    <w:p>
      <w:pPr>
        <w:spacing w:after="0" w:line="17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As of June 30, 2019, 20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and the Casino Queen real estate assets are leased back to the operator under an additional single property triple-net lease.</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obligations under the Penn and Amended Pinnacle Master Leases are guaranteed by Penn and, with respect to each lease, by Penn's subsidiaries that occupy and operate the facilities covered by such lease. As a result, the tenant’s obligations under each of the Penn Master Lease and Amended Pinnacle Master Lease are jointly and severally guaranteed by Penn as the ultimate parent company and by each of its subsidiaries benefiting from the applicable lease. Similarly, the obligations under the Eldorado Master Lease are jointly and severally guaranteed by Eldorado and by most of Eldorado's subsidiaries that occupy and operate the facilities leased under the Eldorado Master Lease. The obligations under the Boyd Master Leases are jointly and severally guaranteed by Boyd's subsidiaries that occupy and operate the facilities leased under the Boyd Master Lease.</w:t>
      </w:r>
    </w:p>
    <w:p>
      <w:pPr>
        <w:spacing w:after="0" w:line="9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Company’s triple-net tenant leases all contain a fixed component, a portion of which is subject to an annual escalator (typically 2%) if certain rent coverage ratio thresholds are met and a component that is based on the performance of the facilities subject to such lease, which is adjusted, subject to certain floors, every 2 to 5 years to an amount equal to 4% of the average annual net revenues of all facilities under the related tenant lease during the preceding 2 to 5 years ("percentage rent"). The Penn Master Lease also provides for a component that is based on the performance of two Ohio facilities, which is adjusted, subject to certain floors monthly by an amount equal to 20% of the net revenues of Hollywood Casino Columbus and Hollywood Casino Toledo (together, the "Ohio Properties") during the preceding month. Furthermore, the Company's master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Additionally,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4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respective master lease agreement (in the instance of Penn) and single property lease (in the instance of Casino Queen) with the Company.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lease would impose a significant penalty on such tenant such that renewal of all lease renewal options appeared at lease inception to be reasonably assured. Therefore, the Company concluded that the term of Penn Master Lease and the Casino Queen Lease is 35 years, equal to the initial 15-year term plus all four of the 5-year renewal options.</w:t>
      </w:r>
    </w:p>
    <w:p>
      <w:pPr>
        <w:spacing w:after="0" w:line="16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Because the properties under the Amended Pinnacle Master Lease, do not represent a meaningful portion of Penn's business at the time Penn assumed the lease, the Company has concluded that the lease term of the Amended Pinnacle Master Lease is 10 years (from the original April 2016 commencement date of the Pinnacle Master Lease), equal to the initial 10-year term only.</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Subsequent to purchasing the majority of Pinnacle's real estate assets and leasing them back to Pinnacle, the Company entered into a separate triple-net lease with Pinnacle to lease the Meadows real estate assets to Pinnacle. Because this lease involved only a single property within Pinnacle's portfolio, GLPI concluded it was not reasonably assured at lease inception that Pinnacle would elect to exercise all lease renewal options. Therefore, the Company concluded that the lease term of the Meadows Lease is 10 years, equal to the initial 10-year term only. In conjunction with the Penn-Pinnacle Merger, Penn assumed the Meadows Lease.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their respective master leases. The properties under each master lease do not represent a meaningful portion of either tenant's business at lease inception; therefore the Company has concluded that the lease term of the Eldorado Master Lease is 15 years and the lease term of the Boyd Master Lease is 10 years (from the original April 2016 commencement date of the Pinnacle Master Lease), equal to the initial terms of such master leases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rental income for the three and six months ended June 30, 2019 was as follows (in thousands):</w:t>
      </w:r>
    </w:p>
    <w:p>
      <w:pPr>
        <w:spacing w:after="0" w:line="150"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6"/>
                <w:szCs w:val="16"/>
                <w:color w:val="auto"/>
              </w:rPr>
            </w:pPr>
          </w:p>
        </w:tc>
        <w:tc>
          <w:tcPr>
            <w:tcW w:w="13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340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164,270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327,607</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94,984</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79,838</w:t>
            </w: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251,875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502,429</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10,751</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r>
      <w:tr>
        <w:trPr>
          <w:trHeight w:val="25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248,563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496,241</w:t>
            </w:r>
          </w:p>
        </w:tc>
      </w:tr>
      <w:tr>
        <w:trPr>
          <w:trHeight w:val="20"/>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Building base rent is subject to the annual rent escalators described above.</w:t>
      </w:r>
    </w:p>
    <w:p>
      <w:pPr>
        <w:spacing w:after="0" w:line="121"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The Company may periodically loan funds to casino owner-operators pursuant to secured mortgage loans for the purchase of gaming related properties. Interest income related to mortgage loans receivable is recorded as revenue from mortgaged real estate within the Company's condensed consolidated statements of income in the period earned. At June 30, 2019, the Company had financial interests in two casino properties, Belterra Park and Lumière Place, pursuant to the secured mortgage loans made by the Company to the respective casino owner-operators, Boyd and Eldorado.</w:t>
      </w:r>
    </w:p>
    <w:p>
      <w:pPr>
        <w:spacing w:after="0" w:line="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Gaming revenue is recognized net of certain sales incentives, including promotional allowances in accordance with ASC 606 -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Company also defers a portion of the revenue received from customers (who participate in the points-based loyalty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play and attributed to the awarded points until a later period when the points are redeemed or forfeited.</w:t>
      </w:r>
    </w:p>
    <w:p>
      <w:pPr>
        <w:spacing w:after="0" w:line="16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For the TRS Properties, the Company is subject to gaming taxes based on gross gaming revenues in the jurisdictions in which it operates. The Company recognizes gaming tax expense based on the statutorily required percentage of revenue that is required to be paid to state and local jurisdictions in the states where wagering occurs. The Company records gaming taxes at the Company’s estimated effective gaming tax rate for the year, considering estimated taxable gaming revenue and the applicable rates. Such estimates are adjusted each interim period. If gaming tax rates change during the year, such changes are applied prospectively in the determination of gaming tax expense in future interim periods. For the three and six months ended June 30, 2019, these expenses, which are recorded within gaming, food, beverage and other expense in the condensed consolidated statements of income, totaled $14.2 million and $28.2 million, respectively, as compared to $15.1 million and $29.3 million for the three and six months ended June 30, 2018,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Company calculates earnings per share ("EPS") in accordance with ASC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calculation of diluted EPS. Diluted EPS for the Company's common stock is computed using the more dilutive of the two-class method or the treasury stock method.</w:t>
      </w:r>
    </w:p>
    <w:p>
      <w:pPr>
        <w:spacing w:after="0" w:line="170"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2019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258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3"/>
          </w:tcPr>
          <w:p>
            <w:pPr>
              <w:ind w:left="108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214,664</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213,579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214,645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213,442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215,605</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214,561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215,520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214,506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and six months ended June 30, 2019 and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(in thousands, except per share and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93,033</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91,998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186,043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188,770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92,887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91,869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185,752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188,505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0.88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215,605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214,506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Antidilutive securities excluded from the computation of 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earnings per share (in shares)</w:t>
            </w: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169,324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195,529</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six months ended June 30,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gridSpan w:val="2"/>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gridSpan w:val="2"/>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20, 2019</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8, 2019</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2019</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22,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145,954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May 28, 2019</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14, 2019</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2019</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145,985</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9,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23,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April 24, 2018</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15, 2018</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2018</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29,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134,631</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for both the three and six months ended June 30, 2019 and 2018, dividend payments were made to GLPI restricted stock award holders in the amount of $0.2 million and $0.4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2019, there was $8.5 million of total unrecognized compensation cost for restricted stock awards that will be recognized over the grants' remaining weighted average vesting period of 1.77 years. For the three and six months ended June 30, 2019, the Company recognized $2.1 million and $4.1 million, respectively, of compensation expense associated with these awards, compared to $1.0 million and $2.4 million, for the three and six months ended June 30,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six months ended June 30, 2019:</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299,642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317,290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(280,386)</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336,546</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June 30, 2019, there was $13.2 million of total unrecognized compensation cost, which will be recognized over the performance-based restricted stock awards' remaining weighted average vesting period of 1.98 years. For the three and six months ended June 30, 2019, the Company recognized $2.1 million and $4.4 million, respectively, of compensation</w:t>
      </w:r>
    </w:p>
    <w:p>
      <w:pPr>
        <w:sectPr>
          <w:pgSz w:w="11900" w:h="16838" w:orient="portrait"/>
          <w:cols w:equalWidth="0" w:num="1">
            <w:col w:w="11420"/>
          </w:cols>
          <w:pgMar w:left="240" w:top="130"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expense associated with these awards, compared to a reversal of $0.4 million of expense and the recognition of $2.2 million of expense for the three and six months ended June 30,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six months ended June 30, 2019:</w:t>
      </w:r>
    </w:p>
    <w:p>
      <w:pPr>
        <w:spacing w:after="0" w:line="16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Performance-Based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1,342,000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512,000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(447,334)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(23,332)</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1,383,334</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Consistent with how the Company’s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Three Months Ended June 30, 2019</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3"/>
              </w:rPr>
              <w:t>Three Months Ended June 30, 2018</w:t>
            </w:r>
          </w:p>
        </w:tc>
        <w:tc>
          <w:tcPr>
            <w:tcW w:w="760" w:type="dxa"/>
            <w:vAlign w:val="bottom"/>
            <w:tcBorders>
              <w:bottom w:val="single" w:sz="8" w:color="auto"/>
            </w:tcBorders>
          </w:tcPr>
          <w:p>
            <w:pPr>
              <w:spacing w:after="0"/>
              <w:rPr>
                <w:sz w:val="16"/>
                <w:szCs w:val="16"/>
                <w:color w:val="auto"/>
              </w:rPr>
            </w:pPr>
          </w:p>
        </w:tc>
      </w:tr>
      <w:tr>
        <w:trPr>
          <w:trHeight w:val="26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 xml:space="preserve">GLP Capital </w:t>
            </w:r>
            <w:r>
              <w:rPr>
                <w:rFonts w:ascii="Arial" w:cs="Arial" w:eastAsia="Arial" w:hAnsi="Arial"/>
                <w:sz w:val="8"/>
                <w:szCs w:val="8"/>
                <w:color w:val="auto"/>
                <w:w w:val="98"/>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5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255,764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218,332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254,221</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164,068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6,699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170,767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146,133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7,108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153,241</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76,523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57,055</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94,492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93,604</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90,197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93,033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88,870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91,998</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67,865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27,523</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Capital project expenditures</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maintenance expenditures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r>
      <w:tr>
        <w:trPr>
          <w:trHeight w:val="399"/>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Six Months Ended June 30, 2019</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3"/>
              </w:rPr>
              <w:t>Six Months Ended June 30, 2018</w:t>
            </w:r>
          </w:p>
        </w:tc>
        <w:tc>
          <w:tcPr>
            <w:tcW w:w="760" w:type="dxa"/>
            <w:vAlign w:val="bottom"/>
            <w:tcBorders>
              <w:bottom w:val="single" w:sz="8" w:color="auto"/>
            </w:tcBorders>
          </w:tcPr>
          <w:p>
            <w:pPr>
              <w:spacing w:after="0"/>
              <w:rPr>
                <w:sz w:val="24"/>
                <w:szCs w:val="24"/>
                <w:color w:val="auto"/>
              </w:rPr>
            </w:pPr>
          </w:p>
        </w:tc>
      </w:tr>
      <w:tr>
        <w:trPr>
          <w:trHeight w:val="26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 xml:space="preserve">GLP Capital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5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510,635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576,877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427,636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70,635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498,271</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328,937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12,605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341,542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291,007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14,085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305,092</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153,251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111,123</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181,225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7,403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188,628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182,985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191,868</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3,098</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180,960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186,043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182,586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6,184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188,770</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126,443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55,477</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Capital project expenditures</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maintenance expenditures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1,984</w:t>
            </w:r>
          </w:p>
        </w:tc>
      </w:tr>
    </w:tbl>
    <w:p>
      <w:pPr>
        <w:spacing w:after="0" w:line="200" w:lineRule="exact"/>
        <w:rPr>
          <w:sz w:val="20"/>
          <w:szCs w:val="20"/>
          <w:color w:val="auto"/>
        </w:rPr>
      </w:pPr>
    </w:p>
    <w:p>
      <w:pPr>
        <w:spacing w:after="0" w:line="236" w:lineRule="exact"/>
        <w:rPr>
          <w:sz w:val="20"/>
          <w:szCs w:val="20"/>
          <w:color w:val="auto"/>
        </w:rPr>
      </w:pPr>
    </w:p>
    <w:p>
      <w:pPr>
        <w:ind w:right="280" w:firstLine="332"/>
        <w:spacing w:after="0" w:line="363" w:lineRule="auto"/>
        <w:tabs>
          <w:tab w:leader="none" w:pos="671" w:val="left"/>
        </w:tabs>
        <w:numPr>
          <w:ilvl w:val="0"/>
          <w:numId w:val="16"/>
        </w:numPr>
        <w:rPr>
          <w:rFonts w:ascii="Arial" w:cs="Arial" w:eastAsia="Arial" w:hAnsi="Arial"/>
          <w:sz w:val="11"/>
          <w:szCs w:val="11"/>
          <w:color w:val="auto"/>
        </w:rPr>
      </w:pPr>
      <w:r>
        <w:rPr>
          <w:rFonts w:ascii="Arial" w:cs="Arial" w:eastAsia="Arial" w:hAnsi="Arial"/>
          <w:sz w:val="16"/>
          <w:szCs w:val="16"/>
          <w:color w:val="auto"/>
        </w:rPr>
        <w:t>Interest expense is net of intercompany interest eliminations of $2.6 million and $5.2 million for both the three and six months ended June 30, 2019 and 2018, respectively.</w:t>
      </w:r>
    </w:p>
    <w:p>
      <w:pPr>
        <w:sectPr>
          <w:pgSz w:w="11900" w:h="16838" w:orient="portrait"/>
          <w:cols w:equalWidth="0" w:num="1">
            <w:col w:w="11220"/>
          </w:cols>
          <w:pgMar w:left="240" w:top="1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130" w:right="4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2,684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2,684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2,672</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118,481</w:t>
            </w:r>
          </w:p>
        </w:tc>
        <w:tc>
          <w:tcPr>
            <w:tcW w:w="4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93,861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139,331</w:t>
            </w:r>
          </w:p>
        </w:tc>
        <w:tc>
          <w:tcPr>
            <w:tcW w:w="4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102,410</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The Company did not engage in any other noncash investing and financing activities during the six months ended June 30,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Supplementary Condensed Consolidating Financial Information of Parent Guarantor and Subsidiary Issuers</w:t>
      </w:r>
    </w:p>
    <w:p>
      <w:pPr>
        <w:spacing w:after="0" w:line="2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GLPI guarantees the Senior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Summarized balance sheets as of June 30, 2019 and December 31, 2018 and statements of income and cash flows for the three and six months ended June 30, 2019 and 2018 for GLPI as the parent guarantor, for GLP Capital, L.P. and GLP Financing II, Inc. as the subsidiary issuers and the other subsidiary non-issuers is presented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June 30, 2019</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2,570,516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4,639,512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7,210,028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97,219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Mortgage loans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862,927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21,510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24,739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5,156,092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2,587,975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97"/>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2,158,687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8,418,462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8,082,703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(10,095,988)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8,563,864</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53,340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202,098</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5,796,990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5,796,990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311,198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6,259,775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6,405,177</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June 30, 2019)</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authorized, 214,673,135 shares issued and outstanding at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June 30, 2019)</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3,951,949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3,951,950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9,832,276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(13,784,226)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3,951,949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(2,090,356)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3,885,766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(1,795,409)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2,158,687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2,158,687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7,744,067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(9,902,754)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2,158,687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8,418,462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8,082,703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(10,095,988)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8,563,864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138,135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110,428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248,563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143,725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112,039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255,764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143,725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145,288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289,013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67,865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170,767</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(76,523)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128,514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135,752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90,794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93,033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276,388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219,853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496,241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mortgage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287,569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223,066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510,635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66,242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287,569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289,308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576,877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38,190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Loan impairment charges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235,335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159,012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341,542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277,524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188,628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277,259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160,120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186,043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277,259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160,120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186,043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138,939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Loan impairment charges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362,188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253,229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364,081</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(292,414)</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3"/>
              </w:rPr>
              <w:t>Taxes paid related to shares withheld for tax purposes on restricted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18"/>
                <w:szCs w:val="18"/>
                <w:color w:val="auto"/>
                <w:w w:val="97"/>
              </w:rPr>
              <w:t>stock award vestings, net of proceeds from exercise of options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301,471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(363,768)</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2,637,404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4,694,056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 loans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5,247,229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2,697,241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5"/>
              </w:rPr>
              <w:t>Long-term debt, net of unamortized debt issuance costs, bond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6,257,216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2018)</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214,211,932 shares issued and outstanding at December 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3,952,506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9,832,830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(13,785,336)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(1,689,040)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(1,890,503)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7,944,469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6"/>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101,767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169,865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218,332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45,650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153,241</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101,013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107,249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99,635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203,587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135,683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339,270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42,761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427,636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70,635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498,271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41,266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90,389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305,092</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102,899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225,772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187,770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191,868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225,373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185,071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225,373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185,071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60,932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305,622</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(269,537)</w:t>
            </w:r>
          </w:p>
        </w:tc>
        <w:tc>
          <w:tcPr>
            <w:tcW w:w="0" w:type="dxa"/>
            <w:vAlign w:val="bottom"/>
          </w:tcPr>
          <w:p>
            <w:pPr>
              <w:spacing w:after="0"/>
              <w:rPr>
                <w:sz w:val="1"/>
                <w:szCs w:val="1"/>
                <w:color w:val="auto"/>
              </w:rPr>
            </w:pPr>
          </w:p>
        </w:tc>
      </w:tr>
      <w:tr>
        <w:trPr>
          <w:trHeight w:val="229"/>
        </w:trPr>
        <w:tc>
          <w:tcPr>
            <w:tcW w:w="5380" w:type="dxa"/>
            <w:vAlign w:val="bottom"/>
            <w:gridSpan w:val="2"/>
          </w:tcPr>
          <w:p>
            <w:pPr>
              <w:ind w:left="200"/>
              <w:spacing w:after="0"/>
              <w:rPr>
                <w:sz w:val="20"/>
                <w:szCs w:val="20"/>
                <w:color w:val="auto"/>
              </w:rPr>
            </w:pPr>
            <w:r>
              <w:rPr>
                <w:rFonts w:ascii="Arial" w:cs="Arial" w:eastAsia="Arial" w:hAnsi="Arial"/>
                <w:sz w:val="18"/>
                <w:szCs w:val="18"/>
                <w:color w:val="auto"/>
                <w:w w:val="96"/>
              </w:rPr>
              <w:t>Taxes paid related to shares withheld for tax purposes on restricted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stock award vestings, net of proceeds from exercise of options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(923,601)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w w:val="95"/>
              </w:rPr>
              <w:t>Premium and related costs paid on tender of senior unsecured notes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272,442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115,418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113,606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30,866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144,472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Spin-Off)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w:t>
      </w:r>
    </w:p>
    <w:p>
      <w:pPr>
        <w:spacing w:after="0" w:line="23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April 2016, the Company acquired substantially all of the real estate assets of Pinnacle for approximately $4.8 billion. GLPI originally leased these assets back to Pinnacle, under a triple-net lease with an initial term of 10 years with no purchase option, followed by five 5-year renewal options (exercisable by Pinnacle) on the same terms and conditions.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whereby the Company loaned Boyd $57.7 million.</w:t>
      </w:r>
    </w:p>
    <w:p>
      <w:pPr>
        <w:spacing w:after="0" w:line="10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Additionally, on October 1, 2018 the Company made a mortgage loan to Eldorado in the amount of $246.0 million in connection with Eldorado’s acquisition of Lumière Place.</w:t>
      </w:r>
    </w:p>
    <w:p>
      <w:pPr>
        <w:spacing w:after="0" w:line="16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June 30, 2019. We expect to continue growing our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June 30, 2019, the majority of our earnings are the result of the rental revenues we receive from our triple-net master leases with Penn, Boyd and Eldorado. Additionally, we have rental revenue from the Casino Queen property which is leased back to a third-party operator on a triple-net basis and the Meadows property which is leased to Penn under a single property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6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Additionally, in accordance with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66" w:lineRule="exact"/>
        <w:rPr>
          <w:sz w:val="20"/>
          <w:szCs w:val="20"/>
          <w:color w:val="auto"/>
        </w:rPr>
      </w:pPr>
    </w:p>
    <w:p>
      <w:pPr>
        <w:ind w:right="18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reported total revenues and income from operations of $289.0 million and $170.8 million for the three months ended June 30, 2019, respectively, compared to $254.2 million and $153.2 million, respectively, for the corresponding period in the prior year. We reported total revenues and income from operations of $576.9 million and $341.5 million for the six months ended June 30, 2019, respectively, compared to $498.3 million and $305.1 million, respectively, for the corresponding period in the prior year.</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major factors affecting our results for the three and six months ended June 30, 2019, as compared to the three and six months ended June 30, 2018, were as follows:</w:t>
      </w:r>
    </w:p>
    <w:p>
      <w:pPr>
        <w:spacing w:after="0" w:line="170" w:lineRule="exact"/>
        <w:rPr>
          <w:sz w:val="20"/>
          <w:szCs w:val="20"/>
          <w:color w:val="auto"/>
        </w:rPr>
      </w:pPr>
    </w:p>
    <w:p>
      <w:pPr>
        <w:ind w:left="660" w:right="80" w:hanging="328"/>
        <w:spacing w:after="0" w:line="29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income from real estate was $255.8 million and $510.6 million for the three and six months ended June 30, 2019, respectively, and $218.3 million and $427.6 million for the three and six months ended June 30, 2018, respectively. Total income from real estate increased by $37.4 million and $83.0 million for the three and six months ended June 30, 2019, respectively, as compared to the corresponding periods in the prior year primarily due to the Tropicana Transactions, the Penn-Pinnacle Merger and the partial recognition of income previously deferred under the Penn Master Lease and Meadows Lease. 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64" w:lineRule="exact"/>
        <w:rPr>
          <w:rFonts w:ascii="Arial" w:cs="Arial" w:eastAsia="Arial" w:hAnsi="Arial"/>
          <w:sz w:val="16"/>
          <w:szCs w:val="16"/>
          <w:color w:val="auto"/>
        </w:rPr>
      </w:pPr>
    </w:p>
    <w:p>
      <w:pPr>
        <w:ind w:left="660" w:right="28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Revenues for our TRS Properties decreased by $2.6 million and $4.4 million for the three and six months ended June 30, 2019, respectively, as compared to the corresponding periods in the prior year, due to decreased revenues at both TRS Properties, resulting from the June 2018 smoking ban at all Baton Rouge casinos, as well as decreased admissions at Hollywood Casino Perryville.</w:t>
      </w:r>
    </w:p>
    <w:p>
      <w:pPr>
        <w:spacing w:after="0" w:line="165" w:lineRule="exact"/>
        <w:rPr>
          <w:rFonts w:ascii="Arial" w:cs="Arial" w:eastAsia="Arial" w:hAnsi="Arial"/>
          <w:sz w:val="17"/>
          <w:szCs w:val="17"/>
          <w:color w:val="auto"/>
        </w:rPr>
      </w:pPr>
    </w:p>
    <w:p>
      <w:pPr>
        <w:ind w:left="660" w:right="10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operating expenses increased by $17.3 million and $42.2 million for the three and six months ended June 30, 2019, respectively, as compared to the corresponding periods in the prior year. The increase in operating expenses for the three months ended June 30, 2019 as compared to the prior year period was primarily driven by an increase in depreciation expense resulting from the addition of the Tropicana and Plainridge Park real estate assets to our real estate portfolio and the acceleration of depreciation related to the closure of the Resorts Casino Tunica property by our tenant, as well as the reclassification of the Pinnacle building assets to real estate investments on our balance sheet. As a result of the Penn-Pinnacle Merger, the Amended Pinnacle Master Lease is treated as an operating lease in 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line="321" w:lineRule="auto"/>
        <w:rPr>
          <w:sz w:val="20"/>
          <w:szCs w:val="20"/>
          <w:color w:val="auto"/>
        </w:rPr>
      </w:pPr>
      <w:r>
        <w:rPr>
          <w:rFonts w:ascii="Arial" w:cs="Arial" w:eastAsia="Arial" w:hAnsi="Arial"/>
          <w:sz w:val="17"/>
          <w:szCs w:val="17"/>
          <w:color w:val="auto"/>
        </w:rPr>
        <w:t>entirety and our investment in the direct financing lease was unwound. Also driving the increase was accelerated land right amortization expense also related to the Resorts Casino Tunica closure by our tenant. The closure of the Resorts Casino Tunica property by our tenant will not impact the rent collected from Penn under the Penn Master Lease, as our lease with Penn is cross-collateralized and does not allow for rent reductions for individual property closures. These increases were offset by a significant decrease in real estate tax expense, as we are no longer required to gross-up our financial statements for the real estate taxes paid directly by our tenants under ASC 842, as well as the absence of retirement costs in the current period. The increase in operating expenses for the six months ended June 30, 2019, as compared to the prior year period, was driven by the explanations above, in addition to a loan impairment charge of $13.0 million in the first quarter of 2019 related to the Company's unsecured loan to Casino Queen.</w:t>
      </w:r>
    </w:p>
    <w:p>
      <w:pPr>
        <w:spacing w:after="0" w:line="150" w:lineRule="exact"/>
        <w:rPr>
          <w:sz w:val="20"/>
          <w:szCs w:val="20"/>
          <w:color w:val="auto"/>
        </w:rPr>
      </w:pPr>
    </w:p>
    <w:p>
      <w:pPr>
        <w:ind w:left="660" w:right="10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income and expenses increased by $16.6 million and $39.7 million for the three and six months ended June 30, 2019, respectively, as compared to the corresponding periods in the prior year primarily due to an increase in interest expense related to the debt refinancing in the second quarter of 2018 and debt issuances in the third quarter of 2018, the proceeds of which were utilized for the October 2018 closings of the Tropicana Transactions and the acquisition of Plainridge Park Casino, as well as, the funding of the Belterra Park Loan in connection with the Penn-Pinnacle Merger.</w:t>
      </w:r>
    </w:p>
    <w:p>
      <w:pPr>
        <w:spacing w:after="0" w:line="188"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increased by $1.0 million for the three months ended June 30, 2019 and decreased by $2.7 million, for the six months ended June 30, 2019, as compared to the corresponding periods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1300" w:right="20" w:hanging="320"/>
        <w:spacing w:after="0" w:line="290"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Amended Pinnacle Master Lease. We also entered into a loan agreement with Boyd in connection with Boyd's acquisition of Belterra Park, whereby we loaned Boyd $57.7 million, act as mortgagee and collect interest income from Boyd. Our initial annual real estate income will increase by $45.3 million as a result of these transactions.</w:t>
      </w:r>
    </w:p>
    <w:p>
      <w:pPr>
        <w:spacing w:after="0" w:line="166" w:lineRule="exact"/>
        <w:rPr>
          <w:rFonts w:ascii="Arial" w:cs="Arial" w:eastAsia="Arial" w:hAnsi="Arial"/>
          <w:sz w:val="16"/>
          <w:szCs w:val="16"/>
          <w:color w:val="auto"/>
        </w:rPr>
      </w:pPr>
    </w:p>
    <w:p>
      <w:pPr>
        <w:ind w:left="1300" w:right="60" w:hanging="320"/>
        <w:spacing w:after="0" w:line="25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Initial annual rent under the Eldorado Master Lease is $87.6 million. The Company also made a loan to Eldorado in the amount of $246.0 million in connection with Eldorado’s acquisition of Lumière Place, which will generate initial annual interest income of $22.4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1300" w:right="26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second quarter of 2018, a smoking ban went into effect at all Baton Rouge, Louisiana casinos, which in combination with the general market deterioration in the Baton Rouge region has contributed to the poor performance of our Hollywood Casino Baton Rouge property.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six months ended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70"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30"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three and six months ended June 30, 2019 and 2018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248,563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169,865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496,241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339,270</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45,605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42,761</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income from real estate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218,332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510,635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427,636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35,889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70,635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289,013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254,221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576,877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498,271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20,407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40,065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12,976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41,266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67,865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55,477</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100,980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235,335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193,179</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170,767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153,241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341,542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305,092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and six months ended June 30, 2019 and 2018 is summarized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2"/>
              </w:rPr>
              <w:t>Three Months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255,764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218,332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146,133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7,108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289,013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254,221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170,767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153,241</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510,635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427,636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328,937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291,007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66,242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14,085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576,877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498,271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341,542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305,092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direct financing lease adjustments, losses on debt extinguishment, retirement costs and goodwill and loan impairment charges,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retirement costs and goodwill and loan impairment charges.</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67" w:lineRule="exact"/>
        <w:rPr>
          <w:sz w:val="20"/>
          <w:szCs w:val="20"/>
          <w:color w:val="auto"/>
        </w:rPr>
      </w:pPr>
    </w:p>
    <w:p>
      <w:pPr>
        <w:ind w:right="400" w:firstLine="690"/>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and six months ended June 30, 2019 and 2018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93,033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91,998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186,043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188,770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Losses from dispositions of property</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121,243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49,749</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158,607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116,874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307,299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238,744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Direct financing lease adjustments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29,239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land rights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5,455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4,603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Retirement costs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13,149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185,018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169,235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368,033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337,936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76,275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56,164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152,914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109,751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1,984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260,870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225,128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519,289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446,473</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and six months ended June 30, 2019 and 2018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90,197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88,870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2,836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3,128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155,766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113,512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2,841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3,362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181,394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164,681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3,624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4,554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73,674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53,562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1,378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252,368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215,435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8,502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9,693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180,960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182,586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5,083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6,184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302,211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232,326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5,088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6,418</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360,287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328,761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9,175</w:t>
            </w: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147,712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104,549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5,202</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1,933</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502,478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427,464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16,811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19,009</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16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163"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980" w:right="40" w:hanging="648"/>
        <w:spacing w:after="0" w:line="216" w:lineRule="auto"/>
        <w:tabs>
          <w:tab w:leader="none" w:pos="9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and $5.2 million for both the three and six months ended June 30, 2019 and 2018, respectively.</w:t>
      </w:r>
    </w:p>
    <w:p>
      <w:pPr>
        <w:spacing w:after="0" w:line="20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Net income for our GLP Capital segment was $90.2 million for the three months ended June 30, 2019 and $88.9 million for the three months ended June 30, 2018. FFO, AFFO, and Adjusted EBITDA for our GLP Capital segment were $155.8 million, $181.4 million and $252.4 million for the three months ended June 30, 2019, respectively. FFO, AFFO, and Adjusted EBITDA for our GLP Capital segment were $113.5 million, $164.7 million and $215.4 million for the three months ended June 30, 2018, respectively. The increase in net income for our GLP Capital segment for the three months ended June 30, 2019, as compared to the three months ended June 30, 2018, was primarily driven by a $37.4 million increase in income from real estate, partially offset by a $19.5 million increase in operating expenses and a $16.6 million increase in other expenses, net. The increase in income from real estate in our GLP Capital segment was primarily due to the Tropicana Transactions, the Penn-Pinnacle Merger and the partial recognition of income previously deferred under the Penn Master Lease and Meadows Lease. 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increase in operating expenses in our GLP Capital segment for the three months ended June 30, 2019, as compared to the three months ended June 30, 2018 was primarily driven by an increase in depreciation expense resulting from the addition of the Tropicana and Plainridge Park real estate assets to our real estate portfolio and the acceleration of depreciation related to the closure of the Resorts Casino Tunica property by our tenant, as well as the reclassification of the Pinnacle building assets to real estate investments on our balance sheet. As a result of the Penn-Pinnacle Merger, the Amended Pinnacle Master Lease is treated as an operating lease in its entirety and our investment in the direct financing lease was unwound. Also driving the increase was accelerated land right amortization expense also related to the Resorts Casino Tunica closure by our tenant. The closure of the Resorts Casino Tunica property by our tenant will not impact the rent collected from Penn under the Penn Master Lease, as our lease with Penn is cross-collateralized and does not allow for rent reductions for individual property closures. These increases were offset by a significant decrease in real estate tax expense, as we are no longer required to gross-up our financial statements for the real estate taxes paid directly by our tenants under ASC 842, as well as the absence of retirement costs in the current period. The increase in other expenses, net in our GLP Capital segment for the three months ended June 30, 2019, as compared to the three months ended June 30, 2018, was primarily due to an increase in interest expense related to the debt refinancing in the second quarter of 2018 and debt issuances in the third quarter of 2018, the proceeds of which were utilized for the October 2018 closings of the Tropicana Transactions and the acquisition of Plainridge Park Casino, as well as, the funding of the Belterra Park Loan in connection with the Penn-Pinnacle Merger.</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increase in FFO in our GLP Capital segment for the three months ended June 30, 2019, as compared to the three months ended June 30, 2018 was driven by the explanations above, including an add-back for the depreciation expense. The increase in AFFO for our GLP Capital segment for the three months ended June 30, 2019, as compared to the three months ended June 30, 2018 was primarily driven by the changes described above, as well as the add-back for the accelerated amortization expense and higher stock based compensation expense, partially offset by lower direct financing lease adjustments and straight-line rent adjustments, both of which are added back for AFFO purposes. Direct financing lease adjustments represent the portion of cash rent we received from tenants that was applied against our lease receivable and thus not recorded as revenue. These adjustments were eliminated due to the unwinding of the direct financing lease in October 2018, as the cash received is now recorded as rental income and no add-back to AFFO is necessary. Adjusted EBITDA for our GLP Capital segment for the three months ended June 30, 2019, as compared to the three months ended June 30, 2018 also increased, driven by the explanations above, as well as, a higher add-back for interest expense.</w:t>
      </w:r>
    </w:p>
    <w:p>
      <w:pPr>
        <w:spacing w:after="0" w:line="18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Net income for our GLP Capital segment was $181.0 million for the six months ended June 30, 2019 and $182.6 million for the six months ended June 30, 2018. FFO, AFFO, and Adjusted EBITDA for our GLP Capital segment were $302.2 million, $360.3 million and $502.5 million for the six months ended June 30, 2019, respectively. FFO, AFFO, and Adjusted EBITDA for our GLP Capital segment were $232.3 million, $328.8 million and $427.5 million for the six months ended June 30, 2018, respectively. The decrease in net income for our GLP Capital segment for the six months ended June 30, 2019, as compared to the six months ended June 30, 2018, was primarily driven by an $83.0 million increase in income from real estate, partially offset by a $45.1 million increase in operating expenses and a $39.7 million increase in other expenses, net. The changes in income from real estate and other expenses, net were driven by the explanations above for the three months ended June 30, 2019, as compared to the three months ended June 30, 2018, while the changes described above, in addition to a loan impairment charge of $13.0 million related to the Company's unsecured loan to Casino Queen drove the increase in operating expenses. FFO, AFFO and Adjusted EBITDA for our GLP Capital segment for the six months ended June 30, 2019, as compared to the six months ended June 30, 2018, were primarily driven by the explanations above for the three months ended June 30, 2019, as compared to the three months ended June 30, 2018, as well as the add-back of the loan impairment charges for AFFO purposes.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six months ended June 30,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254,221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34,792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66,242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70,635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498,271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78,606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the three months ended June 30, 2019 and 2018, total income from real estate was $255.8 million and $218.3 million, respectively, for our GLP Capital segment. For the six months ended June 30, 2019 and 2018, total income from real estate was $510.6 million and $427.6 million, respectively, for our GLP Capital segment.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Total income from real estate increased $37.4 million, or 17.1%, for the three months ended June 30, 2019, as compared to the three months ended June 30, 2018, primarily due to the Tropicana Transactions and the Penn-Pinnacle Merger (including the Plainridge Park acquisition, the increased rent under the Amended Pinnacle Master Lease and the Belterra Park Loan) both of which occurred in the fourth quarter of 2018, the impact of the rent escalators under the Penn and Boyd Master Leases,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the elimination of the revenue gross-up for real estate taxes paid directly by our tenants under ASC 842. Total income from real estate increased $83.0 million, or 19.4%, for the six months ended June 30, 2019, as compared to the six months ended June 30, 2018, primarily due to explanations above for the three months ended June 30, 2019, as compared to the three months ended June 30,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income from real estate for the three and six months ended June 30, 2019 was as follows (in thousands):</w:t>
      </w:r>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Penn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Boyd Master</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Penn -</w:t>
            </w:r>
          </w:p>
        </w:tc>
        <w:tc>
          <w:tcPr>
            <w:tcW w:w="1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Casino</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Master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Pinnacle</w:t>
            </w:r>
          </w:p>
        </w:tc>
        <w:tc>
          <w:tcPr>
            <w:tcW w:w="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Master Lease</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 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Meadows</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Queen</w:t>
            </w:r>
          </w:p>
        </w:tc>
        <w:tc>
          <w:tcPr>
            <w:tcW w:w="140" w:type="dxa"/>
            <w:vAlign w:val="bottom"/>
          </w:tcPr>
          <w:p>
            <w:pPr>
              <w:spacing w:after="0"/>
              <w:rPr>
                <w:sz w:val="12"/>
                <w:szCs w:val="12"/>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Lease</w:t>
            </w:r>
          </w:p>
        </w:tc>
        <w:tc>
          <w:tcPr>
            <w:tcW w:w="20" w:type="dxa"/>
            <w:vAlign w:val="bottom"/>
          </w:tcPr>
          <w:p>
            <w:pPr>
              <w:spacing w:after="0"/>
              <w:rPr>
                <w:sz w:val="13"/>
                <w:szCs w:val="13"/>
                <w:color w:val="auto"/>
              </w:rPr>
            </w:pPr>
          </w:p>
        </w:tc>
        <w:tc>
          <w:tcPr>
            <w:tcW w:w="102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Master Lease</w:t>
            </w:r>
          </w:p>
        </w:tc>
        <w:tc>
          <w:tcPr>
            <w:tcW w:w="20" w:type="dxa"/>
            <w:vAlign w:val="bottom"/>
          </w:tcPr>
          <w:p>
            <w:pPr>
              <w:spacing w:after="0"/>
              <w:rPr>
                <w:sz w:val="13"/>
                <w:szCs w:val="13"/>
                <w:color w:val="auto"/>
              </w:rPr>
            </w:pP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and Mortgage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56,297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164,270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Land base rent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17,778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47,543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7,905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Total cash rental income</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113,847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81,980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21,909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251,875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(6,319)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Other rental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117,005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77,390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248,563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w w:val="93"/>
              </w:rPr>
              <w:t>Interest income from mortgaged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real estate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income from real estate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117,005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77,390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26,720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24,225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255,764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PENN</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Amended</w:t>
            </w:r>
          </w:p>
        </w:tc>
        <w:tc>
          <w:tcPr>
            <w:tcW w:w="20" w:type="dxa"/>
            <w:vAlign w:val="bottom"/>
          </w:tcPr>
          <w:p>
            <w:pPr>
              <w:spacing w:after="0"/>
              <w:rPr>
                <w:sz w:val="23"/>
                <w:szCs w:val="23"/>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ERI Master</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BYD Master</w:t>
            </w:r>
          </w:p>
        </w:tc>
        <w:tc>
          <w:tcPr>
            <w:tcW w:w="140" w:type="dxa"/>
            <w:vAlign w:val="bottom"/>
          </w:tcPr>
          <w:p>
            <w:pPr>
              <w:spacing w:after="0"/>
              <w:rPr>
                <w:sz w:val="23"/>
                <w:szCs w:val="2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PENN -</w:t>
            </w:r>
          </w:p>
        </w:tc>
        <w:tc>
          <w:tcPr>
            <w:tcW w:w="160" w:type="dxa"/>
            <w:vAlign w:val="bottom"/>
          </w:tcPr>
          <w:p>
            <w:pPr>
              <w:spacing w:after="0"/>
              <w:rPr>
                <w:sz w:val="23"/>
                <w:szCs w:val="2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Casino</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Master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Pinnacle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Lease and</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 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Meadows</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Queen</w:t>
            </w:r>
          </w:p>
        </w:tc>
        <w:tc>
          <w:tcPr>
            <w:tcW w:w="140" w:type="dxa"/>
            <w:vAlign w:val="bottom"/>
          </w:tcPr>
          <w:p>
            <w:pPr>
              <w:spacing w:after="0"/>
              <w:rPr>
                <w:sz w:val="12"/>
                <w:szCs w:val="12"/>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Lease</w:t>
            </w:r>
          </w:p>
        </w:tc>
        <w:tc>
          <w:tcPr>
            <w:tcW w:w="20" w:type="dxa"/>
            <w:vAlign w:val="bottom"/>
          </w:tcPr>
          <w:p>
            <w:pPr>
              <w:spacing w:after="0"/>
              <w:rPr>
                <w:sz w:val="13"/>
                <w:szCs w:val="13"/>
                <w:color w:val="auto"/>
              </w:rPr>
            </w:pPr>
          </w:p>
        </w:tc>
        <w:tc>
          <w:tcPr>
            <w:tcW w:w="102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Master Lease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136,964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w w:val="92"/>
              </w:rPr>
              <w:t>$ 112,078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327,607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Land base rent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35,481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5,839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94,984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15,738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Total cash rental income</w:t>
            </w: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227,506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top w:val="single" w:sz="8" w:color="auto"/>
            </w:tcBorders>
            <w:gridSpan w:val="2"/>
          </w:tcPr>
          <w:p>
            <w:pPr>
              <w:jc w:val="right"/>
              <w:ind w:right="74"/>
              <w:spacing w:after="0"/>
              <w:rPr>
                <w:sz w:val="20"/>
                <w:szCs w:val="20"/>
                <w:color w:val="auto"/>
              </w:rPr>
            </w:pPr>
            <w:r>
              <w:rPr>
                <w:rFonts w:ascii="Arial" w:cs="Arial" w:eastAsia="Arial" w:hAnsi="Arial"/>
                <w:sz w:val="18"/>
                <w:szCs w:val="18"/>
                <w:color w:val="auto"/>
                <w:w w:val="89"/>
              </w:rPr>
              <w:t>$ 163,297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43,819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48,393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502,429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Straight-line rent adjustments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right"/>
              <w:ind w:right="14"/>
              <w:spacing w:after="0"/>
              <w:rPr>
                <w:sz w:val="20"/>
                <w:szCs w:val="20"/>
                <w:color w:val="auto"/>
              </w:rPr>
            </w:pPr>
            <w:r>
              <w:rPr>
                <w:rFonts w:ascii="Arial" w:cs="Arial" w:eastAsia="Arial" w:hAnsi="Arial"/>
                <w:sz w:val="18"/>
                <w:szCs w:val="18"/>
                <w:color w:val="auto"/>
                <w:w w:val="97"/>
              </w:rPr>
              <w:t>$ (12,637)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Other rental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233,857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w w:val="92"/>
              </w:rPr>
              <w:t>$ 154,170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496,241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w w:val="93"/>
              </w:rPr>
              <w:t>Interest income from mortgaged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auto"/>
              </w:rPr>
              <w:t>real estate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11,181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14,394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income from real estate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233,857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w w:val="92"/>
              </w:rPr>
              <w:t>$ 154,170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47,989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510,635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Gaming, food, beverage and other revenue for our TRS Properties segment decreased by $2.6 million, or 7.4%, for the three months ended June 30, 2019, as compared to the three months ended June 30, 2018, due to decreases in revenues at both TRS Properties, primarily resulting from general market deterioration in the Baton Rouge region and the June 2018 smoking ban at all Baton Rouge casinos that went into effect late in the second quarter of 2018, as well as decreased admissions at the Hollywood Casino Perryville. Gaming, food, beverage and other revenue for our TRS Properties segment decreased by $4.4 million, or 6.2%, for the six months ended June 30, 2019, as compared to the six months ended June 30, 2018, primarily due to the explanations above.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30"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six months ended June 30,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136.3 %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146.6 %</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118,246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100,980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70,966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127.9 %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Loan impairment charges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620" w:type="dxa"/>
            <w:vAlign w:val="bottom"/>
          </w:tcPr>
          <w:p>
            <w:pPr>
              <w:jc w:val="right"/>
              <w:ind w:right="1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42,156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Real estate taxes decreased as we are no longer required to gross-up our financial statements for the real estate taxes paid directly by our tenants under ASC 842. In December 2018, the FASB issued ASU 2018-20, which clarifies that lessor costs paid directly to a third-party by a lessee on behalf of the lessor, are no longer required to be recognized in the lessor's financial statements. Therefore, upon the adoption of ASU 2016-02 on January 1, 2019, we no longer gross-up our financial statements for real estate taxes paid directly to third-parties by its tenants.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$8.8 million, or 136.3%, for the three months ended June 30, 2019, as compared to the three months ended June 30, 2018, primarily due to the closure of the Resorts Casino Tunica property by our tenant, resulting in the acceleration of land right amortization expense related to the ground lease at this property. Our acquisition of rights to six long-term ground leases in connection with the October 2018 Tropicana Acquisition further contributed to the increase in land rights and ground lease expense for the three months ended June 30, 2019, as compared to the comparable prior year period. In connection with this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consolidated statements of income as we have concluded that as the lessee we are the primary obligor under the ground leases. We sublease these ground leases back to our tenants, who are responsible for payment directly to the landlord. Land rights and ground lease expense increased by $11.5 million, or 88.6%, for the six months ended June 30, 2019, as compared to the six months ended June 30, 2018 for the reasons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decreased by $8.8 million or 35.6%, for the three months ended June 30, 2019, as compared to the three months ended June 30, 2018, primarily due to the absence of retirement costs related to the retirement of our former Chief Financial Officer in 2018. General and administrative expenses decreased by $8.0 million or 19.5%, for the six months ended June 30, 2019, as compared to the six months ended June 30, 2018, primarily due to the explanation above.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Depreciation expense increased by $40.3 million, or 146.6%, to $67.9 million for the three months ended June 30, 2019 as compared to the three months ended June 30, 2018, primarily due to the acceleration of depreciation related to the closure of the Resorts Casino Tunica property by our tenant, the addition of the Tropicana and Plainridge Park real estate assets to our portfolio and the reclassification of the Pinnacle building assets to real estate investments on our balance sheet as a result of the Penn-Pinnacle Merger, which required the Amended Pinnacle Master Lease to be treated as an operating lease in its entirety. Depreciation expense increased by $71.0 million, or 127.9%, to $126.4 million for the six months ended June 30, 2019 as compared to the six months ended June 30, 2018, for the reasons described above.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March 17, 2017 the Company provided a new unsecured $13.0 million, 5.5-year term loan to CQ Holding Company, Inc., an affiliate of Casino Queen ("CQ Holding Company"), to partially finance their acquisition of Lady Luck Casino in Marquette, Iowa. During 2018, the operating results of Casino Queen declined substantially and Casino Queen defaulted under its senior credit agreement and also the unsecured loan with GLPI.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$13.0 million of loan principal due to GLPI.</w:t>
      </w:r>
    </w:p>
    <w:p>
      <w:pPr>
        <w:spacing w:after="0" w:line="17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does not expect Casino Queen to be able to repay the $13.0 million of principal due to it under the unsecured loan agreement, the full $13.0 million of principal was written off at March 31, 2019. The Company has recorded an impairment charge of $13.0 million through the condensed consolidated statement of income for the six months ended June 30, 2019 to reflect the write-off of the Casino Queen loan.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six months ended June 30, 2019 and 2018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59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Interest expense increased by $19.5 million, or 34.1%, for the three months ended June 30, 2019, as compared to the three months ended June 30, 2018, primarily due to the issuance of $850 million of 5.25% senior unsecured notes due 2025, $500 million of 5.75% senior unsecured notes due 2028 and $750 million of 5.30% senior unsecured notes due 2029 during 2018, as well as increased borrowings under our revolving credit facility, partially offset by a decrease in interest expense related to the termination of the Term Loan A facility, partial repayment of the Term Loan A-1 facility and the tender and call of our 4.375% senior unsecured notes due 2018. The proceeds from the issuance of the senior unsecured notes in 2018 and the increased borrowings were used to finance the Tropicana Transactions, to purchase Plainridge Park and to fund the Belterra Park Loan. Interest expense increased by $42.1 million or, 37.9%, for the six months ended June 30, 2019, as compared to the six months ended June 30, 2018, primarily due to the explanation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May 21, 2018, the Company entered into the second amendment to the senior unsecured credit facility (the "Credit Facility"), which increased the Company's revolving commitments to an aggregate principal amount of $1,100 million, eliminated the Term Loan A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Also 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tendered 2018 Notes and the difference between the reaquisition price of the tendered 2018 Notes and their net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three months ended June 30, 2019 and 2018, income tax expense was approximately $1.5 million and $1.6 million, respectively. Our effective tax rate (income taxes as a percentage of income before income taxes) was 1.5% for the three months ended June 30, 2019, as compared to 1.7% for the three months ended June 30, 2018. During the six months ended June 30, 2019 and 2018, income tax expense was approximately $2.6 million and $3.1 million, respectively. Our effective tax rate was 1.4% for the six months ended June 30, 2019, as compared to 1.6% for the six months ended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Net cash provided by operating activities was $364.1 million and $305.6 million during the six months ended June 30, 2019 and 2018, respectively. The increase in net cash provided by operating activities of $58.5 million for the six months ended June 30, 2019 as compared to the corresponding period in the prior year was primarily comprised of an increase in cash receipts from customers/tenants of $101.3 million, partially offset by increases in cash paid for interest, cash paid for operating expenses and cash paid to employees of $36.9 million, $3.4 million and $1.6 million, respectively. The increase in cash receipts collected from our customers and tenants for the six months ended June 30, 2019 as compared to the corresponding period in the prior year was primarily due to the Tropicana Transactions and the Penn-Pinnacle Merger both of which occurred in the fourth quarter of 2018, partially offset by a decrease in our TRS Properties' revenues. The increase in cash paid for interest was related to the Company's new borrowings which were used to fund the Tropicana Transactions, the acquisition of Plainridge Park and the Belterra Park Loan.</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Investing activities used cash of $1.4 million and provided cash of $27.5 million during the six months ended June 30, 2019 and 2018, respectively. Net cash used in investing activities during the six months ended June 30, 2019 primarily consisted of capital expenditures of $1.5 million, partially offset by proceeds from sales of property and equipment of $0.2 million. Net cash provided by investing activities during the six months ended June 30, 2018 consisted of rental payments received from tenants and applied against the lease receivable on our balance sheet of $29.2 million, partially offset by capital expenditures of $2.0 million.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Financing activities used cash of $363.8 million and $217.7 million during the six months ended June 30, 2019 and 2018, respectively. Net cash used in financing activities during the six months ended June 30, 2019 was driven by dividend payments of $292.4 million, repayments of long-term debt of $217.1 million and taxes paid related to shares withheld for tax purposes on restricted stock award vestings, net of stock option exercises of $9.1 million, partially offset by $155.0 million of proceeds from the issuance of long-term debt. Net cash used by financing activities during the six months ended June 30, 2018 included dividend payments of $269.5 million, repayments of long-term debt of $923.6 million, financing costs of $19.7 million, $1.9 million of premium and related costs paid on the tender of senior unsecured notes and taxes paid related to shares withheld for tax purposes on restricted stock award vestings, net of stock option exercises of $2.9 million, partially offset by proceeds from the issuance of long-term debt of $1,000.0 million. During the six months ended June 30, 2018, the Company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issued $1,000.0 million in new senior unsecured notes, completed a tender of $393.5 million aggregate principal of the 2018 Notes, repaid a portion of the Term Loan A-1 facility and extinguished the Term Loan A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During the six months ended June 30, 2019 and 2018, the TRS Properties spent approximately $1.5 million and $2.0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Credit Facility consists of a $1,175 million revolving credit facility and a $525 million Term Loan A-1 facility. The revolving credit facility matures on May 21, 2023 and the Term Loan A-1 facility matures on April 28,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2019, the Credit Facility had a gross outstanding balance of $865 million, consisting of the $525 million Term Loan A-1 facility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$340 million of borrowings under the revolving credit facility. Additionally, at June 30, 2019, the Company was contingently obligated under letters of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pursuant to the Credit Facility with face amounts aggregating approximately $0.4 million, resulting in $834.6 million of available borrowing capacity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revolving credit facility as of June 30, 2019.</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2019, the Company was in compliance with all required financial covenants under the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firstLine="683"/>
        <w:spacing w:after="0" w:line="302" w:lineRule="auto"/>
        <w:rPr>
          <w:sz w:val="20"/>
          <w:szCs w:val="20"/>
          <w:color w:val="auto"/>
        </w:rPr>
      </w:pPr>
      <w:r>
        <w:rPr>
          <w:rFonts w:ascii="Arial" w:cs="Arial" w:eastAsia="Arial" w:hAnsi="Arial"/>
          <w:sz w:val="16"/>
          <w:szCs w:val="16"/>
          <w:color w:val="auto"/>
        </w:rPr>
        <w:t>At June 30, 2019, the Company had $4,975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2019, the Company was in compliance with all required financial covenants under the Senior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 Liability</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was 30 years and it will terminate in 2026.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GLPI’s primary market risk exposure is interest rate risk with respect to its indebtedness of $5,841.1 million at June 30, 2019. Furthermore, $4,975.0 million of our obligations at June 30, 2019, are the Senior Notes that have fixed interest rates with maturity dates ranging from one and one-half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June 30, 2019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June 30,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07/01/19-</w:t>
            </w:r>
          </w:p>
        </w:tc>
        <w:tc>
          <w:tcPr>
            <w:tcW w:w="26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1/01/20-</w:t>
            </w:r>
          </w:p>
        </w:tc>
        <w:tc>
          <w:tcPr>
            <w:tcW w:w="260" w:type="dxa"/>
            <w:vAlign w:val="bottom"/>
          </w:tcPr>
          <w:p>
            <w:pPr>
              <w:spacing w:after="0"/>
              <w:rPr>
                <w:sz w:val="14"/>
                <w:szCs w:val="14"/>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1/01/21-</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1/01/22-</w:t>
            </w:r>
          </w:p>
        </w:tc>
        <w:tc>
          <w:tcPr>
            <w:tcW w:w="24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1/01/23-</w:t>
            </w:r>
          </w:p>
        </w:tc>
        <w:tc>
          <w:tcPr>
            <w:tcW w:w="22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Pr>
          <w:p>
            <w:pPr>
              <w:spacing w:after="0"/>
              <w:rPr>
                <w:sz w:val="14"/>
                <w:szCs w:val="14"/>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12/31/19</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12/31/20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12/31/21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12/31/22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12/31/23</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ind w:left="5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4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w w:val="96"/>
              </w:rPr>
              <w:t>1,000,000</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ind w:left="4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3,075,000</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4,975,000</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5,316,563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4.88%</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4.38%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5.38%</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859,750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color w:val="auto"/>
                <w:w w:val="95"/>
              </w:rPr>
              <w:t>3.59%</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w w:val="95"/>
              </w:rPr>
              <w:t>3.50%</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2019,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2019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implemented controls to ensure we had identified and adequately evaluated our lease agreements and properly assessed the impact of ASU 2016-02 on our financial statements to facilitate the adoption of this new guidance on January 1,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140" w:firstLine="648"/>
        <w:spacing w:after="0" w:line="272"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of our Annual Report on Form 10-K.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June 30,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130" w:right="47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160" w:type="dxa"/>
            <w:vAlign w:val="bottom"/>
            <w:gridSpan w:val="6"/>
          </w:tcPr>
          <w:p>
            <w:pPr>
              <w:ind w:left="180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6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80" w:type="dxa"/>
            <w:vAlign w:val="bottom"/>
            <w:tcBorders>
              <w:top w:val="single" w:sz="8" w:color="auto"/>
              <w:bottom w:val="single" w:sz="8" w:color="0000FF"/>
            </w:tcBorders>
            <w:gridSpan w:val="4"/>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First Amendment to Master Lease, dated June 6, 2019, by and among GLP Capital, L.P., Tropicana Entertainment, Inc. and</w:t>
              </w:r>
            </w:hyperlink>
          </w:p>
        </w:tc>
        <w:tc>
          <w:tcPr>
            <w:tcW w:w="440" w:type="dxa"/>
            <w:vAlign w:val="bottom"/>
            <w:tcBorders>
              <w:top w:val="single" w:sz="8" w:color="auto"/>
            </w:tcBorders>
            <w:gridSpan w:val="3"/>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Tropicana Atlantic City Corp.</w:t>
              </w:r>
            </w:hyperlink>
          </w:p>
        </w:tc>
        <w:tc>
          <w:tcPr>
            <w:tcW w:w="7160" w:type="dxa"/>
            <w:vAlign w:val="bottom"/>
            <w:gridSpan w:val="6"/>
          </w:tcPr>
          <w:p>
            <w:pPr>
              <w:spacing w:after="0"/>
              <w:rPr>
                <w:sz w:val="17"/>
                <w:szCs w:val="17"/>
                <w:color w:val="auto"/>
              </w:rPr>
            </w:pPr>
          </w:p>
        </w:tc>
      </w:tr>
      <w:tr>
        <w:trPr>
          <w:trHeight w:val="372"/>
        </w:trPr>
        <w:tc>
          <w:tcPr>
            <w:tcW w:w="1620" w:type="dxa"/>
            <w:vAlign w:val="bottom"/>
          </w:tcPr>
          <w:p>
            <w:pPr>
              <w:ind w:left="20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CEO Certification pursuant to Rule 13a-14(a) or 15d-14(a) of the Securities Exchange Act of 1934.</w:t>
              </w:r>
            </w:hyperlink>
          </w:p>
        </w:tc>
        <w:tc>
          <w:tcPr>
            <w:tcW w:w="2140" w:type="dxa"/>
            <w:vAlign w:val="bottom"/>
            <w:gridSpan w:val="4"/>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CFO Certification pursuant to Rule 13a-14(a) or 15d-14(a) of the Securities Exchange Act of 1934.</w:t>
              </w:r>
            </w:hyperlink>
          </w:p>
        </w:tc>
        <w:tc>
          <w:tcPr>
            <w:tcW w:w="2160" w:type="dxa"/>
            <w:vAlign w:val="bottom"/>
            <w:gridSpan w:val="5"/>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CEO Certification pursuant to 18 U.S.C. Section 1350, as adopted pursuant to Section 906 of the Sarbanes-Oxley Act of 2002.</w:t>
              </w:r>
            </w:hyperlink>
          </w:p>
        </w:tc>
        <w:tc>
          <w:tcPr>
            <w:tcW w:w="200" w:type="dxa"/>
            <w:vAlign w:val="bottom"/>
          </w:tcPr>
          <w:p>
            <w:pPr>
              <w:spacing w:after="0"/>
              <w:rPr>
                <w:sz w:val="24"/>
                <w:szCs w:val="24"/>
                <w:color w:val="auto"/>
              </w:rPr>
            </w:pPr>
          </w:p>
        </w:tc>
      </w:tr>
      <w:tr>
        <w:trPr>
          <w:trHeight w:val="520"/>
        </w:trPr>
        <w:tc>
          <w:tcPr>
            <w:tcW w:w="1620" w:type="dxa"/>
            <w:vAlign w:val="bottom"/>
          </w:tcPr>
          <w:p>
            <w:pPr>
              <w:ind w:left="20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7"/>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CFO Certification pursuant to 18 U.S.C. Section 1350, as adopted pursuant to Section 906 of the Sarbanes-Oxley Act of 2002.</w:t>
              </w:r>
            </w:hyperlink>
          </w:p>
        </w:tc>
      </w:tr>
      <w:tr>
        <w:trPr>
          <w:trHeight w:val="54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c>
          <w:tcPr>
            <w:tcW w:w="220" w:type="dxa"/>
            <w:vAlign w:val="bottom"/>
            <w:gridSpan w:val="2"/>
          </w:tcPr>
          <w:p>
            <w:pPr>
              <w:spacing w:after="0"/>
              <w:rPr>
                <w:sz w:val="24"/>
                <w:szCs w:val="24"/>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7"/>
        </w:trPr>
        <w:tc>
          <w:tcPr>
            <w:tcW w:w="1620" w:type="dxa"/>
            <w:vAlign w:val="bottom"/>
          </w:tcPr>
          <w:p>
            <w:pPr>
              <w:ind w:left="20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w w:val="93"/>
              </w:rPr>
              <w:t>The cover page from the Company's Quarterly Report on Form 10-Q for the quarter ended June 30, 2019, formatted in Inline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Steven T. Snyder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240" w:top="130" w:right="7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PARTIAL TERMINATION OF AND</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FIRST AMENDMENT TO MASTER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PARTIAL TERMINATION OF AND FIRST AMENDMENT TO MASTER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LEASE (this “</w:t>
      </w:r>
      <w:r>
        <w:rPr>
          <w:rFonts w:ascii="Arial" w:cs="Arial" w:eastAsia="Arial" w:hAnsi="Arial"/>
          <w:sz w:val="22"/>
          <w:szCs w:val="22"/>
          <w:b w:val="1"/>
          <w:bCs w:val="1"/>
          <w:color w:val="auto"/>
        </w:rPr>
        <w:t>Amendment</w:t>
      </w:r>
      <w:r>
        <w:rPr>
          <w:rFonts w:ascii="Arial" w:cs="Arial" w:eastAsia="Arial" w:hAnsi="Arial"/>
          <w:sz w:val="22"/>
          <w:szCs w:val="22"/>
          <w:color w:val="auto"/>
        </w:rPr>
        <w:t>”) is made and effective as of June 6, 2019 (the “</w:t>
      </w:r>
      <w:r>
        <w:rPr>
          <w:rFonts w:ascii="Arial" w:cs="Arial" w:eastAsia="Arial" w:hAnsi="Arial"/>
          <w:sz w:val="22"/>
          <w:szCs w:val="22"/>
          <w:b w:val="1"/>
          <w:bCs w:val="1"/>
          <w:color w:val="auto"/>
        </w:rPr>
        <w:t>First Amendment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GLP CAPITAL, L.P., a Delaware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 TROPICANA ATLANTIC CITY CORP., a New Jersey corporation (“</w:t>
      </w:r>
      <w:r>
        <w:rPr>
          <w:rFonts w:ascii="Arial" w:cs="Arial" w:eastAsia="Arial" w:hAnsi="Arial"/>
          <w:sz w:val="22"/>
          <w:szCs w:val="22"/>
          <w:b w:val="1"/>
          <w:bCs w:val="1"/>
          <w:color w:val="auto"/>
        </w:rPr>
        <w:t>Trop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w:t>
      </w:r>
      <w:r>
        <w:rPr>
          <w:rFonts w:ascii="Arial" w:cs="Arial" w:eastAsia="Arial" w:hAnsi="Arial"/>
          <w:sz w:val="22"/>
          <w:szCs w:val="22"/>
          <w:color w:val="auto"/>
        </w:rPr>
        <w:t>”), and TROPICANA ENTERTAINMENT, INC., a Delaware corporation (“</w:t>
      </w:r>
      <w:r>
        <w:rPr>
          <w:rFonts w:ascii="Arial" w:cs="Arial" w:eastAsia="Arial" w:hAnsi="Arial"/>
          <w:sz w:val="22"/>
          <w:szCs w:val="22"/>
          <w:b w:val="1"/>
          <w:bCs w:val="1"/>
          <w:color w:val="auto"/>
        </w:rPr>
        <w:t>TEI</w:t>
      </w:r>
      <w:r>
        <w:rPr>
          <w:rFonts w:ascii="Arial" w:cs="Arial" w:eastAsia="Arial" w:hAnsi="Arial"/>
          <w:sz w:val="22"/>
          <w:szCs w:val="22"/>
          <w:color w:val="auto"/>
        </w:rPr>
        <w: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Tropicana AC Sub Corp., a New Jersey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Tropicana AC</w:t>
      </w:r>
      <w:r>
        <w:rPr>
          <w:rFonts w:ascii="Arial" w:cs="Arial" w:eastAsia="Arial" w:hAnsi="Arial"/>
          <w:sz w:val="22"/>
          <w:szCs w:val="22"/>
          <w:color w:val="auto"/>
        </w:rPr>
        <w:t>”), collectively as landlord, and TEI and Trop AC, collectively, as tenant,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entered into that certain Master Lease, dated as of October 1, 2018 (the “</w:t>
      </w:r>
      <w:r>
        <w:rPr>
          <w:rFonts w:ascii="Arial" w:cs="Arial" w:eastAsia="Arial" w:hAnsi="Arial"/>
          <w:sz w:val="22"/>
          <w:szCs w:val="22"/>
          <w:b w:val="1"/>
          <w:bCs w:val="1"/>
          <w:color w:val="auto"/>
        </w:rPr>
        <w:t>Master Lease</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and not otherwise defined herein shall have the respective meanings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ascribed to them in the Master Lease);</w:t>
      </w:r>
    </w:p>
    <w:p>
      <w:pPr>
        <w:spacing w:after="0" w:line="242" w:lineRule="exact"/>
        <w:rPr>
          <w:sz w:val="20"/>
          <w:szCs w:val="20"/>
          <w:color w:val="auto"/>
        </w:rPr>
      </w:pPr>
    </w:p>
    <w:p>
      <w:pPr>
        <w:ind w:right="3160" w:firstLine="648"/>
        <w:spacing w:after="0" w:line="253" w:lineRule="auto"/>
        <w:rPr>
          <w:sz w:val="20"/>
          <w:szCs w:val="20"/>
          <w:color w:val="auto"/>
        </w:rPr>
      </w:pPr>
      <w:r>
        <w:rPr>
          <w:rFonts w:ascii="Arial" w:cs="Arial" w:eastAsia="Arial" w:hAnsi="Arial"/>
          <w:sz w:val="22"/>
          <w:szCs w:val="22"/>
          <w:color w:val="auto"/>
        </w:rPr>
        <w:t>WHEREAS, on or about November 2, 2018, Tropicana AC merged with and into Landlord pursuant to that certain Certificate of Merger dated November 2, 2018, with Landlord remaining as the surviving entity;</w:t>
      </w:r>
    </w:p>
    <w:p>
      <w:pPr>
        <w:spacing w:after="0" w:line="226" w:lineRule="exact"/>
        <w:rPr>
          <w:sz w:val="20"/>
          <w:szCs w:val="20"/>
          <w:color w:val="auto"/>
        </w:rPr>
      </w:pPr>
    </w:p>
    <w:p>
      <w:pPr>
        <w:ind w:right="3520" w:firstLine="648"/>
        <w:spacing w:after="0" w:line="253" w:lineRule="auto"/>
        <w:rPr>
          <w:sz w:val="20"/>
          <w:szCs w:val="20"/>
          <w:color w:val="auto"/>
        </w:rPr>
      </w:pPr>
      <w:r>
        <w:rPr>
          <w:rFonts w:ascii="Arial" w:cs="Arial" w:eastAsia="Arial" w:hAnsi="Arial"/>
          <w:sz w:val="22"/>
          <w:szCs w:val="22"/>
          <w:color w:val="auto"/>
        </w:rPr>
        <w:t>WHEREAS, Landlord has hereby agreed to release Trop AC from its duties and obligations under the Master Lease and to amend certain other terms and conditions arising thereunder in connection therewith.</w:t>
      </w:r>
    </w:p>
    <w:p>
      <w:pPr>
        <w:spacing w:after="0" w:line="226" w:lineRule="exact"/>
        <w:rPr>
          <w:sz w:val="20"/>
          <w:szCs w:val="20"/>
          <w:color w:val="auto"/>
        </w:rPr>
      </w:pPr>
    </w:p>
    <w:p>
      <w:pPr>
        <w:ind w:right="3120" w:firstLine="648"/>
        <w:spacing w:after="0" w:line="294" w:lineRule="auto"/>
        <w:rPr>
          <w:sz w:val="20"/>
          <w:szCs w:val="20"/>
          <w:color w:val="auto"/>
        </w:rPr>
      </w:pPr>
      <w:r>
        <w:rPr>
          <w:rFonts w:ascii="Arial" w:cs="Arial" w:eastAsia="Arial" w:hAnsi="Arial"/>
          <w:sz w:val="19"/>
          <w:szCs w:val="19"/>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PARTIAL TERMINATION OF LEASE</w:t>
      </w:r>
    </w:p>
    <w:p>
      <w:pPr>
        <w:spacing w:after="0" w:line="236" w:lineRule="exact"/>
        <w:rPr>
          <w:sz w:val="20"/>
          <w:szCs w:val="20"/>
          <w:color w:val="auto"/>
        </w:rPr>
      </w:pPr>
    </w:p>
    <w:p>
      <w:pPr>
        <w:jc w:val="both"/>
        <w:ind w:right="3140"/>
        <w:spacing w:after="0" w:line="295" w:lineRule="auto"/>
        <w:rPr>
          <w:sz w:val="20"/>
          <w:szCs w:val="20"/>
          <w:color w:val="auto"/>
        </w:rPr>
      </w:pPr>
      <w:r>
        <w:rPr>
          <w:rFonts w:ascii="Arial" w:cs="Arial" w:eastAsia="Arial" w:hAnsi="Arial"/>
          <w:sz w:val="19"/>
          <w:szCs w:val="19"/>
          <w:color w:val="010000"/>
        </w:rPr>
        <w:t xml:space="preserve">1.1 </w:t>
      </w:r>
      <w:r>
        <w:rPr>
          <w:rFonts w:ascii="Arial" w:cs="Arial" w:eastAsia="Arial" w:hAnsi="Arial"/>
          <w:sz w:val="19"/>
          <w:szCs w:val="19"/>
          <w:u w:val="single" w:color="auto"/>
          <w:color w:val="000000"/>
        </w:rPr>
        <w:t>Partial Termination.</w:t>
      </w:r>
      <w:r>
        <w:rPr>
          <w:rFonts w:ascii="Arial" w:cs="Arial" w:eastAsia="Arial" w:hAnsi="Arial"/>
          <w:sz w:val="19"/>
          <w:szCs w:val="19"/>
          <w:color w:val="010000"/>
        </w:rPr>
        <w:t xml:space="preserve"> </w:t>
      </w:r>
      <w:r>
        <w:rPr>
          <w:rFonts w:ascii="Arial" w:cs="Arial" w:eastAsia="Arial" w:hAnsi="Arial"/>
          <w:sz w:val="19"/>
          <w:szCs w:val="19"/>
          <w:color w:val="000000"/>
        </w:rPr>
        <w:t>Effective as of the date hereof (the “</w:t>
      </w:r>
      <w:r>
        <w:rPr>
          <w:rFonts w:ascii="Arial" w:cs="Arial" w:eastAsia="Arial" w:hAnsi="Arial"/>
          <w:sz w:val="19"/>
          <w:szCs w:val="19"/>
          <w:b w:val="1"/>
          <w:bCs w:val="1"/>
          <w:color w:val="000000"/>
        </w:rPr>
        <w:t>Release Date</w:t>
      </w:r>
      <w:r>
        <w:rPr>
          <w:rFonts w:ascii="Arial" w:cs="Arial" w:eastAsia="Arial" w:hAnsi="Arial"/>
          <w:sz w:val="19"/>
          <w:szCs w:val="19"/>
          <w:color w:val="000000"/>
        </w:rPr>
        <w:t>”), Landlord, Trop</w:t>
      </w:r>
      <w:r>
        <w:rPr>
          <w:rFonts w:ascii="Arial" w:cs="Arial" w:eastAsia="Arial" w:hAnsi="Arial"/>
          <w:sz w:val="19"/>
          <w:szCs w:val="19"/>
          <w:color w:val="010000"/>
        </w:rPr>
        <w:t xml:space="preserve"> </w:t>
      </w:r>
      <w:r>
        <w:rPr>
          <w:rFonts w:ascii="Arial" w:cs="Arial" w:eastAsia="Arial" w:hAnsi="Arial"/>
          <w:sz w:val="19"/>
          <w:szCs w:val="19"/>
          <w:color w:val="000000"/>
        </w:rPr>
        <w:t>AC, and TEI hereby agree that the Master Lease shall be terminated solely with respect to Trop AC and that all of the benefits, obligations and liabilities of Trop AC as tenant thereunder shall cease and terminate and, solely with respect to Trop AC, the Master Lease shall have no further force or effect. Except as otherwise expressly provided herein, the Master Lease shall remain in full force and effect with respect to Landlord, as landlord, and TEI, as tenant, thereunder.</w:t>
      </w:r>
    </w:p>
    <w:p>
      <w:pPr>
        <w:spacing w:after="0" w:line="1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19"/>
          <w:szCs w:val="19"/>
          <w:u w:val="single" w:color="auto"/>
          <w:color w:val="auto"/>
        </w:rPr>
        <w:t>Release of Trop AC.</w:t>
      </w:r>
    </w:p>
    <w:p>
      <w:pPr>
        <w:spacing w:after="0" w:line="260" w:lineRule="exact"/>
        <w:rPr>
          <w:sz w:val="20"/>
          <w:szCs w:val="20"/>
          <w:color w:val="auto"/>
        </w:rPr>
      </w:pPr>
    </w:p>
    <w:p>
      <w:pPr>
        <w:ind w:right="3260" w:firstLine="980"/>
        <w:spacing w:after="0" w:line="312" w:lineRule="auto"/>
        <w:tabs>
          <w:tab w:leader="none" w:pos="1428" w:val="left"/>
        </w:tabs>
        <w:numPr>
          <w:ilvl w:val="0"/>
          <w:numId w:val="25"/>
        </w:numPr>
        <w:rPr>
          <w:rFonts w:ascii="Arial" w:cs="Arial" w:eastAsia="Arial" w:hAnsi="Arial"/>
          <w:sz w:val="19"/>
          <w:szCs w:val="19"/>
          <w:color w:val="010000"/>
        </w:rPr>
      </w:pPr>
      <w:r>
        <w:rPr>
          <w:rFonts w:ascii="Arial" w:cs="Arial" w:eastAsia="Arial" w:hAnsi="Arial"/>
          <w:sz w:val="19"/>
          <w:szCs w:val="19"/>
          <w:color w:val="auto"/>
        </w:rPr>
        <w:t>Upon the Release Date, Landlord for itself, and its respective members, affiliates, employees, agents, successors and assigns hereby remises, releases and forever discharges, Trop AC of and from all debts, demands, actions, causes of action, suits, accounts,</w:t>
      </w:r>
    </w:p>
    <w:p>
      <w:pPr>
        <w:sectPr>
          <w:pgSz w:w="11900" w:h="16838" w:orient="portrait"/>
          <w:cols w:equalWidth="0" w:num="1">
            <w:col w:w="11420"/>
          </w:cols>
          <w:pgMar w:left="240" w:top="580" w:right="239" w:bottom="1440" w:gutter="0" w:footer="0" w:header="0"/>
        </w:sectPr>
      </w:pPr>
    </w:p>
    <w:bookmarkStart w:id="53" w:name="page54"/>
    <w:bookmarkEnd w:id="53"/>
    <w:p>
      <w:pPr>
        <w:ind w:right="1859"/>
        <w:spacing w:after="0" w:line="263" w:lineRule="auto"/>
        <w:rPr>
          <w:sz w:val="20"/>
          <w:szCs w:val="20"/>
          <w:color w:val="auto"/>
        </w:rPr>
      </w:pPr>
      <w:r>
        <w:rPr>
          <w:rFonts w:ascii="Arial" w:cs="Arial" w:eastAsia="Arial" w:hAnsi="Arial"/>
          <w:sz w:val="21"/>
          <w:szCs w:val="21"/>
          <w:color w:val="auto"/>
        </w:rPr>
        <w:t xml:space="preserve">covenants, contracts, warranties, agreements, damages and any and all claims, demands and liabilities whatsoever of every kind and nature, both at law and in equity, against the Trop AC which Landlord now has or ever had with respect to the Master Lease; </w:t>
      </w:r>
      <w:r>
        <w:rPr>
          <w:rFonts w:ascii="Arial" w:cs="Arial" w:eastAsia="Arial" w:hAnsi="Arial"/>
          <w:sz w:val="21"/>
          <w:szCs w:val="21"/>
          <w:u w:val="single" w:color="auto"/>
          <w:color w:val="auto"/>
        </w:rPr>
        <w:t>provided</w:t>
      </w:r>
      <w:r>
        <w:rPr>
          <w:rFonts w:ascii="Arial" w:cs="Arial" w:eastAsia="Arial" w:hAnsi="Arial"/>
          <w:sz w:val="21"/>
          <w:szCs w:val="21"/>
          <w:color w:val="auto"/>
        </w:rPr>
        <w:t>, that this release shall not apply to (i) Trop AC’s obligations under this Amendment or (ii) TEI’s failure to perform any of its obligations under the Master Lease.</w:t>
      </w:r>
    </w:p>
    <w:p>
      <w:pPr>
        <w:spacing w:after="0" w:line="216" w:lineRule="exact"/>
        <w:rPr>
          <w:sz w:val="20"/>
          <w:szCs w:val="20"/>
          <w:color w:val="auto"/>
        </w:rPr>
      </w:pPr>
    </w:p>
    <w:p>
      <w:pPr>
        <w:ind w:right="1859" w:firstLine="980"/>
        <w:spacing w:after="0" w:line="292" w:lineRule="auto"/>
        <w:tabs>
          <w:tab w:leader="none" w:pos="1440"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 xml:space="preserve">Upon the Release Date, Trop AC for itself, and its members, affiliates, employees, agents, successors and assigns hereby remises, releases and forever discharges, Landlord of and from all debts, demands, actions, causes of action, suits, accounts, covenants, contracts, warranties, agreements, damages and any and all claims, demands and liabilities whatsoever of every kind and nature, both at law and in equity, against Landlord which Trop AC now has or ever had with respect to the Master Lease or the Leased Premises;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release shall not apply to Landlord’ obligations under this Amendment.</w:t>
      </w:r>
    </w:p>
    <w:p>
      <w:pPr>
        <w:spacing w:after="0" w:line="18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AMENDMENTS TO THE MASTER LEASE</w:t>
      </w:r>
    </w:p>
    <w:p>
      <w:pPr>
        <w:spacing w:after="0" w:line="242" w:lineRule="exact"/>
        <w:rPr>
          <w:sz w:val="20"/>
          <w:szCs w:val="20"/>
          <w:color w:val="auto"/>
        </w:rPr>
      </w:pPr>
    </w:p>
    <w:p>
      <w:pPr>
        <w:ind w:right="1779"/>
        <w:spacing w:after="0" w:line="265" w:lineRule="auto"/>
        <w:rPr>
          <w:sz w:val="20"/>
          <w:szCs w:val="20"/>
          <w:color w:val="auto"/>
        </w:rPr>
      </w:pPr>
      <w:r>
        <w:rPr>
          <w:rFonts w:ascii="Arial" w:cs="Arial" w:eastAsia="Arial" w:hAnsi="Arial"/>
          <w:sz w:val="21"/>
          <w:szCs w:val="21"/>
          <w:color w:val="010000"/>
        </w:rPr>
        <w:t xml:space="preserve">2.1 </w:t>
      </w:r>
      <w:r>
        <w:rPr>
          <w:rFonts w:ascii="Arial" w:cs="Arial" w:eastAsia="Arial" w:hAnsi="Arial"/>
          <w:sz w:val="21"/>
          <w:szCs w:val="21"/>
          <w:u w:val="single" w:color="auto"/>
          <w:color w:val="000000"/>
        </w:rPr>
        <w:t>Landlord and Tenant Definitions:</w:t>
      </w:r>
      <w:r>
        <w:rPr>
          <w:rFonts w:ascii="Arial" w:cs="Arial" w:eastAsia="Arial" w:hAnsi="Arial"/>
          <w:sz w:val="21"/>
          <w:szCs w:val="21"/>
          <w:color w:val="010000"/>
        </w:rPr>
        <w:t xml:space="preserve"> </w:t>
      </w:r>
      <w:r>
        <w:rPr>
          <w:rFonts w:ascii="Arial" w:cs="Arial" w:eastAsia="Arial" w:hAnsi="Arial"/>
          <w:sz w:val="21"/>
          <w:szCs w:val="21"/>
          <w:color w:val="000000"/>
        </w:rPr>
        <w:t>From and after the Release Date all references to</w:t>
      </w:r>
      <w:r>
        <w:rPr>
          <w:rFonts w:ascii="Arial" w:cs="Arial" w:eastAsia="Arial" w:hAnsi="Arial"/>
          <w:sz w:val="21"/>
          <w:szCs w:val="21"/>
          <w:color w:val="010000"/>
        </w:rPr>
        <w:t xml:space="preserve"> </w:t>
      </w:r>
      <w:r>
        <w:rPr>
          <w:rFonts w:ascii="Arial" w:cs="Arial" w:eastAsia="Arial" w:hAnsi="Arial"/>
          <w:sz w:val="21"/>
          <w:szCs w:val="21"/>
          <w:color w:val="000000"/>
        </w:rPr>
        <w:t>“Landlord” in the Master Lease shall refer solely to Landlord in its capacity as landlord under the Master Lease and all references to “Tenant” in the Master lease shall refer solely to TEI in its capacity as tenant under the Master Lease. From and after the Release Date:</w:t>
      </w:r>
    </w:p>
    <w:p>
      <w:pPr>
        <w:spacing w:after="0" w:line="216" w:lineRule="exact"/>
        <w:rPr>
          <w:sz w:val="20"/>
          <w:szCs w:val="20"/>
          <w:color w:val="auto"/>
        </w:rPr>
      </w:pPr>
    </w:p>
    <w:p>
      <w:pPr>
        <w:ind w:right="2199" w:firstLine="980"/>
        <w:spacing w:after="0" w:line="343" w:lineRule="auto"/>
        <w:tabs>
          <w:tab w:leader="none" w:pos="1428"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The definition of “Landlord” set forth in Section 2.1 of the Master Lease is hereby deleted in its entirety and replaced with the following: “</w:t>
      </w:r>
      <w:r>
        <w:rPr>
          <w:rFonts w:ascii="Arial" w:cs="Arial" w:eastAsia="Arial" w:hAnsi="Arial"/>
          <w:sz w:val="19"/>
          <w:szCs w:val="19"/>
          <w:u w:val="single" w:color="auto"/>
          <w:color w:val="auto"/>
        </w:rPr>
        <w:t>Landlord</w:t>
      </w:r>
      <w:r>
        <w:rPr>
          <w:rFonts w:ascii="Arial" w:cs="Arial" w:eastAsia="Arial" w:hAnsi="Arial"/>
          <w:sz w:val="19"/>
          <w:szCs w:val="19"/>
          <w:color w:val="auto"/>
        </w:rPr>
        <w:t>: GLP Capital, L.P.”</w:t>
      </w:r>
    </w:p>
    <w:p>
      <w:pPr>
        <w:spacing w:after="0" w:line="145" w:lineRule="exact"/>
        <w:rPr>
          <w:rFonts w:ascii="Arial" w:cs="Arial" w:eastAsia="Arial" w:hAnsi="Arial"/>
          <w:sz w:val="19"/>
          <w:szCs w:val="19"/>
          <w:color w:val="010000"/>
        </w:rPr>
      </w:pPr>
    </w:p>
    <w:p>
      <w:pPr>
        <w:ind w:right="2499" w:firstLine="980"/>
        <w:spacing w:after="0" w:line="253" w:lineRule="auto"/>
        <w:tabs>
          <w:tab w:leader="none" w:pos="1440"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The definition of “Tenant” set forth in Section 2.1 of the Master Lease is hereby deleted in its entirety and replaced with the following: “</w:t>
      </w:r>
      <w:r>
        <w:rPr>
          <w:rFonts w:ascii="Arial" w:cs="Arial" w:eastAsia="Arial" w:hAnsi="Arial"/>
          <w:sz w:val="22"/>
          <w:szCs w:val="22"/>
          <w:u w:val="single" w:color="auto"/>
          <w:color w:val="auto"/>
        </w:rPr>
        <w:t>Tenant</w:t>
      </w:r>
      <w:r>
        <w:rPr>
          <w:rFonts w:ascii="Arial" w:cs="Arial" w:eastAsia="Arial" w:hAnsi="Arial"/>
          <w:sz w:val="22"/>
          <w:szCs w:val="22"/>
          <w:color w:val="auto"/>
        </w:rPr>
        <w:t>: Tropicana Entertainment, Inc.”</w:t>
      </w:r>
    </w:p>
    <w:p>
      <w:pPr>
        <w:spacing w:after="0" w:line="226" w:lineRule="exact"/>
        <w:rPr>
          <w:sz w:val="20"/>
          <w:szCs w:val="20"/>
          <w:color w:val="auto"/>
        </w:rPr>
      </w:pPr>
    </w:p>
    <w:p>
      <w:pPr>
        <w:ind w:right="2199"/>
        <w:spacing w:after="0" w:line="263"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u w:val="single" w:color="auto"/>
          <w:color w:val="000000"/>
        </w:rPr>
        <w:t>Amendments to Master Lease.</w:t>
      </w:r>
      <w:r>
        <w:rPr>
          <w:rFonts w:ascii="Arial" w:cs="Arial" w:eastAsia="Arial" w:hAnsi="Arial"/>
          <w:sz w:val="22"/>
          <w:szCs w:val="22"/>
          <w:color w:val="010000"/>
        </w:rPr>
        <w:t xml:space="preserve"> </w:t>
      </w:r>
      <w:r>
        <w:rPr>
          <w:rFonts w:ascii="Arial" w:cs="Arial" w:eastAsia="Arial" w:hAnsi="Arial"/>
          <w:sz w:val="22"/>
          <w:szCs w:val="22"/>
          <w:color w:val="000000"/>
        </w:rPr>
        <w:t>After giving effect to this Amendment, the parties agree</w:t>
      </w:r>
      <w:r>
        <w:rPr>
          <w:rFonts w:ascii="Arial" w:cs="Arial" w:eastAsia="Arial" w:hAnsi="Arial"/>
          <w:sz w:val="22"/>
          <w:szCs w:val="22"/>
          <w:color w:val="010000"/>
        </w:rPr>
        <w:t xml:space="preserve"> </w:t>
      </w:r>
      <w:r>
        <w:rPr>
          <w:rFonts w:ascii="Arial" w:cs="Arial" w:eastAsia="Arial" w:hAnsi="Arial"/>
          <w:sz w:val="22"/>
          <w:szCs w:val="22"/>
          <w:color w:val="000000"/>
        </w:rPr>
        <w:t>as follows:</w:t>
      </w:r>
    </w:p>
    <w:p>
      <w:pPr>
        <w:spacing w:after="0" w:line="215" w:lineRule="exact"/>
        <w:rPr>
          <w:sz w:val="20"/>
          <w:szCs w:val="20"/>
          <w:color w:val="auto"/>
        </w:rPr>
      </w:pPr>
    </w:p>
    <w:p>
      <w:pPr>
        <w:ind w:right="1719" w:firstLine="980"/>
        <w:spacing w:after="0" w:line="287" w:lineRule="auto"/>
        <w:tabs>
          <w:tab w:leader="none" w:pos="1428" w:val="left"/>
        </w:tabs>
        <w:numPr>
          <w:ilvl w:val="0"/>
          <w:numId w:val="28"/>
        </w:numPr>
        <w:rPr>
          <w:rFonts w:ascii="Arial" w:cs="Arial" w:eastAsia="Arial" w:hAnsi="Arial"/>
          <w:sz w:val="21"/>
          <w:szCs w:val="21"/>
          <w:color w:val="010000"/>
        </w:rPr>
      </w:pPr>
      <w:r>
        <w:rPr>
          <w:rFonts w:ascii="Arial" w:cs="Arial" w:eastAsia="Arial" w:hAnsi="Arial"/>
          <w:sz w:val="21"/>
          <w:szCs w:val="21"/>
          <w:color w:val="auto"/>
        </w:rPr>
        <w:t>Any and all references to “GLPC” set forth in Sections 3.1, 3.2, 3.3 and 3.4 of the Master Lease are hereby deleted in their entirety and replaced with “Landlord”.</w:t>
      </w:r>
    </w:p>
    <w:p>
      <w:pPr>
        <w:spacing w:after="0" w:line="192" w:lineRule="exact"/>
        <w:rPr>
          <w:rFonts w:ascii="Arial" w:cs="Arial" w:eastAsia="Arial" w:hAnsi="Arial"/>
          <w:sz w:val="21"/>
          <w:szCs w:val="21"/>
          <w:color w:val="010000"/>
        </w:rPr>
      </w:pPr>
    </w:p>
    <w:p>
      <w:pPr>
        <w:ind w:right="1819" w:firstLine="980"/>
        <w:spacing w:after="0" w:line="263" w:lineRule="auto"/>
        <w:tabs>
          <w:tab w:leader="none" w:pos="1440"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Any and all references to “NJ Operator” set forth in the Master Lease are hereby deleted in their entirety.</w:t>
      </w:r>
    </w:p>
    <w:p>
      <w:pPr>
        <w:spacing w:after="0" w:line="215" w:lineRule="exact"/>
        <w:rPr>
          <w:rFonts w:ascii="Arial" w:cs="Arial" w:eastAsia="Arial" w:hAnsi="Arial"/>
          <w:sz w:val="22"/>
          <w:szCs w:val="22"/>
          <w:color w:val="010000"/>
        </w:rPr>
      </w:pPr>
    </w:p>
    <w:p>
      <w:pPr>
        <w:ind w:right="2099" w:firstLine="980"/>
        <w:spacing w:after="0" w:line="263" w:lineRule="auto"/>
        <w:tabs>
          <w:tab w:leader="none" w:pos="1428"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The following language set forth in Section 1.1 of the Master Lease is hereby deleted in its entirety:</w:t>
      </w:r>
    </w:p>
    <w:p>
      <w:pPr>
        <w:spacing w:after="0" w:line="215" w:lineRule="exact"/>
        <w:rPr>
          <w:sz w:val="20"/>
          <w:szCs w:val="20"/>
          <w:color w:val="auto"/>
        </w:rPr>
      </w:pPr>
    </w:p>
    <w:p>
      <w:pPr>
        <w:ind w:right="2139" w:firstLine="972"/>
        <w:spacing w:after="0" w:line="291" w:lineRule="auto"/>
        <w:rPr>
          <w:sz w:val="20"/>
          <w:szCs w:val="20"/>
          <w:color w:val="auto"/>
        </w:rPr>
      </w:pPr>
      <w:r>
        <w:rPr>
          <w:rFonts w:ascii="Arial" w:cs="Arial" w:eastAsia="Arial" w:hAnsi="Arial"/>
          <w:sz w:val="19"/>
          <w:szCs w:val="19"/>
          <w:color w:val="auto"/>
        </w:rPr>
        <w:t>“Notwithstanding anything contained herein to the contrary, NJ Operator shall not acquire a leasehold interest through this Master Lease in any Leased Property or</w:t>
      </w:r>
    </w:p>
    <w:p>
      <w:pPr>
        <w:spacing w:after="0" w:line="1" w:lineRule="exact"/>
        <w:rPr>
          <w:sz w:val="20"/>
          <w:szCs w:val="20"/>
          <w:color w:val="auto"/>
        </w:rPr>
      </w:pPr>
    </w:p>
    <w:p>
      <w:pPr>
        <w:ind w:right="3659"/>
        <w:spacing w:after="0" w:line="246" w:lineRule="auto"/>
        <w:rPr>
          <w:sz w:val="20"/>
          <w:szCs w:val="20"/>
          <w:color w:val="auto"/>
        </w:rPr>
      </w:pPr>
      <w:r>
        <w:rPr>
          <w:rFonts w:ascii="Arial" w:cs="Arial" w:eastAsia="Arial" w:hAnsi="Arial"/>
          <w:sz w:val="22"/>
          <w:szCs w:val="22"/>
          <w:color w:val="auto"/>
        </w:rPr>
        <w:t>Facility, as applicable, leased to Tenant pursuant to this Master Lease that is located in the State of Louisiana.”</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91" w:right="1440" w:bottom="1440" w:gutter="0" w:footer="0" w:header="0"/>
        </w:sectPr>
      </w:pPr>
    </w:p>
    <w:bookmarkStart w:id="54" w:name="page55"/>
    <w:bookmarkEnd w:id="54"/>
    <w:p>
      <w:pPr>
        <w:jc w:val="center"/>
        <w:ind w:right="-1200"/>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AUTHORITY TO ENTER INTO AMENDMENT</w:t>
      </w:r>
    </w:p>
    <w:p>
      <w:pPr>
        <w:spacing w:after="0" w:line="242" w:lineRule="exact"/>
        <w:rPr>
          <w:sz w:val="20"/>
          <w:szCs w:val="20"/>
          <w:color w:val="auto"/>
        </w:rPr>
      </w:pPr>
    </w:p>
    <w:p>
      <w:pPr>
        <w:ind w:right="1799"/>
        <w:spacing w:after="0" w:line="259"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or the Master Lease, as amended hereby, nor any other document executed or to be executed in connection herewith, violates the terms of any other agreement of such party.</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IV</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u w:val="single" w:color="auto"/>
          <w:color w:val="auto"/>
        </w:rPr>
        <w:t>Costs and Expenses; Fees</w:t>
      </w:r>
      <w:r>
        <w:rPr>
          <w:rFonts w:ascii="Arial" w:cs="Arial" w:eastAsia="Arial" w:hAnsi="Arial"/>
          <w:sz w:val="19"/>
          <w:szCs w:val="19"/>
          <w:color w:val="auto"/>
        </w:rPr>
        <w:t>. Each party shall be responsible for and bear all</w:t>
      </w:r>
    </w:p>
    <w:p>
      <w:pPr>
        <w:spacing w:after="0" w:line="22" w:lineRule="exact"/>
        <w:rPr>
          <w:sz w:val="20"/>
          <w:szCs w:val="20"/>
          <w:color w:val="auto"/>
        </w:rPr>
      </w:pPr>
    </w:p>
    <w:p>
      <w:pPr>
        <w:ind w:right="1859"/>
        <w:spacing w:after="0" w:line="302" w:lineRule="auto"/>
        <w:rPr>
          <w:sz w:val="20"/>
          <w:szCs w:val="20"/>
          <w:color w:val="auto"/>
        </w:rPr>
      </w:pPr>
      <w:r>
        <w:rPr>
          <w:rFonts w:ascii="Arial" w:cs="Arial" w:eastAsia="Arial" w:hAnsi="Arial"/>
          <w:sz w:val="19"/>
          <w:szCs w:val="19"/>
          <w:color w:val="auto"/>
        </w:rPr>
        <w:t>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 xml:space="preserve">Choice of Law and Forum Selection Clause. </w:t>
      </w:r>
      <w:r>
        <w:rPr>
          <w:rFonts w:ascii="Arial" w:cs="Arial" w:eastAsia="Arial" w:hAnsi="Arial"/>
          <w:sz w:val="19"/>
          <w:szCs w:val="19"/>
          <w:color w:val="auto"/>
        </w:rPr>
        <w:t>This Amendment shall be</w:t>
      </w:r>
    </w:p>
    <w:p>
      <w:pPr>
        <w:spacing w:after="0" w:line="22" w:lineRule="exact"/>
        <w:rPr>
          <w:sz w:val="20"/>
          <w:szCs w:val="20"/>
          <w:color w:val="auto"/>
        </w:rPr>
      </w:pPr>
    </w:p>
    <w:p>
      <w:pPr>
        <w:jc w:val="both"/>
        <w:ind w:right="2059"/>
        <w:spacing w:after="0" w:line="245" w:lineRule="auto"/>
        <w:rPr>
          <w:sz w:val="20"/>
          <w:szCs w:val="20"/>
          <w:color w:val="auto"/>
        </w:rPr>
      </w:pPr>
      <w:r>
        <w:rPr>
          <w:rFonts w:ascii="Arial" w:cs="Arial" w:eastAsia="Arial" w:hAnsi="Arial"/>
          <w:sz w:val="22"/>
          <w:szCs w:val="22"/>
          <w:color w:val="auto"/>
        </w:rPr>
        <w:t>construed and interpreted, and the rights of the parties shall be determined, in accordance with the substantive Laws of the State of New York without regard to the conflict of law principles thereof or of any other jurisdiction</w:t>
      </w:r>
    </w:p>
    <w:p>
      <w:pPr>
        <w:spacing w:after="0" w:line="23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9"/>
          <w:szCs w:val="19"/>
          <w:u w:val="single" w:color="auto"/>
          <w:color w:val="auto"/>
        </w:rPr>
        <w:t xml:space="preserve">Counterparts; Facsimile Signatures. </w:t>
      </w:r>
      <w:r>
        <w:rPr>
          <w:rFonts w:ascii="Arial" w:cs="Arial" w:eastAsia="Arial" w:hAnsi="Arial"/>
          <w:sz w:val="19"/>
          <w:szCs w:val="19"/>
          <w:color w:val="auto"/>
        </w:rPr>
        <w:t>This Amendment may be executed in</w:t>
      </w:r>
    </w:p>
    <w:p>
      <w:pPr>
        <w:spacing w:after="0" w:line="22" w:lineRule="exact"/>
        <w:rPr>
          <w:sz w:val="20"/>
          <w:szCs w:val="20"/>
          <w:color w:val="auto"/>
        </w:rPr>
      </w:pPr>
    </w:p>
    <w:p>
      <w:pPr>
        <w:ind w:right="1979"/>
        <w:spacing w:after="0" w:line="292" w:lineRule="auto"/>
        <w:rPr>
          <w:sz w:val="20"/>
          <w:szCs w:val="20"/>
          <w:color w:val="auto"/>
        </w:rPr>
      </w:pPr>
      <w:r>
        <w:rPr>
          <w:rFonts w:ascii="Arial" w:cs="Arial" w:eastAsia="Arial" w:hAnsi="Arial"/>
          <w:sz w:val="19"/>
          <w:szCs w:val="19"/>
          <w:color w:val="auto"/>
        </w:rPr>
        <w:t>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or pdf signature and such facsimile or pdf signature shall be deemed an original.</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 xml:space="preserve">No Further Modification. </w:t>
      </w:r>
      <w:r>
        <w:rPr>
          <w:rFonts w:ascii="Arial" w:cs="Arial" w:eastAsia="Arial" w:hAnsi="Arial"/>
          <w:sz w:val="19"/>
          <w:szCs w:val="19"/>
          <w:color w:val="auto"/>
        </w:rPr>
        <w:t>Except as modified hereby, the terms and</w:t>
      </w:r>
    </w:p>
    <w:p>
      <w:pPr>
        <w:spacing w:after="0" w:line="22" w:lineRule="exact"/>
        <w:rPr>
          <w:sz w:val="20"/>
          <w:szCs w:val="20"/>
          <w:color w:val="auto"/>
        </w:rPr>
      </w:pPr>
    </w:p>
    <w:p>
      <w:pPr>
        <w:ind w:right="2099"/>
        <w:spacing w:after="0" w:line="246" w:lineRule="auto"/>
        <w:rPr>
          <w:sz w:val="20"/>
          <w:szCs w:val="20"/>
          <w:color w:val="auto"/>
        </w:rPr>
      </w:pPr>
      <w:r>
        <w:rPr>
          <w:rFonts w:ascii="Arial" w:cs="Arial" w:eastAsia="Arial" w:hAnsi="Arial"/>
          <w:sz w:val="22"/>
          <w:szCs w:val="22"/>
          <w:color w:val="auto"/>
        </w:rPr>
        <w:t>conditions of the Master Lease shall remain in full force and effect and as amended herein the Master Lease is hereby ratified and affirmed by GLPC and TEI.</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t>
      </w:r>
      <w:r>
        <w:rPr>
          <w:rFonts w:ascii="Arial" w:cs="Arial" w:eastAsia="Arial" w:hAnsi="Arial"/>
          <w:sz w:val="16"/>
          <w:szCs w:val="16"/>
          <w:i w:val="1"/>
          <w:iCs w:val="1"/>
          <w:color w:val="auto"/>
        </w:rPr>
        <w:t>IGNATURE</w:t>
      </w:r>
      <w:r>
        <w:rPr>
          <w:rFonts w:ascii="Arial" w:cs="Arial" w:eastAsia="Arial" w:hAnsi="Arial"/>
          <w:sz w:val="22"/>
          <w:szCs w:val="22"/>
          <w:color w:val="auto"/>
        </w:rPr>
        <w:t xml:space="preserve"> </w:t>
      </w:r>
      <w:r>
        <w:rPr>
          <w:rFonts w:ascii="Arial" w:cs="Arial" w:eastAsia="Arial" w:hAnsi="Arial"/>
          <w:sz w:val="22"/>
          <w:szCs w:val="22"/>
          <w:i w:val="1"/>
          <w:iCs w:val="1"/>
          <w:color w:val="auto"/>
        </w:rPr>
        <w:t>P</w:t>
      </w:r>
      <w:r>
        <w:rPr>
          <w:rFonts w:ascii="Arial" w:cs="Arial" w:eastAsia="Arial" w:hAnsi="Arial"/>
          <w:sz w:val="16"/>
          <w:szCs w:val="16"/>
          <w:i w:val="1"/>
          <w:iCs w:val="1"/>
          <w:color w:val="auto"/>
        </w:rPr>
        <w:t>AGES TO</w:t>
      </w:r>
      <w:r>
        <w:rPr>
          <w:rFonts w:ascii="Arial" w:cs="Arial" w:eastAsia="Arial" w:hAnsi="Arial"/>
          <w:sz w:val="22"/>
          <w:szCs w:val="22"/>
          <w:color w:val="auto"/>
        </w:rPr>
        <w:t xml:space="preserve"> </w:t>
      </w:r>
      <w:r>
        <w:rPr>
          <w:rFonts w:ascii="Arial" w:cs="Arial" w:eastAsia="Arial" w:hAnsi="Arial"/>
          <w:sz w:val="22"/>
          <w:szCs w:val="22"/>
          <w:i w:val="1"/>
          <w:iCs w:val="1"/>
          <w:color w:val="auto"/>
        </w:rPr>
        <w:t>F</w:t>
      </w:r>
      <w:r>
        <w:rPr>
          <w:rFonts w:ascii="Arial" w:cs="Arial" w:eastAsia="Arial" w:hAnsi="Arial"/>
          <w:sz w:val="16"/>
          <w:szCs w:val="16"/>
          <w:i w:val="1"/>
          <w:iCs w:val="1"/>
          <w:color w:val="auto"/>
        </w:rPr>
        <w:t>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585" w:right="1440"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Amendment has been duly executed and delivered by each of the undersigned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GLP CAPITAL,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partnership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Brandon J. Moore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Brandon J. Moore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Senior Vice President, General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 Page to First Amendment to Master Lease]</w:t>
      </w:r>
    </w:p>
    <w:p>
      <w:pPr>
        <w:sectPr>
          <w:pgSz w:w="11900" w:h="16838" w:orient="portrait"/>
          <w:cols w:equalWidth="0" w:num="1">
            <w:col w:w="11280"/>
          </w:cols>
          <w:pgMar w:left="240" w:top="801" w:right="37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TROP AC: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TROPICANA ATLANTIC CITY CORP.,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New Jersey corporation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Edmund L. Quatmann, Jr.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EVP, Chief Legal Officer and Secretary</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TROPICANA ENTERTAINMENT, INC.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Edmund L. Quatmann, Jr.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EVP,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159"/>
        <w:spacing w:after="0"/>
        <w:rPr>
          <w:sz w:val="20"/>
          <w:szCs w:val="20"/>
          <w:color w:val="auto"/>
        </w:rPr>
      </w:pPr>
      <w:r>
        <w:rPr>
          <w:rFonts w:ascii="Arial" w:cs="Arial" w:eastAsia="Arial" w:hAnsi="Arial"/>
          <w:sz w:val="22"/>
          <w:szCs w:val="22"/>
          <w:color w:val="auto"/>
        </w:rPr>
        <w:t>[Signature Page to First Amendment to Master Lease]</w:t>
      </w:r>
    </w:p>
    <w:p>
      <w:pPr>
        <w:sectPr>
          <w:pgSz w:w="11900" w:h="16838" w:orient="portrait"/>
          <w:cols w:equalWidth="0" w:num="1">
            <w:col w:w="10219"/>
          </w:cols>
          <w:pgMar w:left="240" w:top="585"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August 8, 2019</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August 8, 2019</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30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88"/>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Arial" w:cs="Arial" w:eastAsia="Arial" w:hAnsi="Arial"/>
                <w:sz w:val="18"/>
                <w:szCs w:val="18"/>
                <w:i w:val="1"/>
                <w:iCs w:val="1"/>
                <w:color w:val="auto"/>
                <w:w w:val="98"/>
              </w:rPr>
              <w:t>Chief Financial Officer</w:t>
            </w:r>
          </w:p>
        </w:tc>
      </w:tr>
    </w:tbl>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June 30, 2019,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June 30, 2019,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August 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1"/>
    </w:lvl>
    <w:lvl w:ilvl="1">
      <w:lvlJc w:val="left"/>
      <w:lvlText w:val="(%2)"/>
      <w:numFmt w:val="decimal"/>
      <w:start w:val="1"/>
    </w:lvl>
  </w:abstractNum>
  <w:abstractNum w:abstractNumId="9">
    <w:nsid w:val="75A2A8D4"/>
    <w:multiLevelType w:val="hybridMultilevel"/>
    <w:lvl w:ilvl="0">
      <w:lvlJc w:val="left"/>
      <w:lvlText w:val="%1."/>
      <w:numFmt w:val="decimal"/>
      <w:start w:val="8"/>
    </w:lvl>
    <w:lvl w:ilvl="1">
      <w:lvlJc w:val="left"/>
      <w:lvlText w:val="%2"/>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3"/>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decimal"/>
      <w:start w:val="5"/>
    </w:lvl>
    <w:lvl w:ilvl="1">
      <w:lvlJc w:val="left"/>
      <w:lvlText w:val="(%2)"/>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decimal"/>
      <w:start w:val="5"/>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2019-12-28T08:04:59Z</dcterms:created>
  <dcterms:modified xsi:type="dcterms:W3CDTF">2019-12-28T08:04:59Z</dcterms:modified>
</cp:coreProperties>
</file>